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5A1FF6E8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9E2A17" w:rsidRPr="00DF6C63">
        <w:rPr>
          <w:b/>
          <w:color w:val="auto"/>
        </w:rPr>
        <w:t>1</w:t>
      </w:r>
      <w:r w:rsidRPr="00DF6C63">
        <w:rPr>
          <w:b/>
          <w:color w:val="auto"/>
        </w:rPr>
        <w:br/>
      </w:r>
      <w:r w:rsidR="009E2A17" w:rsidRPr="00DF6C63">
        <w:rPr>
          <w:b/>
          <w:color w:val="auto"/>
        </w:rPr>
        <w:t>9 – 11 Dec</w:t>
      </w:r>
      <w:r w:rsidRPr="00DF6C63">
        <w:rPr>
          <w:b/>
          <w:color w:val="auto"/>
        </w:rPr>
        <w:t>ember 2024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Advice</w:t>
            </w:r>
          </w:p>
        </w:tc>
      </w:tr>
      <w:tr w:rsidR="0029555A" w:rsidRPr="00DF6C63" w14:paraId="2984117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B170585" w14:textId="1EC6A46A" w:rsidR="0029555A" w:rsidRPr="00DF6C63" w:rsidRDefault="00723892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6D3BC0A4" w14:textId="3349685D" w:rsidR="0029555A" w:rsidRPr="00DF6C63" w:rsidRDefault="00B16FD7" w:rsidP="008A4907">
            <w:pPr>
              <w:pStyle w:val="Default"/>
            </w:pPr>
            <w:r w:rsidRPr="00DF6C63">
              <w:t>Saraji Mine Grevillea Pit Continuation Project</w:t>
            </w:r>
          </w:p>
        </w:tc>
        <w:tc>
          <w:tcPr>
            <w:tcW w:w="2551" w:type="dxa"/>
            <w:vAlign w:val="center"/>
          </w:tcPr>
          <w:p w14:paraId="285A4133" w14:textId="23420BB4" w:rsidR="0029555A" w:rsidRPr="00DF6C63" w:rsidRDefault="009E2A17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03B12C31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E34A6C8" w14:textId="718096E6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2.2</w:t>
            </w:r>
          </w:p>
        </w:tc>
        <w:tc>
          <w:tcPr>
            <w:tcW w:w="6699" w:type="dxa"/>
            <w:vAlign w:val="center"/>
          </w:tcPr>
          <w:p w14:paraId="14EEEEBF" w14:textId="1C49B0FF" w:rsidR="009E2A17" w:rsidRPr="00DF6C63" w:rsidRDefault="009E2A17" w:rsidP="009E2A17">
            <w:pPr>
              <w:pStyle w:val="Default"/>
            </w:pPr>
            <w:proofErr w:type="spellStart"/>
            <w:r w:rsidRPr="00DF6C63">
              <w:t>Beetaloo</w:t>
            </w:r>
            <w:proofErr w:type="spellEnd"/>
            <w:r w:rsidRPr="00DF6C63">
              <w:t xml:space="preserve"> Basin – Unconventional gas exploration and appraisal</w:t>
            </w:r>
          </w:p>
        </w:tc>
        <w:tc>
          <w:tcPr>
            <w:tcW w:w="2551" w:type="dxa"/>
            <w:vAlign w:val="center"/>
          </w:tcPr>
          <w:p w14:paraId="2D49CFAF" w14:textId="5217E2CE" w:rsidR="009E2A17" w:rsidRPr="00DF6C63" w:rsidRDefault="009E2A17" w:rsidP="009E2A1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1E43D9AC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DF6C63" w:rsidRDefault="009E2A17" w:rsidP="009E2A17">
            <w:pPr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9" w:type="dxa"/>
            <w:vAlign w:val="center"/>
          </w:tcPr>
          <w:p w14:paraId="73EBD360" w14:textId="77777777" w:rsidR="009E2A17" w:rsidRPr="00DF6C63" w:rsidRDefault="009E2A17" w:rsidP="009E2A17">
            <w:pPr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N/A</w:t>
            </w:r>
          </w:p>
        </w:tc>
        <w:tc>
          <w:tcPr>
            <w:tcW w:w="2551" w:type="dxa"/>
            <w:vAlign w:val="center"/>
          </w:tcPr>
          <w:p w14:paraId="3919000A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77777777" w:rsidR="002D06CA" w:rsidRPr="00DF6C63" w:rsidRDefault="002D06CA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908A" w14:textId="77777777" w:rsidR="0029555A" w:rsidRDefault="0029555A" w:rsidP="0029555A">
      <w:r>
        <w:separator/>
      </w:r>
    </w:p>
  </w:endnote>
  <w:endnote w:type="continuationSeparator" w:id="0">
    <w:p w14:paraId="25C6CAE0" w14:textId="77777777" w:rsidR="0029555A" w:rsidRDefault="0029555A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FA3B" w14:textId="77777777" w:rsidR="0029555A" w:rsidRDefault="0029555A" w:rsidP="0029555A">
      <w:r>
        <w:separator/>
      </w:r>
    </w:p>
  </w:footnote>
  <w:footnote w:type="continuationSeparator" w:id="0">
    <w:p w14:paraId="78F672FD" w14:textId="77777777" w:rsidR="0029555A" w:rsidRDefault="0029555A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147863"/>
    <w:rsid w:val="00213C12"/>
    <w:rsid w:val="0029555A"/>
    <w:rsid w:val="002D06CA"/>
    <w:rsid w:val="00393D5E"/>
    <w:rsid w:val="004D0F81"/>
    <w:rsid w:val="0058179A"/>
    <w:rsid w:val="00723892"/>
    <w:rsid w:val="00881E2D"/>
    <w:rsid w:val="008E3BA3"/>
    <w:rsid w:val="00982FAA"/>
    <w:rsid w:val="009B7230"/>
    <w:rsid w:val="009E2A17"/>
    <w:rsid w:val="00A912A0"/>
    <w:rsid w:val="00B16FD7"/>
    <w:rsid w:val="00D774AF"/>
    <w:rsid w:val="00DB5BEB"/>
    <w:rsid w:val="00DC22FD"/>
    <w:rsid w:val="00DF6C63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A5081CF-7309-497E-976E-018CEA5513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509C9C-BF07-42B1-BCCD-C4D26805AA26}"/>
</file>

<file path=customXml/itemProps3.xml><?xml version="1.0" encoding="utf-8"?>
<ds:datastoreItem xmlns:ds="http://schemas.openxmlformats.org/officeDocument/2006/customXml" ds:itemID="{F460995F-374B-4FFD-BCA5-01980E9CE88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aa3e7952-617a-4d1d-acc5-2dff72d3e0c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FC7E6E-914D-4688-826F-7CD1682FB9A6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111 9 - 11 December 2024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111 9 - 11 December 2024</dc:title>
  <dc:subject/>
  <dc:creator>IESC</dc:creator>
  <cp:keywords/>
  <dc:description/>
  <cp:lastModifiedBy>Bec DURACK</cp:lastModifiedBy>
  <cp:revision>2</cp:revision>
  <dcterms:created xsi:type="dcterms:W3CDTF">2025-01-03T00:52:00Z</dcterms:created>
  <dcterms:modified xsi:type="dcterms:W3CDTF">2025-01-03T00:52:00Z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{a936a87d-7fe7-403a-ba5e-7934341432fb}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