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3DB02" w14:textId="22FD5A7F" w:rsidR="0041512B" w:rsidRPr="00F027A4" w:rsidRDefault="00041636" w:rsidP="0041512B">
      <w:pPr>
        <w:pStyle w:val="Covertitle"/>
      </w:pPr>
      <w:r>
        <w:t>Bioassessment of groundwater ecosystems</w:t>
      </w:r>
    </w:p>
    <w:p w14:paraId="25C04C5F" w14:textId="51E2FB46" w:rsidR="00B24EF6" w:rsidRDefault="00041636" w:rsidP="00835794">
      <w:pPr>
        <w:pStyle w:val="Coversubtitle"/>
        <w:sectPr w:rsidR="00B24EF6" w:rsidSect="005B5E2A">
          <w:headerReference w:type="even" r:id="rId11"/>
          <w:headerReference w:type="default" r:id="rId12"/>
          <w:footerReference w:type="even" r:id="rId13"/>
          <w:footerReference w:type="default" r:id="rId14"/>
          <w:headerReference w:type="first" r:id="rId15"/>
          <w:pgSz w:w="11900" w:h="16840"/>
          <w:pgMar w:top="3663" w:right="1134" w:bottom="10563" w:left="1134" w:header="1134" w:footer="709" w:gutter="0"/>
          <w:cols w:space="708"/>
          <w:vAlign w:val="center"/>
          <w:titlePg/>
          <w:docGrid w:linePitch="360"/>
        </w:sectPr>
      </w:pPr>
      <w:r w:rsidRPr="00041636">
        <w:rPr>
          <w:rStyle w:val="SubtitleChar"/>
          <w:rFonts w:cstheme="minorBidi"/>
          <w:color w:val="AEAAAA" w:themeColor="background2" w:themeShade="BF"/>
          <w:szCs w:val="22"/>
        </w:rPr>
        <w:t>III. A comparison of eDNA metabarcoding and metagenomics for assessing groundwater communities</w:t>
      </w:r>
    </w:p>
    <w:p w14:paraId="5D3EA2EA" w14:textId="7EAC8BC2" w:rsidR="00AF1674" w:rsidRDefault="00AF1674" w:rsidP="00AF1674">
      <w:pPr>
        <w:pStyle w:val="05BODYTEXT"/>
        <w:spacing w:after="57"/>
        <w:rPr>
          <w:rFonts w:ascii="Calibri" w:hAnsi="Calibri" w:cs="Calibri"/>
          <w:sz w:val="16"/>
          <w:szCs w:val="16"/>
        </w:rPr>
      </w:pPr>
      <w:r>
        <w:rPr>
          <w:rFonts w:ascii="Calibri" w:hAnsi="Calibri" w:cs="Calibri"/>
          <w:sz w:val="16"/>
          <w:szCs w:val="16"/>
        </w:rPr>
        <w:lastRenderedPageBreak/>
        <w:t>© Commonwealth of Australia, 20</w:t>
      </w:r>
      <w:r w:rsidR="0069446B">
        <w:rPr>
          <w:rFonts w:ascii="Calibri" w:hAnsi="Calibri" w:cs="Calibri"/>
          <w:sz w:val="16"/>
          <w:szCs w:val="16"/>
        </w:rPr>
        <w:t>2</w:t>
      </w:r>
      <w:r w:rsidR="00041636">
        <w:rPr>
          <w:rFonts w:ascii="Calibri" w:hAnsi="Calibri" w:cs="Calibri"/>
          <w:sz w:val="16"/>
          <w:szCs w:val="16"/>
        </w:rPr>
        <w:t>3</w:t>
      </w:r>
      <w:r>
        <w:rPr>
          <w:rFonts w:ascii="Calibri" w:hAnsi="Calibri" w:cs="Calibri"/>
          <w:sz w:val="16"/>
          <w:szCs w:val="16"/>
        </w:rPr>
        <w:t>.</w:t>
      </w:r>
    </w:p>
    <w:p w14:paraId="46FCD302" w14:textId="77777777" w:rsidR="00AF1674" w:rsidRDefault="00AF1674" w:rsidP="00AF1674">
      <w:pPr>
        <w:pStyle w:val="05BODYTEXT"/>
        <w:spacing w:before="300" w:after="57"/>
        <w:rPr>
          <w:rFonts w:ascii="Calibri" w:hAnsi="Calibri" w:cs="Calibri"/>
          <w:sz w:val="16"/>
          <w:szCs w:val="16"/>
        </w:rPr>
      </w:pPr>
      <w:r>
        <w:rPr>
          <w:rFonts w:ascii="Calibri" w:hAnsi="Calibri" w:cs="Calibri"/>
          <w:noProof/>
          <w:sz w:val="16"/>
          <w:szCs w:val="16"/>
          <w:lang w:val="en-AU" w:eastAsia="en-AU"/>
        </w:rPr>
        <w:drawing>
          <wp:inline distT="0" distB="0" distL="0" distR="0" wp14:anchorId="6566E1F6" wp14:editId="5E0E5991">
            <wp:extent cx="1219200" cy="419100"/>
            <wp:effectExtent l="0" t="0" r="0" b="0"/>
            <wp:docPr id="8" name="Picture 8"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y_SKINN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p>
    <w:p w14:paraId="6C37D20F" w14:textId="41079A4A" w:rsidR="00AF1674" w:rsidRDefault="00041636" w:rsidP="00AF1674">
      <w:pPr>
        <w:pStyle w:val="05BODYTEXT"/>
        <w:spacing w:before="227" w:after="57"/>
        <w:rPr>
          <w:rFonts w:ascii="Calibri" w:hAnsi="Calibri" w:cs="Calibri"/>
          <w:sz w:val="16"/>
          <w:szCs w:val="16"/>
        </w:rPr>
      </w:pPr>
      <w:r w:rsidRPr="00835794">
        <w:rPr>
          <w:rStyle w:val="ITALIC"/>
          <w:rFonts w:ascii="Calibri" w:hAnsi="Calibri" w:cs="Calibri"/>
          <w:color w:val="000000" w:themeColor="text1"/>
          <w:sz w:val="16"/>
          <w:szCs w:val="16"/>
        </w:rPr>
        <w:t xml:space="preserve">Bioassessment of groundwater ecosystems III. A comparison of eDNA metabarcoding and metagenomics for assessing groundwater communities </w:t>
      </w:r>
      <w:r w:rsidR="00AF1674" w:rsidRPr="00835794">
        <w:rPr>
          <w:rFonts w:ascii="Calibri" w:hAnsi="Calibri" w:cs="Calibri"/>
          <w:color w:val="000000" w:themeColor="text1"/>
          <w:sz w:val="16"/>
          <w:szCs w:val="16"/>
        </w:rPr>
        <w:t xml:space="preserve">is </w:t>
      </w:r>
      <w:r w:rsidR="00AF1674">
        <w:rPr>
          <w:rFonts w:ascii="Calibri" w:hAnsi="Calibri" w:cs="Calibri"/>
          <w:sz w:val="16"/>
          <w:szCs w:val="16"/>
        </w:rPr>
        <w:t xml:space="preserve">licensed by the Commonwealth of Australia for use under a Creative Commons Attribution 4.0 International </w:t>
      </w:r>
      <w:r w:rsidR="003D772B">
        <w:rPr>
          <w:rFonts w:ascii="Calibri" w:hAnsi="Calibri" w:cs="Calibri"/>
          <w:sz w:val="16"/>
          <w:szCs w:val="16"/>
        </w:rPr>
        <w:t>licen</w:t>
      </w:r>
      <w:r w:rsidR="00524559">
        <w:rPr>
          <w:rFonts w:ascii="Calibri" w:hAnsi="Calibri" w:cs="Calibri"/>
          <w:sz w:val="16"/>
          <w:szCs w:val="16"/>
        </w:rPr>
        <w:t>c</w:t>
      </w:r>
      <w:r w:rsidR="003D772B">
        <w:rPr>
          <w:rFonts w:ascii="Calibri" w:hAnsi="Calibri" w:cs="Calibri"/>
          <w:sz w:val="16"/>
          <w:szCs w:val="16"/>
        </w:rPr>
        <w:t>e</w:t>
      </w:r>
      <w:r w:rsidR="00AF1674">
        <w:rPr>
          <w:rFonts w:ascii="Calibri" w:hAnsi="Calibri" w:cs="Calibri"/>
          <w:sz w:val="16"/>
          <w:szCs w:val="16"/>
        </w:rPr>
        <w:t xml:space="preserve"> with the exception of the Coat of Arms of the Commonwealth of Australia, the logo of the agency responsible for publishing the report, content supplied by third parties, and any images depicting people. For </w:t>
      </w:r>
      <w:r w:rsidR="00387CF6">
        <w:rPr>
          <w:rFonts w:ascii="Calibri" w:hAnsi="Calibri" w:cs="Calibri"/>
          <w:sz w:val="16"/>
          <w:szCs w:val="16"/>
        </w:rPr>
        <w:t>licen</w:t>
      </w:r>
      <w:r w:rsidR="00524559">
        <w:rPr>
          <w:rFonts w:ascii="Calibri" w:hAnsi="Calibri" w:cs="Calibri"/>
          <w:sz w:val="16"/>
          <w:szCs w:val="16"/>
        </w:rPr>
        <w:t>c</w:t>
      </w:r>
      <w:r w:rsidR="00387CF6">
        <w:rPr>
          <w:rFonts w:ascii="Calibri" w:hAnsi="Calibri" w:cs="Calibri"/>
          <w:sz w:val="16"/>
          <w:szCs w:val="16"/>
        </w:rPr>
        <w:t>e</w:t>
      </w:r>
      <w:r w:rsidR="00AF1674">
        <w:rPr>
          <w:rFonts w:ascii="Calibri" w:hAnsi="Calibri" w:cs="Calibri"/>
          <w:sz w:val="16"/>
          <w:szCs w:val="16"/>
        </w:rPr>
        <w:t xml:space="preserve"> conditions see </w:t>
      </w:r>
      <w:hyperlink r:id="rId17" w:history="1">
        <w:r w:rsidR="00AF1674" w:rsidRPr="00AF1674">
          <w:rPr>
            <w:rStyle w:val="Hyperlink"/>
            <w:rFonts w:ascii="Calibri" w:hAnsi="Calibri" w:cs="Calibri"/>
            <w:sz w:val="16"/>
            <w:szCs w:val="16"/>
          </w:rPr>
          <w:t>https://creativecommons.org/licenses/by/4.0/</w:t>
        </w:r>
      </w:hyperlink>
    </w:p>
    <w:p w14:paraId="34827D97" w14:textId="4A224E05"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report should be attributed as </w:t>
      </w:r>
      <w:r w:rsidRPr="00835794">
        <w:rPr>
          <w:rFonts w:ascii="Calibri" w:hAnsi="Calibri" w:cs="Calibri"/>
          <w:color w:val="000000" w:themeColor="text1"/>
          <w:sz w:val="16"/>
          <w:szCs w:val="16"/>
        </w:rPr>
        <w:t>‘</w:t>
      </w:r>
      <w:r w:rsidR="00041636" w:rsidRPr="00835794">
        <w:rPr>
          <w:rStyle w:val="ITALIC"/>
          <w:rFonts w:ascii="Calibri" w:hAnsi="Calibri" w:cs="Calibri"/>
          <w:color w:val="000000" w:themeColor="text1"/>
          <w:sz w:val="16"/>
          <w:szCs w:val="16"/>
        </w:rPr>
        <w:t>Bioassessment of groundwater ecosystems III. A comparison of eDNA metabarcoding and metagenomics for assessing groundwater communities</w:t>
      </w:r>
      <w:r>
        <w:rPr>
          <w:rFonts w:ascii="Calibri" w:hAnsi="Calibri" w:cs="Calibri"/>
          <w:sz w:val="16"/>
          <w:szCs w:val="16"/>
        </w:rPr>
        <w:t xml:space="preserve">, Commonwealth of Australia, </w:t>
      </w:r>
      <w:r w:rsidR="0069446B">
        <w:rPr>
          <w:rFonts w:ascii="Calibri" w:hAnsi="Calibri" w:cs="Calibri"/>
          <w:sz w:val="16"/>
          <w:szCs w:val="16"/>
        </w:rPr>
        <w:t>202</w:t>
      </w:r>
      <w:r w:rsidR="00041636">
        <w:rPr>
          <w:rFonts w:ascii="Calibri" w:hAnsi="Calibri" w:cs="Calibri"/>
          <w:sz w:val="16"/>
          <w:szCs w:val="16"/>
        </w:rPr>
        <w:t>3</w:t>
      </w:r>
      <w:r>
        <w:rPr>
          <w:rFonts w:ascii="Calibri" w:hAnsi="Calibri" w:cs="Calibri"/>
          <w:sz w:val="16"/>
          <w:szCs w:val="16"/>
        </w:rPr>
        <w:t>’.</w:t>
      </w:r>
    </w:p>
    <w:p w14:paraId="23896AB2" w14:textId="6228DB72" w:rsidR="00041636" w:rsidRDefault="00041636" w:rsidP="00AF1674">
      <w:pPr>
        <w:pStyle w:val="05BODYTEXT"/>
        <w:spacing w:after="57"/>
        <w:rPr>
          <w:rFonts w:ascii="Calibri" w:hAnsi="Calibri" w:cs="Calibri"/>
          <w:sz w:val="16"/>
          <w:szCs w:val="16"/>
        </w:rPr>
      </w:pPr>
      <w:r w:rsidRPr="00041636">
        <w:rPr>
          <w:rFonts w:ascii="Calibri" w:hAnsi="Calibri" w:cs="Calibri"/>
          <w:sz w:val="16"/>
          <w:szCs w:val="16"/>
        </w:rPr>
        <w:t xml:space="preserve">On 15 December 2023, the </w:t>
      </w:r>
      <w:r w:rsidRPr="00041636">
        <w:rPr>
          <w:rFonts w:ascii="Calibri" w:hAnsi="Calibri" w:cs="Calibri"/>
          <w:i/>
          <w:iCs/>
          <w:sz w:val="16"/>
          <w:szCs w:val="16"/>
        </w:rPr>
        <w:t>Nature Repair (Consequential Amendments) Act 2023</w:t>
      </w:r>
      <w:r w:rsidRPr="00041636">
        <w:rPr>
          <w:rFonts w:ascii="Calibri" w:hAnsi="Calibri" w:cs="Calibri"/>
          <w:sz w:val="16"/>
          <w:szCs w:val="16"/>
        </w:rPr>
        <w:t xml:space="preserve"> amended the EPBC Act to expand the IESC’s remit to all unconventional gas developments. This publication was developed prior to these amendments of the EPBC Act commencing.</w:t>
      </w:r>
    </w:p>
    <w:p w14:paraId="0D18D22A" w14:textId="77777777" w:rsidR="00AF1674" w:rsidRDefault="00AF1674" w:rsidP="00AF1674">
      <w:pPr>
        <w:pStyle w:val="05BODYTEXT"/>
        <w:spacing w:after="57"/>
        <w:rPr>
          <w:rFonts w:ascii="Calibri" w:hAnsi="Calibri" w:cs="Calibri"/>
          <w:sz w:val="16"/>
          <w:szCs w:val="16"/>
        </w:rPr>
      </w:pPr>
      <w:r>
        <w:rPr>
          <w:rFonts w:ascii="Calibri" w:hAnsi="Calibri" w:cs="Calibri"/>
          <w:sz w:val="16"/>
          <w:szCs w:val="16"/>
        </w:rPr>
        <w:t xml:space="preserve">This publication is funded by the Australian Government </w:t>
      </w:r>
      <w:r w:rsidRPr="0069446B">
        <w:rPr>
          <w:rFonts w:ascii="Calibri" w:hAnsi="Calibri" w:cs="Calibri"/>
          <w:sz w:val="16"/>
          <w:szCs w:val="16"/>
        </w:rPr>
        <w:t xml:space="preserve">Department of </w:t>
      </w:r>
      <w:r w:rsidR="0069446B" w:rsidRPr="0069446B">
        <w:rPr>
          <w:rFonts w:ascii="Calibri" w:hAnsi="Calibri" w:cs="Calibri"/>
          <w:sz w:val="16"/>
          <w:szCs w:val="16"/>
        </w:rPr>
        <w:t xml:space="preserve">Climate Change, Energy, </w:t>
      </w:r>
      <w:r w:rsidRPr="0069446B">
        <w:rPr>
          <w:rFonts w:ascii="Calibri" w:hAnsi="Calibri" w:cs="Calibri"/>
          <w:sz w:val="16"/>
          <w:szCs w:val="16"/>
        </w:rPr>
        <w:t>the Environment</w:t>
      </w:r>
      <w:r w:rsidR="0069446B">
        <w:rPr>
          <w:rFonts w:ascii="Calibri" w:hAnsi="Calibri" w:cs="Calibri"/>
          <w:sz w:val="16"/>
          <w:szCs w:val="16"/>
        </w:rPr>
        <w:t xml:space="preserve"> and Water</w:t>
      </w:r>
      <w:r>
        <w:rPr>
          <w:rFonts w:ascii="Calibri" w:hAnsi="Calibri" w:cs="Calibri"/>
          <w:sz w:val="16"/>
          <w:szCs w:val="16"/>
        </w:rPr>
        <w:t xml:space="preserve">. The views and opinions expressed in this publication are those of the authors and do not necessarily reflect those of the Australian Government or the </w:t>
      </w:r>
      <w:r w:rsidRPr="0069446B">
        <w:rPr>
          <w:rFonts w:ascii="Calibri" w:hAnsi="Calibri" w:cs="Calibri"/>
          <w:sz w:val="16"/>
          <w:szCs w:val="16"/>
        </w:rPr>
        <w:t xml:space="preserve">Minister for the Environment and </w:t>
      </w:r>
      <w:r w:rsidR="0069446B">
        <w:rPr>
          <w:rFonts w:ascii="Calibri" w:hAnsi="Calibri" w:cs="Calibri"/>
          <w:sz w:val="16"/>
          <w:szCs w:val="16"/>
        </w:rPr>
        <w:t>Water</w:t>
      </w:r>
      <w:r>
        <w:rPr>
          <w:rFonts w:ascii="Calibri" w:hAnsi="Calibri" w:cs="Calibri"/>
          <w:sz w:val="16"/>
          <w:szCs w:val="16"/>
        </w:rPr>
        <w:t>.</w:t>
      </w:r>
    </w:p>
    <w:p w14:paraId="23C16B14" w14:textId="77777777" w:rsidR="00016E1B" w:rsidRDefault="00041636" w:rsidP="00041636">
      <w:pPr>
        <w:pStyle w:val="05BODYTEXT"/>
        <w:spacing w:after="57"/>
        <w:rPr>
          <w:rFonts w:ascii="Calibri" w:hAnsi="Calibri" w:cs="Calibri"/>
          <w:b/>
          <w:bCs/>
          <w:sz w:val="16"/>
          <w:szCs w:val="16"/>
        </w:rPr>
      </w:pPr>
      <w:r w:rsidRPr="00041636">
        <w:rPr>
          <w:rFonts w:ascii="Calibri" w:hAnsi="Calibri" w:cs="Calibri"/>
          <w:b/>
          <w:bCs/>
          <w:sz w:val="16"/>
          <w:szCs w:val="16"/>
        </w:rPr>
        <w:t>Citation</w:t>
      </w:r>
    </w:p>
    <w:p w14:paraId="5C1748B2" w14:textId="259775F2" w:rsidR="00041636" w:rsidRDefault="00041636" w:rsidP="00041636">
      <w:pPr>
        <w:pStyle w:val="05BODYTEXT"/>
        <w:spacing w:after="57"/>
        <w:rPr>
          <w:rFonts w:ascii="Calibri" w:hAnsi="Calibri" w:cs="Calibri"/>
          <w:sz w:val="16"/>
          <w:szCs w:val="16"/>
        </w:rPr>
      </w:pPr>
      <w:r w:rsidRPr="00041636">
        <w:rPr>
          <w:rFonts w:ascii="Calibri" w:hAnsi="Calibri" w:cs="Calibri"/>
          <w:sz w:val="16"/>
          <w:szCs w:val="16"/>
        </w:rPr>
        <w:t>Hose GC, McKnight K, Greenfield P, Chariton A and Korbel K 202</w:t>
      </w:r>
      <w:r w:rsidR="002101D8">
        <w:rPr>
          <w:rFonts w:ascii="Calibri" w:hAnsi="Calibri" w:cs="Calibri"/>
          <w:sz w:val="16"/>
          <w:szCs w:val="16"/>
        </w:rPr>
        <w:t>4</w:t>
      </w:r>
      <w:r w:rsidRPr="00041636">
        <w:rPr>
          <w:rFonts w:ascii="Calibri" w:hAnsi="Calibri" w:cs="Calibri"/>
          <w:sz w:val="16"/>
          <w:szCs w:val="16"/>
        </w:rPr>
        <w:t>. Bioassessment of groundwater ecosystems III. A comparison of eDNA metabarcoding and metagenomics for assessing groundwater communities. Report prepared for the Independent Expert Scientific Committee on Unconventional Gas Development and Large Coal Mining Development through the Department of Climate Change, Energy, the Environment and Water. Commonwealth of Australia.</w:t>
      </w:r>
    </w:p>
    <w:p w14:paraId="0C43539A" w14:textId="77777777" w:rsidR="00AF1674" w:rsidRDefault="00AF1674" w:rsidP="00AF1674">
      <w:pPr>
        <w:pStyle w:val="05BODYTEXT"/>
        <w:spacing w:before="113" w:after="57"/>
        <w:rPr>
          <w:rStyle w:val="BOLD"/>
          <w:rFonts w:ascii="Calibri" w:hAnsi="Calibri" w:cs="Calibri"/>
          <w:sz w:val="16"/>
          <w:szCs w:val="16"/>
        </w:rPr>
      </w:pPr>
      <w:r>
        <w:rPr>
          <w:rStyle w:val="BOLD"/>
          <w:rFonts w:ascii="Calibri" w:hAnsi="Calibri" w:cs="Calibri"/>
          <w:sz w:val="16"/>
          <w:szCs w:val="16"/>
        </w:rPr>
        <w:t>Contact details</w:t>
      </w:r>
    </w:p>
    <w:p w14:paraId="7921EC50" w14:textId="77777777" w:rsidR="00016E1B" w:rsidRDefault="00AF1674" w:rsidP="00AF1674">
      <w:pPr>
        <w:pStyle w:val="05BODYTEXT"/>
        <w:spacing w:after="57"/>
        <w:rPr>
          <w:rFonts w:ascii="Calibri" w:hAnsi="Calibri" w:cs="Calibri"/>
          <w:sz w:val="16"/>
          <w:szCs w:val="16"/>
        </w:rPr>
      </w:pPr>
      <w:r>
        <w:rPr>
          <w:rFonts w:ascii="Calibri" w:hAnsi="Calibri" w:cs="Calibri"/>
          <w:sz w:val="16"/>
          <w:szCs w:val="16"/>
        </w:rPr>
        <w:t>For information about this report or about the work of the IESC, please contact:</w:t>
      </w:r>
    </w:p>
    <w:p w14:paraId="3AD64FCC" w14:textId="4E359856" w:rsidR="00835794" w:rsidRDefault="00AF1674" w:rsidP="00AF1674">
      <w:pPr>
        <w:pStyle w:val="05BODYTEXT"/>
        <w:spacing w:after="57"/>
        <w:rPr>
          <w:rFonts w:ascii="Calibri" w:hAnsi="Calibri" w:cs="Calibri"/>
          <w:sz w:val="16"/>
          <w:szCs w:val="16"/>
        </w:rPr>
      </w:pPr>
      <w:r>
        <w:rPr>
          <w:rFonts w:ascii="Calibri" w:hAnsi="Calibri" w:cs="Calibri"/>
          <w:sz w:val="16"/>
          <w:szCs w:val="16"/>
        </w:rPr>
        <w:t>IESC Secretariat</w:t>
      </w:r>
    </w:p>
    <w:p w14:paraId="457DF4AC" w14:textId="62824678" w:rsidR="00AF1674" w:rsidRDefault="00AF1674" w:rsidP="00AF1674">
      <w:pPr>
        <w:pStyle w:val="05BODYTEXT"/>
        <w:spacing w:after="57"/>
        <w:rPr>
          <w:rFonts w:ascii="Calibri" w:hAnsi="Calibri" w:cs="Calibri"/>
          <w:sz w:val="16"/>
          <w:szCs w:val="16"/>
        </w:rPr>
      </w:pPr>
      <w:r>
        <w:rPr>
          <w:rFonts w:ascii="Calibri" w:hAnsi="Calibri" w:cs="Calibri"/>
          <w:sz w:val="16"/>
          <w:szCs w:val="16"/>
        </w:rPr>
        <w:t>Office of Water Science</w:t>
      </w:r>
      <w:r>
        <w:rPr>
          <w:rFonts w:ascii="Calibri" w:hAnsi="Calibri" w:cs="Calibri"/>
          <w:sz w:val="16"/>
          <w:szCs w:val="16"/>
        </w:rPr>
        <w:br/>
      </w:r>
      <w:r w:rsidR="0069446B" w:rsidRPr="0069446B">
        <w:rPr>
          <w:rFonts w:ascii="Calibri" w:hAnsi="Calibri" w:cs="Calibri"/>
          <w:sz w:val="16"/>
          <w:szCs w:val="16"/>
        </w:rPr>
        <w:t>Department of Climate Change, Energy, the Environment</w:t>
      </w:r>
      <w:r w:rsidR="0069446B">
        <w:rPr>
          <w:rFonts w:ascii="Calibri" w:hAnsi="Calibri" w:cs="Calibri"/>
          <w:sz w:val="16"/>
          <w:szCs w:val="16"/>
        </w:rPr>
        <w:t xml:space="preserve"> and Water</w:t>
      </w:r>
      <w:r>
        <w:rPr>
          <w:rFonts w:ascii="Calibri" w:hAnsi="Calibri" w:cs="Calibri"/>
          <w:sz w:val="16"/>
          <w:szCs w:val="16"/>
        </w:rPr>
        <w:br/>
        <w:t>GPO Box 787</w:t>
      </w:r>
      <w:r>
        <w:rPr>
          <w:rFonts w:ascii="Calibri" w:hAnsi="Calibri" w:cs="Calibri"/>
          <w:sz w:val="16"/>
          <w:szCs w:val="16"/>
        </w:rPr>
        <w:br/>
        <w:t>CANBERRA ACT 2601</w:t>
      </w:r>
    </w:p>
    <w:p w14:paraId="60EB163A" w14:textId="77777777" w:rsidR="00016E1B" w:rsidRDefault="00AF1674" w:rsidP="00AF1674">
      <w:pPr>
        <w:pStyle w:val="05BODYTEXT"/>
        <w:spacing w:after="57"/>
        <w:rPr>
          <w:rFonts w:ascii="Calibri" w:hAnsi="Calibri" w:cs="Calibri"/>
          <w:sz w:val="16"/>
          <w:szCs w:val="16"/>
        </w:rPr>
      </w:pPr>
      <w:r>
        <w:rPr>
          <w:rFonts w:ascii="Calibri" w:hAnsi="Calibri" w:cs="Calibri"/>
          <w:sz w:val="16"/>
          <w:szCs w:val="16"/>
        </w:rPr>
        <w:t>The report can be accessed at http://www.iesc.environment.gov.au/</w:t>
      </w:r>
    </w:p>
    <w:p w14:paraId="59EAB900" w14:textId="2573A76F" w:rsidR="00AF1674" w:rsidRDefault="00AF1674" w:rsidP="00835794">
      <w:pPr>
        <w:pStyle w:val="05BODYTEXT"/>
        <w:spacing w:before="240" w:after="113"/>
        <w:rPr>
          <w:sz w:val="16"/>
          <w:szCs w:val="16"/>
        </w:rPr>
      </w:pPr>
      <w:r>
        <w:rPr>
          <w:rStyle w:val="BOLD"/>
          <w:sz w:val="16"/>
          <w:szCs w:val="16"/>
        </w:rPr>
        <w:t>Images</w:t>
      </w:r>
    </w:p>
    <w:p w14:paraId="1CC81AAE" w14:textId="00E9D2F1" w:rsidR="00AF1674" w:rsidRPr="00835794" w:rsidRDefault="00AF1674" w:rsidP="00AF1674">
      <w:pPr>
        <w:pStyle w:val="05BODYTEXT"/>
        <w:spacing w:after="113"/>
        <w:rPr>
          <w:color w:val="000000" w:themeColor="text1"/>
          <w:sz w:val="16"/>
          <w:szCs w:val="16"/>
        </w:rPr>
      </w:pPr>
      <w:r w:rsidRPr="00835794">
        <w:rPr>
          <w:color w:val="000000" w:themeColor="text1"/>
          <w:sz w:val="16"/>
          <w:szCs w:val="16"/>
        </w:rPr>
        <w:t xml:space="preserve">Front </w:t>
      </w:r>
      <w:r w:rsidR="0069446B" w:rsidRPr="00835794">
        <w:rPr>
          <w:color w:val="000000" w:themeColor="text1"/>
          <w:sz w:val="16"/>
          <w:szCs w:val="16"/>
        </w:rPr>
        <w:t>c</w:t>
      </w:r>
      <w:r w:rsidRPr="00835794">
        <w:rPr>
          <w:color w:val="000000" w:themeColor="text1"/>
          <w:sz w:val="16"/>
          <w:szCs w:val="16"/>
        </w:rPr>
        <w:t xml:space="preserve">over: </w:t>
      </w:r>
      <w:r w:rsidR="00041636" w:rsidRPr="00835794">
        <w:rPr>
          <w:color w:val="000000" w:themeColor="text1"/>
          <w:sz w:val="16"/>
          <w:szCs w:val="16"/>
        </w:rPr>
        <w:t>DNA extraction under clean laboratory conditions | Location: North Ryde, NSW | Photo credit: K Korbel</w:t>
      </w:r>
    </w:p>
    <w:p w14:paraId="29D62ECC" w14:textId="67BC5F7C" w:rsidR="00041636" w:rsidRPr="00835794" w:rsidRDefault="00041636" w:rsidP="00AF1674">
      <w:pPr>
        <w:pStyle w:val="05BODYTEXT"/>
        <w:spacing w:after="113"/>
        <w:rPr>
          <w:color w:val="000000" w:themeColor="text1"/>
          <w:sz w:val="16"/>
          <w:szCs w:val="16"/>
        </w:rPr>
      </w:pPr>
      <w:r w:rsidRPr="00835794">
        <w:rPr>
          <w:color w:val="000000" w:themeColor="text1"/>
          <w:sz w:val="16"/>
          <w:szCs w:val="16"/>
        </w:rPr>
        <w:t>Back cover: PCR preparation under clean laboratory conditions | Location: North Ryde, NSW | Photo credit: G Hose</w:t>
      </w:r>
    </w:p>
    <w:p w14:paraId="43B44B58" w14:textId="77777777" w:rsidR="00D01FBD" w:rsidRDefault="00AF1674" w:rsidP="00AF1674">
      <w:pPr>
        <w:pStyle w:val="05BODYTEXT"/>
        <w:spacing w:after="0"/>
        <w:rPr>
          <w:sz w:val="16"/>
          <w:szCs w:val="16"/>
        </w:rPr>
        <w:sectPr w:rsidR="00D01FBD" w:rsidSect="005B5E2A">
          <w:headerReference w:type="even" r:id="rId18"/>
          <w:headerReference w:type="default" r:id="rId19"/>
          <w:footerReference w:type="even" r:id="rId20"/>
          <w:footerReference w:type="default" r:id="rId21"/>
          <w:headerReference w:type="first" r:id="rId22"/>
          <w:footerReference w:type="first" r:id="rId23"/>
          <w:pgSz w:w="11906" w:h="16838" w:code="9"/>
          <w:pgMar w:top="1701" w:right="1418" w:bottom="1418" w:left="1418" w:header="567" w:footer="567" w:gutter="0"/>
          <w:pgNumType w:fmt="lowerRoman" w:start="2"/>
          <w:cols w:space="708"/>
          <w:vAlign w:val="bottom"/>
          <w:docGrid w:linePitch="360"/>
        </w:sectPr>
      </w:pPr>
      <w:r>
        <w:rPr>
          <w:sz w:val="16"/>
          <w:szCs w:val="16"/>
        </w:rPr>
        <w:t xml:space="preserve">All other images © </w:t>
      </w:r>
      <w:r w:rsidR="0069446B" w:rsidRPr="0069446B">
        <w:rPr>
          <w:sz w:val="16"/>
          <w:szCs w:val="16"/>
        </w:rPr>
        <w:t xml:space="preserve">Department of Climate Change, Energy, the Environment and Water </w:t>
      </w:r>
      <w:r>
        <w:rPr>
          <w:sz w:val="16"/>
          <w:szCs w:val="16"/>
        </w:rPr>
        <w:t>unless specified otherwise.</w:t>
      </w:r>
    </w:p>
    <w:p w14:paraId="65F087C1" w14:textId="5794E050" w:rsidR="00835794" w:rsidRDefault="00041636" w:rsidP="00441AD4">
      <w:pPr>
        <w:pStyle w:val="Titlepagesubtitle"/>
        <w:rPr>
          <w:rFonts w:cs="Calibri"/>
          <w:b/>
          <w:bCs/>
          <w:color w:val="005695"/>
          <w:sz w:val="58"/>
          <w:szCs w:val="58"/>
        </w:rPr>
      </w:pPr>
      <w:r w:rsidRPr="00041636">
        <w:rPr>
          <w:rFonts w:cs="Calibri"/>
          <w:b/>
          <w:bCs/>
          <w:color w:val="005695"/>
          <w:sz w:val="58"/>
          <w:szCs w:val="58"/>
        </w:rPr>
        <w:lastRenderedPageBreak/>
        <w:t>Bioassessment of groundwater ecosystems</w:t>
      </w:r>
    </w:p>
    <w:p w14:paraId="000109DC" w14:textId="1323F812" w:rsidR="00041636" w:rsidRDefault="00041636" w:rsidP="00835794">
      <w:pPr>
        <w:pStyle w:val="Titlepagetitle"/>
      </w:pPr>
      <w:r w:rsidRPr="00041636">
        <w:t>III.A comparison of eDNA metabarcoding and metagenomics for assessing groundwater communities</w:t>
      </w:r>
    </w:p>
    <w:p w14:paraId="09FBFDD7" w14:textId="023680A2" w:rsidR="00441AD4" w:rsidRPr="00041636" w:rsidRDefault="00041636" w:rsidP="00441AD4">
      <w:pPr>
        <w:pStyle w:val="Titlepagesubtitle"/>
      </w:pPr>
      <w:r w:rsidRPr="00041636">
        <w:t>Sampling approaches to understand the impacts of coal seam gas and large coal mining development on stygofaunal and microbial assemblages in groundwater</w:t>
      </w:r>
    </w:p>
    <w:p w14:paraId="2345D987" w14:textId="77777777" w:rsidR="00441AD4" w:rsidRDefault="00441AD4" w:rsidP="00AF1674">
      <w:pPr>
        <w:pStyle w:val="05BODYTEXT"/>
        <w:spacing w:after="0"/>
        <w:rPr>
          <w:sz w:val="16"/>
          <w:szCs w:val="16"/>
        </w:rPr>
        <w:sectPr w:rsidR="00441AD4" w:rsidSect="005B5E2A">
          <w:headerReference w:type="first" r:id="rId24"/>
          <w:pgSz w:w="11906" w:h="16838" w:code="9"/>
          <w:pgMar w:top="1701" w:right="1418" w:bottom="1418" w:left="1418" w:header="567" w:footer="567" w:gutter="0"/>
          <w:pgNumType w:start="1"/>
          <w:cols w:space="708"/>
          <w:vAlign w:val="center"/>
          <w:titlePg/>
          <w:docGrid w:linePitch="360"/>
        </w:sectPr>
      </w:pPr>
    </w:p>
    <w:p w14:paraId="49B6E144" w14:textId="452008F0" w:rsidR="00442520" w:rsidRDefault="00F03027" w:rsidP="005C7FD5">
      <w:pPr>
        <w:pStyle w:val="05BODYTEXT"/>
        <w:spacing w:after="0"/>
        <w:ind w:left="-1418"/>
        <w:rPr>
          <w:sz w:val="16"/>
          <w:szCs w:val="16"/>
        </w:rPr>
      </w:pPr>
      <w:r>
        <w:rPr>
          <w:noProof/>
          <w:sz w:val="16"/>
          <w:szCs w:val="16"/>
          <w:lang w:val="en-AU" w:eastAsia="en-AU"/>
        </w:rPr>
        <w:drawing>
          <wp:anchor distT="0" distB="0" distL="114300" distR="114300" simplePos="0" relativeHeight="251659264" behindDoc="1" locked="0" layoutInCell="1" allowOverlap="1" wp14:anchorId="00901FCB" wp14:editId="0D9372BF">
            <wp:simplePos x="0" y="0"/>
            <wp:positionH relativeFrom="page">
              <wp:posOffset>-1123</wp:posOffset>
            </wp:positionH>
            <wp:positionV relativeFrom="page">
              <wp:posOffset>-34880</wp:posOffset>
            </wp:positionV>
            <wp:extent cx="7578000" cy="10710000"/>
            <wp:effectExtent l="0" t="0" r="4445"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AG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margin">
              <wp14:pctWidth>0</wp14:pctWidth>
            </wp14:sizeRelH>
            <wp14:sizeRelV relativeFrom="margin">
              <wp14:pctHeight>0</wp14:pctHeight>
            </wp14:sizeRelV>
          </wp:anchor>
        </w:drawing>
      </w:r>
    </w:p>
    <w:p w14:paraId="07ECC3A6" w14:textId="7903B607" w:rsidR="00442520" w:rsidRDefault="00F03027">
      <w:pPr>
        <w:rPr>
          <w:rFonts w:ascii="Adobe Garamond Pro" w:hAnsi="Adobe Garamond Pro" w:cs="Adobe Garamond Pro"/>
          <w:color w:val="000000"/>
          <w:sz w:val="16"/>
          <w:szCs w:val="16"/>
          <w:lang w:val="en-US"/>
        </w:rPr>
      </w:pPr>
      <w:r>
        <w:rPr>
          <w:noProof/>
          <w:sz w:val="16"/>
          <w:szCs w:val="16"/>
          <w:lang w:eastAsia="en-AU"/>
        </w:rPr>
        <w:drawing>
          <wp:anchor distT="0" distB="0" distL="114300" distR="114300" simplePos="0" relativeHeight="251658240" behindDoc="1" locked="0" layoutInCell="1" allowOverlap="1" wp14:anchorId="513FC3C0" wp14:editId="6799903A">
            <wp:simplePos x="0" y="0"/>
            <wp:positionH relativeFrom="column">
              <wp:posOffset>-900430</wp:posOffset>
            </wp:positionH>
            <wp:positionV relativeFrom="paragraph">
              <wp:posOffset>1337554</wp:posOffset>
            </wp:positionV>
            <wp:extent cx="7577455" cy="5666105"/>
            <wp:effectExtent l="0" t="0" r="4445" b="0"/>
            <wp:wrapNone/>
            <wp:docPr id="9" name="Picture 9" descr="Reflections on the lake at the Hunter Wetlands Centre (Shortlands Wetl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 Front cover.jpg"/>
                    <pic:cNvPicPr/>
                  </pic:nvPicPr>
                  <pic:blipFill>
                    <a:blip r:embed="rId26">
                      <a:extLst>
                        <a:ext uri="{28A0092B-C50C-407E-A947-70E740481C1C}">
                          <a14:useLocalDpi xmlns:a14="http://schemas.microsoft.com/office/drawing/2010/main" val="0"/>
                        </a:ext>
                      </a:extLst>
                    </a:blip>
                    <a:stretch>
                      <a:fillRect/>
                    </a:stretch>
                  </pic:blipFill>
                  <pic:spPr>
                    <a:xfrm>
                      <a:off x="0" y="0"/>
                      <a:ext cx="7577455" cy="5666105"/>
                    </a:xfrm>
                    <a:prstGeom prst="rect">
                      <a:avLst/>
                    </a:prstGeom>
                  </pic:spPr>
                </pic:pic>
              </a:graphicData>
            </a:graphic>
            <wp14:sizeRelH relativeFrom="margin">
              <wp14:pctWidth>0</wp14:pctWidth>
            </wp14:sizeRelH>
            <wp14:sizeRelV relativeFrom="margin">
              <wp14:pctHeight>0</wp14:pctHeight>
            </wp14:sizeRelV>
          </wp:anchor>
        </w:drawing>
      </w:r>
      <w:r w:rsidR="00442520">
        <w:rPr>
          <w:sz w:val="16"/>
          <w:szCs w:val="16"/>
        </w:rPr>
        <w:br w:type="page"/>
      </w:r>
    </w:p>
    <w:p w14:paraId="211A77E5" w14:textId="77777777" w:rsidR="00E800CD" w:rsidRDefault="00E800CD" w:rsidP="005C7FD5">
      <w:pPr>
        <w:pStyle w:val="05BODYTEXT"/>
        <w:spacing w:after="0"/>
        <w:ind w:left="-1418"/>
        <w:rPr>
          <w:sz w:val="16"/>
          <w:szCs w:val="16"/>
        </w:rPr>
        <w:sectPr w:rsidR="00E800CD" w:rsidSect="005B5E2A">
          <w:pgSz w:w="11906" w:h="16838" w:code="9"/>
          <w:pgMar w:top="1701" w:right="1418" w:bottom="1418" w:left="1418" w:header="567" w:footer="567" w:gutter="0"/>
          <w:pgNumType w:fmt="lowerRoman" w:start="4"/>
          <w:cols w:space="708"/>
          <w:docGrid w:linePitch="360"/>
        </w:sectPr>
      </w:pPr>
    </w:p>
    <w:sdt>
      <w:sdtPr>
        <w:rPr>
          <w:rFonts w:asciiTheme="minorHAnsi" w:hAnsiTheme="minorHAnsi" w:cstheme="minorBidi"/>
          <w:color w:val="auto"/>
          <w:sz w:val="24"/>
          <w:szCs w:val="24"/>
          <w:lang w:val="en-AU"/>
        </w:rPr>
        <w:id w:val="-206408756"/>
        <w:docPartObj>
          <w:docPartGallery w:val="Table of Contents"/>
          <w:docPartUnique/>
        </w:docPartObj>
      </w:sdtPr>
      <w:sdtEndPr>
        <w:rPr>
          <w:b/>
          <w:bCs/>
          <w:noProof/>
        </w:rPr>
      </w:sdtEndPr>
      <w:sdtContent>
        <w:p w14:paraId="73C5DD5A" w14:textId="66748B61" w:rsidR="00442520" w:rsidRDefault="00442520" w:rsidP="009E0620">
          <w:pPr>
            <w:pStyle w:val="TOCHeading"/>
          </w:pPr>
          <w:r w:rsidRPr="009E0620">
            <w:t>Contents</w:t>
          </w:r>
        </w:p>
        <w:p w14:paraId="3CE9C393" w14:textId="67EBBF5C" w:rsidR="00A64AD5" w:rsidRDefault="00C77E18">
          <w:pPr>
            <w:pStyle w:val="TOC1"/>
            <w:rPr>
              <w:rFonts w:eastAsiaTheme="minorEastAsia" w:cstheme="minorBidi"/>
              <w:b w:val="0"/>
              <w:bCs w:val="0"/>
              <w:iCs w:val="0"/>
              <w:kern w:val="2"/>
              <w:lang w:eastAsia="en-GB"/>
              <w14:ligatures w14:val="standardContextual"/>
            </w:rPr>
          </w:pPr>
          <w:r>
            <w:fldChar w:fldCharType="begin"/>
          </w:r>
          <w:r>
            <w:instrText xml:space="preserve"> TOC \o "1-3" \h \z \u </w:instrText>
          </w:r>
          <w:r>
            <w:fldChar w:fldCharType="separate"/>
          </w:r>
          <w:hyperlink w:anchor="_Toc164960588" w:history="1">
            <w:r w:rsidR="00A64AD5" w:rsidRPr="00827446">
              <w:rPr>
                <w:rStyle w:val="Hyperlink"/>
              </w:rPr>
              <w:t>Executive summary</w:t>
            </w:r>
            <w:r w:rsidR="00A64AD5">
              <w:rPr>
                <w:webHidden/>
              </w:rPr>
              <w:tab/>
            </w:r>
            <w:r w:rsidR="00A64AD5">
              <w:rPr>
                <w:webHidden/>
              </w:rPr>
              <w:fldChar w:fldCharType="begin"/>
            </w:r>
            <w:r w:rsidR="00A64AD5">
              <w:rPr>
                <w:webHidden/>
              </w:rPr>
              <w:instrText xml:space="preserve"> PAGEREF _Toc164960588 \h </w:instrText>
            </w:r>
            <w:r w:rsidR="00A64AD5">
              <w:rPr>
                <w:webHidden/>
              </w:rPr>
            </w:r>
            <w:r w:rsidR="00A64AD5">
              <w:rPr>
                <w:webHidden/>
              </w:rPr>
              <w:fldChar w:fldCharType="separate"/>
            </w:r>
            <w:r w:rsidR="00C60F46">
              <w:rPr>
                <w:webHidden/>
              </w:rPr>
              <w:t>1</w:t>
            </w:r>
            <w:r w:rsidR="00A64AD5">
              <w:rPr>
                <w:webHidden/>
              </w:rPr>
              <w:fldChar w:fldCharType="end"/>
            </w:r>
          </w:hyperlink>
        </w:p>
        <w:p w14:paraId="6F00A129" w14:textId="14D80C18" w:rsidR="00A64AD5" w:rsidRDefault="00F22764">
          <w:pPr>
            <w:pStyle w:val="TOC1"/>
            <w:rPr>
              <w:rFonts w:eastAsiaTheme="minorEastAsia" w:cstheme="minorBidi"/>
              <w:b w:val="0"/>
              <w:bCs w:val="0"/>
              <w:iCs w:val="0"/>
              <w:kern w:val="2"/>
              <w:lang w:eastAsia="en-GB"/>
              <w14:ligatures w14:val="standardContextual"/>
            </w:rPr>
          </w:pPr>
          <w:hyperlink w:anchor="_Toc164960589" w:history="1">
            <w:r w:rsidR="00A64AD5" w:rsidRPr="00827446">
              <w:rPr>
                <w:rStyle w:val="Hyperlink"/>
              </w:rPr>
              <w:t>1.</w:t>
            </w:r>
            <w:r w:rsidR="00A64AD5">
              <w:rPr>
                <w:rFonts w:eastAsiaTheme="minorEastAsia" w:cstheme="minorBidi"/>
                <w:b w:val="0"/>
                <w:bCs w:val="0"/>
                <w:iCs w:val="0"/>
                <w:kern w:val="2"/>
                <w:lang w:eastAsia="en-GB"/>
                <w14:ligatures w14:val="standardContextual"/>
              </w:rPr>
              <w:tab/>
            </w:r>
            <w:r w:rsidR="00A64AD5" w:rsidRPr="00827446">
              <w:rPr>
                <w:rStyle w:val="Hyperlink"/>
              </w:rPr>
              <w:t>Introduction</w:t>
            </w:r>
            <w:r w:rsidR="00A64AD5">
              <w:rPr>
                <w:webHidden/>
              </w:rPr>
              <w:tab/>
            </w:r>
            <w:r w:rsidR="00A64AD5">
              <w:rPr>
                <w:webHidden/>
              </w:rPr>
              <w:fldChar w:fldCharType="begin"/>
            </w:r>
            <w:r w:rsidR="00A64AD5">
              <w:rPr>
                <w:webHidden/>
              </w:rPr>
              <w:instrText xml:space="preserve"> PAGEREF _Toc164960589 \h </w:instrText>
            </w:r>
            <w:r w:rsidR="00A64AD5">
              <w:rPr>
                <w:webHidden/>
              </w:rPr>
            </w:r>
            <w:r w:rsidR="00A64AD5">
              <w:rPr>
                <w:webHidden/>
              </w:rPr>
              <w:fldChar w:fldCharType="separate"/>
            </w:r>
            <w:r w:rsidR="00C60F46">
              <w:rPr>
                <w:webHidden/>
              </w:rPr>
              <w:t>3</w:t>
            </w:r>
            <w:r w:rsidR="00A64AD5">
              <w:rPr>
                <w:webHidden/>
              </w:rPr>
              <w:fldChar w:fldCharType="end"/>
            </w:r>
          </w:hyperlink>
        </w:p>
        <w:p w14:paraId="06339C08" w14:textId="21EAC85F" w:rsidR="00A64AD5" w:rsidRDefault="00F22764">
          <w:pPr>
            <w:pStyle w:val="TOC2"/>
            <w:rPr>
              <w:rFonts w:eastAsiaTheme="minorEastAsia" w:cstheme="minorBidi"/>
              <w:b w:val="0"/>
              <w:bCs w:val="0"/>
              <w:kern w:val="2"/>
              <w:sz w:val="24"/>
              <w:szCs w:val="24"/>
              <w:lang w:eastAsia="en-GB"/>
              <w14:ligatures w14:val="standardContextual"/>
            </w:rPr>
          </w:pPr>
          <w:hyperlink w:anchor="_Toc164960590" w:history="1">
            <w:r w:rsidR="00A64AD5" w:rsidRPr="00827446">
              <w:rPr>
                <w:rStyle w:val="Hyperlink"/>
              </w:rPr>
              <w:t>1.1</w:t>
            </w:r>
            <w:r w:rsidR="00A64AD5">
              <w:rPr>
                <w:rFonts w:eastAsiaTheme="minorEastAsia" w:cstheme="minorBidi"/>
                <w:b w:val="0"/>
                <w:bCs w:val="0"/>
                <w:kern w:val="2"/>
                <w:sz w:val="24"/>
                <w:szCs w:val="24"/>
                <w:lang w:eastAsia="en-GB"/>
                <w14:ligatures w14:val="standardContextual"/>
              </w:rPr>
              <w:tab/>
            </w:r>
            <w:r w:rsidR="00A64AD5" w:rsidRPr="00827446">
              <w:rPr>
                <w:rStyle w:val="Hyperlink"/>
              </w:rPr>
              <w:t>Spiking for quantitation of DNA sequence reads</w:t>
            </w:r>
            <w:r w:rsidR="00A64AD5">
              <w:rPr>
                <w:webHidden/>
              </w:rPr>
              <w:tab/>
            </w:r>
            <w:r w:rsidR="00A64AD5">
              <w:rPr>
                <w:webHidden/>
              </w:rPr>
              <w:fldChar w:fldCharType="begin"/>
            </w:r>
            <w:r w:rsidR="00A64AD5">
              <w:rPr>
                <w:webHidden/>
              </w:rPr>
              <w:instrText xml:space="preserve"> PAGEREF _Toc164960590 \h </w:instrText>
            </w:r>
            <w:r w:rsidR="00A64AD5">
              <w:rPr>
                <w:webHidden/>
              </w:rPr>
            </w:r>
            <w:r w:rsidR="00A64AD5">
              <w:rPr>
                <w:webHidden/>
              </w:rPr>
              <w:fldChar w:fldCharType="separate"/>
            </w:r>
            <w:r w:rsidR="00C60F46">
              <w:rPr>
                <w:webHidden/>
              </w:rPr>
              <w:t>3</w:t>
            </w:r>
            <w:r w:rsidR="00A64AD5">
              <w:rPr>
                <w:webHidden/>
              </w:rPr>
              <w:fldChar w:fldCharType="end"/>
            </w:r>
          </w:hyperlink>
        </w:p>
        <w:p w14:paraId="04F5953C" w14:textId="19F7F0AB" w:rsidR="00A64AD5" w:rsidRDefault="00F22764">
          <w:pPr>
            <w:pStyle w:val="TOC2"/>
            <w:rPr>
              <w:rFonts w:eastAsiaTheme="minorEastAsia" w:cstheme="minorBidi"/>
              <w:b w:val="0"/>
              <w:bCs w:val="0"/>
              <w:kern w:val="2"/>
              <w:sz w:val="24"/>
              <w:szCs w:val="24"/>
              <w:lang w:eastAsia="en-GB"/>
              <w14:ligatures w14:val="standardContextual"/>
            </w:rPr>
          </w:pPr>
          <w:hyperlink w:anchor="_Toc164960591" w:history="1">
            <w:r w:rsidR="00A64AD5" w:rsidRPr="00827446">
              <w:rPr>
                <w:rStyle w:val="Hyperlink"/>
              </w:rPr>
              <w:t>1.2</w:t>
            </w:r>
            <w:r w:rsidR="00A64AD5">
              <w:rPr>
                <w:rFonts w:eastAsiaTheme="minorEastAsia" w:cstheme="minorBidi"/>
                <w:b w:val="0"/>
                <w:bCs w:val="0"/>
                <w:kern w:val="2"/>
                <w:sz w:val="24"/>
                <w:szCs w:val="24"/>
                <w:lang w:eastAsia="en-GB"/>
                <w14:ligatures w14:val="standardContextual"/>
              </w:rPr>
              <w:tab/>
            </w:r>
            <w:r w:rsidR="00A64AD5" w:rsidRPr="00827446">
              <w:rPr>
                <w:rStyle w:val="Hyperlink"/>
              </w:rPr>
              <w:t>Metabarcoding and metagenomes</w:t>
            </w:r>
            <w:r w:rsidR="00A64AD5">
              <w:rPr>
                <w:webHidden/>
              </w:rPr>
              <w:tab/>
            </w:r>
            <w:r w:rsidR="00A64AD5">
              <w:rPr>
                <w:webHidden/>
              </w:rPr>
              <w:fldChar w:fldCharType="begin"/>
            </w:r>
            <w:r w:rsidR="00A64AD5">
              <w:rPr>
                <w:webHidden/>
              </w:rPr>
              <w:instrText xml:space="preserve"> PAGEREF _Toc164960591 \h </w:instrText>
            </w:r>
            <w:r w:rsidR="00A64AD5">
              <w:rPr>
                <w:webHidden/>
              </w:rPr>
            </w:r>
            <w:r w:rsidR="00A64AD5">
              <w:rPr>
                <w:webHidden/>
              </w:rPr>
              <w:fldChar w:fldCharType="separate"/>
            </w:r>
            <w:r w:rsidR="00C60F46">
              <w:rPr>
                <w:webHidden/>
              </w:rPr>
              <w:t>4</w:t>
            </w:r>
            <w:r w:rsidR="00A64AD5">
              <w:rPr>
                <w:webHidden/>
              </w:rPr>
              <w:fldChar w:fldCharType="end"/>
            </w:r>
          </w:hyperlink>
        </w:p>
        <w:p w14:paraId="5C6AC65C" w14:textId="2E27B204" w:rsidR="00A64AD5" w:rsidRDefault="00F22764">
          <w:pPr>
            <w:pStyle w:val="TOC2"/>
            <w:rPr>
              <w:rFonts w:eastAsiaTheme="minorEastAsia" w:cstheme="minorBidi"/>
              <w:b w:val="0"/>
              <w:bCs w:val="0"/>
              <w:kern w:val="2"/>
              <w:sz w:val="24"/>
              <w:szCs w:val="24"/>
              <w:lang w:eastAsia="en-GB"/>
              <w14:ligatures w14:val="standardContextual"/>
            </w:rPr>
          </w:pPr>
          <w:hyperlink w:anchor="_Toc164960592" w:history="1">
            <w:r w:rsidR="00A64AD5" w:rsidRPr="00827446">
              <w:rPr>
                <w:rStyle w:val="Hyperlink"/>
              </w:rPr>
              <w:t>1.3</w:t>
            </w:r>
            <w:r w:rsidR="00A64AD5">
              <w:rPr>
                <w:rFonts w:eastAsiaTheme="minorEastAsia" w:cstheme="minorBidi"/>
                <w:b w:val="0"/>
                <w:bCs w:val="0"/>
                <w:kern w:val="2"/>
                <w:sz w:val="24"/>
                <w:szCs w:val="24"/>
                <w:lang w:eastAsia="en-GB"/>
                <w14:ligatures w14:val="standardContextual"/>
              </w:rPr>
              <w:tab/>
            </w:r>
            <w:r w:rsidR="00A64AD5" w:rsidRPr="00827446">
              <w:rPr>
                <w:rStyle w:val="Hyperlink"/>
              </w:rPr>
              <w:t>Project aims and report structure</w:t>
            </w:r>
            <w:r w:rsidR="00A64AD5">
              <w:rPr>
                <w:webHidden/>
              </w:rPr>
              <w:tab/>
            </w:r>
            <w:r w:rsidR="00A64AD5">
              <w:rPr>
                <w:webHidden/>
              </w:rPr>
              <w:fldChar w:fldCharType="begin"/>
            </w:r>
            <w:r w:rsidR="00A64AD5">
              <w:rPr>
                <w:webHidden/>
              </w:rPr>
              <w:instrText xml:space="preserve"> PAGEREF _Toc164960592 \h </w:instrText>
            </w:r>
            <w:r w:rsidR="00A64AD5">
              <w:rPr>
                <w:webHidden/>
              </w:rPr>
            </w:r>
            <w:r w:rsidR="00A64AD5">
              <w:rPr>
                <w:webHidden/>
              </w:rPr>
              <w:fldChar w:fldCharType="separate"/>
            </w:r>
            <w:r w:rsidR="00C60F46">
              <w:rPr>
                <w:webHidden/>
              </w:rPr>
              <w:t>5</w:t>
            </w:r>
            <w:r w:rsidR="00A64AD5">
              <w:rPr>
                <w:webHidden/>
              </w:rPr>
              <w:fldChar w:fldCharType="end"/>
            </w:r>
          </w:hyperlink>
        </w:p>
        <w:p w14:paraId="07488DAB" w14:textId="0D0E7B0B" w:rsidR="00A64AD5" w:rsidRDefault="00F22764">
          <w:pPr>
            <w:pStyle w:val="TOC3"/>
            <w:rPr>
              <w:rFonts w:eastAsiaTheme="minorEastAsia" w:cstheme="minorBidi"/>
              <w:kern w:val="2"/>
              <w:sz w:val="24"/>
              <w:szCs w:val="24"/>
              <w:lang w:eastAsia="en-GB"/>
              <w14:ligatures w14:val="standardContextual"/>
            </w:rPr>
          </w:pPr>
          <w:hyperlink w:anchor="_Toc164960593" w:history="1">
            <w:r w:rsidR="00A64AD5" w:rsidRPr="00827446">
              <w:rPr>
                <w:rStyle w:val="Hyperlink"/>
              </w:rPr>
              <w:t>1.3.1</w:t>
            </w:r>
            <w:r w:rsidR="00A64AD5">
              <w:rPr>
                <w:rFonts w:eastAsiaTheme="minorEastAsia" w:cstheme="minorBidi"/>
                <w:kern w:val="2"/>
                <w:sz w:val="24"/>
                <w:szCs w:val="24"/>
                <w:lang w:eastAsia="en-GB"/>
                <w14:ligatures w14:val="standardContextual"/>
              </w:rPr>
              <w:tab/>
            </w:r>
            <w:r w:rsidR="00A64AD5" w:rsidRPr="00827446">
              <w:rPr>
                <w:rStyle w:val="Hyperlink"/>
              </w:rPr>
              <w:t>Aim and core research questions</w:t>
            </w:r>
            <w:r w:rsidR="00A64AD5">
              <w:rPr>
                <w:webHidden/>
              </w:rPr>
              <w:tab/>
            </w:r>
            <w:r w:rsidR="00A64AD5">
              <w:rPr>
                <w:webHidden/>
              </w:rPr>
              <w:fldChar w:fldCharType="begin"/>
            </w:r>
            <w:r w:rsidR="00A64AD5">
              <w:rPr>
                <w:webHidden/>
              </w:rPr>
              <w:instrText xml:space="preserve"> PAGEREF _Toc164960593 \h </w:instrText>
            </w:r>
            <w:r w:rsidR="00A64AD5">
              <w:rPr>
                <w:webHidden/>
              </w:rPr>
            </w:r>
            <w:r w:rsidR="00A64AD5">
              <w:rPr>
                <w:webHidden/>
              </w:rPr>
              <w:fldChar w:fldCharType="separate"/>
            </w:r>
            <w:r w:rsidR="00C60F46">
              <w:rPr>
                <w:webHidden/>
              </w:rPr>
              <w:t>5</w:t>
            </w:r>
            <w:r w:rsidR="00A64AD5">
              <w:rPr>
                <w:webHidden/>
              </w:rPr>
              <w:fldChar w:fldCharType="end"/>
            </w:r>
          </w:hyperlink>
        </w:p>
        <w:p w14:paraId="056F8F39" w14:textId="4B9DCC02" w:rsidR="00A64AD5" w:rsidRDefault="00F22764">
          <w:pPr>
            <w:pStyle w:val="TOC3"/>
            <w:rPr>
              <w:rFonts w:eastAsiaTheme="minorEastAsia" w:cstheme="minorBidi"/>
              <w:kern w:val="2"/>
              <w:sz w:val="24"/>
              <w:szCs w:val="24"/>
              <w:lang w:eastAsia="en-GB"/>
              <w14:ligatures w14:val="standardContextual"/>
            </w:rPr>
          </w:pPr>
          <w:hyperlink w:anchor="_Toc164960594" w:history="1">
            <w:r w:rsidR="00A64AD5" w:rsidRPr="00827446">
              <w:rPr>
                <w:rStyle w:val="Hyperlink"/>
              </w:rPr>
              <w:t>1.3.2</w:t>
            </w:r>
            <w:r w:rsidR="00A64AD5">
              <w:rPr>
                <w:rFonts w:eastAsiaTheme="minorEastAsia" w:cstheme="minorBidi"/>
                <w:kern w:val="2"/>
                <w:sz w:val="24"/>
                <w:szCs w:val="24"/>
                <w:lang w:eastAsia="en-GB"/>
                <w14:ligatures w14:val="standardContextual"/>
              </w:rPr>
              <w:tab/>
            </w:r>
            <w:r w:rsidR="00A64AD5" w:rsidRPr="00827446">
              <w:rPr>
                <w:rStyle w:val="Hyperlink"/>
              </w:rPr>
              <w:t>Report structure</w:t>
            </w:r>
            <w:r w:rsidR="00A64AD5">
              <w:rPr>
                <w:webHidden/>
              </w:rPr>
              <w:tab/>
            </w:r>
            <w:r w:rsidR="00A64AD5">
              <w:rPr>
                <w:webHidden/>
              </w:rPr>
              <w:fldChar w:fldCharType="begin"/>
            </w:r>
            <w:r w:rsidR="00A64AD5">
              <w:rPr>
                <w:webHidden/>
              </w:rPr>
              <w:instrText xml:space="preserve"> PAGEREF _Toc164960594 \h </w:instrText>
            </w:r>
            <w:r w:rsidR="00A64AD5">
              <w:rPr>
                <w:webHidden/>
              </w:rPr>
            </w:r>
            <w:r w:rsidR="00A64AD5">
              <w:rPr>
                <w:webHidden/>
              </w:rPr>
              <w:fldChar w:fldCharType="separate"/>
            </w:r>
            <w:r w:rsidR="00C60F46">
              <w:rPr>
                <w:webHidden/>
              </w:rPr>
              <w:t>6</w:t>
            </w:r>
            <w:r w:rsidR="00A64AD5">
              <w:rPr>
                <w:webHidden/>
              </w:rPr>
              <w:fldChar w:fldCharType="end"/>
            </w:r>
          </w:hyperlink>
        </w:p>
        <w:p w14:paraId="23D636BB" w14:textId="06D9E8E1" w:rsidR="00A64AD5" w:rsidRDefault="00F22764">
          <w:pPr>
            <w:pStyle w:val="TOC1"/>
            <w:rPr>
              <w:rFonts w:eastAsiaTheme="minorEastAsia" w:cstheme="minorBidi"/>
              <w:b w:val="0"/>
              <w:bCs w:val="0"/>
              <w:iCs w:val="0"/>
              <w:kern w:val="2"/>
              <w:lang w:eastAsia="en-GB"/>
              <w14:ligatures w14:val="standardContextual"/>
            </w:rPr>
          </w:pPr>
          <w:hyperlink w:anchor="_Toc164960595" w:history="1">
            <w:r w:rsidR="00A64AD5" w:rsidRPr="00827446">
              <w:rPr>
                <w:rStyle w:val="Hyperlink"/>
              </w:rPr>
              <w:t>2.</w:t>
            </w:r>
            <w:r w:rsidR="00A64AD5">
              <w:rPr>
                <w:rFonts w:eastAsiaTheme="minorEastAsia" w:cstheme="minorBidi"/>
                <w:b w:val="0"/>
                <w:bCs w:val="0"/>
                <w:iCs w:val="0"/>
                <w:kern w:val="2"/>
                <w:lang w:eastAsia="en-GB"/>
                <w14:ligatures w14:val="standardContextual"/>
              </w:rPr>
              <w:tab/>
            </w:r>
            <w:r w:rsidR="00A64AD5" w:rsidRPr="00827446">
              <w:rPr>
                <w:rStyle w:val="Hyperlink"/>
              </w:rPr>
              <w:t>Field, laboratory and analysis methods</w:t>
            </w:r>
            <w:r w:rsidR="00A64AD5">
              <w:rPr>
                <w:webHidden/>
              </w:rPr>
              <w:tab/>
            </w:r>
            <w:r w:rsidR="00A64AD5">
              <w:rPr>
                <w:webHidden/>
              </w:rPr>
              <w:fldChar w:fldCharType="begin"/>
            </w:r>
            <w:r w:rsidR="00A64AD5">
              <w:rPr>
                <w:webHidden/>
              </w:rPr>
              <w:instrText xml:space="preserve"> PAGEREF _Toc164960595 \h </w:instrText>
            </w:r>
            <w:r w:rsidR="00A64AD5">
              <w:rPr>
                <w:webHidden/>
              </w:rPr>
            </w:r>
            <w:r w:rsidR="00A64AD5">
              <w:rPr>
                <w:webHidden/>
              </w:rPr>
              <w:fldChar w:fldCharType="separate"/>
            </w:r>
            <w:r w:rsidR="00C60F46">
              <w:rPr>
                <w:webHidden/>
              </w:rPr>
              <w:t>7</w:t>
            </w:r>
            <w:r w:rsidR="00A64AD5">
              <w:rPr>
                <w:webHidden/>
              </w:rPr>
              <w:fldChar w:fldCharType="end"/>
            </w:r>
          </w:hyperlink>
        </w:p>
        <w:p w14:paraId="6BFE602C" w14:textId="4A71E22A" w:rsidR="00A64AD5" w:rsidRDefault="00F22764">
          <w:pPr>
            <w:pStyle w:val="TOC2"/>
            <w:rPr>
              <w:rFonts w:eastAsiaTheme="minorEastAsia" w:cstheme="minorBidi"/>
              <w:b w:val="0"/>
              <w:bCs w:val="0"/>
              <w:kern w:val="2"/>
              <w:sz w:val="24"/>
              <w:szCs w:val="24"/>
              <w:lang w:eastAsia="en-GB"/>
              <w14:ligatures w14:val="standardContextual"/>
            </w:rPr>
          </w:pPr>
          <w:hyperlink w:anchor="_Toc164960596" w:history="1">
            <w:r w:rsidR="00A64AD5" w:rsidRPr="00827446">
              <w:rPr>
                <w:rStyle w:val="Hyperlink"/>
              </w:rPr>
              <w:t>2.1</w:t>
            </w:r>
            <w:r w:rsidR="00A64AD5">
              <w:rPr>
                <w:rFonts w:eastAsiaTheme="minorEastAsia" w:cstheme="minorBidi"/>
                <w:b w:val="0"/>
                <w:bCs w:val="0"/>
                <w:kern w:val="2"/>
                <w:sz w:val="24"/>
                <w:szCs w:val="24"/>
                <w:lang w:eastAsia="en-GB"/>
                <w14:ligatures w14:val="standardContextual"/>
              </w:rPr>
              <w:tab/>
            </w:r>
            <w:r w:rsidR="00A64AD5" w:rsidRPr="00827446">
              <w:rPr>
                <w:rStyle w:val="Hyperlink"/>
              </w:rPr>
              <w:t>Project study area and sample sites</w:t>
            </w:r>
            <w:r w:rsidR="00A64AD5">
              <w:rPr>
                <w:webHidden/>
              </w:rPr>
              <w:tab/>
            </w:r>
            <w:r w:rsidR="00A64AD5">
              <w:rPr>
                <w:webHidden/>
              </w:rPr>
              <w:fldChar w:fldCharType="begin"/>
            </w:r>
            <w:r w:rsidR="00A64AD5">
              <w:rPr>
                <w:webHidden/>
              </w:rPr>
              <w:instrText xml:space="preserve"> PAGEREF _Toc164960596 \h </w:instrText>
            </w:r>
            <w:r w:rsidR="00A64AD5">
              <w:rPr>
                <w:webHidden/>
              </w:rPr>
            </w:r>
            <w:r w:rsidR="00A64AD5">
              <w:rPr>
                <w:webHidden/>
              </w:rPr>
              <w:fldChar w:fldCharType="separate"/>
            </w:r>
            <w:r w:rsidR="00C60F46">
              <w:rPr>
                <w:webHidden/>
              </w:rPr>
              <w:t>7</w:t>
            </w:r>
            <w:r w:rsidR="00A64AD5">
              <w:rPr>
                <w:webHidden/>
              </w:rPr>
              <w:fldChar w:fldCharType="end"/>
            </w:r>
          </w:hyperlink>
        </w:p>
        <w:p w14:paraId="18BC79B0" w14:textId="33C51C4A" w:rsidR="00A64AD5" w:rsidRDefault="00F22764">
          <w:pPr>
            <w:pStyle w:val="TOC2"/>
            <w:rPr>
              <w:rFonts w:eastAsiaTheme="minorEastAsia" w:cstheme="minorBidi"/>
              <w:b w:val="0"/>
              <w:bCs w:val="0"/>
              <w:kern w:val="2"/>
              <w:sz w:val="24"/>
              <w:szCs w:val="24"/>
              <w:lang w:eastAsia="en-GB"/>
              <w14:ligatures w14:val="standardContextual"/>
            </w:rPr>
          </w:pPr>
          <w:hyperlink w:anchor="_Toc164960597" w:history="1">
            <w:r w:rsidR="00A64AD5" w:rsidRPr="00827446">
              <w:rPr>
                <w:rStyle w:val="Hyperlink"/>
              </w:rPr>
              <w:t>2.2</w:t>
            </w:r>
            <w:r w:rsidR="00A64AD5">
              <w:rPr>
                <w:rFonts w:eastAsiaTheme="minorEastAsia" w:cstheme="minorBidi"/>
                <w:b w:val="0"/>
                <w:bCs w:val="0"/>
                <w:kern w:val="2"/>
                <w:sz w:val="24"/>
                <w:szCs w:val="24"/>
                <w:lang w:eastAsia="en-GB"/>
                <w14:ligatures w14:val="standardContextual"/>
              </w:rPr>
              <w:tab/>
            </w:r>
            <w:r w:rsidR="00A64AD5" w:rsidRPr="00827446">
              <w:rPr>
                <w:rStyle w:val="Hyperlink"/>
              </w:rPr>
              <w:t>Sample collection and analysis</w:t>
            </w:r>
            <w:r w:rsidR="00A64AD5">
              <w:rPr>
                <w:webHidden/>
              </w:rPr>
              <w:tab/>
            </w:r>
            <w:r w:rsidR="00A64AD5">
              <w:rPr>
                <w:webHidden/>
              </w:rPr>
              <w:fldChar w:fldCharType="begin"/>
            </w:r>
            <w:r w:rsidR="00A64AD5">
              <w:rPr>
                <w:webHidden/>
              </w:rPr>
              <w:instrText xml:space="preserve"> PAGEREF _Toc164960597 \h </w:instrText>
            </w:r>
            <w:r w:rsidR="00A64AD5">
              <w:rPr>
                <w:webHidden/>
              </w:rPr>
            </w:r>
            <w:r w:rsidR="00A64AD5">
              <w:rPr>
                <w:webHidden/>
              </w:rPr>
              <w:fldChar w:fldCharType="separate"/>
            </w:r>
            <w:r w:rsidR="00C60F46">
              <w:rPr>
                <w:webHidden/>
              </w:rPr>
              <w:t>7</w:t>
            </w:r>
            <w:r w:rsidR="00A64AD5">
              <w:rPr>
                <w:webHidden/>
              </w:rPr>
              <w:fldChar w:fldCharType="end"/>
            </w:r>
          </w:hyperlink>
        </w:p>
        <w:p w14:paraId="1195189A" w14:textId="4FAC250F" w:rsidR="00A64AD5" w:rsidRDefault="00F22764">
          <w:pPr>
            <w:pStyle w:val="TOC2"/>
            <w:rPr>
              <w:rFonts w:eastAsiaTheme="minorEastAsia" w:cstheme="minorBidi"/>
              <w:b w:val="0"/>
              <w:bCs w:val="0"/>
              <w:kern w:val="2"/>
              <w:sz w:val="24"/>
              <w:szCs w:val="24"/>
              <w:lang w:eastAsia="en-GB"/>
              <w14:ligatures w14:val="standardContextual"/>
            </w:rPr>
          </w:pPr>
          <w:hyperlink w:anchor="_Toc164960598" w:history="1">
            <w:r w:rsidR="00A64AD5" w:rsidRPr="00827446">
              <w:rPr>
                <w:rStyle w:val="Hyperlink"/>
              </w:rPr>
              <w:t>2.3</w:t>
            </w:r>
            <w:r w:rsidR="00A64AD5">
              <w:rPr>
                <w:rFonts w:eastAsiaTheme="minorEastAsia" w:cstheme="minorBidi"/>
                <w:b w:val="0"/>
                <w:bCs w:val="0"/>
                <w:kern w:val="2"/>
                <w:sz w:val="24"/>
                <w:szCs w:val="24"/>
                <w:lang w:eastAsia="en-GB"/>
                <w14:ligatures w14:val="standardContextual"/>
              </w:rPr>
              <w:tab/>
            </w:r>
            <w:r w:rsidR="00A64AD5" w:rsidRPr="00827446">
              <w:rPr>
                <w:rStyle w:val="Hyperlink"/>
              </w:rPr>
              <w:t>Laboratory methods</w:t>
            </w:r>
            <w:r w:rsidR="00A64AD5">
              <w:rPr>
                <w:webHidden/>
              </w:rPr>
              <w:tab/>
            </w:r>
            <w:r w:rsidR="00A64AD5">
              <w:rPr>
                <w:webHidden/>
              </w:rPr>
              <w:fldChar w:fldCharType="begin"/>
            </w:r>
            <w:r w:rsidR="00A64AD5">
              <w:rPr>
                <w:webHidden/>
              </w:rPr>
              <w:instrText xml:space="preserve"> PAGEREF _Toc164960598 \h </w:instrText>
            </w:r>
            <w:r w:rsidR="00A64AD5">
              <w:rPr>
                <w:webHidden/>
              </w:rPr>
            </w:r>
            <w:r w:rsidR="00A64AD5">
              <w:rPr>
                <w:webHidden/>
              </w:rPr>
              <w:fldChar w:fldCharType="separate"/>
            </w:r>
            <w:r w:rsidR="00C60F46">
              <w:rPr>
                <w:webHidden/>
              </w:rPr>
              <w:t>8</w:t>
            </w:r>
            <w:r w:rsidR="00A64AD5">
              <w:rPr>
                <w:webHidden/>
              </w:rPr>
              <w:fldChar w:fldCharType="end"/>
            </w:r>
          </w:hyperlink>
        </w:p>
        <w:p w14:paraId="1FDD803F" w14:textId="58689DD9" w:rsidR="00A64AD5" w:rsidRDefault="00F22764">
          <w:pPr>
            <w:pStyle w:val="TOC3"/>
            <w:rPr>
              <w:rFonts w:eastAsiaTheme="minorEastAsia" w:cstheme="minorBidi"/>
              <w:kern w:val="2"/>
              <w:sz w:val="24"/>
              <w:szCs w:val="24"/>
              <w:lang w:eastAsia="en-GB"/>
              <w14:ligatures w14:val="standardContextual"/>
            </w:rPr>
          </w:pPr>
          <w:hyperlink w:anchor="_Toc164960599" w:history="1">
            <w:r w:rsidR="00A64AD5" w:rsidRPr="00827446">
              <w:rPr>
                <w:rStyle w:val="Hyperlink"/>
              </w:rPr>
              <w:t>2.3.1</w:t>
            </w:r>
            <w:r w:rsidR="00A64AD5">
              <w:rPr>
                <w:rFonts w:eastAsiaTheme="minorEastAsia" w:cstheme="minorBidi"/>
                <w:kern w:val="2"/>
                <w:sz w:val="24"/>
                <w:szCs w:val="24"/>
                <w:lang w:eastAsia="en-GB"/>
                <w14:ligatures w14:val="standardContextual"/>
              </w:rPr>
              <w:tab/>
            </w:r>
            <w:r w:rsidR="00A64AD5" w:rsidRPr="00827446">
              <w:rPr>
                <w:rStyle w:val="Hyperlink"/>
              </w:rPr>
              <w:t>Groundwater quality analyses</w:t>
            </w:r>
            <w:r w:rsidR="00A64AD5">
              <w:rPr>
                <w:webHidden/>
              </w:rPr>
              <w:tab/>
            </w:r>
            <w:r w:rsidR="00A64AD5">
              <w:rPr>
                <w:webHidden/>
              </w:rPr>
              <w:fldChar w:fldCharType="begin"/>
            </w:r>
            <w:r w:rsidR="00A64AD5">
              <w:rPr>
                <w:webHidden/>
              </w:rPr>
              <w:instrText xml:space="preserve"> PAGEREF _Toc164960599 \h </w:instrText>
            </w:r>
            <w:r w:rsidR="00A64AD5">
              <w:rPr>
                <w:webHidden/>
              </w:rPr>
            </w:r>
            <w:r w:rsidR="00A64AD5">
              <w:rPr>
                <w:webHidden/>
              </w:rPr>
              <w:fldChar w:fldCharType="separate"/>
            </w:r>
            <w:r w:rsidR="00C60F46">
              <w:rPr>
                <w:webHidden/>
              </w:rPr>
              <w:t>8</w:t>
            </w:r>
            <w:r w:rsidR="00A64AD5">
              <w:rPr>
                <w:webHidden/>
              </w:rPr>
              <w:fldChar w:fldCharType="end"/>
            </w:r>
          </w:hyperlink>
        </w:p>
        <w:p w14:paraId="0F8DC27D" w14:textId="58EEAADD" w:rsidR="00A64AD5" w:rsidRDefault="00F22764">
          <w:pPr>
            <w:pStyle w:val="TOC3"/>
            <w:rPr>
              <w:rFonts w:eastAsiaTheme="minorEastAsia" w:cstheme="minorBidi"/>
              <w:kern w:val="2"/>
              <w:sz w:val="24"/>
              <w:szCs w:val="24"/>
              <w:lang w:eastAsia="en-GB"/>
              <w14:ligatures w14:val="standardContextual"/>
            </w:rPr>
          </w:pPr>
          <w:hyperlink w:anchor="_Toc164960600" w:history="1">
            <w:r w:rsidR="00A64AD5" w:rsidRPr="00827446">
              <w:rPr>
                <w:rStyle w:val="Hyperlink"/>
              </w:rPr>
              <w:t>2.3.2</w:t>
            </w:r>
            <w:r w:rsidR="00A64AD5">
              <w:rPr>
                <w:rFonts w:eastAsiaTheme="minorEastAsia" w:cstheme="minorBidi"/>
                <w:kern w:val="2"/>
                <w:sz w:val="24"/>
                <w:szCs w:val="24"/>
                <w:lang w:eastAsia="en-GB"/>
                <w14:ligatures w14:val="standardContextual"/>
              </w:rPr>
              <w:tab/>
            </w:r>
            <w:r w:rsidR="00A64AD5" w:rsidRPr="00827446">
              <w:rPr>
                <w:rStyle w:val="Hyperlink"/>
              </w:rPr>
              <w:t>DNA extraction</w:t>
            </w:r>
            <w:r w:rsidR="00A64AD5">
              <w:rPr>
                <w:webHidden/>
              </w:rPr>
              <w:tab/>
            </w:r>
            <w:r w:rsidR="00A64AD5">
              <w:rPr>
                <w:webHidden/>
              </w:rPr>
              <w:fldChar w:fldCharType="begin"/>
            </w:r>
            <w:r w:rsidR="00A64AD5">
              <w:rPr>
                <w:webHidden/>
              </w:rPr>
              <w:instrText xml:space="preserve"> PAGEREF _Toc164960600 \h </w:instrText>
            </w:r>
            <w:r w:rsidR="00A64AD5">
              <w:rPr>
                <w:webHidden/>
              </w:rPr>
            </w:r>
            <w:r w:rsidR="00A64AD5">
              <w:rPr>
                <w:webHidden/>
              </w:rPr>
              <w:fldChar w:fldCharType="separate"/>
            </w:r>
            <w:r w:rsidR="00C60F46">
              <w:rPr>
                <w:webHidden/>
              </w:rPr>
              <w:t>8</w:t>
            </w:r>
            <w:r w:rsidR="00A64AD5">
              <w:rPr>
                <w:webHidden/>
              </w:rPr>
              <w:fldChar w:fldCharType="end"/>
            </w:r>
          </w:hyperlink>
        </w:p>
        <w:p w14:paraId="4C6AE178" w14:textId="2A4A6E69" w:rsidR="00A64AD5" w:rsidRDefault="00F22764">
          <w:pPr>
            <w:pStyle w:val="TOC3"/>
            <w:rPr>
              <w:rFonts w:eastAsiaTheme="minorEastAsia" w:cstheme="minorBidi"/>
              <w:kern w:val="2"/>
              <w:sz w:val="24"/>
              <w:szCs w:val="24"/>
              <w:lang w:eastAsia="en-GB"/>
              <w14:ligatures w14:val="standardContextual"/>
            </w:rPr>
          </w:pPr>
          <w:hyperlink w:anchor="_Toc164960601" w:history="1">
            <w:r w:rsidR="00A64AD5" w:rsidRPr="00827446">
              <w:rPr>
                <w:rStyle w:val="Hyperlink"/>
              </w:rPr>
              <w:t>2.3.3</w:t>
            </w:r>
            <w:r w:rsidR="00A64AD5">
              <w:rPr>
                <w:rFonts w:eastAsiaTheme="minorEastAsia" w:cstheme="minorBidi"/>
                <w:kern w:val="2"/>
                <w:sz w:val="24"/>
                <w:szCs w:val="24"/>
                <w:lang w:eastAsia="en-GB"/>
                <w14:ligatures w14:val="standardContextual"/>
              </w:rPr>
              <w:tab/>
            </w:r>
            <w:r w:rsidR="00A64AD5" w:rsidRPr="00827446">
              <w:rPr>
                <w:rStyle w:val="Hyperlink"/>
              </w:rPr>
              <w:t>Metabarcode analysis (eDNA)</w:t>
            </w:r>
            <w:r w:rsidR="00A64AD5">
              <w:rPr>
                <w:webHidden/>
              </w:rPr>
              <w:tab/>
            </w:r>
            <w:r w:rsidR="00A64AD5">
              <w:rPr>
                <w:webHidden/>
              </w:rPr>
              <w:fldChar w:fldCharType="begin"/>
            </w:r>
            <w:r w:rsidR="00A64AD5">
              <w:rPr>
                <w:webHidden/>
              </w:rPr>
              <w:instrText xml:space="preserve"> PAGEREF _Toc164960601 \h </w:instrText>
            </w:r>
            <w:r w:rsidR="00A64AD5">
              <w:rPr>
                <w:webHidden/>
              </w:rPr>
            </w:r>
            <w:r w:rsidR="00A64AD5">
              <w:rPr>
                <w:webHidden/>
              </w:rPr>
              <w:fldChar w:fldCharType="separate"/>
            </w:r>
            <w:r w:rsidR="00C60F46">
              <w:rPr>
                <w:webHidden/>
              </w:rPr>
              <w:t>8</w:t>
            </w:r>
            <w:r w:rsidR="00A64AD5">
              <w:rPr>
                <w:webHidden/>
              </w:rPr>
              <w:fldChar w:fldCharType="end"/>
            </w:r>
          </w:hyperlink>
        </w:p>
        <w:p w14:paraId="3B588AF1" w14:textId="7D09A21A" w:rsidR="00A64AD5" w:rsidRDefault="00F22764">
          <w:pPr>
            <w:pStyle w:val="TOC3"/>
            <w:rPr>
              <w:rFonts w:eastAsiaTheme="minorEastAsia" w:cstheme="minorBidi"/>
              <w:kern w:val="2"/>
              <w:sz w:val="24"/>
              <w:szCs w:val="24"/>
              <w:lang w:eastAsia="en-GB"/>
              <w14:ligatures w14:val="standardContextual"/>
            </w:rPr>
          </w:pPr>
          <w:hyperlink w:anchor="_Toc164960602" w:history="1">
            <w:r w:rsidR="00A64AD5" w:rsidRPr="00827446">
              <w:rPr>
                <w:rStyle w:val="Hyperlink"/>
              </w:rPr>
              <w:t>2.3.4</w:t>
            </w:r>
            <w:r w:rsidR="00A64AD5">
              <w:rPr>
                <w:rFonts w:eastAsiaTheme="minorEastAsia" w:cstheme="minorBidi"/>
                <w:kern w:val="2"/>
                <w:sz w:val="24"/>
                <w:szCs w:val="24"/>
                <w:lang w:eastAsia="en-GB"/>
                <w14:ligatures w14:val="standardContextual"/>
              </w:rPr>
              <w:tab/>
            </w:r>
            <w:r w:rsidR="00A64AD5" w:rsidRPr="00827446">
              <w:rPr>
                <w:rStyle w:val="Hyperlink"/>
              </w:rPr>
              <w:t>Metagenomics</w:t>
            </w:r>
            <w:r w:rsidR="00A64AD5">
              <w:rPr>
                <w:webHidden/>
              </w:rPr>
              <w:tab/>
            </w:r>
            <w:r w:rsidR="00A64AD5">
              <w:rPr>
                <w:webHidden/>
              </w:rPr>
              <w:fldChar w:fldCharType="begin"/>
            </w:r>
            <w:r w:rsidR="00A64AD5">
              <w:rPr>
                <w:webHidden/>
              </w:rPr>
              <w:instrText xml:space="preserve"> PAGEREF _Toc164960602 \h </w:instrText>
            </w:r>
            <w:r w:rsidR="00A64AD5">
              <w:rPr>
                <w:webHidden/>
              </w:rPr>
            </w:r>
            <w:r w:rsidR="00A64AD5">
              <w:rPr>
                <w:webHidden/>
              </w:rPr>
              <w:fldChar w:fldCharType="separate"/>
            </w:r>
            <w:r w:rsidR="00C60F46">
              <w:rPr>
                <w:webHidden/>
              </w:rPr>
              <w:t>8</w:t>
            </w:r>
            <w:r w:rsidR="00A64AD5">
              <w:rPr>
                <w:webHidden/>
              </w:rPr>
              <w:fldChar w:fldCharType="end"/>
            </w:r>
          </w:hyperlink>
        </w:p>
        <w:p w14:paraId="4ED70AEE" w14:textId="55568A78" w:rsidR="00A64AD5" w:rsidRDefault="00F22764">
          <w:pPr>
            <w:pStyle w:val="TOC3"/>
            <w:rPr>
              <w:rFonts w:eastAsiaTheme="minorEastAsia" w:cstheme="minorBidi"/>
              <w:kern w:val="2"/>
              <w:sz w:val="24"/>
              <w:szCs w:val="24"/>
              <w:lang w:eastAsia="en-GB"/>
              <w14:ligatures w14:val="standardContextual"/>
            </w:rPr>
          </w:pPr>
          <w:hyperlink w:anchor="_Toc164960603" w:history="1">
            <w:r w:rsidR="00A64AD5" w:rsidRPr="00827446">
              <w:rPr>
                <w:rStyle w:val="Hyperlink"/>
              </w:rPr>
              <w:t>2.3.5</w:t>
            </w:r>
            <w:r w:rsidR="00A64AD5">
              <w:rPr>
                <w:rFonts w:eastAsiaTheme="minorEastAsia" w:cstheme="minorBidi"/>
                <w:kern w:val="2"/>
                <w:sz w:val="24"/>
                <w:szCs w:val="24"/>
                <w:lang w:eastAsia="en-GB"/>
                <w14:ligatures w14:val="standardContextual"/>
              </w:rPr>
              <w:tab/>
            </w:r>
            <w:r w:rsidR="00A64AD5" w:rsidRPr="00827446">
              <w:rPr>
                <w:rStyle w:val="Hyperlink"/>
              </w:rPr>
              <w:t>Metabarcode analysis (eDNA) – spiking experiment</w:t>
            </w:r>
            <w:r w:rsidR="00A64AD5">
              <w:rPr>
                <w:webHidden/>
              </w:rPr>
              <w:tab/>
            </w:r>
            <w:r w:rsidR="00A64AD5">
              <w:rPr>
                <w:webHidden/>
              </w:rPr>
              <w:fldChar w:fldCharType="begin"/>
            </w:r>
            <w:r w:rsidR="00A64AD5">
              <w:rPr>
                <w:webHidden/>
              </w:rPr>
              <w:instrText xml:space="preserve"> PAGEREF _Toc164960603 \h </w:instrText>
            </w:r>
            <w:r w:rsidR="00A64AD5">
              <w:rPr>
                <w:webHidden/>
              </w:rPr>
            </w:r>
            <w:r w:rsidR="00A64AD5">
              <w:rPr>
                <w:webHidden/>
              </w:rPr>
              <w:fldChar w:fldCharType="separate"/>
            </w:r>
            <w:r w:rsidR="00C60F46">
              <w:rPr>
                <w:webHidden/>
              </w:rPr>
              <w:t>8</w:t>
            </w:r>
            <w:r w:rsidR="00A64AD5">
              <w:rPr>
                <w:webHidden/>
              </w:rPr>
              <w:fldChar w:fldCharType="end"/>
            </w:r>
          </w:hyperlink>
        </w:p>
        <w:p w14:paraId="2ACB1BF6" w14:textId="3F11FFD9" w:rsidR="00A64AD5" w:rsidRDefault="00F22764">
          <w:pPr>
            <w:pStyle w:val="TOC3"/>
            <w:rPr>
              <w:rFonts w:eastAsiaTheme="minorEastAsia" w:cstheme="minorBidi"/>
              <w:kern w:val="2"/>
              <w:sz w:val="24"/>
              <w:szCs w:val="24"/>
              <w:lang w:eastAsia="en-GB"/>
              <w14:ligatures w14:val="standardContextual"/>
            </w:rPr>
          </w:pPr>
          <w:hyperlink w:anchor="_Toc164960604" w:history="1">
            <w:r w:rsidR="00A64AD5" w:rsidRPr="00827446">
              <w:rPr>
                <w:rStyle w:val="Hyperlink"/>
              </w:rPr>
              <w:t>2.3.6</w:t>
            </w:r>
            <w:r w:rsidR="00A64AD5">
              <w:rPr>
                <w:rFonts w:eastAsiaTheme="minorEastAsia" w:cstheme="minorBidi"/>
                <w:kern w:val="2"/>
                <w:sz w:val="24"/>
                <w:szCs w:val="24"/>
                <w:lang w:eastAsia="en-GB"/>
                <w14:ligatures w14:val="standardContextual"/>
              </w:rPr>
              <w:tab/>
            </w:r>
            <w:r w:rsidR="00A64AD5" w:rsidRPr="00827446">
              <w:rPr>
                <w:rStyle w:val="Hyperlink"/>
              </w:rPr>
              <w:t>Bioinformatics</w:t>
            </w:r>
            <w:r w:rsidR="00A64AD5">
              <w:rPr>
                <w:webHidden/>
              </w:rPr>
              <w:tab/>
            </w:r>
            <w:r w:rsidR="00A64AD5">
              <w:rPr>
                <w:webHidden/>
              </w:rPr>
              <w:fldChar w:fldCharType="begin"/>
            </w:r>
            <w:r w:rsidR="00A64AD5">
              <w:rPr>
                <w:webHidden/>
              </w:rPr>
              <w:instrText xml:space="preserve"> PAGEREF _Toc164960604 \h </w:instrText>
            </w:r>
            <w:r w:rsidR="00A64AD5">
              <w:rPr>
                <w:webHidden/>
              </w:rPr>
            </w:r>
            <w:r w:rsidR="00A64AD5">
              <w:rPr>
                <w:webHidden/>
              </w:rPr>
              <w:fldChar w:fldCharType="separate"/>
            </w:r>
            <w:r w:rsidR="00C60F46">
              <w:rPr>
                <w:webHidden/>
              </w:rPr>
              <w:t>10</w:t>
            </w:r>
            <w:r w:rsidR="00A64AD5">
              <w:rPr>
                <w:webHidden/>
              </w:rPr>
              <w:fldChar w:fldCharType="end"/>
            </w:r>
          </w:hyperlink>
        </w:p>
        <w:p w14:paraId="4CFC7B7E" w14:textId="590001E5" w:rsidR="00A64AD5" w:rsidRDefault="00F22764">
          <w:pPr>
            <w:pStyle w:val="TOC3"/>
            <w:rPr>
              <w:rFonts w:eastAsiaTheme="minorEastAsia" w:cstheme="minorBidi"/>
              <w:kern w:val="2"/>
              <w:sz w:val="24"/>
              <w:szCs w:val="24"/>
              <w:lang w:eastAsia="en-GB"/>
              <w14:ligatures w14:val="standardContextual"/>
            </w:rPr>
          </w:pPr>
          <w:hyperlink w:anchor="_Toc164960605" w:history="1">
            <w:r w:rsidR="00A64AD5" w:rsidRPr="00827446">
              <w:rPr>
                <w:rStyle w:val="Hyperlink"/>
              </w:rPr>
              <w:t>2.3.7</w:t>
            </w:r>
            <w:r w:rsidR="00A64AD5">
              <w:rPr>
                <w:rFonts w:eastAsiaTheme="minorEastAsia" w:cstheme="minorBidi"/>
                <w:kern w:val="2"/>
                <w:sz w:val="24"/>
                <w:szCs w:val="24"/>
                <w:lang w:eastAsia="en-GB"/>
                <w14:ligatures w14:val="standardContextual"/>
              </w:rPr>
              <w:tab/>
            </w:r>
            <w:r w:rsidR="00A64AD5" w:rsidRPr="00827446">
              <w:rPr>
                <w:rStyle w:val="Hyperlink"/>
              </w:rPr>
              <w:t>Data analysis</w:t>
            </w:r>
            <w:r w:rsidR="00A64AD5">
              <w:rPr>
                <w:webHidden/>
              </w:rPr>
              <w:tab/>
            </w:r>
            <w:r w:rsidR="00A64AD5">
              <w:rPr>
                <w:webHidden/>
              </w:rPr>
              <w:fldChar w:fldCharType="begin"/>
            </w:r>
            <w:r w:rsidR="00A64AD5">
              <w:rPr>
                <w:webHidden/>
              </w:rPr>
              <w:instrText xml:space="preserve"> PAGEREF _Toc164960605 \h </w:instrText>
            </w:r>
            <w:r w:rsidR="00A64AD5">
              <w:rPr>
                <w:webHidden/>
              </w:rPr>
            </w:r>
            <w:r w:rsidR="00A64AD5">
              <w:rPr>
                <w:webHidden/>
              </w:rPr>
              <w:fldChar w:fldCharType="separate"/>
            </w:r>
            <w:r w:rsidR="00C60F46">
              <w:rPr>
                <w:webHidden/>
              </w:rPr>
              <w:t>10</w:t>
            </w:r>
            <w:r w:rsidR="00A64AD5">
              <w:rPr>
                <w:webHidden/>
              </w:rPr>
              <w:fldChar w:fldCharType="end"/>
            </w:r>
          </w:hyperlink>
        </w:p>
        <w:p w14:paraId="0D1A636C" w14:textId="350FE96F" w:rsidR="00A64AD5" w:rsidRDefault="00F22764">
          <w:pPr>
            <w:pStyle w:val="TOC1"/>
            <w:rPr>
              <w:rFonts w:eastAsiaTheme="minorEastAsia" w:cstheme="minorBidi"/>
              <w:b w:val="0"/>
              <w:bCs w:val="0"/>
              <w:iCs w:val="0"/>
              <w:kern w:val="2"/>
              <w:lang w:eastAsia="en-GB"/>
              <w14:ligatures w14:val="standardContextual"/>
            </w:rPr>
          </w:pPr>
          <w:hyperlink w:anchor="_Toc164960606" w:history="1">
            <w:r w:rsidR="00A64AD5" w:rsidRPr="00827446">
              <w:rPr>
                <w:rStyle w:val="Hyperlink"/>
              </w:rPr>
              <w:t>3.</w:t>
            </w:r>
            <w:r w:rsidR="00A64AD5">
              <w:rPr>
                <w:rFonts w:eastAsiaTheme="minorEastAsia" w:cstheme="minorBidi"/>
                <w:b w:val="0"/>
                <w:bCs w:val="0"/>
                <w:iCs w:val="0"/>
                <w:kern w:val="2"/>
                <w:lang w:eastAsia="en-GB"/>
                <w14:ligatures w14:val="standardContextual"/>
              </w:rPr>
              <w:tab/>
            </w:r>
            <w:r w:rsidR="00A64AD5" w:rsidRPr="00827446">
              <w:rPr>
                <w:rStyle w:val="Hyperlink"/>
              </w:rPr>
              <w:t>Results and discussion</w:t>
            </w:r>
            <w:r w:rsidR="00A64AD5">
              <w:rPr>
                <w:webHidden/>
              </w:rPr>
              <w:tab/>
            </w:r>
            <w:r w:rsidR="00A64AD5">
              <w:rPr>
                <w:webHidden/>
              </w:rPr>
              <w:fldChar w:fldCharType="begin"/>
            </w:r>
            <w:r w:rsidR="00A64AD5">
              <w:rPr>
                <w:webHidden/>
              </w:rPr>
              <w:instrText xml:space="preserve"> PAGEREF _Toc164960606 \h </w:instrText>
            </w:r>
            <w:r w:rsidR="00A64AD5">
              <w:rPr>
                <w:webHidden/>
              </w:rPr>
            </w:r>
            <w:r w:rsidR="00A64AD5">
              <w:rPr>
                <w:webHidden/>
              </w:rPr>
              <w:fldChar w:fldCharType="separate"/>
            </w:r>
            <w:r w:rsidR="00C60F46">
              <w:rPr>
                <w:webHidden/>
              </w:rPr>
              <w:t>12</w:t>
            </w:r>
            <w:r w:rsidR="00A64AD5">
              <w:rPr>
                <w:webHidden/>
              </w:rPr>
              <w:fldChar w:fldCharType="end"/>
            </w:r>
          </w:hyperlink>
        </w:p>
        <w:p w14:paraId="4864E71F" w14:textId="77A5B7E8" w:rsidR="00A64AD5" w:rsidRDefault="00F22764">
          <w:pPr>
            <w:pStyle w:val="TOC2"/>
            <w:rPr>
              <w:rFonts w:eastAsiaTheme="minorEastAsia" w:cstheme="minorBidi"/>
              <w:b w:val="0"/>
              <w:bCs w:val="0"/>
              <w:kern w:val="2"/>
              <w:sz w:val="24"/>
              <w:szCs w:val="24"/>
              <w:lang w:eastAsia="en-GB"/>
              <w14:ligatures w14:val="standardContextual"/>
            </w:rPr>
          </w:pPr>
          <w:hyperlink w:anchor="_Toc164960607" w:history="1">
            <w:r w:rsidR="00A64AD5" w:rsidRPr="00827446">
              <w:rPr>
                <w:rStyle w:val="Hyperlink"/>
              </w:rPr>
              <w:t>3.1</w:t>
            </w:r>
            <w:r w:rsidR="00A64AD5">
              <w:rPr>
                <w:rFonts w:eastAsiaTheme="minorEastAsia" w:cstheme="minorBidi"/>
                <w:b w:val="0"/>
                <w:bCs w:val="0"/>
                <w:kern w:val="2"/>
                <w:sz w:val="24"/>
                <w:szCs w:val="24"/>
                <w:lang w:eastAsia="en-GB"/>
                <w14:ligatures w14:val="standardContextual"/>
              </w:rPr>
              <w:tab/>
            </w:r>
            <w:r w:rsidR="00A64AD5" w:rsidRPr="00827446">
              <w:rPr>
                <w:rStyle w:val="Hyperlink"/>
              </w:rPr>
              <w:t>Metabarcode spiking experiment</w:t>
            </w:r>
            <w:r w:rsidR="00A64AD5">
              <w:rPr>
                <w:webHidden/>
              </w:rPr>
              <w:tab/>
            </w:r>
            <w:r w:rsidR="00A64AD5">
              <w:rPr>
                <w:webHidden/>
              </w:rPr>
              <w:fldChar w:fldCharType="begin"/>
            </w:r>
            <w:r w:rsidR="00A64AD5">
              <w:rPr>
                <w:webHidden/>
              </w:rPr>
              <w:instrText xml:space="preserve"> PAGEREF _Toc164960607 \h </w:instrText>
            </w:r>
            <w:r w:rsidR="00A64AD5">
              <w:rPr>
                <w:webHidden/>
              </w:rPr>
            </w:r>
            <w:r w:rsidR="00A64AD5">
              <w:rPr>
                <w:webHidden/>
              </w:rPr>
              <w:fldChar w:fldCharType="separate"/>
            </w:r>
            <w:r w:rsidR="00C60F46">
              <w:rPr>
                <w:webHidden/>
              </w:rPr>
              <w:t>12</w:t>
            </w:r>
            <w:r w:rsidR="00A64AD5">
              <w:rPr>
                <w:webHidden/>
              </w:rPr>
              <w:fldChar w:fldCharType="end"/>
            </w:r>
          </w:hyperlink>
        </w:p>
        <w:p w14:paraId="620375A3" w14:textId="1881E349" w:rsidR="00A64AD5" w:rsidRDefault="00F22764">
          <w:pPr>
            <w:pStyle w:val="TOC3"/>
            <w:rPr>
              <w:rFonts w:eastAsiaTheme="minorEastAsia" w:cstheme="minorBidi"/>
              <w:kern w:val="2"/>
              <w:sz w:val="24"/>
              <w:szCs w:val="24"/>
              <w:lang w:eastAsia="en-GB"/>
              <w14:ligatures w14:val="standardContextual"/>
            </w:rPr>
          </w:pPr>
          <w:hyperlink w:anchor="_Toc164960608" w:history="1">
            <w:r w:rsidR="00A64AD5" w:rsidRPr="00827446">
              <w:rPr>
                <w:rStyle w:val="Hyperlink"/>
              </w:rPr>
              <w:t>3.1.1</w:t>
            </w:r>
            <w:r w:rsidR="00A64AD5">
              <w:rPr>
                <w:rFonts w:eastAsiaTheme="minorEastAsia" w:cstheme="minorBidi"/>
                <w:kern w:val="2"/>
                <w:sz w:val="24"/>
                <w:szCs w:val="24"/>
                <w:lang w:eastAsia="en-GB"/>
                <w14:ligatures w14:val="standardContextual"/>
              </w:rPr>
              <w:tab/>
            </w:r>
            <w:r w:rsidR="00A64AD5" w:rsidRPr="00827446">
              <w:rPr>
                <w:rStyle w:val="Hyperlink"/>
              </w:rPr>
              <w:t>Detection of spikes in samples</w:t>
            </w:r>
            <w:r w:rsidR="00A64AD5">
              <w:rPr>
                <w:webHidden/>
              </w:rPr>
              <w:tab/>
            </w:r>
            <w:r w:rsidR="00A64AD5">
              <w:rPr>
                <w:webHidden/>
              </w:rPr>
              <w:fldChar w:fldCharType="begin"/>
            </w:r>
            <w:r w:rsidR="00A64AD5">
              <w:rPr>
                <w:webHidden/>
              </w:rPr>
              <w:instrText xml:space="preserve"> PAGEREF _Toc164960608 \h </w:instrText>
            </w:r>
            <w:r w:rsidR="00A64AD5">
              <w:rPr>
                <w:webHidden/>
              </w:rPr>
            </w:r>
            <w:r w:rsidR="00A64AD5">
              <w:rPr>
                <w:webHidden/>
              </w:rPr>
              <w:fldChar w:fldCharType="separate"/>
            </w:r>
            <w:r w:rsidR="00C60F46">
              <w:rPr>
                <w:webHidden/>
              </w:rPr>
              <w:t>12</w:t>
            </w:r>
            <w:r w:rsidR="00A64AD5">
              <w:rPr>
                <w:webHidden/>
              </w:rPr>
              <w:fldChar w:fldCharType="end"/>
            </w:r>
          </w:hyperlink>
        </w:p>
        <w:p w14:paraId="39C4E534" w14:textId="5AA506BA" w:rsidR="00A64AD5" w:rsidRDefault="00F22764">
          <w:pPr>
            <w:pStyle w:val="TOC3"/>
            <w:rPr>
              <w:rFonts w:eastAsiaTheme="minorEastAsia" w:cstheme="minorBidi"/>
              <w:kern w:val="2"/>
              <w:sz w:val="24"/>
              <w:szCs w:val="24"/>
              <w:lang w:eastAsia="en-GB"/>
              <w14:ligatures w14:val="standardContextual"/>
            </w:rPr>
          </w:pPr>
          <w:hyperlink w:anchor="_Toc164960609" w:history="1">
            <w:r w:rsidR="00A64AD5" w:rsidRPr="00827446">
              <w:rPr>
                <w:rStyle w:val="Hyperlink"/>
              </w:rPr>
              <w:t>3.1.2</w:t>
            </w:r>
            <w:r w:rsidR="00A64AD5">
              <w:rPr>
                <w:rFonts w:eastAsiaTheme="minorEastAsia" w:cstheme="minorBidi"/>
                <w:kern w:val="2"/>
                <w:sz w:val="24"/>
                <w:szCs w:val="24"/>
                <w:lang w:eastAsia="en-GB"/>
                <w14:ligatures w14:val="standardContextual"/>
              </w:rPr>
              <w:tab/>
            </w:r>
            <w:r w:rsidR="00A64AD5" w:rsidRPr="00827446">
              <w:rPr>
                <w:rStyle w:val="Hyperlink"/>
              </w:rPr>
              <w:t>Spike 1 (pre-PCR)</w:t>
            </w:r>
            <w:r w:rsidR="00A64AD5">
              <w:rPr>
                <w:webHidden/>
              </w:rPr>
              <w:tab/>
            </w:r>
            <w:r w:rsidR="00A64AD5">
              <w:rPr>
                <w:webHidden/>
              </w:rPr>
              <w:fldChar w:fldCharType="begin"/>
            </w:r>
            <w:r w:rsidR="00A64AD5">
              <w:rPr>
                <w:webHidden/>
              </w:rPr>
              <w:instrText xml:space="preserve"> PAGEREF _Toc164960609 \h </w:instrText>
            </w:r>
            <w:r w:rsidR="00A64AD5">
              <w:rPr>
                <w:webHidden/>
              </w:rPr>
            </w:r>
            <w:r w:rsidR="00A64AD5">
              <w:rPr>
                <w:webHidden/>
              </w:rPr>
              <w:fldChar w:fldCharType="separate"/>
            </w:r>
            <w:r w:rsidR="00C60F46">
              <w:rPr>
                <w:webHidden/>
              </w:rPr>
              <w:t>13</w:t>
            </w:r>
            <w:r w:rsidR="00A64AD5">
              <w:rPr>
                <w:webHidden/>
              </w:rPr>
              <w:fldChar w:fldCharType="end"/>
            </w:r>
          </w:hyperlink>
        </w:p>
        <w:p w14:paraId="5199C073" w14:textId="0F0A3FCA" w:rsidR="00A64AD5" w:rsidRDefault="00F22764">
          <w:pPr>
            <w:pStyle w:val="TOC3"/>
            <w:rPr>
              <w:rFonts w:eastAsiaTheme="minorEastAsia" w:cstheme="minorBidi"/>
              <w:kern w:val="2"/>
              <w:sz w:val="24"/>
              <w:szCs w:val="24"/>
              <w:lang w:eastAsia="en-GB"/>
              <w14:ligatures w14:val="standardContextual"/>
            </w:rPr>
          </w:pPr>
          <w:hyperlink w:anchor="_Toc164960610" w:history="1">
            <w:r w:rsidR="00A64AD5" w:rsidRPr="00827446">
              <w:rPr>
                <w:rStyle w:val="Hyperlink"/>
              </w:rPr>
              <w:t>3.1.3</w:t>
            </w:r>
            <w:r w:rsidR="00A64AD5">
              <w:rPr>
                <w:rFonts w:eastAsiaTheme="minorEastAsia" w:cstheme="minorBidi"/>
                <w:kern w:val="2"/>
                <w:sz w:val="24"/>
                <w:szCs w:val="24"/>
                <w:lang w:eastAsia="en-GB"/>
                <w14:ligatures w14:val="standardContextual"/>
              </w:rPr>
              <w:tab/>
            </w:r>
            <w:r w:rsidR="00A64AD5" w:rsidRPr="00827446">
              <w:rPr>
                <w:rStyle w:val="Hyperlink"/>
              </w:rPr>
              <w:t>Spike 2 (post-PCR)</w:t>
            </w:r>
            <w:r w:rsidR="00A64AD5">
              <w:rPr>
                <w:webHidden/>
              </w:rPr>
              <w:tab/>
            </w:r>
            <w:r w:rsidR="00A64AD5">
              <w:rPr>
                <w:webHidden/>
              </w:rPr>
              <w:fldChar w:fldCharType="begin"/>
            </w:r>
            <w:r w:rsidR="00A64AD5">
              <w:rPr>
                <w:webHidden/>
              </w:rPr>
              <w:instrText xml:space="preserve"> PAGEREF _Toc164960610 \h </w:instrText>
            </w:r>
            <w:r w:rsidR="00A64AD5">
              <w:rPr>
                <w:webHidden/>
              </w:rPr>
            </w:r>
            <w:r w:rsidR="00A64AD5">
              <w:rPr>
                <w:webHidden/>
              </w:rPr>
              <w:fldChar w:fldCharType="separate"/>
            </w:r>
            <w:r w:rsidR="00C60F46">
              <w:rPr>
                <w:webHidden/>
              </w:rPr>
              <w:t>14</w:t>
            </w:r>
            <w:r w:rsidR="00A64AD5">
              <w:rPr>
                <w:webHidden/>
              </w:rPr>
              <w:fldChar w:fldCharType="end"/>
            </w:r>
          </w:hyperlink>
        </w:p>
        <w:p w14:paraId="1278DD56" w14:textId="0F44DD34" w:rsidR="00A64AD5" w:rsidRDefault="00F22764">
          <w:pPr>
            <w:pStyle w:val="TOC3"/>
            <w:rPr>
              <w:rFonts w:eastAsiaTheme="minorEastAsia" w:cstheme="minorBidi"/>
              <w:kern w:val="2"/>
              <w:sz w:val="24"/>
              <w:szCs w:val="24"/>
              <w:lang w:eastAsia="en-GB"/>
              <w14:ligatures w14:val="standardContextual"/>
            </w:rPr>
          </w:pPr>
          <w:hyperlink w:anchor="_Toc164960611" w:history="1">
            <w:r w:rsidR="00A64AD5" w:rsidRPr="00827446">
              <w:rPr>
                <w:rStyle w:val="Hyperlink"/>
              </w:rPr>
              <w:t>3.1.4</w:t>
            </w:r>
            <w:r w:rsidR="00A64AD5">
              <w:rPr>
                <w:rFonts w:eastAsiaTheme="minorEastAsia" w:cstheme="minorBidi"/>
                <w:kern w:val="2"/>
                <w:sz w:val="24"/>
                <w:szCs w:val="24"/>
                <w:lang w:eastAsia="en-GB"/>
                <w14:ligatures w14:val="standardContextual"/>
              </w:rPr>
              <w:tab/>
            </w:r>
            <w:r w:rsidR="00A64AD5" w:rsidRPr="00827446">
              <w:rPr>
                <w:rStyle w:val="Hyperlink"/>
              </w:rPr>
              <w:t>Spike 1 + 2 (pre- and post-PCR)</w:t>
            </w:r>
            <w:r w:rsidR="00A64AD5">
              <w:rPr>
                <w:webHidden/>
              </w:rPr>
              <w:tab/>
            </w:r>
            <w:r w:rsidR="00A64AD5">
              <w:rPr>
                <w:webHidden/>
              </w:rPr>
              <w:fldChar w:fldCharType="begin"/>
            </w:r>
            <w:r w:rsidR="00A64AD5">
              <w:rPr>
                <w:webHidden/>
              </w:rPr>
              <w:instrText xml:space="preserve"> PAGEREF _Toc164960611 \h </w:instrText>
            </w:r>
            <w:r w:rsidR="00A64AD5">
              <w:rPr>
                <w:webHidden/>
              </w:rPr>
            </w:r>
            <w:r w:rsidR="00A64AD5">
              <w:rPr>
                <w:webHidden/>
              </w:rPr>
              <w:fldChar w:fldCharType="separate"/>
            </w:r>
            <w:r w:rsidR="00C60F46">
              <w:rPr>
                <w:webHidden/>
              </w:rPr>
              <w:t>15</w:t>
            </w:r>
            <w:r w:rsidR="00A64AD5">
              <w:rPr>
                <w:webHidden/>
              </w:rPr>
              <w:fldChar w:fldCharType="end"/>
            </w:r>
          </w:hyperlink>
        </w:p>
        <w:p w14:paraId="41CFF2C0" w14:textId="439867FF" w:rsidR="00A64AD5" w:rsidRDefault="00F22764">
          <w:pPr>
            <w:pStyle w:val="TOC3"/>
            <w:rPr>
              <w:rFonts w:eastAsiaTheme="minorEastAsia" w:cstheme="minorBidi"/>
              <w:kern w:val="2"/>
              <w:sz w:val="24"/>
              <w:szCs w:val="24"/>
              <w:lang w:eastAsia="en-GB"/>
              <w14:ligatures w14:val="standardContextual"/>
            </w:rPr>
          </w:pPr>
          <w:hyperlink w:anchor="_Toc164960612" w:history="1">
            <w:r w:rsidR="00A64AD5" w:rsidRPr="00827446">
              <w:rPr>
                <w:rStyle w:val="Hyperlink"/>
              </w:rPr>
              <w:t>3.1.5</w:t>
            </w:r>
            <w:r w:rsidR="00A64AD5">
              <w:rPr>
                <w:rFonts w:eastAsiaTheme="minorEastAsia" w:cstheme="minorBidi"/>
                <w:kern w:val="2"/>
                <w:sz w:val="24"/>
                <w:szCs w:val="24"/>
                <w:lang w:eastAsia="en-GB"/>
                <w14:ligatures w14:val="standardContextual"/>
              </w:rPr>
              <w:tab/>
            </w:r>
            <w:r w:rsidR="00A64AD5" w:rsidRPr="00827446">
              <w:rPr>
                <w:rStyle w:val="Hyperlink"/>
              </w:rPr>
              <w:t>Comparison of spiking treatments</w:t>
            </w:r>
            <w:r w:rsidR="00A64AD5">
              <w:rPr>
                <w:webHidden/>
              </w:rPr>
              <w:tab/>
            </w:r>
            <w:r w:rsidR="00A64AD5">
              <w:rPr>
                <w:webHidden/>
              </w:rPr>
              <w:fldChar w:fldCharType="begin"/>
            </w:r>
            <w:r w:rsidR="00A64AD5">
              <w:rPr>
                <w:webHidden/>
              </w:rPr>
              <w:instrText xml:space="preserve"> PAGEREF _Toc164960612 \h </w:instrText>
            </w:r>
            <w:r w:rsidR="00A64AD5">
              <w:rPr>
                <w:webHidden/>
              </w:rPr>
            </w:r>
            <w:r w:rsidR="00A64AD5">
              <w:rPr>
                <w:webHidden/>
              </w:rPr>
              <w:fldChar w:fldCharType="separate"/>
            </w:r>
            <w:r w:rsidR="00C60F46">
              <w:rPr>
                <w:webHidden/>
              </w:rPr>
              <w:t>16</w:t>
            </w:r>
            <w:r w:rsidR="00A64AD5">
              <w:rPr>
                <w:webHidden/>
              </w:rPr>
              <w:fldChar w:fldCharType="end"/>
            </w:r>
          </w:hyperlink>
        </w:p>
        <w:p w14:paraId="61A086AA" w14:textId="032B9F20" w:rsidR="00A64AD5" w:rsidRDefault="00F22764">
          <w:pPr>
            <w:pStyle w:val="TOC2"/>
            <w:rPr>
              <w:rFonts w:eastAsiaTheme="minorEastAsia" w:cstheme="minorBidi"/>
              <w:b w:val="0"/>
              <w:bCs w:val="0"/>
              <w:kern w:val="2"/>
              <w:sz w:val="24"/>
              <w:szCs w:val="24"/>
              <w:lang w:eastAsia="en-GB"/>
              <w14:ligatures w14:val="standardContextual"/>
            </w:rPr>
          </w:pPr>
          <w:hyperlink w:anchor="_Toc164960613" w:history="1">
            <w:r w:rsidR="00A64AD5" w:rsidRPr="00827446">
              <w:rPr>
                <w:rStyle w:val="Hyperlink"/>
              </w:rPr>
              <w:t>3.2</w:t>
            </w:r>
            <w:r w:rsidR="00A64AD5">
              <w:rPr>
                <w:rFonts w:eastAsiaTheme="minorEastAsia" w:cstheme="minorBidi"/>
                <w:b w:val="0"/>
                <w:bCs w:val="0"/>
                <w:kern w:val="2"/>
                <w:sz w:val="24"/>
                <w:szCs w:val="24"/>
                <w:lang w:eastAsia="en-GB"/>
                <w14:ligatures w14:val="standardContextual"/>
              </w:rPr>
              <w:tab/>
            </w:r>
            <w:r w:rsidR="00A64AD5" w:rsidRPr="00827446">
              <w:rPr>
                <w:rStyle w:val="Hyperlink"/>
              </w:rPr>
              <w:t>Metagenomics</w:t>
            </w:r>
            <w:r w:rsidR="00A64AD5">
              <w:rPr>
                <w:webHidden/>
              </w:rPr>
              <w:tab/>
            </w:r>
            <w:r w:rsidR="00A64AD5">
              <w:rPr>
                <w:webHidden/>
              </w:rPr>
              <w:fldChar w:fldCharType="begin"/>
            </w:r>
            <w:r w:rsidR="00A64AD5">
              <w:rPr>
                <w:webHidden/>
              </w:rPr>
              <w:instrText xml:space="preserve"> PAGEREF _Toc164960613 \h </w:instrText>
            </w:r>
            <w:r w:rsidR="00A64AD5">
              <w:rPr>
                <w:webHidden/>
              </w:rPr>
            </w:r>
            <w:r w:rsidR="00A64AD5">
              <w:rPr>
                <w:webHidden/>
              </w:rPr>
              <w:fldChar w:fldCharType="separate"/>
            </w:r>
            <w:r w:rsidR="00C60F46">
              <w:rPr>
                <w:webHidden/>
              </w:rPr>
              <w:t>19</w:t>
            </w:r>
            <w:r w:rsidR="00A64AD5">
              <w:rPr>
                <w:webHidden/>
              </w:rPr>
              <w:fldChar w:fldCharType="end"/>
            </w:r>
          </w:hyperlink>
        </w:p>
        <w:p w14:paraId="665B1C92" w14:textId="12C0968A" w:rsidR="00A64AD5" w:rsidRDefault="00F22764">
          <w:pPr>
            <w:pStyle w:val="TOC3"/>
            <w:rPr>
              <w:rFonts w:eastAsiaTheme="minorEastAsia" w:cstheme="minorBidi"/>
              <w:kern w:val="2"/>
              <w:sz w:val="24"/>
              <w:szCs w:val="24"/>
              <w:lang w:eastAsia="en-GB"/>
              <w14:ligatures w14:val="standardContextual"/>
            </w:rPr>
          </w:pPr>
          <w:hyperlink w:anchor="_Toc164960614" w:history="1">
            <w:r w:rsidR="00A64AD5" w:rsidRPr="00827446">
              <w:rPr>
                <w:rStyle w:val="Hyperlink"/>
              </w:rPr>
              <w:t>3.2.1</w:t>
            </w:r>
            <w:r w:rsidR="00A64AD5">
              <w:rPr>
                <w:rFonts w:eastAsiaTheme="minorEastAsia" w:cstheme="minorBidi"/>
                <w:kern w:val="2"/>
                <w:sz w:val="24"/>
                <w:szCs w:val="24"/>
                <w:lang w:eastAsia="en-GB"/>
                <w14:ligatures w14:val="standardContextual"/>
              </w:rPr>
              <w:tab/>
            </w:r>
            <w:r w:rsidR="00A64AD5" w:rsidRPr="00827446">
              <w:rPr>
                <w:rStyle w:val="Hyperlink"/>
              </w:rPr>
              <w:t>All identified genes/products</w:t>
            </w:r>
            <w:r w:rsidR="00A64AD5">
              <w:rPr>
                <w:webHidden/>
              </w:rPr>
              <w:tab/>
            </w:r>
            <w:r w:rsidR="00A64AD5">
              <w:rPr>
                <w:webHidden/>
              </w:rPr>
              <w:fldChar w:fldCharType="begin"/>
            </w:r>
            <w:r w:rsidR="00A64AD5">
              <w:rPr>
                <w:webHidden/>
              </w:rPr>
              <w:instrText xml:space="preserve"> PAGEREF _Toc164960614 \h </w:instrText>
            </w:r>
            <w:r w:rsidR="00A64AD5">
              <w:rPr>
                <w:webHidden/>
              </w:rPr>
            </w:r>
            <w:r w:rsidR="00A64AD5">
              <w:rPr>
                <w:webHidden/>
              </w:rPr>
              <w:fldChar w:fldCharType="separate"/>
            </w:r>
            <w:r w:rsidR="00C60F46">
              <w:rPr>
                <w:webHidden/>
              </w:rPr>
              <w:t>19</w:t>
            </w:r>
            <w:r w:rsidR="00A64AD5">
              <w:rPr>
                <w:webHidden/>
              </w:rPr>
              <w:fldChar w:fldCharType="end"/>
            </w:r>
          </w:hyperlink>
        </w:p>
        <w:p w14:paraId="5063EDB2" w14:textId="7A1B4920" w:rsidR="00A64AD5" w:rsidRDefault="00F22764">
          <w:pPr>
            <w:pStyle w:val="TOC3"/>
            <w:rPr>
              <w:rFonts w:eastAsiaTheme="minorEastAsia" w:cstheme="minorBidi"/>
              <w:kern w:val="2"/>
              <w:sz w:val="24"/>
              <w:szCs w:val="24"/>
              <w:lang w:eastAsia="en-GB"/>
              <w14:ligatures w14:val="standardContextual"/>
            </w:rPr>
          </w:pPr>
          <w:hyperlink w:anchor="_Toc164960615" w:history="1">
            <w:r w:rsidR="00A64AD5" w:rsidRPr="00827446">
              <w:rPr>
                <w:rStyle w:val="Hyperlink"/>
              </w:rPr>
              <w:t>3.2.2</w:t>
            </w:r>
            <w:r w:rsidR="00A64AD5">
              <w:rPr>
                <w:rFonts w:eastAsiaTheme="minorEastAsia" w:cstheme="minorBidi"/>
                <w:kern w:val="2"/>
                <w:sz w:val="24"/>
                <w:szCs w:val="24"/>
                <w:lang w:eastAsia="en-GB"/>
                <w14:ligatures w14:val="standardContextual"/>
              </w:rPr>
              <w:tab/>
            </w:r>
            <w:r w:rsidR="00A64AD5" w:rsidRPr="00827446">
              <w:rPr>
                <w:rStyle w:val="Hyperlink"/>
              </w:rPr>
              <w:t>Genes identified in the COG database</w:t>
            </w:r>
            <w:r w:rsidR="00A64AD5">
              <w:rPr>
                <w:webHidden/>
              </w:rPr>
              <w:tab/>
            </w:r>
            <w:r w:rsidR="00A64AD5">
              <w:rPr>
                <w:webHidden/>
              </w:rPr>
              <w:fldChar w:fldCharType="begin"/>
            </w:r>
            <w:r w:rsidR="00A64AD5">
              <w:rPr>
                <w:webHidden/>
              </w:rPr>
              <w:instrText xml:space="preserve"> PAGEREF _Toc164960615 \h </w:instrText>
            </w:r>
            <w:r w:rsidR="00A64AD5">
              <w:rPr>
                <w:webHidden/>
              </w:rPr>
            </w:r>
            <w:r w:rsidR="00A64AD5">
              <w:rPr>
                <w:webHidden/>
              </w:rPr>
              <w:fldChar w:fldCharType="separate"/>
            </w:r>
            <w:r w:rsidR="00C60F46">
              <w:rPr>
                <w:webHidden/>
              </w:rPr>
              <w:t>21</w:t>
            </w:r>
            <w:r w:rsidR="00A64AD5">
              <w:rPr>
                <w:webHidden/>
              </w:rPr>
              <w:fldChar w:fldCharType="end"/>
            </w:r>
          </w:hyperlink>
        </w:p>
        <w:p w14:paraId="24A2ABA5" w14:textId="1A282946" w:rsidR="00A64AD5" w:rsidRDefault="00F22764">
          <w:pPr>
            <w:pStyle w:val="TOC3"/>
            <w:rPr>
              <w:rFonts w:eastAsiaTheme="minorEastAsia" w:cstheme="minorBidi"/>
              <w:kern w:val="2"/>
              <w:sz w:val="24"/>
              <w:szCs w:val="24"/>
              <w:lang w:eastAsia="en-GB"/>
              <w14:ligatures w14:val="standardContextual"/>
            </w:rPr>
          </w:pPr>
          <w:hyperlink w:anchor="_Toc164960616" w:history="1">
            <w:r w:rsidR="00A64AD5" w:rsidRPr="00827446">
              <w:rPr>
                <w:rStyle w:val="Hyperlink"/>
              </w:rPr>
              <w:t>3.2.1</w:t>
            </w:r>
            <w:r w:rsidR="00A64AD5">
              <w:rPr>
                <w:rFonts w:eastAsiaTheme="minorEastAsia" w:cstheme="minorBidi"/>
                <w:kern w:val="2"/>
                <w:sz w:val="24"/>
                <w:szCs w:val="24"/>
                <w:lang w:eastAsia="en-GB"/>
                <w14:ligatures w14:val="standardContextual"/>
              </w:rPr>
              <w:tab/>
            </w:r>
            <w:r w:rsidR="00A64AD5" w:rsidRPr="00827446">
              <w:rPr>
                <w:rStyle w:val="Hyperlink"/>
              </w:rPr>
              <w:t>Genes identified in the GO functional database</w:t>
            </w:r>
            <w:r w:rsidR="00A64AD5">
              <w:rPr>
                <w:webHidden/>
              </w:rPr>
              <w:tab/>
            </w:r>
            <w:r w:rsidR="00A64AD5">
              <w:rPr>
                <w:webHidden/>
              </w:rPr>
              <w:fldChar w:fldCharType="begin"/>
            </w:r>
            <w:r w:rsidR="00A64AD5">
              <w:rPr>
                <w:webHidden/>
              </w:rPr>
              <w:instrText xml:space="preserve"> PAGEREF _Toc164960616 \h </w:instrText>
            </w:r>
            <w:r w:rsidR="00A64AD5">
              <w:rPr>
                <w:webHidden/>
              </w:rPr>
            </w:r>
            <w:r w:rsidR="00A64AD5">
              <w:rPr>
                <w:webHidden/>
              </w:rPr>
              <w:fldChar w:fldCharType="separate"/>
            </w:r>
            <w:r w:rsidR="00C60F46">
              <w:rPr>
                <w:webHidden/>
              </w:rPr>
              <w:t>22</w:t>
            </w:r>
            <w:r w:rsidR="00A64AD5">
              <w:rPr>
                <w:webHidden/>
              </w:rPr>
              <w:fldChar w:fldCharType="end"/>
            </w:r>
          </w:hyperlink>
        </w:p>
        <w:p w14:paraId="0F9F9496" w14:textId="67EDFA2E" w:rsidR="00A64AD5" w:rsidRDefault="00F22764">
          <w:pPr>
            <w:pStyle w:val="TOC3"/>
            <w:rPr>
              <w:rFonts w:eastAsiaTheme="minorEastAsia" w:cstheme="minorBidi"/>
              <w:kern w:val="2"/>
              <w:sz w:val="24"/>
              <w:szCs w:val="24"/>
              <w:lang w:eastAsia="en-GB"/>
              <w14:ligatures w14:val="standardContextual"/>
            </w:rPr>
          </w:pPr>
          <w:hyperlink w:anchor="_Toc164960617" w:history="1">
            <w:r w:rsidR="00A64AD5" w:rsidRPr="00827446">
              <w:rPr>
                <w:rStyle w:val="Hyperlink"/>
              </w:rPr>
              <w:t>3.2.2</w:t>
            </w:r>
            <w:r w:rsidR="00A64AD5">
              <w:rPr>
                <w:rFonts w:eastAsiaTheme="minorEastAsia" w:cstheme="minorBidi"/>
                <w:kern w:val="2"/>
                <w:sz w:val="24"/>
                <w:szCs w:val="24"/>
                <w:lang w:eastAsia="en-GB"/>
                <w14:ligatures w14:val="standardContextual"/>
              </w:rPr>
              <w:tab/>
            </w:r>
            <w:r w:rsidR="00A64AD5" w:rsidRPr="00827446">
              <w:rPr>
                <w:rStyle w:val="Hyperlink"/>
              </w:rPr>
              <w:t>Genes identified in the EC database</w:t>
            </w:r>
            <w:r w:rsidR="00A64AD5">
              <w:rPr>
                <w:webHidden/>
              </w:rPr>
              <w:tab/>
            </w:r>
            <w:r w:rsidR="00A64AD5">
              <w:rPr>
                <w:webHidden/>
              </w:rPr>
              <w:fldChar w:fldCharType="begin"/>
            </w:r>
            <w:r w:rsidR="00A64AD5">
              <w:rPr>
                <w:webHidden/>
              </w:rPr>
              <w:instrText xml:space="preserve"> PAGEREF _Toc164960617 \h </w:instrText>
            </w:r>
            <w:r w:rsidR="00A64AD5">
              <w:rPr>
                <w:webHidden/>
              </w:rPr>
            </w:r>
            <w:r w:rsidR="00A64AD5">
              <w:rPr>
                <w:webHidden/>
              </w:rPr>
              <w:fldChar w:fldCharType="separate"/>
            </w:r>
            <w:r w:rsidR="00C60F46">
              <w:rPr>
                <w:webHidden/>
              </w:rPr>
              <w:t>24</w:t>
            </w:r>
            <w:r w:rsidR="00A64AD5">
              <w:rPr>
                <w:webHidden/>
              </w:rPr>
              <w:fldChar w:fldCharType="end"/>
            </w:r>
          </w:hyperlink>
        </w:p>
        <w:p w14:paraId="78140871" w14:textId="38C3ABE7" w:rsidR="00A64AD5" w:rsidRDefault="00F22764">
          <w:pPr>
            <w:pStyle w:val="TOC3"/>
            <w:rPr>
              <w:rFonts w:eastAsiaTheme="minorEastAsia" w:cstheme="minorBidi"/>
              <w:kern w:val="2"/>
              <w:sz w:val="24"/>
              <w:szCs w:val="24"/>
              <w:lang w:eastAsia="en-GB"/>
              <w14:ligatures w14:val="standardContextual"/>
            </w:rPr>
          </w:pPr>
          <w:hyperlink w:anchor="_Toc164960618" w:history="1">
            <w:r w:rsidR="00A64AD5" w:rsidRPr="00827446">
              <w:rPr>
                <w:rStyle w:val="Hyperlink"/>
              </w:rPr>
              <w:t>3.2.3</w:t>
            </w:r>
            <w:r w:rsidR="00A64AD5">
              <w:rPr>
                <w:rFonts w:eastAsiaTheme="minorEastAsia" w:cstheme="minorBidi"/>
                <w:kern w:val="2"/>
                <w:sz w:val="24"/>
                <w:szCs w:val="24"/>
                <w:lang w:eastAsia="en-GB"/>
                <w14:ligatures w14:val="standardContextual"/>
              </w:rPr>
              <w:tab/>
            </w:r>
            <w:r w:rsidR="00A64AD5" w:rsidRPr="00827446">
              <w:rPr>
                <w:rStyle w:val="Hyperlink"/>
              </w:rPr>
              <w:t>16S rDNA (prokaryote) simulated metabarcoding (Kelpie)</w:t>
            </w:r>
            <w:r w:rsidR="00A64AD5">
              <w:rPr>
                <w:webHidden/>
              </w:rPr>
              <w:tab/>
            </w:r>
            <w:r w:rsidR="00A64AD5">
              <w:rPr>
                <w:webHidden/>
              </w:rPr>
              <w:fldChar w:fldCharType="begin"/>
            </w:r>
            <w:r w:rsidR="00A64AD5">
              <w:rPr>
                <w:webHidden/>
              </w:rPr>
              <w:instrText xml:space="preserve"> PAGEREF _Toc164960618 \h </w:instrText>
            </w:r>
            <w:r w:rsidR="00A64AD5">
              <w:rPr>
                <w:webHidden/>
              </w:rPr>
            </w:r>
            <w:r w:rsidR="00A64AD5">
              <w:rPr>
                <w:webHidden/>
              </w:rPr>
              <w:fldChar w:fldCharType="separate"/>
            </w:r>
            <w:r w:rsidR="00C60F46">
              <w:rPr>
                <w:webHidden/>
              </w:rPr>
              <w:t>25</w:t>
            </w:r>
            <w:r w:rsidR="00A64AD5">
              <w:rPr>
                <w:webHidden/>
              </w:rPr>
              <w:fldChar w:fldCharType="end"/>
            </w:r>
          </w:hyperlink>
        </w:p>
        <w:p w14:paraId="3394E1F8" w14:textId="29773C99" w:rsidR="00A64AD5" w:rsidRDefault="00F22764">
          <w:pPr>
            <w:pStyle w:val="TOC3"/>
            <w:rPr>
              <w:rFonts w:eastAsiaTheme="minorEastAsia" w:cstheme="minorBidi"/>
              <w:kern w:val="2"/>
              <w:sz w:val="24"/>
              <w:szCs w:val="24"/>
              <w:lang w:eastAsia="en-GB"/>
              <w14:ligatures w14:val="standardContextual"/>
            </w:rPr>
          </w:pPr>
          <w:hyperlink w:anchor="_Toc164960619" w:history="1">
            <w:r w:rsidR="00A64AD5" w:rsidRPr="00827446">
              <w:rPr>
                <w:rStyle w:val="Hyperlink"/>
              </w:rPr>
              <w:t>3.2.4</w:t>
            </w:r>
            <w:r w:rsidR="00A64AD5">
              <w:rPr>
                <w:rFonts w:eastAsiaTheme="minorEastAsia" w:cstheme="minorBidi"/>
                <w:kern w:val="2"/>
                <w:sz w:val="24"/>
                <w:szCs w:val="24"/>
                <w:lang w:eastAsia="en-GB"/>
                <w14:ligatures w14:val="standardContextual"/>
              </w:rPr>
              <w:tab/>
            </w:r>
            <w:r w:rsidR="00A64AD5" w:rsidRPr="00827446">
              <w:rPr>
                <w:rStyle w:val="Hyperlink"/>
              </w:rPr>
              <w:t>18S rDNA (eukaryote) simulated metabarcoding (Kelpie)</w:t>
            </w:r>
            <w:r w:rsidR="00A64AD5">
              <w:rPr>
                <w:webHidden/>
              </w:rPr>
              <w:tab/>
            </w:r>
            <w:r w:rsidR="00A64AD5">
              <w:rPr>
                <w:webHidden/>
              </w:rPr>
              <w:fldChar w:fldCharType="begin"/>
            </w:r>
            <w:r w:rsidR="00A64AD5">
              <w:rPr>
                <w:webHidden/>
              </w:rPr>
              <w:instrText xml:space="preserve"> PAGEREF _Toc164960619 \h </w:instrText>
            </w:r>
            <w:r w:rsidR="00A64AD5">
              <w:rPr>
                <w:webHidden/>
              </w:rPr>
            </w:r>
            <w:r w:rsidR="00A64AD5">
              <w:rPr>
                <w:webHidden/>
              </w:rPr>
              <w:fldChar w:fldCharType="separate"/>
            </w:r>
            <w:r w:rsidR="00C60F46">
              <w:rPr>
                <w:webHidden/>
              </w:rPr>
              <w:t>26</w:t>
            </w:r>
            <w:r w:rsidR="00A64AD5">
              <w:rPr>
                <w:webHidden/>
              </w:rPr>
              <w:fldChar w:fldCharType="end"/>
            </w:r>
          </w:hyperlink>
        </w:p>
        <w:p w14:paraId="71ADB7CA" w14:textId="69B8128D" w:rsidR="00A64AD5" w:rsidRDefault="00F22764">
          <w:pPr>
            <w:pStyle w:val="TOC2"/>
            <w:rPr>
              <w:rFonts w:eastAsiaTheme="minorEastAsia" w:cstheme="minorBidi"/>
              <w:b w:val="0"/>
              <w:bCs w:val="0"/>
              <w:kern w:val="2"/>
              <w:sz w:val="24"/>
              <w:szCs w:val="24"/>
              <w:lang w:eastAsia="en-GB"/>
              <w14:ligatures w14:val="standardContextual"/>
            </w:rPr>
          </w:pPr>
          <w:hyperlink w:anchor="_Toc164960620" w:history="1">
            <w:r w:rsidR="00A64AD5" w:rsidRPr="00827446">
              <w:rPr>
                <w:rStyle w:val="Hyperlink"/>
              </w:rPr>
              <w:t>3.3</w:t>
            </w:r>
            <w:r w:rsidR="00A64AD5">
              <w:rPr>
                <w:rFonts w:eastAsiaTheme="minorEastAsia" w:cstheme="minorBidi"/>
                <w:b w:val="0"/>
                <w:bCs w:val="0"/>
                <w:kern w:val="2"/>
                <w:sz w:val="24"/>
                <w:szCs w:val="24"/>
                <w:lang w:eastAsia="en-GB"/>
                <w14:ligatures w14:val="standardContextual"/>
              </w:rPr>
              <w:tab/>
            </w:r>
            <w:r w:rsidR="00A64AD5" w:rsidRPr="00827446">
              <w:rPr>
                <w:rStyle w:val="Hyperlink"/>
              </w:rPr>
              <w:t>Metabarcode analysis</w:t>
            </w:r>
            <w:r w:rsidR="00A64AD5">
              <w:rPr>
                <w:webHidden/>
              </w:rPr>
              <w:tab/>
            </w:r>
            <w:r w:rsidR="00A64AD5">
              <w:rPr>
                <w:webHidden/>
              </w:rPr>
              <w:fldChar w:fldCharType="begin"/>
            </w:r>
            <w:r w:rsidR="00A64AD5">
              <w:rPr>
                <w:webHidden/>
              </w:rPr>
              <w:instrText xml:space="preserve"> PAGEREF _Toc164960620 \h </w:instrText>
            </w:r>
            <w:r w:rsidR="00A64AD5">
              <w:rPr>
                <w:webHidden/>
              </w:rPr>
            </w:r>
            <w:r w:rsidR="00A64AD5">
              <w:rPr>
                <w:webHidden/>
              </w:rPr>
              <w:fldChar w:fldCharType="separate"/>
            </w:r>
            <w:r w:rsidR="00C60F46">
              <w:rPr>
                <w:webHidden/>
              </w:rPr>
              <w:t>28</w:t>
            </w:r>
            <w:r w:rsidR="00A64AD5">
              <w:rPr>
                <w:webHidden/>
              </w:rPr>
              <w:fldChar w:fldCharType="end"/>
            </w:r>
          </w:hyperlink>
        </w:p>
        <w:p w14:paraId="3070B246" w14:textId="5820762F" w:rsidR="00A64AD5" w:rsidRDefault="00F22764">
          <w:pPr>
            <w:pStyle w:val="TOC3"/>
            <w:rPr>
              <w:rFonts w:eastAsiaTheme="minorEastAsia" w:cstheme="minorBidi"/>
              <w:kern w:val="2"/>
              <w:sz w:val="24"/>
              <w:szCs w:val="24"/>
              <w:lang w:eastAsia="en-GB"/>
              <w14:ligatures w14:val="standardContextual"/>
            </w:rPr>
          </w:pPr>
          <w:hyperlink w:anchor="_Toc164960621" w:history="1">
            <w:r w:rsidR="00A64AD5" w:rsidRPr="00827446">
              <w:rPr>
                <w:rStyle w:val="Hyperlink"/>
              </w:rPr>
              <w:t>3.3.1</w:t>
            </w:r>
            <w:r w:rsidR="00A64AD5">
              <w:rPr>
                <w:rFonts w:eastAsiaTheme="minorEastAsia" w:cstheme="minorBidi"/>
                <w:kern w:val="2"/>
                <w:sz w:val="24"/>
                <w:szCs w:val="24"/>
                <w:lang w:eastAsia="en-GB"/>
                <w14:ligatures w14:val="standardContextual"/>
              </w:rPr>
              <w:tab/>
            </w:r>
            <w:r w:rsidR="00A64AD5" w:rsidRPr="00827446">
              <w:rPr>
                <w:rStyle w:val="Hyperlink"/>
              </w:rPr>
              <w:t>16S rDNA (prokaryote) metabarcode samples</w:t>
            </w:r>
            <w:r w:rsidR="00A64AD5">
              <w:rPr>
                <w:webHidden/>
              </w:rPr>
              <w:tab/>
            </w:r>
            <w:r w:rsidR="00A64AD5">
              <w:rPr>
                <w:webHidden/>
              </w:rPr>
              <w:fldChar w:fldCharType="begin"/>
            </w:r>
            <w:r w:rsidR="00A64AD5">
              <w:rPr>
                <w:webHidden/>
              </w:rPr>
              <w:instrText xml:space="preserve"> PAGEREF _Toc164960621 \h </w:instrText>
            </w:r>
            <w:r w:rsidR="00A64AD5">
              <w:rPr>
                <w:webHidden/>
              </w:rPr>
            </w:r>
            <w:r w:rsidR="00A64AD5">
              <w:rPr>
                <w:webHidden/>
              </w:rPr>
              <w:fldChar w:fldCharType="separate"/>
            </w:r>
            <w:r w:rsidR="00C60F46">
              <w:rPr>
                <w:webHidden/>
              </w:rPr>
              <w:t>28</w:t>
            </w:r>
            <w:r w:rsidR="00A64AD5">
              <w:rPr>
                <w:webHidden/>
              </w:rPr>
              <w:fldChar w:fldCharType="end"/>
            </w:r>
          </w:hyperlink>
        </w:p>
        <w:p w14:paraId="6E7404DD" w14:textId="760B0BE6" w:rsidR="00A64AD5" w:rsidRDefault="00F22764">
          <w:pPr>
            <w:pStyle w:val="TOC3"/>
            <w:rPr>
              <w:rFonts w:eastAsiaTheme="minorEastAsia" w:cstheme="minorBidi"/>
              <w:kern w:val="2"/>
              <w:sz w:val="24"/>
              <w:szCs w:val="24"/>
              <w:lang w:eastAsia="en-GB"/>
              <w14:ligatures w14:val="standardContextual"/>
            </w:rPr>
          </w:pPr>
          <w:hyperlink w:anchor="_Toc164960622" w:history="1">
            <w:r w:rsidR="00A64AD5" w:rsidRPr="00827446">
              <w:rPr>
                <w:rStyle w:val="Hyperlink"/>
              </w:rPr>
              <w:t>3.3.2</w:t>
            </w:r>
            <w:r w:rsidR="00A64AD5">
              <w:rPr>
                <w:rFonts w:eastAsiaTheme="minorEastAsia" w:cstheme="minorBidi"/>
                <w:kern w:val="2"/>
                <w:sz w:val="24"/>
                <w:szCs w:val="24"/>
                <w:lang w:eastAsia="en-GB"/>
                <w14:ligatures w14:val="standardContextual"/>
              </w:rPr>
              <w:tab/>
            </w:r>
            <w:r w:rsidR="00A64AD5" w:rsidRPr="00827446">
              <w:rPr>
                <w:rStyle w:val="Hyperlink"/>
              </w:rPr>
              <w:t>16S rDNA FAPROTAX</w:t>
            </w:r>
            <w:r w:rsidR="00A64AD5">
              <w:rPr>
                <w:webHidden/>
              </w:rPr>
              <w:tab/>
            </w:r>
            <w:r w:rsidR="00A64AD5">
              <w:rPr>
                <w:webHidden/>
              </w:rPr>
              <w:fldChar w:fldCharType="begin"/>
            </w:r>
            <w:r w:rsidR="00A64AD5">
              <w:rPr>
                <w:webHidden/>
              </w:rPr>
              <w:instrText xml:space="preserve"> PAGEREF _Toc164960622 \h </w:instrText>
            </w:r>
            <w:r w:rsidR="00A64AD5">
              <w:rPr>
                <w:webHidden/>
              </w:rPr>
            </w:r>
            <w:r w:rsidR="00A64AD5">
              <w:rPr>
                <w:webHidden/>
              </w:rPr>
              <w:fldChar w:fldCharType="separate"/>
            </w:r>
            <w:r w:rsidR="00C60F46">
              <w:rPr>
                <w:webHidden/>
              </w:rPr>
              <w:t>29</w:t>
            </w:r>
            <w:r w:rsidR="00A64AD5">
              <w:rPr>
                <w:webHidden/>
              </w:rPr>
              <w:fldChar w:fldCharType="end"/>
            </w:r>
          </w:hyperlink>
        </w:p>
        <w:p w14:paraId="73EB7F87" w14:textId="2916DB8F" w:rsidR="00A64AD5" w:rsidRDefault="00F22764">
          <w:pPr>
            <w:pStyle w:val="TOC3"/>
            <w:rPr>
              <w:rFonts w:eastAsiaTheme="minorEastAsia" w:cstheme="minorBidi"/>
              <w:kern w:val="2"/>
              <w:sz w:val="24"/>
              <w:szCs w:val="24"/>
              <w:lang w:eastAsia="en-GB"/>
              <w14:ligatures w14:val="standardContextual"/>
            </w:rPr>
          </w:pPr>
          <w:hyperlink w:anchor="_Toc164960623" w:history="1">
            <w:r w:rsidR="00A64AD5" w:rsidRPr="00827446">
              <w:rPr>
                <w:rStyle w:val="Hyperlink"/>
              </w:rPr>
              <w:t>3.3.3</w:t>
            </w:r>
            <w:r w:rsidR="00A64AD5">
              <w:rPr>
                <w:rFonts w:eastAsiaTheme="minorEastAsia" w:cstheme="minorBidi"/>
                <w:kern w:val="2"/>
                <w:sz w:val="24"/>
                <w:szCs w:val="24"/>
                <w:lang w:eastAsia="en-GB"/>
                <w14:ligatures w14:val="standardContextual"/>
              </w:rPr>
              <w:tab/>
            </w:r>
            <w:r w:rsidR="00A64AD5" w:rsidRPr="00827446">
              <w:rPr>
                <w:rStyle w:val="Hyperlink"/>
              </w:rPr>
              <w:t>18S rDNA metabarcode</w:t>
            </w:r>
            <w:r w:rsidR="00A64AD5">
              <w:rPr>
                <w:webHidden/>
              </w:rPr>
              <w:tab/>
            </w:r>
            <w:r w:rsidR="00A64AD5">
              <w:rPr>
                <w:webHidden/>
              </w:rPr>
              <w:fldChar w:fldCharType="begin"/>
            </w:r>
            <w:r w:rsidR="00A64AD5">
              <w:rPr>
                <w:webHidden/>
              </w:rPr>
              <w:instrText xml:space="preserve"> PAGEREF _Toc164960623 \h </w:instrText>
            </w:r>
            <w:r w:rsidR="00A64AD5">
              <w:rPr>
                <w:webHidden/>
              </w:rPr>
            </w:r>
            <w:r w:rsidR="00A64AD5">
              <w:rPr>
                <w:webHidden/>
              </w:rPr>
              <w:fldChar w:fldCharType="separate"/>
            </w:r>
            <w:r w:rsidR="00C60F46">
              <w:rPr>
                <w:webHidden/>
              </w:rPr>
              <w:t>31</w:t>
            </w:r>
            <w:r w:rsidR="00A64AD5">
              <w:rPr>
                <w:webHidden/>
              </w:rPr>
              <w:fldChar w:fldCharType="end"/>
            </w:r>
          </w:hyperlink>
        </w:p>
        <w:p w14:paraId="2C8857CE" w14:textId="5F8465FC" w:rsidR="00A64AD5" w:rsidRDefault="00F22764">
          <w:pPr>
            <w:pStyle w:val="TOC2"/>
            <w:rPr>
              <w:rFonts w:eastAsiaTheme="minorEastAsia" w:cstheme="minorBidi"/>
              <w:b w:val="0"/>
              <w:bCs w:val="0"/>
              <w:kern w:val="2"/>
              <w:sz w:val="24"/>
              <w:szCs w:val="24"/>
              <w:lang w:eastAsia="en-GB"/>
              <w14:ligatures w14:val="standardContextual"/>
            </w:rPr>
          </w:pPr>
          <w:hyperlink w:anchor="_Toc164960624" w:history="1">
            <w:r w:rsidR="00A64AD5" w:rsidRPr="00827446">
              <w:rPr>
                <w:rStyle w:val="Hyperlink"/>
              </w:rPr>
              <w:t>3.4</w:t>
            </w:r>
            <w:r w:rsidR="00A64AD5">
              <w:rPr>
                <w:rFonts w:eastAsiaTheme="minorEastAsia" w:cstheme="minorBidi"/>
                <w:b w:val="0"/>
                <w:bCs w:val="0"/>
                <w:kern w:val="2"/>
                <w:sz w:val="24"/>
                <w:szCs w:val="24"/>
                <w:lang w:eastAsia="en-GB"/>
                <w14:ligatures w14:val="standardContextual"/>
              </w:rPr>
              <w:tab/>
            </w:r>
            <w:r w:rsidR="00A64AD5" w:rsidRPr="00827446">
              <w:rPr>
                <w:rStyle w:val="Hyperlink"/>
              </w:rPr>
              <w:t>Comparison of metagenome and metabarcode data</w:t>
            </w:r>
            <w:r w:rsidR="00A64AD5">
              <w:rPr>
                <w:webHidden/>
              </w:rPr>
              <w:tab/>
            </w:r>
            <w:r w:rsidR="00A64AD5">
              <w:rPr>
                <w:webHidden/>
              </w:rPr>
              <w:fldChar w:fldCharType="begin"/>
            </w:r>
            <w:r w:rsidR="00A64AD5">
              <w:rPr>
                <w:webHidden/>
              </w:rPr>
              <w:instrText xml:space="preserve"> PAGEREF _Toc164960624 \h </w:instrText>
            </w:r>
            <w:r w:rsidR="00A64AD5">
              <w:rPr>
                <w:webHidden/>
              </w:rPr>
            </w:r>
            <w:r w:rsidR="00A64AD5">
              <w:rPr>
                <w:webHidden/>
              </w:rPr>
              <w:fldChar w:fldCharType="separate"/>
            </w:r>
            <w:r w:rsidR="00C60F46">
              <w:rPr>
                <w:webHidden/>
              </w:rPr>
              <w:t>32</w:t>
            </w:r>
            <w:r w:rsidR="00A64AD5">
              <w:rPr>
                <w:webHidden/>
              </w:rPr>
              <w:fldChar w:fldCharType="end"/>
            </w:r>
          </w:hyperlink>
        </w:p>
        <w:p w14:paraId="059D33C2" w14:textId="53480D0C" w:rsidR="00A64AD5" w:rsidRDefault="00F22764">
          <w:pPr>
            <w:pStyle w:val="TOC1"/>
            <w:rPr>
              <w:rFonts w:eastAsiaTheme="minorEastAsia" w:cstheme="minorBidi"/>
              <w:b w:val="0"/>
              <w:bCs w:val="0"/>
              <w:iCs w:val="0"/>
              <w:kern w:val="2"/>
              <w:lang w:eastAsia="en-GB"/>
              <w14:ligatures w14:val="standardContextual"/>
            </w:rPr>
          </w:pPr>
          <w:hyperlink w:anchor="_Toc164960625" w:history="1">
            <w:r w:rsidR="00A64AD5" w:rsidRPr="00827446">
              <w:rPr>
                <w:rStyle w:val="Hyperlink"/>
              </w:rPr>
              <w:t>4.</w:t>
            </w:r>
            <w:r w:rsidR="00A64AD5">
              <w:rPr>
                <w:rFonts w:eastAsiaTheme="minorEastAsia" w:cstheme="minorBidi"/>
                <w:b w:val="0"/>
                <w:bCs w:val="0"/>
                <w:iCs w:val="0"/>
                <w:kern w:val="2"/>
                <w:lang w:eastAsia="en-GB"/>
                <w14:ligatures w14:val="standardContextual"/>
              </w:rPr>
              <w:tab/>
            </w:r>
            <w:r w:rsidR="00A64AD5" w:rsidRPr="00827446">
              <w:rPr>
                <w:rStyle w:val="Hyperlink"/>
              </w:rPr>
              <w:t>Summary and recommendations</w:t>
            </w:r>
            <w:r w:rsidR="00A64AD5">
              <w:rPr>
                <w:webHidden/>
              </w:rPr>
              <w:tab/>
            </w:r>
            <w:r w:rsidR="00A64AD5">
              <w:rPr>
                <w:webHidden/>
              </w:rPr>
              <w:fldChar w:fldCharType="begin"/>
            </w:r>
            <w:r w:rsidR="00A64AD5">
              <w:rPr>
                <w:webHidden/>
              </w:rPr>
              <w:instrText xml:space="preserve"> PAGEREF _Toc164960625 \h </w:instrText>
            </w:r>
            <w:r w:rsidR="00A64AD5">
              <w:rPr>
                <w:webHidden/>
              </w:rPr>
            </w:r>
            <w:r w:rsidR="00A64AD5">
              <w:rPr>
                <w:webHidden/>
              </w:rPr>
              <w:fldChar w:fldCharType="separate"/>
            </w:r>
            <w:r w:rsidR="00C60F46">
              <w:rPr>
                <w:webHidden/>
              </w:rPr>
              <w:t>37</w:t>
            </w:r>
            <w:r w:rsidR="00A64AD5">
              <w:rPr>
                <w:webHidden/>
              </w:rPr>
              <w:fldChar w:fldCharType="end"/>
            </w:r>
          </w:hyperlink>
        </w:p>
        <w:p w14:paraId="7AD75C9C" w14:textId="0341B39E" w:rsidR="00A64AD5" w:rsidRDefault="00F22764">
          <w:pPr>
            <w:pStyle w:val="TOC1"/>
            <w:rPr>
              <w:rFonts w:eastAsiaTheme="minorEastAsia" w:cstheme="minorBidi"/>
              <w:b w:val="0"/>
              <w:bCs w:val="0"/>
              <w:iCs w:val="0"/>
              <w:kern w:val="2"/>
              <w:lang w:eastAsia="en-GB"/>
              <w14:ligatures w14:val="standardContextual"/>
            </w:rPr>
          </w:pPr>
          <w:hyperlink w:anchor="_Toc164960626" w:history="1">
            <w:r w:rsidR="00A64AD5" w:rsidRPr="00827446">
              <w:rPr>
                <w:rStyle w:val="Hyperlink"/>
              </w:rPr>
              <w:t>Acknowledgments</w:t>
            </w:r>
            <w:r w:rsidR="00A64AD5">
              <w:rPr>
                <w:webHidden/>
              </w:rPr>
              <w:tab/>
            </w:r>
            <w:r w:rsidR="00A64AD5">
              <w:rPr>
                <w:webHidden/>
              </w:rPr>
              <w:fldChar w:fldCharType="begin"/>
            </w:r>
            <w:r w:rsidR="00A64AD5">
              <w:rPr>
                <w:webHidden/>
              </w:rPr>
              <w:instrText xml:space="preserve"> PAGEREF _Toc164960626 \h </w:instrText>
            </w:r>
            <w:r w:rsidR="00A64AD5">
              <w:rPr>
                <w:webHidden/>
              </w:rPr>
            </w:r>
            <w:r w:rsidR="00A64AD5">
              <w:rPr>
                <w:webHidden/>
              </w:rPr>
              <w:fldChar w:fldCharType="separate"/>
            </w:r>
            <w:r w:rsidR="00C60F46">
              <w:rPr>
                <w:webHidden/>
              </w:rPr>
              <w:t>39</w:t>
            </w:r>
            <w:r w:rsidR="00A64AD5">
              <w:rPr>
                <w:webHidden/>
              </w:rPr>
              <w:fldChar w:fldCharType="end"/>
            </w:r>
          </w:hyperlink>
        </w:p>
        <w:p w14:paraId="3308C349" w14:textId="19349E7D" w:rsidR="00A64AD5" w:rsidRDefault="00F22764">
          <w:pPr>
            <w:pStyle w:val="TOC1"/>
            <w:rPr>
              <w:rFonts w:eastAsiaTheme="minorEastAsia" w:cstheme="minorBidi"/>
              <w:b w:val="0"/>
              <w:bCs w:val="0"/>
              <w:iCs w:val="0"/>
              <w:kern w:val="2"/>
              <w:lang w:eastAsia="en-GB"/>
              <w14:ligatures w14:val="standardContextual"/>
            </w:rPr>
          </w:pPr>
          <w:hyperlink w:anchor="_Toc164960627" w:history="1">
            <w:r w:rsidR="00A64AD5" w:rsidRPr="00827446">
              <w:rPr>
                <w:rStyle w:val="Hyperlink"/>
              </w:rPr>
              <w:t>Reference list</w:t>
            </w:r>
            <w:r w:rsidR="00A64AD5">
              <w:rPr>
                <w:webHidden/>
              </w:rPr>
              <w:tab/>
            </w:r>
            <w:r w:rsidR="00A64AD5">
              <w:rPr>
                <w:webHidden/>
              </w:rPr>
              <w:fldChar w:fldCharType="begin"/>
            </w:r>
            <w:r w:rsidR="00A64AD5">
              <w:rPr>
                <w:webHidden/>
              </w:rPr>
              <w:instrText xml:space="preserve"> PAGEREF _Toc164960627 \h </w:instrText>
            </w:r>
            <w:r w:rsidR="00A64AD5">
              <w:rPr>
                <w:webHidden/>
              </w:rPr>
            </w:r>
            <w:r w:rsidR="00A64AD5">
              <w:rPr>
                <w:webHidden/>
              </w:rPr>
              <w:fldChar w:fldCharType="separate"/>
            </w:r>
            <w:r w:rsidR="00C60F46">
              <w:rPr>
                <w:webHidden/>
              </w:rPr>
              <w:t>40</w:t>
            </w:r>
            <w:r w:rsidR="00A64AD5">
              <w:rPr>
                <w:webHidden/>
              </w:rPr>
              <w:fldChar w:fldCharType="end"/>
            </w:r>
          </w:hyperlink>
        </w:p>
        <w:p w14:paraId="72388FAC" w14:textId="05FE4C4C" w:rsidR="00A64AD5" w:rsidRDefault="00F22764">
          <w:pPr>
            <w:pStyle w:val="TOC1"/>
            <w:rPr>
              <w:rFonts w:eastAsiaTheme="minorEastAsia" w:cstheme="minorBidi"/>
              <w:b w:val="0"/>
              <w:bCs w:val="0"/>
              <w:iCs w:val="0"/>
              <w:kern w:val="2"/>
              <w:lang w:eastAsia="en-GB"/>
              <w14:ligatures w14:val="standardContextual"/>
            </w:rPr>
          </w:pPr>
          <w:hyperlink w:anchor="_Toc164960628" w:history="1">
            <w:r w:rsidR="00A64AD5" w:rsidRPr="00827446">
              <w:rPr>
                <w:rStyle w:val="Hyperlink"/>
              </w:rPr>
              <w:t>Appendices</w:t>
            </w:r>
            <w:r w:rsidR="00A64AD5">
              <w:rPr>
                <w:webHidden/>
              </w:rPr>
              <w:tab/>
            </w:r>
            <w:r w:rsidR="00A64AD5">
              <w:rPr>
                <w:webHidden/>
              </w:rPr>
              <w:fldChar w:fldCharType="begin"/>
            </w:r>
            <w:r w:rsidR="00A64AD5">
              <w:rPr>
                <w:webHidden/>
              </w:rPr>
              <w:instrText xml:space="preserve"> PAGEREF _Toc164960628 \h </w:instrText>
            </w:r>
            <w:r w:rsidR="00A64AD5">
              <w:rPr>
                <w:webHidden/>
              </w:rPr>
            </w:r>
            <w:r w:rsidR="00A64AD5">
              <w:rPr>
                <w:webHidden/>
              </w:rPr>
              <w:fldChar w:fldCharType="separate"/>
            </w:r>
            <w:r w:rsidR="00C60F46">
              <w:rPr>
                <w:webHidden/>
              </w:rPr>
              <w:t>45</w:t>
            </w:r>
            <w:r w:rsidR="00A64AD5">
              <w:rPr>
                <w:webHidden/>
              </w:rPr>
              <w:fldChar w:fldCharType="end"/>
            </w:r>
          </w:hyperlink>
        </w:p>
        <w:p w14:paraId="7EECB69C" w14:textId="093674BB" w:rsidR="00A64AD5" w:rsidRDefault="00F22764">
          <w:pPr>
            <w:pStyle w:val="TOC2"/>
            <w:rPr>
              <w:rFonts w:eastAsiaTheme="minorEastAsia" w:cstheme="minorBidi"/>
              <w:b w:val="0"/>
              <w:bCs w:val="0"/>
              <w:kern w:val="2"/>
              <w:sz w:val="24"/>
              <w:szCs w:val="24"/>
              <w:lang w:eastAsia="en-GB"/>
              <w14:ligatures w14:val="standardContextual"/>
            </w:rPr>
          </w:pPr>
          <w:hyperlink w:anchor="_Toc164960629" w:history="1">
            <w:r w:rsidR="00A64AD5" w:rsidRPr="00827446">
              <w:rPr>
                <w:rStyle w:val="Hyperlink"/>
              </w:rPr>
              <w:t>Appendix 1. Primers and PCR conditions for eDNA</w:t>
            </w:r>
            <w:r w:rsidR="00A64AD5">
              <w:rPr>
                <w:webHidden/>
              </w:rPr>
              <w:tab/>
            </w:r>
            <w:r w:rsidR="00A64AD5">
              <w:rPr>
                <w:webHidden/>
              </w:rPr>
              <w:fldChar w:fldCharType="begin"/>
            </w:r>
            <w:r w:rsidR="00A64AD5">
              <w:rPr>
                <w:webHidden/>
              </w:rPr>
              <w:instrText xml:space="preserve"> PAGEREF _Toc164960629 \h </w:instrText>
            </w:r>
            <w:r w:rsidR="00A64AD5">
              <w:rPr>
                <w:webHidden/>
              </w:rPr>
            </w:r>
            <w:r w:rsidR="00A64AD5">
              <w:rPr>
                <w:webHidden/>
              </w:rPr>
              <w:fldChar w:fldCharType="separate"/>
            </w:r>
            <w:r w:rsidR="00C60F46">
              <w:rPr>
                <w:webHidden/>
              </w:rPr>
              <w:t>45</w:t>
            </w:r>
            <w:r w:rsidR="00A64AD5">
              <w:rPr>
                <w:webHidden/>
              </w:rPr>
              <w:fldChar w:fldCharType="end"/>
            </w:r>
          </w:hyperlink>
        </w:p>
        <w:p w14:paraId="5A268BE9" w14:textId="135B5ABF" w:rsidR="00A64AD5" w:rsidRDefault="00F22764">
          <w:pPr>
            <w:pStyle w:val="TOC2"/>
            <w:rPr>
              <w:rFonts w:eastAsiaTheme="minorEastAsia" w:cstheme="minorBidi"/>
              <w:b w:val="0"/>
              <w:bCs w:val="0"/>
              <w:kern w:val="2"/>
              <w:sz w:val="24"/>
              <w:szCs w:val="24"/>
              <w:lang w:eastAsia="en-GB"/>
              <w14:ligatures w14:val="standardContextual"/>
            </w:rPr>
          </w:pPr>
          <w:hyperlink w:anchor="_Toc164960630" w:history="1">
            <w:r w:rsidR="00A64AD5" w:rsidRPr="00827446">
              <w:rPr>
                <w:rStyle w:val="Hyperlink"/>
              </w:rPr>
              <w:t>Appendix 2. 16S rDNA amplicon bioinformatic methods</w:t>
            </w:r>
            <w:r w:rsidR="00A64AD5">
              <w:rPr>
                <w:webHidden/>
              </w:rPr>
              <w:tab/>
            </w:r>
            <w:r w:rsidR="00A64AD5">
              <w:rPr>
                <w:webHidden/>
              </w:rPr>
              <w:fldChar w:fldCharType="begin"/>
            </w:r>
            <w:r w:rsidR="00A64AD5">
              <w:rPr>
                <w:webHidden/>
              </w:rPr>
              <w:instrText xml:space="preserve"> PAGEREF _Toc164960630 \h </w:instrText>
            </w:r>
            <w:r w:rsidR="00A64AD5">
              <w:rPr>
                <w:webHidden/>
              </w:rPr>
            </w:r>
            <w:r w:rsidR="00A64AD5">
              <w:rPr>
                <w:webHidden/>
              </w:rPr>
              <w:fldChar w:fldCharType="separate"/>
            </w:r>
            <w:r w:rsidR="00C60F46">
              <w:rPr>
                <w:webHidden/>
              </w:rPr>
              <w:t>47</w:t>
            </w:r>
            <w:r w:rsidR="00A64AD5">
              <w:rPr>
                <w:webHidden/>
              </w:rPr>
              <w:fldChar w:fldCharType="end"/>
            </w:r>
          </w:hyperlink>
        </w:p>
        <w:p w14:paraId="17C41D68" w14:textId="13D2529F" w:rsidR="00442520" w:rsidRDefault="00C77E18" w:rsidP="000F6D12">
          <w:pPr>
            <w:tabs>
              <w:tab w:val="left" w:pos="567"/>
            </w:tabs>
          </w:pPr>
          <w:r>
            <w:rPr>
              <w:rFonts w:cstheme="minorHAnsi"/>
              <w:iCs/>
            </w:rPr>
            <w:fldChar w:fldCharType="end"/>
          </w:r>
        </w:p>
      </w:sdtContent>
    </w:sdt>
    <w:p w14:paraId="40A1D117" w14:textId="77777777" w:rsidR="009763CB" w:rsidRPr="009763CB" w:rsidRDefault="009763CB" w:rsidP="009763CB"/>
    <w:p w14:paraId="1ADF4556" w14:textId="77777777" w:rsidR="00E800CD" w:rsidRDefault="00E800CD" w:rsidP="00AF1674">
      <w:pPr>
        <w:pStyle w:val="05BODYTEXT"/>
        <w:spacing w:after="0"/>
        <w:rPr>
          <w:sz w:val="16"/>
          <w:szCs w:val="16"/>
        </w:rPr>
        <w:sectPr w:rsidR="00E800CD" w:rsidSect="005B5E2A">
          <w:headerReference w:type="first" r:id="rId27"/>
          <w:footerReference w:type="first" r:id="rId28"/>
          <w:pgSz w:w="11906" w:h="16838" w:code="9"/>
          <w:pgMar w:top="1701" w:right="1418" w:bottom="1418" w:left="1418" w:header="567" w:footer="567" w:gutter="0"/>
          <w:pgNumType w:fmt="lowerRoman" w:start="5"/>
          <w:cols w:space="708"/>
          <w:titlePg/>
          <w:docGrid w:linePitch="360"/>
        </w:sectPr>
      </w:pPr>
    </w:p>
    <w:p w14:paraId="0273AFE4" w14:textId="0B98BBCE" w:rsidR="00887E02" w:rsidRDefault="00887E02" w:rsidP="00DC1FA0">
      <w:pPr>
        <w:pStyle w:val="Heading1Numbered"/>
        <w:numPr>
          <w:ilvl w:val="0"/>
          <w:numId w:val="0"/>
        </w:numPr>
        <w:ind w:left="567" w:hanging="567"/>
      </w:pPr>
      <w:bookmarkStart w:id="0" w:name="_Toc164960588"/>
      <w:bookmarkStart w:id="1" w:name="_Toc527111098"/>
      <w:r w:rsidRPr="005568EB">
        <w:t xml:space="preserve">Executive </w:t>
      </w:r>
      <w:r w:rsidR="00835794">
        <w:t>s</w:t>
      </w:r>
      <w:r w:rsidRPr="005568EB">
        <w:t>ummary</w:t>
      </w:r>
      <w:bookmarkEnd w:id="0"/>
    </w:p>
    <w:bookmarkEnd w:id="1"/>
    <w:p w14:paraId="3A8CD390" w14:textId="77777777" w:rsidR="00016E1B" w:rsidRDefault="00DC1FA0" w:rsidP="00DC1FA0">
      <w:pPr>
        <w:pStyle w:val="BodyText"/>
      </w:pPr>
      <w:r>
        <w:t>The analysis of DNA in environmental samples provides an unprecedented ability to explore the diversity and function of ecosystems. This is particularly the case for microbial assemblages, which, prior to this revolution, have been difficult to characterise. Analysis of environmental DNA (eDNA) has been applied across all ecosystem types but has seen relatively little application in groundwaters (Saccò et al. 2022), despite its huge potential to characterise biological communities that are poorly described and understood, such as those in the subsurface.</w:t>
      </w:r>
    </w:p>
    <w:p w14:paraId="34EF9410" w14:textId="35C0A529" w:rsidR="00DC1FA0" w:rsidRDefault="00DC1FA0" w:rsidP="00DC1FA0">
      <w:pPr>
        <w:pStyle w:val="BodyText"/>
      </w:pPr>
      <w:r>
        <w:t>Given the past challenges in characterising microbial communities, it is not surprising that bacteria and other microorganisms have rarely been considered in environmental impact assessments, even though microbes in groundwater are responsible for important ecosystem services, including removing or degrading contaminants so that groundwater is clean and fit for human use (Griebler et al. 2019). Microbial communities and the services that they provide are at risk from human activities such as large coal mining (LCM) and coal seam gas (CSG) development that can lead to changes in the hydrology and quality of water within aquifers. It is important, therefore, that groundwater microbial communities are considered in impact assessments for such activities, and that robust and sensitive methods for detecting microbial community change are developed.</w:t>
      </w:r>
    </w:p>
    <w:p w14:paraId="6D530C97" w14:textId="77777777" w:rsidR="00016E1B" w:rsidRDefault="00DC1FA0" w:rsidP="00DC1FA0">
      <w:pPr>
        <w:pStyle w:val="BodyText"/>
      </w:pPr>
      <w:r>
        <w:t>Stages 1 and 2 of this project compared sampling approaches to characterise the microbes and stygofauna in shallow alluvial and fractured sandstone aquifers, including assessing the suitability of eDNA-based approaches for use in routine environmental monitoring and assessment (Korbel et al. 2022a; Korbel et al. 2023). These studies focused on metabarcoding, which uses small fragments of taxonomically informative DNA shed by organisms in the environment to characterise the diversity and structure of the community in which they exist, and highlighted the utility of eDNA approaches for monitoring and assessing microbes and invertebrates in groundwater. The aim of this study is to extend that work by exploring the more technical aspects of eDNA analysis for characterising the biota in shallow aquifers. Part 1 of this study explores methods to improve the quantitative comparison of eDNA samples by adding ‘spikes’ during laboratory analysis. Part 2 compares the metabarcoding approach, used in Stages 1 and 2, with metagenome analysis that analyses all DNA in a sample to characterise both the functional genes and taxonomic structure.</w:t>
      </w:r>
    </w:p>
    <w:p w14:paraId="0C1EB53C" w14:textId="479D0198" w:rsidR="00DC1FA0" w:rsidRDefault="00DC1FA0" w:rsidP="00DC1FA0">
      <w:pPr>
        <w:pStyle w:val="BodyText"/>
      </w:pPr>
      <w:r>
        <w:t>The multi-step pipeline for processing eDNA samples includes steps, such as DNA amplification by polymerase chain reaction (PCR) and sequencing, that have potential to bias outcomes because DNA in different samples may amplify or be sequenced differently. The outcome is that similar samples may yield a different number of sequence reads, making quantitative comparisons of sequence data difficult. We spiked our eDNA samples with short, artificial DNA fragments as an internal standard during both the PCR and the sequencing stages of the processing pipeline and used these to standardise the sequence reads in each sample.</w:t>
      </w:r>
    </w:p>
    <w:p w14:paraId="111B8409" w14:textId="77777777" w:rsidR="00DC1FA0" w:rsidRDefault="00DC1FA0" w:rsidP="00DC1FA0">
      <w:pPr>
        <w:pStyle w:val="BodyText"/>
      </w:pPr>
      <w:r>
        <w:t>The addition of spikes required a large amount of preparation to optimise the spike process and concentration. Rather than making sequence reads more similar, the standardisation of sequence read numbers by the spikes increased divergence among the samples. Without standardisation by spike read number, ordinations showed that samples grouped together based on aquifer type (sample source). The grouping by aquifer became less clear in the standardised samples, and the abundance of sequence reads, influenced by the standardisation, had a strong influence on the pattern of samples in the ordination plot. While some studies promote the use of spikes to improve the quantitative comparison of metabarcode data, there was no clear evidence from this study that spiking aids the ability to quantify sequence abundances in groundwater samples. We do not recommend this approach as part of routine analyses until methods for doing so are further refined.</w:t>
      </w:r>
    </w:p>
    <w:p w14:paraId="53B92A6D" w14:textId="7D6991B8" w:rsidR="00AF1674" w:rsidRPr="00503266" w:rsidRDefault="00DC1FA0" w:rsidP="00DC1FA0">
      <w:pPr>
        <w:pStyle w:val="BodyText"/>
      </w:pPr>
      <w:r>
        <w:t>Analysis of metagenomes compiled from several different gene databases showed differences in the functional assemblages of samples from different aquifer types and from pre- and post-purge bore samples. Overall, metagenomes derived from different databases all responded to a similar suite of environmental variables. Taxonomic assemblage information derived from the metagenomes also showed separation of samples by aquifer types and pre- and post-purge bore samples, consistent with the patterns derived from metabarcoding of the same samples. Metagenome analysis provides a very large amount of information on the functional genes present within a sample, which is more detailed than can be inferred from metabarcoding analyses. However, although metagenome analysis provides a greater depth of information on microbial functions within aquifers, this comes at considerably higher cost and greater complexity of analysis. Metagenome and metabarcoding data were similar in their ability to discriminate samples based on taxonomic composition. We recommend that metabarcoding is sufficient for the analysis of microbes for the purpose of routine monitoring, and that the benefits of metagenome analysis for monitoring are not yet outweighed by the additional cost and analytical effort. However, it is likely that as the cost and complexity of metagenome analysis decrease, such analysis may be more accessible for routine monitoring and will be a very valuable tool for monitoring and assessment of groundwater ecosystems in the future.</w:t>
      </w:r>
    </w:p>
    <w:p w14:paraId="3BB6EF29" w14:textId="77777777" w:rsidR="00AF1674" w:rsidRPr="00AA1944" w:rsidRDefault="00887E02" w:rsidP="00DC1FA0">
      <w:pPr>
        <w:pStyle w:val="BodyText"/>
      </w:pPr>
      <w:r>
        <w:br w:type="page"/>
      </w:r>
    </w:p>
    <w:p w14:paraId="7401D2B4" w14:textId="7DA29CF6" w:rsidR="00AF1674" w:rsidRPr="0074126B" w:rsidRDefault="00DC1FA0" w:rsidP="009E0620">
      <w:pPr>
        <w:pStyle w:val="Heading1Numbered"/>
      </w:pPr>
      <w:bookmarkStart w:id="2" w:name="_Toc164960589"/>
      <w:r>
        <w:t>Introduction</w:t>
      </w:r>
      <w:bookmarkEnd w:id="2"/>
    </w:p>
    <w:p w14:paraId="1A8430B9" w14:textId="77777777" w:rsidR="00DC1FA0" w:rsidRDefault="00DC1FA0" w:rsidP="00DC1FA0">
      <w:pPr>
        <w:pStyle w:val="BodyText"/>
      </w:pPr>
      <w:r>
        <w:t xml:space="preserve">The Independent Expert Scientific Committee on Unconventional Gas Development and Large Coal Mining Development (IESC) is a statutory body under the </w:t>
      </w:r>
      <w:r w:rsidRPr="00835794">
        <w:rPr>
          <w:i/>
          <w:iCs/>
        </w:rPr>
        <w:t>Environment Protection and Biodiversity Conservation Act 1999</w:t>
      </w:r>
      <w:r>
        <w:t xml:space="preserve"> (EPBC Act) and provides advice to the Australian Government Environment Minister on priorities for research. One identified priority is improving the understanding of potential risks associated with large coal mining (LCM) and coal seam gas (CSG) developments to groundwater as a water resource and to its associated health. This report is the third stage of a project commissioned by the IESC on the suitability of various sampling methods for completing groundwater biota surveys and biomonitoring within aquifers.</w:t>
      </w:r>
    </w:p>
    <w:p w14:paraId="3F347D03" w14:textId="77777777" w:rsidR="00016E1B" w:rsidRDefault="00DC1FA0" w:rsidP="00DC1FA0">
      <w:pPr>
        <w:pStyle w:val="BodyText"/>
      </w:pPr>
      <w:r>
        <w:t>Stages 1 and 2 of this project (Korbel et al. 2022a; Korbel et al. 2023) provided details on the assessment and monitoring methods for microbial assemblages and stygofauna in shallow alluvial (Stage 1) and fractured sandstone (Stage 2) aquifers. The Stage 1 and 2 studies compared numerous sampling strategies (e.g., unpurged versus purged samples, sample volumes) and sampling methods (e.g., nets, bailers, pumps, environmental DNA (eDNA), environmental RNA (eRNA) (Stage 1 only), primers) within alluvial and fractured sandstone aquifers to help inform the IESC of the most practical and cost-effective strategies by which proponents of LCM and CSG developments might accurately characterise the biodiversity within groundwater ecosystems.</w:t>
      </w:r>
    </w:p>
    <w:p w14:paraId="33BBA45E" w14:textId="442AF637" w:rsidR="00DC1FA0" w:rsidRDefault="00DC1FA0" w:rsidP="00DC1FA0">
      <w:pPr>
        <w:pStyle w:val="BodyText"/>
      </w:pPr>
      <w:r>
        <w:t>Stage 3 of the study builds on the earlier stages and compares the methods for eDNA analysis in groundwaters. Specifically, this project compares the metabarcoding analyses for groundwater communities collected in Stages 1 and 2 with metagenome analysis of those same samples. Further, this project also examines the potential approaches for quantitative comparisons of sequence data arising from eDNA samples. Robust analysis of eDNA and guidance for its use in groundwaters are critical if eDNA is to be more widely applied for groundwater bioassessments.</w:t>
      </w:r>
    </w:p>
    <w:p w14:paraId="409D6950" w14:textId="3447E727" w:rsidR="00DC1FA0" w:rsidRDefault="00DC1FA0" w:rsidP="00835794">
      <w:pPr>
        <w:pStyle w:val="Heading2Numbered"/>
      </w:pPr>
      <w:bookmarkStart w:id="3" w:name="_Toc164960590"/>
      <w:r>
        <w:t>Spiking for quantitation of DNA sequence reads</w:t>
      </w:r>
      <w:bookmarkEnd w:id="3"/>
    </w:p>
    <w:p w14:paraId="71DE009F" w14:textId="77777777" w:rsidR="00DC1FA0" w:rsidRDefault="00DC1FA0" w:rsidP="00DC1FA0">
      <w:pPr>
        <w:pStyle w:val="BodyText"/>
      </w:pPr>
      <w:r>
        <w:t>The analysis of DNA residing within the environment (e.g., directly from the organism, shed by the organism or extracted from a matrix such as sediment), termed eDNA, is a rapid, non-invasive and potentially cost-effective tool for characterising biodiversity (Taberlet et al. 2018) and is a potentially powerful tool for monitoring and assessing groundwater ecosystems (Korbel et al. 2022a; Korbel et al. 2023; Saccò et al. 2022). However, a current limitation for biomonitoring using eDNA is that such data are typically qualitative (presence/absence) or semi-quantitative (relative abundance), and reliable, fully quantitative data are rare. This limitation arises because data from each metabarcoding sample contain different numbers of sequence reads. For example, one replicate sample may have 10,000 reads, while another has 20,000. This may be a consequence of several factors, such as differences in the amount of DNA in the sample, taxon-specific amplification biases (i.e., differences in the way individual gene fragments behave under polymerase chain reaction (PCR) conditions), the stochastic nature of PCR, or biases in the analysis pipeline (Kanagawa 2003; Weiss et al. 2017; Cameron et al. 2021), and may not reflect the actual differences in abundances of taxa in the underlying communities (Nichols et al. 2018). There is often a correlation between the number of sequence reads in a sample and the taxa richness of that sample (e.g., Weiss et al. 2017), which has important implications for diversity assessments. However, the number of reads between samples can vary markedly. A common approach to address this is by standardisation, either by a sample attribute (such as sample read number, also known as ‘scaling’ (Weiss et al. 2017)) or via rarefaction, in which all samples are randomly resampled to a consistent number of reads (also referred to as ‘normalisation’ (Weiss et al. 2017)). However, rarefaction has some significant artefacts and can result in a substantial loss of data as the read number in every sample is reduced to the lowest common denominator or corrected to inflate samples with lower numbers of reads (McMurdie and Holmes 2014; Cameron et al. 2021).</w:t>
      </w:r>
    </w:p>
    <w:p w14:paraId="0D16CE44" w14:textId="77777777" w:rsidR="00016E1B" w:rsidRDefault="00DC1FA0" w:rsidP="00DC1FA0">
      <w:pPr>
        <w:pStyle w:val="BodyText"/>
      </w:pPr>
      <w:r>
        <w:t>Spiking DNA is a technique used in metabarcoding studies to enable the quantitation of target DNA sequences following sequencing. This technique involves adding known amounts of an artificial or obscure (unlikely to occur naturally in the sample) DNA fragments, known as spike-in controls or reference sequences, to the environmental sample before DNA extraction and subsequent processing (Smets et al. 2016; Deagle et al. 2018; Tkacz et al. 2018). As each sample receives the same amount of spike, the resulting number of sequence reads should be the same between samples. However, this rarely occurs, because of biases and stochasticity in the amplification and sequencing processes, and the read number of the spiked sequence can be used to correct for biases between samples. The correction is done by dividing the read numbers for each operational taxonomic unit (OTU) by the read number for the spiked sequence in that sample (Ji et al. 2020). While a spike-in sequence can improve the quantitation of eDNA data sequences (Ji et al. 2020), the approach does not correct for bias due to DNA from different species being preferentially amplified (Ji et al. 2020) or weak relationships between DNA concentration in environmental samples and the abundance of organisms in the environment (but see Tillotson et al. 2018; Spear et al. 2021).</w:t>
      </w:r>
    </w:p>
    <w:p w14:paraId="37C5EF6F" w14:textId="5BACBE8B" w:rsidR="00DC1FA0" w:rsidRDefault="00DC1FA0" w:rsidP="00DC1FA0">
      <w:pPr>
        <w:pStyle w:val="BodyText"/>
      </w:pPr>
      <w:r>
        <w:t>The aim of spiking eDNA is to enable within-species quantitation – i.e., being able to conclude that ‘species 1 is more abundant in sample A than in sample B’ (Ji et al. 2020; Garrido</w:t>
      </w:r>
      <w:r>
        <w:rPr>
          <w:rFonts w:ascii="Cambria Math" w:hAnsi="Cambria Math" w:cs="Cambria Math"/>
        </w:rPr>
        <w:t>‐</w:t>
      </w:r>
      <w:r>
        <w:t>Sanz et al. 2022). This is important for bioassessment because quantifying and comparing absolute changes in taxa abundance is typically more statistically powerful than comparing changes in relative abundances or presence/absence of taxa. The extraction of reliable species-abundance information from eDNA can also enhance diet and quantitative food web analysis (Thomas et al. 2016; Deagle et al. 2019; Peel et al. 2019) and modelling of species distributions and population dynamics (Carraro et al. 2020; Carraro et al. 2021; Abrego et al. 2021; Rojahn et al. 2021), which may provide additional sensitive metrics for detecting environmental change.</w:t>
      </w:r>
    </w:p>
    <w:p w14:paraId="2520C092" w14:textId="77777777" w:rsidR="00016E1B" w:rsidRDefault="00DC1FA0" w:rsidP="00835794">
      <w:pPr>
        <w:pStyle w:val="Heading2Numbered"/>
      </w:pPr>
      <w:bookmarkStart w:id="4" w:name="_Toc164960591"/>
      <w:r>
        <w:t>Metabarcoding and metagenomes</w:t>
      </w:r>
      <w:bookmarkEnd w:id="4"/>
    </w:p>
    <w:p w14:paraId="0F27314D" w14:textId="3EF3AC2B" w:rsidR="00DC1FA0" w:rsidRDefault="00DC1FA0" w:rsidP="00DC1FA0">
      <w:pPr>
        <w:pStyle w:val="BodyText"/>
      </w:pPr>
      <w:r>
        <w:t>Microbial assemblages form the basis of food webs in most aquifers and play crucial roles in mediating and facilitating biogeochemical reactions that underpin many ecosystem services (e.g., Griebler and Lueders 2009; Sang et al. 2018; Griebler et al. 2019). Groundwater microbes respond rapidly to environmental impacts such as contamination (Tischer et al. 2013) and land use changes (Baily et al. 2011; Korbel et al. 2013) that can lead to reductions in biodiversity and capacity for biogeochemical processing and provision of ecosystem services (Hemme et al. 2015; Korbel et al. 2022b). Activities associated with coal mining and CSG development typically influence groundwater hydrology and the physical and chemical properties of groundwater (Hose et al. 2015). However, the implications of these alterations of groundwater hydrology and groundwater quality for microbial communities, their ecological functions and associated ecosystem services are poorly known.</w:t>
      </w:r>
    </w:p>
    <w:p w14:paraId="6D9AFF0F" w14:textId="77777777" w:rsidR="00DC1FA0" w:rsidRDefault="00DC1FA0" w:rsidP="00DC1FA0">
      <w:pPr>
        <w:pStyle w:val="BodyText"/>
      </w:pPr>
      <w:r>
        <w:t>Environmental impact statements (EISs) rarely consider and assess the risks of coal mining or CSG activities to groundwater microbial assemblages. This is largely because of the currently limited knowledge of groundwater microbial assemblages in Australia, particularly the spatial and temporal variability in their function and composition, and how microbial composition and activity respond to environmental change. Furthermore, there are practical challenges to sampling and characterising microbial assemblages in aquifers as part of environmental impact assessment and routine monitoring.</w:t>
      </w:r>
    </w:p>
    <w:p w14:paraId="2D8F3895" w14:textId="77777777" w:rsidR="00016E1B" w:rsidRDefault="00DC1FA0" w:rsidP="00DC1FA0">
      <w:pPr>
        <w:pStyle w:val="BodyText"/>
      </w:pPr>
      <w:r>
        <w:t>Recent advances in eDNA technology have yielded rapid and cost-effective approaches for assessing structure and biodiversity of groundwater biota (Saccò et al. 2022). Coupling eDNA techniques with high-throughput sequencing enables the detection of numerous (often hundreds of) different species within a single environmental sample. This approach allows the characterisation of entire ecological communities (eukaryotes and prokaryotes) and greatly increases our ability to comprehensively determine the true biodiversity within ecosystems (Deiner et al. 2017; Ruppert et al. 2019). The ability to detect trace amounts of eDNA (i.e., sensitivity) is constantly improving while costs are decreasing, making eDNA analyses increasingly feasible for routine monitoring and assessment.</w:t>
      </w:r>
    </w:p>
    <w:p w14:paraId="6C44C8C9" w14:textId="7488576F" w:rsidR="00DC1FA0" w:rsidRDefault="00DC1FA0" w:rsidP="00DC1FA0">
      <w:pPr>
        <w:pStyle w:val="BodyText"/>
      </w:pPr>
      <w:r>
        <w:t>The application of eDNA-based approaches for assessing groundwater microbial assemblages in Australia, and elsewhere, is in its infancy (Saccò et al. 2022). However, work so far (e.g., Korbel et al. 2017; Korbel et al. 2022c; Korbel et al. 2023) demonstrates the capacity of these approaches to detect diverse assemblages of Bacteria and Archaea, infer their metabolic functions and identify how these might be impaired by groundwater contamination. Improved understanding of functional responses of groundwater microbial assemblages to environmental change would help refine conceptual models of the pathways by which coal mining and CSG activities could impact groundwater ecosystems.</w:t>
      </w:r>
    </w:p>
    <w:p w14:paraId="784D19F4" w14:textId="77777777" w:rsidR="00016E1B" w:rsidRDefault="00DC1FA0" w:rsidP="00DC1FA0">
      <w:pPr>
        <w:pStyle w:val="BodyText"/>
      </w:pPr>
      <w:r>
        <w:t>The functional and taxonomic composition of microbial assemblages can be determined or inferred using two different molecular-based approaches: metagenomics (also known as ‘shotgun’ sequencing) and metabarcoding. Metabarcoding uses small fragments of taxonomically informative DNA shed by organisms in the environment to characterise the diversity and structure of the community in which they exist. The small fragments are extracted from the sample, copied many times using PCR and sequenced, which generates a list of the gene fragments identified and a count of those fragments. In contrast, metagenomics involves sequencing and analysing the entire genetic material (DNA or RNA) present in a sample, without targeting specific genes or regions. The DNA or RNA in the sample is fragmented (‘shotgunned’) and sequenced, and the sequenced fragments reconstructed into longer read sequences that provide both functional and taxonomic information (e.g., Hemme et al. 2015). This approach provides a comprehensive view of the organisms and genetic elements present in the community, including both known and unknown species. The main advantage of metagenomics is that it does not require amplification using PCR, which can introduce considerable bias (e.g., Krehenwinkel et al. 2017), thereby allowing composition and function to be quantified and reliably compared between samples. Conversely, the drawbacks of metagenomic methods are the higher sequencing costs, the intensive computational requirements, and the potential underestimation of biodiversity because the genes associated with taxonomic assignment generally make up less than 0.1% of the reads in the case of prokaryotes (Greenfield et al. 2019).</w:t>
      </w:r>
    </w:p>
    <w:p w14:paraId="5D7F1B71" w14:textId="6A7A7E53" w:rsidR="00DC1FA0" w:rsidRDefault="00DC1FA0" w:rsidP="00DC1FA0">
      <w:pPr>
        <w:pStyle w:val="BodyText"/>
      </w:pPr>
      <w:r>
        <w:t>Functional information on microbial communities can also be inferred from the taxonomy of prokaryotes, which is determined using metabarcoding of taxonomically informative gene regions (i.e., 16S rDNA) (e.g., Korbel et al. 2022a,b). Functional inference can be performed using packages such as PICRUSt (Langille et al. 2013), Tax4Fun (Aβhauer et al. 2015) or FAPROTAX (Louca et al. 2016) and is possible because of the relationship between phylogeny and biomolecular function (Chaffron et al. 2010) – i.e., phylogenetically related microbes can typically perform the same functions. The main advantage of the functional inference approach is that it is based on compositional data that are obtained from metabarcoding, which means that the only additional cost is associated with interpretation. However, because it is based on metabarcoding, it has biases related to PCR amplification and is further limited by its dependence on reference genomes (which are not always well known), the region targeted by the primers, and the limited knowledge of the function of a large proportion of the global microbiome. Fortunately the same DNA extract that is used for metabarcoding can also be used for shotgun sequencing, allowing direct comparison of approaches, as has been done in this study. The comparison of these two approaches is one of the main aims of this study.</w:t>
      </w:r>
    </w:p>
    <w:p w14:paraId="704CA573" w14:textId="0607FA69" w:rsidR="00DC1FA0" w:rsidRDefault="00DC1FA0" w:rsidP="00835794">
      <w:pPr>
        <w:pStyle w:val="Heading2Numbered"/>
      </w:pPr>
      <w:bookmarkStart w:id="5" w:name="_Toc164960592"/>
      <w:r>
        <w:t>Project aims and report structure</w:t>
      </w:r>
      <w:bookmarkEnd w:id="5"/>
    </w:p>
    <w:p w14:paraId="47742018" w14:textId="5A177335" w:rsidR="00DC1FA0" w:rsidRDefault="00835794" w:rsidP="00835794">
      <w:pPr>
        <w:pStyle w:val="Heading3Numbered"/>
        <w:numPr>
          <w:ilvl w:val="0"/>
          <w:numId w:val="0"/>
        </w:numPr>
        <w:ind w:left="1277" w:hanging="851"/>
      </w:pPr>
      <w:bookmarkStart w:id="6" w:name="s131"/>
      <w:bookmarkStart w:id="7" w:name="_Toc164960593"/>
      <w:r>
        <w:t>1.3.1</w:t>
      </w:r>
      <w:bookmarkEnd w:id="6"/>
      <w:r>
        <w:tab/>
      </w:r>
      <w:r w:rsidR="00DC1FA0">
        <w:t>Aim and core research questions</w:t>
      </w:r>
      <w:bookmarkEnd w:id="7"/>
    </w:p>
    <w:p w14:paraId="4D00012D" w14:textId="77777777" w:rsidR="00DC1FA0" w:rsidRDefault="00DC1FA0" w:rsidP="00DC1FA0">
      <w:pPr>
        <w:pStyle w:val="BodyText"/>
      </w:pPr>
      <w:r>
        <w:t>This project is Stage 3 of an investigation into approaches for biomonitoring groundwater ecosystems and follows Stage 1 (Korbel et al. 2022a) and Stage 2 (Korbel et al. 2023). This report describes further analyses of samples collected in the Stage 1 and Stage 2 reports. In this study, samples collected from alluvial aquifers (Stage 1) and fractured rock aquifers (Stage 2) and analysed using metabarcoding were re-analysed using metagenomics. The ability of metabarcoding and metagenomics to discriminate differences among sample groups is compared.</w:t>
      </w:r>
    </w:p>
    <w:p w14:paraId="1439E7A1" w14:textId="77777777" w:rsidR="00DC1FA0" w:rsidRDefault="00DC1FA0" w:rsidP="00DC1FA0">
      <w:pPr>
        <w:pStyle w:val="BodyText"/>
      </w:pPr>
      <w:r>
        <w:t>A challenge of metabarcoding is the (in)ability to quantitatively compare samples based on the number of sequence reads. In this study, we explore the use of spikes added to samples prior to sequencing to enable quantitative comparisons of sequencing outputs.</w:t>
      </w:r>
    </w:p>
    <w:p w14:paraId="0C77BB85" w14:textId="77777777" w:rsidR="00DC1FA0" w:rsidRDefault="00DC1FA0" w:rsidP="00DC1FA0">
      <w:pPr>
        <w:pStyle w:val="BodyText"/>
      </w:pPr>
      <w:r>
        <w:t>The project scope includes four core components, rephrased as research questions:</w:t>
      </w:r>
    </w:p>
    <w:p w14:paraId="5E3BA4D6" w14:textId="77777777" w:rsidR="00016E1B" w:rsidRDefault="00DC1FA0" w:rsidP="00835794">
      <w:pPr>
        <w:pStyle w:val="Bullet1"/>
      </w:pPr>
      <w:r>
        <w:t>Are there differences in the taxonomic and functional composition of biotic assemblages in alluvial and sandstone aquifers as characterised by metagenomics and metabarcoding?</w:t>
      </w:r>
    </w:p>
    <w:p w14:paraId="0743DD09" w14:textId="77777777" w:rsidR="00016E1B" w:rsidRDefault="00DC1FA0" w:rsidP="00835794">
      <w:pPr>
        <w:pStyle w:val="Bullet1"/>
      </w:pPr>
      <w:r>
        <w:t>Are there associations between water quality parameters and microbial function and composition in both aquifers?</w:t>
      </w:r>
    </w:p>
    <w:p w14:paraId="0393851A" w14:textId="312F8667" w:rsidR="00DC1FA0" w:rsidRDefault="00DC1FA0" w:rsidP="00835794">
      <w:pPr>
        <w:pStyle w:val="Bullet1"/>
      </w:pPr>
      <w:r>
        <w:t>Can spiking be used to enable quantitative comparisons of eDNA data?</w:t>
      </w:r>
    </w:p>
    <w:p w14:paraId="58F71DFA" w14:textId="288F592A" w:rsidR="00DC1FA0" w:rsidRDefault="00DC1FA0" w:rsidP="00DC1FA0">
      <w:pPr>
        <w:pStyle w:val="Bullet1"/>
      </w:pPr>
      <w:r>
        <w:t>Is it feasible for consultants to collect and process groundwater samples for either shotgun sequencing or metabarcoding approaches to assess potential impacts of coal mining and CSG development on microbial composition and activity?</w:t>
      </w:r>
    </w:p>
    <w:p w14:paraId="1B45D744" w14:textId="77777777" w:rsidR="00DC1FA0" w:rsidRDefault="00DC1FA0" w:rsidP="00835794">
      <w:pPr>
        <w:pStyle w:val="Heading3Numbered"/>
        <w:numPr>
          <w:ilvl w:val="0"/>
          <w:numId w:val="0"/>
        </w:numPr>
        <w:ind w:left="1277" w:hanging="851"/>
      </w:pPr>
      <w:bookmarkStart w:id="8" w:name="_Toc164960594"/>
      <w:r>
        <w:t>1.3.2</w:t>
      </w:r>
      <w:r>
        <w:tab/>
        <w:t>Report structure</w:t>
      </w:r>
      <w:bookmarkEnd w:id="8"/>
    </w:p>
    <w:p w14:paraId="09DB82CD" w14:textId="4E1D6D2D" w:rsidR="00DC1FA0" w:rsidRDefault="00DC1FA0" w:rsidP="00DC1FA0">
      <w:pPr>
        <w:pStyle w:val="BodyText"/>
      </w:pPr>
      <w:r>
        <w:t>This report is divided into four sections. This first section provides background to the project and its aims. The second section details the sampling regime and provides a summary of the field, laboratory and data analysis methods used in the study (for full details, see the Stage 1 and 2 reports (Korbel et al. 2022a; Korbel et al. 2023)). The third section presents the results and discussion in the context of the research questions. The fourth section provides a summary of project findings and recommendations on their feasibility for routine groundwater monitoring.</w:t>
      </w:r>
    </w:p>
    <w:p w14:paraId="3499BF0E" w14:textId="6DB45EBD" w:rsidR="00DC1FA0" w:rsidRDefault="00DC1FA0">
      <w:pPr>
        <w:rPr>
          <w:rFonts w:ascii="Garamond" w:hAnsi="Garamond" w:cs="Calibri"/>
          <w:color w:val="000000"/>
          <w:sz w:val="20"/>
          <w:szCs w:val="20"/>
          <w:lang w:val="en-US"/>
        </w:rPr>
      </w:pPr>
      <w:r>
        <w:br w:type="page"/>
      </w:r>
    </w:p>
    <w:p w14:paraId="3BA35785" w14:textId="4035A4C4" w:rsidR="00DC1FA0" w:rsidRDefault="00DC1FA0" w:rsidP="00DC1FA0">
      <w:pPr>
        <w:pStyle w:val="Heading1Numbered"/>
      </w:pPr>
      <w:bookmarkStart w:id="9" w:name="_Toc139905352"/>
      <w:bookmarkStart w:id="10" w:name="_Toc158732433"/>
      <w:bookmarkStart w:id="11" w:name="_Toc164960595"/>
      <w:r w:rsidRPr="0080055C">
        <w:t>Field, laboratory and analysis methods</w:t>
      </w:r>
      <w:bookmarkEnd w:id="9"/>
      <w:bookmarkEnd w:id="10"/>
      <w:bookmarkEnd w:id="11"/>
    </w:p>
    <w:p w14:paraId="37B6A3F6" w14:textId="77777777" w:rsidR="00016E1B" w:rsidRDefault="00DC1FA0" w:rsidP="00835794">
      <w:pPr>
        <w:pStyle w:val="Heading2Numbered"/>
        <w:numPr>
          <w:ilvl w:val="0"/>
          <w:numId w:val="0"/>
        </w:numPr>
      </w:pPr>
      <w:bookmarkStart w:id="12" w:name="_Toc164960596"/>
      <w:r>
        <w:t>2.1</w:t>
      </w:r>
      <w:r>
        <w:tab/>
        <w:t>Project study area and sample sites</w:t>
      </w:r>
      <w:bookmarkEnd w:id="12"/>
    </w:p>
    <w:p w14:paraId="4F9EF399" w14:textId="2F0E7809" w:rsidR="00DC1FA0" w:rsidRDefault="00DC1FA0" w:rsidP="00DC1FA0">
      <w:pPr>
        <w:pStyle w:val="BodyText"/>
      </w:pPr>
      <w:r>
        <w:t>Field sampling of sites was undertaken in May 2021 in alluvial aquifers of the Namoi River catchment, New South Wales (NSW), and in February 2022 in the shallow fractured sandstone aquifers of the Hawkesbury-Nepean catchment and Central Coast region, NSW (</w:t>
      </w:r>
      <w:r w:rsidR="00307B2F">
        <w:fldChar w:fldCharType="begin"/>
      </w:r>
      <w:r w:rsidR="00307B2F">
        <w:instrText xml:space="preserve"> REF _Ref164637844 \h </w:instrText>
      </w:r>
      <w:r w:rsidR="00307B2F">
        <w:fldChar w:fldCharType="separate"/>
      </w:r>
      <w:r w:rsidR="00307B2F">
        <w:t xml:space="preserve">Figure </w:t>
      </w:r>
      <w:r w:rsidR="00307B2F">
        <w:rPr>
          <w:noProof/>
        </w:rPr>
        <w:t>1</w:t>
      </w:r>
      <w:r w:rsidR="00307B2F">
        <w:fldChar w:fldCharType="end"/>
      </w:r>
      <w:r>
        <w:t>). Detailed descriptions of these study regions and specific site locations are given in Korbel et al. (2022a, 2023). Fifteen monitoring bores were sampled in each aquifer type. All bores were constructed of PVC casings that were completely enclosed except for discrete sections with vertical slots 10 m to 45 m below ground, allowing the entrance of groundwater from the aquifer.</w:t>
      </w:r>
    </w:p>
    <w:p w14:paraId="4A3F56D8" w14:textId="477222C3" w:rsidR="00DC1FA0" w:rsidRDefault="00DC1FA0" w:rsidP="00DC1FA0">
      <w:pPr>
        <w:pStyle w:val="BodyText"/>
      </w:pPr>
      <w:r w:rsidRPr="00677275">
        <w:rPr>
          <w:noProof/>
          <w:lang w:val="en-AU"/>
        </w:rPr>
        <w:drawing>
          <wp:inline distT="0" distB="0" distL="0" distR="0" wp14:anchorId="00AC6B7C" wp14:editId="022D5916">
            <wp:extent cx="4963886" cy="3678101"/>
            <wp:effectExtent l="0" t="0" r="8255" b="0"/>
            <wp:docPr id="638380029" name="Picture 638380029" descr="Map showing locations as described in previous paragraph">
              <a:extLst xmlns:a="http://schemas.openxmlformats.org/drawingml/2006/main">
                <a:ext uri="{FF2B5EF4-FFF2-40B4-BE49-F238E27FC236}">
                  <a16:creationId xmlns:a16="http://schemas.microsoft.com/office/drawing/2014/main" id="{ACF75F4E-8C21-A368-FF38-501373F81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80029" name="Picture 638380029" descr="Map showing locations as described in previous paragraph">
                      <a:extLst>
                        <a:ext uri="{FF2B5EF4-FFF2-40B4-BE49-F238E27FC236}">
                          <a16:creationId xmlns:a16="http://schemas.microsoft.com/office/drawing/2014/main" id="{ACF75F4E-8C21-A368-FF38-501373F81646}"/>
                        </a:ext>
                      </a:extLst>
                    </pic:cNvPr>
                    <pic:cNvPicPr>
                      <a:picLocks noChangeAspect="1"/>
                    </pic:cNvPicPr>
                  </pic:nvPicPr>
                  <pic:blipFill rotWithShape="1">
                    <a:blip r:embed="rId29"/>
                    <a:srcRect l="11289" t="2210" r="25782" b="18118"/>
                    <a:stretch/>
                  </pic:blipFill>
                  <pic:spPr>
                    <a:xfrm>
                      <a:off x="0" y="0"/>
                      <a:ext cx="4981673" cy="3691281"/>
                    </a:xfrm>
                    <a:prstGeom prst="rect">
                      <a:avLst/>
                    </a:prstGeom>
                  </pic:spPr>
                </pic:pic>
              </a:graphicData>
            </a:graphic>
          </wp:inline>
        </w:drawing>
      </w:r>
    </w:p>
    <w:p w14:paraId="1BA884A2" w14:textId="43FF254F" w:rsidR="00EE5F48" w:rsidRDefault="00EE5F48" w:rsidP="00EE5F48">
      <w:pPr>
        <w:pStyle w:val="Figureheading"/>
      </w:pPr>
      <w:bookmarkStart w:id="13" w:name="_Ref164637844"/>
      <w:r>
        <w:t xml:space="preserve">Figure </w:t>
      </w:r>
      <w:r>
        <w:fldChar w:fldCharType="begin"/>
      </w:r>
      <w:r>
        <w:instrText xml:space="preserve"> SEQ Figure \* ARABIC </w:instrText>
      </w:r>
      <w:r>
        <w:fldChar w:fldCharType="separate"/>
      </w:r>
      <w:r>
        <w:rPr>
          <w:noProof/>
        </w:rPr>
        <w:t>1</w:t>
      </w:r>
      <w:r>
        <w:fldChar w:fldCharType="end"/>
      </w:r>
      <w:bookmarkEnd w:id="13"/>
      <w:r w:rsidRPr="00155AE1">
        <w:t xml:space="preserve">. Map showing sampling locations of fractured rock </w:t>
      </w:r>
      <w:r w:rsidRPr="00EE5F48">
        <w:t>aquifer</w:t>
      </w:r>
      <w:r w:rsidRPr="00155AE1">
        <w:t xml:space="preserve"> samples (blue symbols) in the Hawkesbury-Nepean catchment and Central Coast region, and alluvial aquifer samples (green symbols) in the Namoi River catchment</w:t>
      </w:r>
    </w:p>
    <w:p w14:paraId="6A2279F4" w14:textId="74BCF8EB" w:rsidR="00DC1FA0" w:rsidRDefault="00DC1FA0" w:rsidP="00835794">
      <w:pPr>
        <w:pStyle w:val="TableSourceNotes"/>
      </w:pPr>
      <w:r>
        <w:t>Map source: Google Earth.</w:t>
      </w:r>
    </w:p>
    <w:p w14:paraId="569E7D2C" w14:textId="77777777" w:rsidR="00DC1FA0" w:rsidRDefault="00DC1FA0" w:rsidP="00835794">
      <w:pPr>
        <w:pStyle w:val="Heading2Numbered"/>
        <w:numPr>
          <w:ilvl w:val="0"/>
          <w:numId w:val="0"/>
        </w:numPr>
        <w:ind w:left="567" w:hanging="567"/>
      </w:pPr>
      <w:bookmarkStart w:id="14" w:name="_Toc164960597"/>
      <w:r>
        <w:t>2.2</w:t>
      </w:r>
      <w:r>
        <w:tab/>
        <w:t>Sample collection and analysis</w:t>
      </w:r>
      <w:bookmarkEnd w:id="14"/>
    </w:p>
    <w:p w14:paraId="1934E3BE" w14:textId="77777777" w:rsidR="00DC1FA0" w:rsidRDefault="00DC1FA0" w:rsidP="00DC1FA0">
      <w:pPr>
        <w:pStyle w:val="BodyText"/>
      </w:pPr>
      <w:r>
        <w:t>Field methods and procedures for sample collection are described in detail in Korbel et al. (2022a, 2023). Pre-purge samples were collected from bores using a sterile bailer into a sterile plastic container. After pre-purge samples were collected, 30 L of groundwater was extracted using a motorised inertia pump and a further sample was collected. A further 150 L of groundwater was then pumped (total 180 L) and a third groundwater sample was then collected in a sterile plastic container. Water samples were stored on ice in the dark after collection and were processed within seven hours of collection. Water samples were filtered onto sterile cellulose membrane filters (0.2 µm) and frozen at -20°C until analysed. The pre-purge and post-purge (180 L) samples were analysed for the comparison of metabarcoding and metagenomics. The samples collected after 30 L was pumped were used for the DNA spiking experiment.</w:t>
      </w:r>
    </w:p>
    <w:p w14:paraId="1D11B2F0" w14:textId="77777777" w:rsidR="00DC1FA0" w:rsidRDefault="00DC1FA0" w:rsidP="00835794">
      <w:pPr>
        <w:pStyle w:val="Heading2Numbered"/>
        <w:numPr>
          <w:ilvl w:val="0"/>
          <w:numId w:val="0"/>
        </w:numPr>
        <w:ind w:left="567" w:hanging="567"/>
      </w:pPr>
      <w:bookmarkStart w:id="15" w:name="_Toc164960598"/>
      <w:r>
        <w:t>2.3</w:t>
      </w:r>
      <w:r>
        <w:tab/>
        <w:t>Laboratory methods</w:t>
      </w:r>
      <w:bookmarkEnd w:id="15"/>
    </w:p>
    <w:p w14:paraId="4B0A5C88" w14:textId="77777777" w:rsidR="00DC1FA0" w:rsidRDefault="00DC1FA0" w:rsidP="00835794">
      <w:pPr>
        <w:pStyle w:val="Heading3Numbered"/>
        <w:numPr>
          <w:ilvl w:val="0"/>
          <w:numId w:val="0"/>
        </w:numPr>
        <w:ind w:left="1277" w:hanging="851"/>
      </w:pPr>
      <w:bookmarkStart w:id="16" w:name="_Toc164960599"/>
      <w:r>
        <w:t>2.3.1</w:t>
      </w:r>
      <w:r>
        <w:tab/>
        <w:t>Groundwater quality analyses</w:t>
      </w:r>
      <w:bookmarkEnd w:id="16"/>
    </w:p>
    <w:p w14:paraId="678CA1D9" w14:textId="77777777" w:rsidR="00DC1FA0" w:rsidRDefault="00DC1FA0" w:rsidP="00DC1FA0">
      <w:pPr>
        <w:pStyle w:val="BodyText"/>
      </w:pPr>
      <w:r>
        <w:t>Pre- and post-purge water samples were collected and preserved as required. All water quality analyses were conducted at CSIRO (Lucas Heights, NSW) and ALS (Sydney), as detailed in Korbel et al. (2022a, 2023). Physico-chemical water quality properties of pre- and post-purge samples were recorded in the field using a YSI ProPlus multiprobe meter (YSI Inc.).</w:t>
      </w:r>
    </w:p>
    <w:p w14:paraId="1929F6DF" w14:textId="77777777" w:rsidR="00DC1FA0" w:rsidRDefault="00DC1FA0" w:rsidP="00835794">
      <w:pPr>
        <w:pStyle w:val="Heading3Numbered"/>
        <w:numPr>
          <w:ilvl w:val="0"/>
          <w:numId w:val="0"/>
        </w:numPr>
        <w:ind w:left="1277" w:hanging="851"/>
      </w:pPr>
      <w:bookmarkStart w:id="17" w:name="_Toc164960600"/>
      <w:r>
        <w:t>2.3.2</w:t>
      </w:r>
      <w:r>
        <w:tab/>
        <w:t>DNA extraction</w:t>
      </w:r>
      <w:bookmarkEnd w:id="17"/>
    </w:p>
    <w:p w14:paraId="79F09835" w14:textId="77777777" w:rsidR="00DC1FA0" w:rsidRDefault="00DC1FA0" w:rsidP="00DC1FA0">
      <w:pPr>
        <w:pStyle w:val="BodyText"/>
      </w:pPr>
      <w:r>
        <w:t>Methods for DNA extraction were as described in detail in Korbel et al. (2022a, 2023). DNA extraction was performed on 0.25 g (filter paper and sediment) samples using a DNeasy PowerSoil Pro Kit (QIAGEN) following the manufacturer’s protocol with slight modifications. The quality and purity of isolated DNA in all samples were then checked using a spectrophotometer.</w:t>
      </w:r>
    </w:p>
    <w:p w14:paraId="1E0C293C" w14:textId="77777777" w:rsidR="00DC1FA0" w:rsidRDefault="00DC1FA0" w:rsidP="00835794">
      <w:pPr>
        <w:pStyle w:val="Heading3Numbered"/>
        <w:numPr>
          <w:ilvl w:val="0"/>
          <w:numId w:val="0"/>
        </w:numPr>
        <w:ind w:left="1277" w:hanging="851"/>
      </w:pPr>
      <w:bookmarkStart w:id="18" w:name="_Toc164960601"/>
      <w:r>
        <w:t>2.3.3</w:t>
      </w:r>
      <w:r>
        <w:tab/>
        <w:t>Metabarcode analysis (eDNA)</w:t>
      </w:r>
      <w:bookmarkEnd w:id="18"/>
    </w:p>
    <w:p w14:paraId="53969F90" w14:textId="74E979FA" w:rsidR="00DC1FA0" w:rsidRDefault="00DC1FA0" w:rsidP="00DC1FA0">
      <w:pPr>
        <w:pStyle w:val="BodyText"/>
      </w:pPr>
      <w:r>
        <w:t xml:space="preserve">Methods for metabarcode analysis, including PCR conditions, were as described in detail in Korbel et al. (2022a, 2023). DNA was amplified using PCR targeting the 16S rDNA (prokaryote) and the 18S rDNA (eukaryote) genes, using primers and PCR conditions as listed in </w:t>
      </w:r>
      <w:r w:rsidR="00F03027">
        <w:fldChar w:fldCharType="begin"/>
      </w:r>
      <w:r w:rsidR="00F03027">
        <w:instrText xml:space="preserve"> REF _Ref164638844 \h </w:instrText>
      </w:r>
      <w:r w:rsidR="00F03027">
        <w:fldChar w:fldCharType="separate"/>
      </w:r>
      <w:r w:rsidR="00F03027">
        <w:t>Appendix 1</w:t>
      </w:r>
      <w:r w:rsidR="00F03027">
        <w:fldChar w:fldCharType="end"/>
      </w:r>
      <w:r>
        <w:t>.</w:t>
      </w:r>
    </w:p>
    <w:p w14:paraId="54743D10" w14:textId="77777777" w:rsidR="00DC1FA0" w:rsidRDefault="00DC1FA0" w:rsidP="00DC1FA0">
      <w:pPr>
        <w:pStyle w:val="BodyText"/>
      </w:pPr>
      <w:r>
        <w:t>Following PCR, DNA was pooled at equimolar concentrations (final concentration 50 ng/µL to 60 ng/µL) and purified using AMPure beads (Beckman Coulter Inc., CA, USA). Samples were sequenced by the Ramaciotti Centre, UNSW, using Illumina MiSeq (PE 250) after passing quality assurance checks that included screening DNA quality and quantity.</w:t>
      </w:r>
    </w:p>
    <w:p w14:paraId="0A578248" w14:textId="77777777" w:rsidR="00DC1FA0" w:rsidRDefault="00DC1FA0" w:rsidP="00835794">
      <w:pPr>
        <w:pStyle w:val="Heading3Numbered"/>
        <w:numPr>
          <w:ilvl w:val="0"/>
          <w:numId w:val="0"/>
        </w:numPr>
        <w:ind w:left="1277" w:hanging="851"/>
      </w:pPr>
      <w:bookmarkStart w:id="19" w:name="_Toc164960602"/>
      <w:r>
        <w:t>2.3.4</w:t>
      </w:r>
      <w:r>
        <w:tab/>
        <w:t>Metagenomics</w:t>
      </w:r>
      <w:bookmarkEnd w:id="19"/>
    </w:p>
    <w:p w14:paraId="5A2DB41C" w14:textId="77777777" w:rsidR="00DC1FA0" w:rsidRDefault="00DC1FA0" w:rsidP="00DC1FA0">
      <w:pPr>
        <w:pStyle w:val="BodyText"/>
      </w:pPr>
      <w:r>
        <w:t>DNA extracted from the pre- and post-purge samples was analysed using shotgun sequencing by the Ramaciotti Centre, UNSW, using NovaSeq 6000 S4 with two 150 base pair (sequence read length) lanes after passing quality assurance checks that included screening DNA quality and quantity.</w:t>
      </w:r>
    </w:p>
    <w:p w14:paraId="2663799B" w14:textId="77777777" w:rsidR="00DC1FA0" w:rsidRDefault="00DC1FA0" w:rsidP="00835794">
      <w:pPr>
        <w:pStyle w:val="Heading3Numbered"/>
        <w:numPr>
          <w:ilvl w:val="0"/>
          <w:numId w:val="0"/>
        </w:numPr>
        <w:ind w:left="1277" w:hanging="851"/>
      </w:pPr>
      <w:bookmarkStart w:id="20" w:name="_Toc164960603"/>
      <w:r>
        <w:t>2.3.5</w:t>
      </w:r>
      <w:r>
        <w:tab/>
        <w:t>Metabarcode analysis (eDNA) – spiking experiment</w:t>
      </w:r>
      <w:bookmarkEnd w:id="20"/>
    </w:p>
    <w:p w14:paraId="513CE435" w14:textId="105BF4A4" w:rsidR="00DC1FA0" w:rsidRDefault="00DC1FA0" w:rsidP="00DC1FA0">
      <w:pPr>
        <w:pStyle w:val="BodyText"/>
      </w:pPr>
      <w:r>
        <w:t>Extracted DNA samples were used to investigate a method of spiking synthetic 16S bacterial rDNA gBlocks</w:t>
      </w:r>
      <w:r w:rsidR="00BF0111" w:rsidRPr="00A96F3B">
        <w:rPr>
          <w:rFonts w:ascii="Symbol" w:hAnsi="Symbol" w:cs="Times New Roman"/>
        </w:rPr>
        <w:t></w:t>
      </w:r>
      <w:r>
        <w:t xml:space="preserve"> Gene Fragments to determine bias in the PCR and sequencing process. Thirty eDNA samples (30 L pump volume from 15 sites for both Stage 1 (Namoi River catchment) and Stage 2 (Hawkesbury River catchment) were used in the experiment. All samples were amplified by PCR with negative (DNA-free H2O) and positive controls (16S rDNA positive control).</w:t>
      </w:r>
    </w:p>
    <w:p w14:paraId="6149F780" w14:textId="2EEE0879" w:rsidR="00016E1B" w:rsidRDefault="00DC1FA0" w:rsidP="00DC1FA0">
      <w:pPr>
        <w:pStyle w:val="BodyText"/>
      </w:pPr>
      <w:r>
        <w:t>To investigate the effectiveness of sample spiking to improve quantification of sequence reads, we spiked the extracted DNA samples with fixed amounts of known synthetic DNA sequences. We used two 16S synthetic bacterial rDNA gBlocks</w:t>
      </w:r>
      <w:r w:rsidR="00BF0111" w:rsidRPr="00A96F3B">
        <w:rPr>
          <w:rFonts w:ascii="Symbol" w:hAnsi="Symbol" w:cs="Times New Roman"/>
        </w:rPr>
        <w:t></w:t>
      </w:r>
      <w:r>
        <w:t xml:space="preserve"> Gene Fragments as the spikes, selected at random. Synthetic spike sequences were sourced from Integrated DNA Technologies (IDTdna.com). Details of the synthetic sequences are provided </w:t>
      </w:r>
      <w:r w:rsidR="00F03027">
        <w:t xml:space="preserve">in </w:t>
      </w:r>
      <w:r w:rsidR="00F03027">
        <w:fldChar w:fldCharType="begin"/>
      </w:r>
      <w:r w:rsidR="00F03027">
        <w:instrText xml:space="preserve"> REF _Ref164638844 \h </w:instrText>
      </w:r>
      <w:r w:rsidR="00F03027">
        <w:fldChar w:fldCharType="separate"/>
      </w:r>
      <w:r w:rsidR="00F03027">
        <w:t>Appendix 1</w:t>
      </w:r>
      <w:r w:rsidR="00F03027">
        <w:fldChar w:fldCharType="end"/>
      </w:r>
      <w:r>
        <w:t>.</w:t>
      </w:r>
    </w:p>
    <w:p w14:paraId="6241DD9C" w14:textId="55E8DBED" w:rsidR="00DC1FA0" w:rsidRDefault="00DC1FA0" w:rsidP="00DC1FA0">
      <w:pPr>
        <w:pStyle w:val="BodyText"/>
      </w:pPr>
      <w:r>
        <w:t>The experimental design included three treatments:</w:t>
      </w:r>
    </w:p>
    <w:p w14:paraId="13DFA562" w14:textId="6990D28E" w:rsidR="00DC1FA0" w:rsidRPr="00835794" w:rsidRDefault="00DC1FA0" w:rsidP="00835794">
      <w:pPr>
        <w:pStyle w:val="NumberedList1"/>
      </w:pPr>
      <w:r w:rsidRPr="00835794">
        <w:t>Samples spiked with Spike 1: added before PCR to investigate PCR amplification bias</w:t>
      </w:r>
    </w:p>
    <w:p w14:paraId="05D84FCF" w14:textId="42C28036" w:rsidR="00DC1FA0" w:rsidRPr="00835794" w:rsidRDefault="00DC1FA0" w:rsidP="00835794">
      <w:pPr>
        <w:pStyle w:val="NumberedList1"/>
      </w:pPr>
      <w:r w:rsidRPr="00835794">
        <w:t>Samples spiked with Spike 2: added after PCR to investigate sequencing bias</w:t>
      </w:r>
    </w:p>
    <w:p w14:paraId="567A7C4F" w14:textId="481D75E3" w:rsidR="00DC1FA0" w:rsidRPr="00835794" w:rsidRDefault="00DC1FA0" w:rsidP="00835794">
      <w:pPr>
        <w:pStyle w:val="NumberedList1"/>
      </w:pPr>
      <w:r w:rsidRPr="00835794">
        <w:t>Samples spiked with Spike 1 and Spike 2: to investigate the effects of both PCR and sequencing bias.</w:t>
      </w:r>
    </w:p>
    <w:p w14:paraId="33FFC0CF" w14:textId="4294696B" w:rsidR="00DC1FA0" w:rsidRDefault="00DC1FA0" w:rsidP="00DC1FA0">
      <w:pPr>
        <w:pStyle w:val="BodyText"/>
      </w:pPr>
      <w:r>
        <w:t>Synthetic Spikes 1 and 2 were received as 500 ng of dried product and kept at 4</w:t>
      </w:r>
      <w:r w:rsidR="00C60F46">
        <w:t xml:space="preserve">° </w:t>
      </w:r>
      <w:r>
        <w:t>C until resuspension in sterile TE (Tris + EDTA) buffer (Sigma Aldrich) to achieve a 10 ng/µL solution. These solutions were immediately vortexed and incubated at 50</w:t>
      </w:r>
      <w:r w:rsidR="00C60F46">
        <w:t xml:space="preserve">° </w:t>
      </w:r>
      <w:r>
        <w:t>C for 20 minutes following the manufacturer’s protocol. After incubation, the synthetic rDNA solution was vortexed and centrifuged. Initial 1:50 stock dilutions were prepared in sterile tubes with DNA-free water and these, along with the stocks, were immediately stored at -30</w:t>
      </w:r>
      <w:r w:rsidR="00C60F46">
        <w:t xml:space="preserve">° </w:t>
      </w:r>
      <w:r>
        <w:t>C.</w:t>
      </w:r>
    </w:p>
    <w:p w14:paraId="00A517E6" w14:textId="47CED892" w:rsidR="00016E1B" w:rsidRDefault="00DC1FA0" w:rsidP="00DC1FA0">
      <w:pPr>
        <w:pStyle w:val="BodyText"/>
      </w:pPr>
      <w:r>
        <w:t xml:space="preserve">Spike 1 was added to individual eDNA samples prior to PCR to enable comparisons of the relative amplification of samples. Spike 1 was diluted to 1:500,000,000; 2 µL of spike was added into 20 µL of the final PCR reaction volume and amplified with the sample by PCR using primers targeting the 16S rDNA gene (see </w:t>
      </w:r>
      <w:r w:rsidR="00F03027">
        <w:fldChar w:fldCharType="begin"/>
      </w:r>
      <w:r w:rsidR="00F03027">
        <w:instrText xml:space="preserve"> REF _Ref164638844 \h </w:instrText>
      </w:r>
      <w:r w:rsidR="00F03027">
        <w:fldChar w:fldCharType="separate"/>
      </w:r>
      <w:r w:rsidR="00F03027">
        <w:t>Appendix 1</w:t>
      </w:r>
      <w:r w:rsidR="00F03027">
        <w:fldChar w:fldCharType="end"/>
      </w:r>
      <w:r>
        <w:t>). Spike 1 was added to achieve a concentration of 4 ng/µL to 5 ng/µL after amplification.</w:t>
      </w:r>
    </w:p>
    <w:p w14:paraId="62750AFE" w14:textId="6DA8D29F" w:rsidR="00DC1FA0" w:rsidRDefault="00DC1FA0" w:rsidP="00DC1FA0">
      <w:pPr>
        <w:pStyle w:val="BodyText"/>
      </w:pPr>
      <w:r>
        <w:t>Spike 2 was diluted to 1:2,000,000. Aliquots of Spike 2 were labelled with tags that matched those added to the individual eDNA samples. Aliquots (2 µL) of diluted Spike 2 stock were added into 20 µL final PCR reaction volumes and amplified with 16S rDNA primer barcodes that matched those used to amplify the sample eDNA. The amplified concentrations were 35 ng/µL to 40 ng/µL. The final concentration of Spike 2 added to amplified eDNA was 10 ng of DNA into 10 µL of PCR product containing amplified sample eDNA.</w:t>
      </w:r>
    </w:p>
    <w:p w14:paraId="0899EDAB" w14:textId="77777777" w:rsidR="00016E1B" w:rsidRDefault="00DC1FA0" w:rsidP="00DC1FA0">
      <w:pPr>
        <w:pStyle w:val="BodyText"/>
      </w:pPr>
      <w:r>
        <w:t>Spike 2 was used to investigate any bias introduced during sequencing. The synthetic sequences have the same properties as the amplicon products; however, as they are artificial, they have no match in sequence databases. PCR products were determined by gel electrophoresis. Samples were checked for concentration, purified, pooled and sequenced as above.</w:t>
      </w:r>
    </w:p>
    <w:p w14:paraId="6163CDAC" w14:textId="77777777" w:rsidR="00016E1B" w:rsidRDefault="00DC1FA0" w:rsidP="00DC1FA0">
      <w:pPr>
        <w:pStyle w:val="BodyText"/>
      </w:pPr>
      <w:r>
        <w:t>A series of quantitative PCRs (qPCRs) were performed for both gBlocks</w:t>
      </w:r>
      <w:r w:rsidR="00835794" w:rsidRPr="00A96F3B">
        <w:rPr>
          <w:rFonts w:ascii="Symbol" w:hAnsi="Symbol" w:cs="Times New Roman"/>
        </w:rPr>
        <w:t></w:t>
      </w:r>
      <w:r>
        <w:t xml:space="preserve"> Gene Fragments spike fragments prior to use to determine the dilution factor required to achieve a low concentration of amplified synthetic ‘spike’ DNA. This aimed at preventing the eDNA samples being swamped by Spike 2 when amplified. qPCR conditions followed the 16S rDNA PCR conditions. All dilutions were performed using the 1:50 stock solutions and were prepared in sterile tubes with DNA-free H2O. Dilution factors ranged from 1:1,000 to 1:1,000,000,000 (final PCR dilution factor). qPCRs were performed on the synthetic rDNA alone, and the Spike 1 sequence was added to an eDNA sample to determine if a difference in the concentration could be detected when comparing an eDNA sample and an eDNA sample with the addition of the spike. Qubit fluorometric assays were used to determine the concentration of DNA in the spike samples. The Qubit fluorometer was calibrated before each use, and quantification followed the instrument protocol.</w:t>
      </w:r>
    </w:p>
    <w:p w14:paraId="50A9C7E1" w14:textId="77777777" w:rsidR="00016E1B" w:rsidRDefault="00DC1FA0" w:rsidP="00DC1FA0">
      <w:pPr>
        <w:pStyle w:val="BodyText"/>
      </w:pPr>
      <w:r>
        <w:t>All amplified PCR sample concentrations were measured using the Quant-iT™ PicoGreen™ dsDNA Assay Kit (Thermo Fisher Scientific) and PHERAstar Microplate Reader. Preparation of the reagents was performed using sterile solutions and PicoGreen™ dye was added to each sample in light-sensitive conditions. All samples were analysed with blanks and a standard curve using Lambda DNA.</w:t>
      </w:r>
    </w:p>
    <w:p w14:paraId="0AC34BD4" w14:textId="77777777" w:rsidR="00016E1B" w:rsidRDefault="00DC1FA0" w:rsidP="00DC1FA0">
      <w:pPr>
        <w:pStyle w:val="BodyText"/>
      </w:pPr>
      <w:r>
        <w:t>Spiked samples were pooled in equimolar concentration. The pooled tube of samples was purified using AMPure XP Reagent (Beckman Coulter), which uses paramagnetic beads to selectively bind DNA. The protocol also incorporates a wash procedure to remove excess primers, nucleotides, salts and enzymes. Following purification, Qubit analysis was used to determine the final concentration of the pooled and purified sample. This was then pooled in equimolar concentrations and sequenced by Ramaciotti Centre, UNSW, using Illumina MiSeq (2 x 250 base pair paired end).</w:t>
      </w:r>
    </w:p>
    <w:p w14:paraId="1E96BB58" w14:textId="1C65DC5B" w:rsidR="00DC1FA0" w:rsidRDefault="00DC1FA0" w:rsidP="00BF0111">
      <w:pPr>
        <w:pStyle w:val="Heading3Numbered"/>
        <w:numPr>
          <w:ilvl w:val="0"/>
          <w:numId w:val="0"/>
        </w:numPr>
        <w:ind w:left="1277" w:hanging="851"/>
      </w:pPr>
      <w:bookmarkStart w:id="21" w:name="_Toc164960604"/>
      <w:r>
        <w:t>2.3.6</w:t>
      </w:r>
      <w:r>
        <w:tab/>
        <w:t>Bioinformatics</w:t>
      </w:r>
      <w:bookmarkEnd w:id="21"/>
    </w:p>
    <w:p w14:paraId="4E5CCE59" w14:textId="584FECE0" w:rsidR="00016E1B" w:rsidRDefault="00DC1FA0" w:rsidP="00DC1FA0">
      <w:pPr>
        <w:pStyle w:val="BodyText"/>
      </w:pPr>
      <w:r>
        <w:t xml:space="preserve">All metabarcode sequence data were processed using custom software designed by Paul Greenfield (CSIRO/Macquarie University) (see Korbel et al. (2017) and Sutcliffe et al. (2017) for details). For full details of bioinformatics, see </w:t>
      </w:r>
      <w:r w:rsidR="00F03027">
        <w:fldChar w:fldCharType="begin"/>
      </w:r>
      <w:r w:rsidR="00F03027">
        <w:instrText xml:space="preserve"> REF _Ref164638894 \h </w:instrText>
      </w:r>
      <w:r w:rsidR="00F03027">
        <w:fldChar w:fldCharType="separate"/>
      </w:r>
      <w:r w:rsidR="00F03027">
        <w:t>Appendix 2</w:t>
      </w:r>
      <w:r w:rsidR="00F03027">
        <w:fldChar w:fldCharType="end"/>
      </w:r>
      <w:r>
        <w:t>. Additional cleaning of datasets included the removal of samples that had a total sequence count of less than 5,000 reads, and adjustments of counts in samples based on the number of positive controls found in individual samples.</w:t>
      </w:r>
    </w:p>
    <w:p w14:paraId="11B38E4B" w14:textId="77777777" w:rsidR="00016E1B" w:rsidRDefault="00DC1FA0" w:rsidP="00DC1FA0">
      <w:pPr>
        <w:pStyle w:val="BodyText"/>
      </w:pPr>
      <w:r>
        <w:t>For 16S rDNA (prokaryote) compositional data, inferred functional profile data were obtained using the FAPROTAX program (Louca et al. 2016), which assigns bacterial OTUs to functional groups.</w:t>
      </w:r>
    </w:p>
    <w:p w14:paraId="42DD6ECA" w14:textId="5964F90F" w:rsidR="00DC1FA0" w:rsidRDefault="00DC1FA0" w:rsidP="00DC1FA0">
      <w:pPr>
        <w:pStyle w:val="BodyText"/>
      </w:pPr>
      <w:r>
        <w:t>Metagenome data were analysed using KBase (https://www.kbase.us), developed by the US Department of Energy (Arkin et al. 2018). Within KBase, assemblies were done using SPAdes (3.15.5) (Bankevich et al. 2012; Prjibelski et al. 2020) using the metagenomic assembly option, and the annotations were done using Prokka (Seemann 2014). After quality assurance to remove erroneous and poor-quality reads, metagenomes were reconstructed. From the reconstructed metagenomes, functional genes were identified using the Clusters of Orthologous Genes (COG), Gene Ontology (GO) and Enzyme Commission (EC) databases separately, as well as a hybridised compilation of annotated genes across all databases. The taxonomy of microbes in the assemblages was identified by targeting the 16S rDNA and 18s rDNA genes using Kelpie 2.0 (Greenfield et al. 2019).</w:t>
      </w:r>
    </w:p>
    <w:p w14:paraId="43F00C61" w14:textId="77777777" w:rsidR="00DC1FA0" w:rsidRDefault="00DC1FA0" w:rsidP="00BF0111">
      <w:pPr>
        <w:pStyle w:val="Heading3Numbered"/>
        <w:numPr>
          <w:ilvl w:val="0"/>
          <w:numId w:val="0"/>
        </w:numPr>
        <w:ind w:left="1277" w:hanging="851"/>
      </w:pPr>
      <w:bookmarkStart w:id="22" w:name="_Toc164960605"/>
      <w:r>
        <w:t>2.3.7</w:t>
      </w:r>
      <w:r>
        <w:tab/>
        <w:t xml:space="preserve">Data </w:t>
      </w:r>
      <w:r w:rsidRPr="00BF0111">
        <w:t>analysis</w:t>
      </w:r>
      <w:bookmarkEnd w:id="22"/>
    </w:p>
    <w:p w14:paraId="6711E6F9" w14:textId="77777777" w:rsidR="00016E1B" w:rsidRDefault="00DC1FA0" w:rsidP="00DC1FA0">
      <w:pPr>
        <w:pStyle w:val="BodyText"/>
      </w:pPr>
      <w:r>
        <w:t>Differences in assemblage data (stygofauna, eDNA assemblages) were visualised using non-metric multidimensional scaling (nMDS). Sequence reads for individual operational taxonomic units from 16S rDNA metabarcoding (OTUs) and gene sequence counts from metagenome analysis were transformed to relative abundance and square root transformed (Hellinger transformation). Read numbers for 18S rDNA sequences from metabarcode and metagenome analyses were presence/absence transformed prior to analysis. Similarity among samples was estimated using the Bray-Curtis similarity.</w:t>
      </w:r>
    </w:p>
    <w:p w14:paraId="0B127C88" w14:textId="30667E8E" w:rsidR="00DC1FA0" w:rsidRDefault="00DC1FA0" w:rsidP="00DC1FA0">
      <w:pPr>
        <w:pStyle w:val="BodyText"/>
      </w:pPr>
      <w:r>
        <w:t>Differences among functional and compositional assemblages were analysed using permutational multivariate analysis of variance (PERMANOVA) (Anderson 2001) with a nested design (sampling bore as a random factor nested within aquifer type and pre-purge/post-purge sampling as a fixed factor). Analysis of similarity (ANOSIM) (Clarke and Green 1988) was also used to compare differences between sample groups.</w:t>
      </w:r>
    </w:p>
    <w:p w14:paraId="306B3F1D" w14:textId="22EBCBD6" w:rsidR="00016E1B" w:rsidRDefault="00DC1FA0" w:rsidP="00DC1FA0">
      <w:pPr>
        <w:pStyle w:val="BodyText"/>
      </w:pPr>
      <w:r>
        <w:t>Relationships between environmental variables (including water chemistry) and biotic communities were modelled using distance-based linear models (DistLM) (Anderson et al. 2008). Environmental data were normalised before analysis, and strongly correlated (r&gt;0.90) variables were removed prior to analysis, based on draftsman plots (Clarke and Ainsworth 1993). P</w:t>
      </w:r>
      <w:r w:rsidR="007E22AC">
        <w:t>RIMER</w:t>
      </w:r>
      <w:r>
        <w:t>-</w:t>
      </w:r>
      <w:r w:rsidR="007E22AC">
        <w:t>e</w:t>
      </w:r>
      <w:r>
        <w:t xml:space="preserve"> version 6.1.11 (</w:t>
      </w:r>
      <w:r w:rsidR="007E22AC">
        <w:t>PRIMER-e</w:t>
      </w:r>
      <w:r>
        <w:t xml:space="preserve"> Ltd, Plymouth, UK) was used to complete all multivariate analyses, with univariate analyses completed in Minitab version 17 (Minitab Inc., Pennsylvania, USA). The significance level (α) for univariate and multivariate inferential tests was set at 0.05.</w:t>
      </w:r>
    </w:p>
    <w:p w14:paraId="3D5F2B90" w14:textId="34D6D30C" w:rsidR="00DC1FA0" w:rsidRDefault="00DC1FA0" w:rsidP="00DC1FA0">
      <w:pPr>
        <w:pStyle w:val="BodyText"/>
      </w:pPr>
      <w:r>
        <w:t>The effects of standardising sequence abundances by the spike read numbers were analysed by comparing the standardised and unstandardised data. ‘Unstandardised’ sequence assemblage data were transformed using the Hellinger transformation, in which data were converted to relative abundance (dividing by sample read number) and applying square root transformation. This transformation uses the square root transformation to account for the additivity of the relative abundance-transformed sequence numbers (Legendre and Legendre 2012). Taxa contributing less than 1% to the abundance of any one sample in the dataset were excluded (Chariton et al. 2015). In ‘spike-standardised’ data, sequence read numbers for a taxon were divided by the spike sequence read number in that sample. Samples were square root transformed prior to calculating similarities to down-weight the importance of highly abundant taxa (Legendre and Legendre 2012). Differences between unstandardised and standardised data were visualised using nMDS and compared using PERMANOVA.</w:t>
      </w:r>
    </w:p>
    <w:p w14:paraId="19DC28CB" w14:textId="2B2F8DC7" w:rsidR="00DC1FA0" w:rsidRDefault="00DC1FA0" w:rsidP="00DC1FA0">
      <w:pPr>
        <w:pStyle w:val="BodyText"/>
      </w:pPr>
      <w:r>
        <w:t>All data are publicly available on completion of this study via the Macquarie University Research Data Repository (metagenome DOI: 10.25949/22825832; spiking experiment 16S rDNA DOI: 10.25949/22825871).</w:t>
      </w:r>
    </w:p>
    <w:p w14:paraId="38C9D739" w14:textId="2419CBA7" w:rsidR="00DC1FA0" w:rsidRDefault="00DC1FA0">
      <w:pPr>
        <w:rPr>
          <w:rFonts w:ascii="Garamond" w:hAnsi="Garamond" w:cs="Calibri"/>
          <w:color w:val="000000"/>
          <w:sz w:val="20"/>
          <w:szCs w:val="20"/>
          <w:lang w:val="en-US"/>
        </w:rPr>
      </w:pPr>
      <w:r>
        <w:br w:type="page"/>
      </w:r>
    </w:p>
    <w:p w14:paraId="0CA679AC" w14:textId="5F2B0783" w:rsidR="00DC1FA0" w:rsidRDefault="00DC1FA0" w:rsidP="00DC1FA0">
      <w:pPr>
        <w:pStyle w:val="Heading1Numbered"/>
      </w:pPr>
      <w:bookmarkStart w:id="23" w:name="_Toc164960606"/>
      <w:r>
        <w:t>Results and discussion</w:t>
      </w:r>
      <w:bookmarkEnd w:id="23"/>
    </w:p>
    <w:p w14:paraId="05A2A5D3" w14:textId="77777777" w:rsidR="00DC1FA0" w:rsidRDefault="00DC1FA0" w:rsidP="004D3EA2">
      <w:pPr>
        <w:pStyle w:val="Heading2Numbered"/>
        <w:numPr>
          <w:ilvl w:val="0"/>
          <w:numId w:val="0"/>
        </w:numPr>
      </w:pPr>
      <w:bookmarkStart w:id="24" w:name="_Toc164960607"/>
      <w:r>
        <w:t>3.1</w:t>
      </w:r>
      <w:r>
        <w:tab/>
        <w:t>Metabarcode spiking experiment</w:t>
      </w:r>
      <w:bookmarkEnd w:id="24"/>
    </w:p>
    <w:p w14:paraId="4BC03411" w14:textId="77777777" w:rsidR="00DC1FA0" w:rsidRDefault="00DC1FA0" w:rsidP="004D3EA2">
      <w:pPr>
        <w:pStyle w:val="Heading3Numbered"/>
        <w:numPr>
          <w:ilvl w:val="0"/>
          <w:numId w:val="0"/>
        </w:numPr>
        <w:ind w:left="1277" w:hanging="851"/>
      </w:pPr>
      <w:bookmarkStart w:id="25" w:name="_Toc164960608"/>
      <w:r>
        <w:t>3.1.1</w:t>
      </w:r>
      <w:r>
        <w:tab/>
        <w:t>Detection of spikes in samples</w:t>
      </w:r>
      <w:bookmarkEnd w:id="25"/>
    </w:p>
    <w:p w14:paraId="279A54A8" w14:textId="77777777" w:rsidR="00DC1FA0" w:rsidRDefault="00DC1FA0" w:rsidP="00DC1FA0">
      <w:pPr>
        <w:pStyle w:val="BodyText"/>
      </w:pPr>
      <w:r>
        <w:t>The read number for Spike 1 (added to the raw DNA extracts prior to PCR) was less than 25 reads in 29 of the 60 samples in which it was detected (i.e., in the Spike 1 and Spike 1 + 2 treatments). This modest rate of detection suggests that a slightly higher concentration of the spike DNA could be added in future trials. Of the samples to which Spike 2 was added (post-PCR), five had less than 10 reads and were not included in the analysis. All others had more than 100 reads of Spike 2. Overall, there were sufficient reads for all spikes in the three spiked samples from 11 of the 30 samples analysed. The amplicons of the synthetic spikes (1 and 2) were slightly longer (280 base pair) compared to the 16S rDNA amplicons.</w:t>
      </w:r>
    </w:p>
    <w:p w14:paraId="783A7AF6" w14:textId="7DD5246B" w:rsidR="00DC1FA0" w:rsidRDefault="00DC1FA0" w:rsidP="00DC1FA0">
      <w:pPr>
        <w:pStyle w:val="BodyText"/>
      </w:pPr>
      <w:r>
        <w:t>Read numbers for Spike 1 were below 10,000 reads and mostly less than 4,000 (</w:t>
      </w:r>
      <w:r w:rsidR="00307B2F">
        <w:fldChar w:fldCharType="begin"/>
      </w:r>
      <w:r w:rsidR="00307B2F">
        <w:instrText xml:space="preserve"> REF _Ref164637859 \h </w:instrText>
      </w:r>
      <w:r w:rsidR="00307B2F">
        <w:fldChar w:fldCharType="separate"/>
      </w:r>
      <w:r w:rsidR="00307B2F">
        <w:t xml:space="preserve">Figure </w:t>
      </w:r>
      <w:r w:rsidR="00307B2F">
        <w:rPr>
          <w:noProof/>
        </w:rPr>
        <w:t>2</w:t>
      </w:r>
      <w:r w:rsidR="00307B2F">
        <w:fldChar w:fldCharType="end"/>
      </w:r>
      <w:r>
        <w:t>a). There was a significant negative correlation between Spike 1 read number and total read number of a sample (excluding the spike) (r=-0.59, p&lt;0.001) (</w:t>
      </w:r>
      <w:r w:rsidR="00307B2F">
        <w:fldChar w:fldCharType="begin"/>
      </w:r>
      <w:r w:rsidR="00307B2F">
        <w:instrText xml:space="preserve"> REF _Ref164637859 \h </w:instrText>
      </w:r>
      <w:r w:rsidR="00307B2F">
        <w:fldChar w:fldCharType="separate"/>
      </w:r>
      <w:r w:rsidR="00307B2F">
        <w:t xml:space="preserve">Figure </w:t>
      </w:r>
      <w:r w:rsidR="00307B2F">
        <w:rPr>
          <w:noProof/>
        </w:rPr>
        <w:t>2</w:t>
      </w:r>
      <w:r w:rsidR="00307B2F">
        <w:fldChar w:fldCharType="end"/>
      </w:r>
      <w:r>
        <w:t>a). Read numbers for Spike 2 were typically below 5,000 reads, with the exception of one sample (bore 30298) that had over 26,000 (</w:t>
      </w:r>
      <w:r w:rsidR="00307B2F">
        <w:fldChar w:fldCharType="begin"/>
      </w:r>
      <w:r w:rsidR="00307B2F">
        <w:instrText xml:space="preserve"> REF _Ref164637859 \h </w:instrText>
      </w:r>
      <w:r w:rsidR="00307B2F">
        <w:fldChar w:fldCharType="separate"/>
      </w:r>
      <w:r w:rsidR="00307B2F">
        <w:t xml:space="preserve">Figure </w:t>
      </w:r>
      <w:r w:rsidR="00307B2F">
        <w:rPr>
          <w:noProof/>
        </w:rPr>
        <w:t>2</w:t>
      </w:r>
      <w:r w:rsidR="00307B2F">
        <w:fldChar w:fldCharType="end"/>
      </w:r>
      <w:r>
        <w:t>b). With the outlying value removed (</w:t>
      </w:r>
      <w:r w:rsidR="00307B2F">
        <w:fldChar w:fldCharType="begin"/>
      </w:r>
      <w:r w:rsidR="00307B2F">
        <w:instrText xml:space="preserve"> REF _Ref164637859 \h </w:instrText>
      </w:r>
      <w:r w:rsidR="00307B2F">
        <w:fldChar w:fldCharType="separate"/>
      </w:r>
      <w:r w:rsidR="00307B2F">
        <w:t xml:space="preserve">Figure </w:t>
      </w:r>
      <w:r w:rsidR="00307B2F">
        <w:rPr>
          <w:noProof/>
        </w:rPr>
        <w:t>2</w:t>
      </w:r>
      <w:r w:rsidR="00307B2F">
        <w:fldChar w:fldCharType="end"/>
      </w:r>
      <w:r>
        <w:t>c), there was a significant negative correlation between Spike 2 read number and total read number of a sample (excluding the spike) (r=-0.55, p&lt;0.001).</w:t>
      </w:r>
    </w:p>
    <w:p w14:paraId="49E87425" w14:textId="0D9C08B7" w:rsidR="00DC1FA0" w:rsidRDefault="00DC1FA0" w:rsidP="00EE5F48">
      <w:pPr>
        <w:pStyle w:val="BodyText"/>
        <w:keepNext/>
      </w:pPr>
      <w:r>
        <w:rPr>
          <w:noProof/>
        </w:rPr>
        <w:drawing>
          <wp:inline distT="0" distB="0" distL="0" distR="0" wp14:anchorId="36071D89" wp14:editId="1B831773">
            <wp:extent cx="5759450" cy="3460750"/>
            <wp:effectExtent l="0" t="0" r="6350" b="6350"/>
            <wp:docPr id="144464266" name="Picture 1" descr="Three graphs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4266" name="Picture 1" descr="Three graphs as described in previous paragraph"/>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460750"/>
                    </a:xfrm>
                    <a:prstGeom prst="rect">
                      <a:avLst/>
                    </a:prstGeom>
                  </pic:spPr>
                </pic:pic>
              </a:graphicData>
            </a:graphic>
          </wp:inline>
        </w:drawing>
      </w:r>
    </w:p>
    <w:p w14:paraId="28DC4226" w14:textId="57ED6182" w:rsidR="00EE5F48" w:rsidRDefault="00EE5F48" w:rsidP="00EE5F48">
      <w:pPr>
        <w:pStyle w:val="Figureheading"/>
      </w:pPr>
      <w:bookmarkStart w:id="26" w:name="_Ref164637859"/>
      <w:r>
        <w:t xml:space="preserve">Figure </w:t>
      </w:r>
      <w:r>
        <w:fldChar w:fldCharType="begin"/>
      </w:r>
      <w:r>
        <w:instrText xml:space="preserve"> SEQ Figure \* ARABIC </w:instrText>
      </w:r>
      <w:r>
        <w:fldChar w:fldCharType="separate"/>
      </w:r>
      <w:r>
        <w:rPr>
          <w:noProof/>
        </w:rPr>
        <w:t>2</w:t>
      </w:r>
      <w:r>
        <w:fldChar w:fldCharType="end"/>
      </w:r>
      <w:bookmarkEnd w:id="26"/>
      <w:r w:rsidRPr="00BF30C8">
        <w:t>. Plot of spike read number against total read number (excluding spike reads) for a) pre-PCR Spike 1, b) pre-sequencing Spike 2 and c) pre-sequencing Spike 2 with outlying value (spike read = 26,936) removed</w:t>
      </w:r>
    </w:p>
    <w:p w14:paraId="38245321" w14:textId="77777777" w:rsidR="00DC1FA0" w:rsidRDefault="00DC1FA0" w:rsidP="004D3EA2">
      <w:pPr>
        <w:pStyle w:val="Heading3Numbered"/>
        <w:numPr>
          <w:ilvl w:val="0"/>
          <w:numId w:val="0"/>
        </w:numPr>
        <w:ind w:left="1277" w:hanging="851"/>
      </w:pPr>
      <w:bookmarkStart w:id="27" w:name="_Toc164960609"/>
      <w:r>
        <w:t>3.1.2</w:t>
      </w:r>
      <w:r>
        <w:tab/>
        <w:t>Spike 1 (pre-PCR)</w:t>
      </w:r>
      <w:bookmarkEnd w:id="27"/>
    </w:p>
    <w:p w14:paraId="245CCE81" w14:textId="11FD2701" w:rsidR="00DC1FA0" w:rsidRDefault="00DC1FA0" w:rsidP="00DC1FA0">
      <w:pPr>
        <w:pStyle w:val="BodyText"/>
      </w:pPr>
      <w:r>
        <w:t>The ordination of the microbial assemblages standardised by total read number showed a clear separation of sites by aquifer type (</w:t>
      </w:r>
      <w:r w:rsidR="00E202FA">
        <w:fldChar w:fldCharType="begin"/>
      </w:r>
      <w:r w:rsidR="00E202FA">
        <w:instrText xml:space="preserve"> REF _Ref164637993 \h </w:instrText>
      </w:r>
      <w:r w:rsidR="00E202FA">
        <w:fldChar w:fldCharType="separate"/>
      </w:r>
      <w:r w:rsidR="00E202FA">
        <w:t xml:space="preserve">Figure </w:t>
      </w:r>
      <w:r w:rsidR="00E202FA">
        <w:rPr>
          <w:noProof/>
        </w:rPr>
        <w:t>3</w:t>
      </w:r>
      <w:r w:rsidR="00E202FA">
        <w:fldChar w:fldCharType="end"/>
      </w:r>
      <w:r>
        <w:t xml:space="preserve">a). A similar separation was evident among the data standardised by Spike 1 read number, with the exception of bore 36567, which appeared more like samples from the fractured rock than the other alluvial aquifer samples </w:t>
      </w:r>
      <w:r w:rsidRPr="00A5551B">
        <w:t>(Figure</w:t>
      </w:r>
      <w:r w:rsidRPr="00EE2F70">
        <w:t xml:space="preserve"> </w:t>
      </w:r>
      <w:r w:rsidR="00ED19D4" w:rsidRPr="00EE2F70">
        <w:t>3</w:t>
      </w:r>
      <w:r w:rsidRPr="00EE2F70">
        <w:t>b</w:t>
      </w:r>
      <w:r>
        <w:t>). Alluvial samples had, on average, a greater total read number than sandstone aquifer samples. Bore 36567 had the highest read number of Spike 1 (9,036 reads). The standardisation by this relatively large number effectively reduced the read numbers for all taxa in that sample (relative to other samples), while lower spike read numbers of other samples effectively ‘increased’ the abundance of taxa in the samples from the sandstone aquifer, making those samples more similar.</w:t>
      </w:r>
    </w:p>
    <w:p w14:paraId="7E474E94" w14:textId="3E524CBB" w:rsidR="00DC1FA0" w:rsidRDefault="00DC1FA0" w:rsidP="00EE5F48">
      <w:pPr>
        <w:pStyle w:val="BodyText"/>
        <w:keepNext/>
      </w:pPr>
      <w:r>
        <w:rPr>
          <w:noProof/>
        </w:rPr>
        <w:drawing>
          <wp:inline distT="0" distB="0" distL="0" distR="0" wp14:anchorId="76566CC9" wp14:editId="0B6D7D44">
            <wp:extent cx="5759450" cy="1818640"/>
            <wp:effectExtent l="0" t="0" r="6350" b="0"/>
            <wp:docPr id="1101471452" name="Picture 2" descr="nMDS ordination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1452" name="Picture 2" descr="nMDS ordination as described in previous paragraph"/>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1818640"/>
                    </a:xfrm>
                    <a:prstGeom prst="rect">
                      <a:avLst/>
                    </a:prstGeom>
                  </pic:spPr>
                </pic:pic>
              </a:graphicData>
            </a:graphic>
          </wp:inline>
        </w:drawing>
      </w:r>
    </w:p>
    <w:p w14:paraId="71B5D45C" w14:textId="283F2945" w:rsidR="00EE5F48" w:rsidRDefault="00EE5F48" w:rsidP="00EE5F48">
      <w:pPr>
        <w:pStyle w:val="Figureheading"/>
      </w:pPr>
      <w:bookmarkStart w:id="28" w:name="_Ref164637993"/>
      <w:r>
        <w:t xml:space="preserve">Figure </w:t>
      </w:r>
      <w:r>
        <w:fldChar w:fldCharType="begin"/>
      </w:r>
      <w:r>
        <w:instrText xml:space="preserve"> SEQ Figure \* ARABIC </w:instrText>
      </w:r>
      <w:r>
        <w:fldChar w:fldCharType="separate"/>
      </w:r>
      <w:r>
        <w:rPr>
          <w:noProof/>
        </w:rPr>
        <w:t>3</w:t>
      </w:r>
      <w:r>
        <w:fldChar w:fldCharType="end"/>
      </w:r>
      <w:bookmarkEnd w:id="28"/>
      <w:r w:rsidRPr="00240250">
        <w:t xml:space="preserve">. nMDS ordination of 16S rDNA metabarcoding assemblages of groundwater microbial assemblages from bores in alluvial (blue symbols) and fractured rock (red symbols) aquifers: a) relative abundance based on sample read number; b) abundance standardised </w:t>
      </w:r>
      <w:r>
        <w:t>based on read number of a pre-PCR spike (Spike 1)</w:t>
      </w:r>
    </w:p>
    <w:p w14:paraId="2B875ADC" w14:textId="1408C989" w:rsidR="00DC1FA0" w:rsidRDefault="00DC1FA0" w:rsidP="00DC1FA0">
      <w:pPr>
        <w:pStyle w:val="BodyText"/>
      </w:pPr>
      <w:r>
        <w:t>There was only a weak negative correlation (r=-0.51) between the total sequence read number and that for Spike 1 (</w:t>
      </w:r>
      <w:r w:rsidR="00E202FA">
        <w:fldChar w:fldCharType="begin"/>
      </w:r>
      <w:r w:rsidR="00E202FA">
        <w:instrText xml:space="preserve"> REF _Ref164638019 \h </w:instrText>
      </w:r>
      <w:r w:rsidR="00E202FA">
        <w:fldChar w:fldCharType="separate"/>
      </w:r>
      <w:r w:rsidR="00E202FA">
        <w:t xml:space="preserve">Figure </w:t>
      </w:r>
      <w:r w:rsidR="00E202FA">
        <w:rPr>
          <w:noProof/>
        </w:rPr>
        <w:t>4</w:t>
      </w:r>
      <w:r w:rsidR="00E202FA">
        <w:fldChar w:fldCharType="end"/>
      </w:r>
      <w:r>
        <w:t xml:space="preserve">). Samples from the alluvial aquifer that formed the cluster to the right of </w:t>
      </w:r>
      <w:r w:rsidR="00E202FA">
        <w:fldChar w:fldCharType="begin"/>
      </w:r>
      <w:r w:rsidR="00E202FA">
        <w:instrText xml:space="preserve"> REF _Ref164637993 \h </w:instrText>
      </w:r>
      <w:r w:rsidR="00E202FA">
        <w:fldChar w:fldCharType="separate"/>
      </w:r>
      <w:r w:rsidR="00E202FA">
        <w:t xml:space="preserve">Figure </w:t>
      </w:r>
      <w:r w:rsidR="00E202FA">
        <w:rPr>
          <w:noProof/>
        </w:rPr>
        <w:t>3</w:t>
      </w:r>
      <w:r w:rsidR="00E202FA">
        <w:fldChar w:fldCharType="end"/>
      </w:r>
      <w:r>
        <w:t>b all had relatively low Spike 1 read numbers (25 to 110) and standardisation values (Spike 1 reads/total reads = 0.0009 to 0.002), which may explain why those samples remain relatively similar to each other after standardisation by Spike 1 read number.</w:t>
      </w:r>
    </w:p>
    <w:p w14:paraId="1FA9B785" w14:textId="697283D4" w:rsidR="00DC1FA0" w:rsidRDefault="004D3EA2" w:rsidP="00E202FA">
      <w:pPr>
        <w:pStyle w:val="BodyText"/>
        <w:keepNext/>
        <w:keepLines/>
      </w:pPr>
      <w:r>
        <w:rPr>
          <w:noProof/>
        </w:rPr>
        <w:drawing>
          <wp:inline distT="0" distB="0" distL="0" distR="0" wp14:anchorId="69384909" wp14:editId="42E52E80">
            <wp:extent cx="4978400" cy="2984500"/>
            <wp:effectExtent l="0" t="0" r="0" b="0"/>
            <wp:docPr id="678410600" name="Picture 1" descr="Graph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10600" name="Picture 1" descr="Graph as described in previous paragraph"/>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8400" cy="2984500"/>
                    </a:xfrm>
                    <a:prstGeom prst="rect">
                      <a:avLst/>
                    </a:prstGeom>
                  </pic:spPr>
                </pic:pic>
              </a:graphicData>
            </a:graphic>
          </wp:inline>
        </w:drawing>
      </w:r>
    </w:p>
    <w:p w14:paraId="02DF0243" w14:textId="6010DE91" w:rsidR="00EE5F48" w:rsidRPr="00EE5F48" w:rsidRDefault="00EE5F48" w:rsidP="00EE5F48">
      <w:pPr>
        <w:pStyle w:val="Figureheading"/>
      </w:pPr>
      <w:bookmarkStart w:id="29" w:name="_Ref164638019"/>
      <w:r>
        <w:t xml:space="preserve">Figure </w:t>
      </w:r>
      <w:r>
        <w:fldChar w:fldCharType="begin"/>
      </w:r>
      <w:r>
        <w:instrText xml:space="preserve"> SEQ Figure \* ARABIC </w:instrText>
      </w:r>
      <w:r>
        <w:fldChar w:fldCharType="separate"/>
      </w:r>
      <w:r>
        <w:rPr>
          <w:noProof/>
        </w:rPr>
        <w:t>4</w:t>
      </w:r>
      <w:r>
        <w:fldChar w:fldCharType="end"/>
      </w:r>
      <w:bookmarkEnd w:id="29"/>
      <w:r w:rsidRPr="00F8007B">
        <w:t>. Plot of total read number (excluding spike reads) against Spike 1 read number in eDNA samples of microbial 16S rDNA assemblages from alluvial (blue symbols) and fractured rock (red symbols) aquifers</w:t>
      </w:r>
    </w:p>
    <w:p w14:paraId="7DBFB0F6" w14:textId="2EAEE7F7" w:rsidR="00016E1B" w:rsidRDefault="00DC1FA0" w:rsidP="00DC1FA0">
      <w:pPr>
        <w:pStyle w:val="BodyText"/>
      </w:pPr>
      <w:r>
        <w:t>Despite the apparent shift in the similarities among some samples in the nMDS (</w:t>
      </w:r>
      <w:r w:rsidR="00E202FA">
        <w:fldChar w:fldCharType="begin"/>
      </w:r>
      <w:r w:rsidR="00E202FA">
        <w:instrText xml:space="preserve"> REF _Ref164637993 \h </w:instrText>
      </w:r>
      <w:r w:rsidR="00E202FA">
        <w:fldChar w:fldCharType="separate"/>
      </w:r>
      <w:r w:rsidR="00E202FA">
        <w:t xml:space="preserve">Figure </w:t>
      </w:r>
      <w:r w:rsidR="00E202FA">
        <w:rPr>
          <w:noProof/>
        </w:rPr>
        <w:t>3</w:t>
      </w:r>
      <w:r w:rsidR="00E202FA">
        <w:fldChar w:fldCharType="end"/>
      </w:r>
      <w:r>
        <w:t>), there was a significant correlation (RELATE, r=0.445, p=0.001) between the Bray-Curtis similarity matrices that underpin those ordinations.</w:t>
      </w:r>
    </w:p>
    <w:p w14:paraId="2A868C44" w14:textId="3593AF7A" w:rsidR="00DC1FA0" w:rsidRDefault="00DC1FA0" w:rsidP="004D3EA2">
      <w:pPr>
        <w:pStyle w:val="Heading3Numbered"/>
        <w:numPr>
          <w:ilvl w:val="0"/>
          <w:numId w:val="0"/>
        </w:numPr>
        <w:ind w:left="1276" w:hanging="851"/>
      </w:pPr>
      <w:bookmarkStart w:id="30" w:name="_Toc164960610"/>
      <w:r>
        <w:t>3.1.3</w:t>
      </w:r>
      <w:r>
        <w:tab/>
        <w:t>Spike 2 (post-PCR)</w:t>
      </w:r>
      <w:bookmarkEnd w:id="30"/>
    </w:p>
    <w:p w14:paraId="017DAFF2" w14:textId="66568853" w:rsidR="00DC1FA0" w:rsidRDefault="00DC1FA0" w:rsidP="00DC1FA0">
      <w:pPr>
        <w:pStyle w:val="BodyText"/>
      </w:pPr>
      <w:r>
        <w:t>When standardised by total read number, there was a clear separation of samples by catchment type (</w:t>
      </w:r>
      <w:r w:rsidR="00E202FA">
        <w:fldChar w:fldCharType="begin"/>
      </w:r>
      <w:r w:rsidR="00E202FA">
        <w:instrText xml:space="preserve"> REF _Ref164638060 \h </w:instrText>
      </w:r>
      <w:r w:rsidR="00E202FA">
        <w:fldChar w:fldCharType="separate"/>
      </w:r>
      <w:r w:rsidR="00E202FA">
        <w:t xml:space="preserve">Figure </w:t>
      </w:r>
      <w:r w:rsidR="00E202FA">
        <w:rPr>
          <w:noProof/>
        </w:rPr>
        <w:t>5</w:t>
      </w:r>
      <w:r w:rsidR="00E202FA">
        <w:fldChar w:fldCharType="end"/>
      </w:r>
      <w:r>
        <w:t xml:space="preserve">a). When standardised by Spike 2 read number, the separation by aquifer type was evident within the main cluster of samples to the right of </w:t>
      </w:r>
      <w:r w:rsidR="00E202FA">
        <w:fldChar w:fldCharType="begin"/>
      </w:r>
      <w:r w:rsidR="00E202FA">
        <w:instrText xml:space="preserve"> REF _Ref164638060 \h </w:instrText>
      </w:r>
      <w:r w:rsidR="00E202FA">
        <w:fldChar w:fldCharType="separate"/>
      </w:r>
      <w:r w:rsidR="00E202FA">
        <w:t xml:space="preserve">Figure </w:t>
      </w:r>
      <w:r w:rsidR="00E202FA">
        <w:rPr>
          <w:noProof/>
        </w:rPr>
        <w:t>5</w:t>
      </w:r>
      <w:r w:rsidR="00E202FA">
        <w:fldChar w:fldCharType="end"/>
      </w:r>
      <w:r>
        <w:t>b, but several samples from both aquifer types formed a separate cluster to the left. These five samples (bores 271009, 75093, 75005, 36567 and 36056) were those with the highest Spike 2 read number (</w:t>
      </w:r>
      <w:r w:rsidR="00E202FA">
        <w:fldChar w:fldCharType="begin"/>
      </w:r>
      <w:r w:rsidR="00E202FA">
        <w:instrText xml:space="preserve"> REF _Ref164638080 \h </w:instrText>
      </w:r>
      <w:r w:rsidR="00E202FA">
        <w:fldChar w:fldCharType="separate"/>
      </w:r>
      <w:r w:rsidR="00E202FA">
        <w:t xml:space="preserve">Figure </w:t>
      </w:r>
      <w:r w:rsidR="00E202FA">
        <w:rPr>
          <w:noProof/>
        </w:rPr>
        <w:t>6</w:t>
      </w:r>
      <w:r w:rsidR="00E202FA">
        <w:fldChar w:fldCharType="end"/>
      </w:r>
      <w:r>
        <w:t>) and in which the ratio of Spike 2 reads to total reads was greatest (&gt;0.03). Consequently, the abundance of taxa in those samples after standardisation by the Spike 2 read number was one to two orders of magnitude lower than in other samples.</w:t>
      </w:r>
    </w:p>
    <w:p w14:paraId="46711B83" w14:textId="12C0A88B" w:rsidR="00DC1FA0" w:rsidRDefault="00DC1FA0" w:rsidP="00E202FA">
      <w:pPr>
        <w:pStyle w:val="BodyText"/>
        <w:keepNext/>
      </w:pPr>
      <w:r>
        <w:rPr>
          <w:noProof/>
        </w:rPr>
        <w:drawing>
          <wp:inline distT="0" distB="0" distL="0" distR="0" wp14:anchorId="040EA15C" wp14:editId="4566A9D6">
            <wp:extent cx="5759450" cy="1744345"/>
            <wp:effectExtent l="0" t="0" r="6350" b="0"/>
            <wp:docPr id="818721181" name="Picture 3" descr="nMDS ordination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21181" name="Picture 3" descr="nMDS ordination as described in previous paragrap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9450" cy="1744345"/>
                    </a:xfrm>
                    <a:prstGeom prst="rect">
                      <a:avLst/>
                    </a:prstGeom>
                  </pic:spPr>
                </pic:pic>
              </a:graphicData>
            </a:graphic>
          </wp:inline>
        </w:drawing>
      </w:r>
    </w:p>
    <w:p w14:paraId="5AA4867F" w14:textId="493A2B83" w:rsidR="00EE5F48" w:rsidRDefault="00EE5F48" w:rsidP="00EE5F48">
      <w:pPr>
        <w:pStyle w:val="Figureheading"/>
      </w:pPr>
      <w:bookmarkStart w:id="31" w:name="_Ref164638060"/>
      <w:r>
        <w:t xml:space="preserve">Figure </w:t>
      </w:r>
      <w:r>
        <w:fldChar w:fldCharType="begin"/>
      </w:r>
      <w:r>
        <w:instrText xml:space="preserve"> SEQ Figure \* ARABIC </w:instrText>
      </w:r>
      <w:r>
        <w:fldChar w:fldCharType="separate"/>
      </w:r>
      <w:r>
        <w:rPr>
          <w:noProof/>
        </w:rPr>
        <w:t>5</w:t>
      </w:r>
      <w:r>
        <w:fldChar w:fldCharType="end"/>
      </w:r>
      <w:bookmarkEnd w:id="31"/>
      <w:r w:rsidRPr="00915B71">
        <w:t xml:space="preserve">. nMDS ordination of 16S rDNA metabarcoding assemblages of groundwater microbial assemblages from bores in alluvial (blue symbols) and fractured rock (red symbols) aquifers: a) relative abundance based on sample read number; b) abundance standardised </w:t>
      </w:r>
      <w:r>
        <w:t>based on read number of a post-PCR spike (Spike 2)</w:t>
      </w:r>
    </w:p>
    <w:p w14:paraId="3B2A2F7D" w14:textId="01514062" w:rsidR="00DC1FA0" w:rsidRDefault="004D3EA2" w:rsidP="00E202FA">
      <w:pPr>
        <w:pStyle w:val="BodyText"/>
        <w:keepNext/>
        <w:spacing w:before="240"/>
      </w:pPr>
      <w:r>
        <w:rPr>
          <w:noProof/>
        </w:rPr>
        <w:drawing>
          <wp:inline distT="0" distB="0" distL="0" distR="0" wp14:anchorId="251F9A9D" wp14:editId="4B07038E">
            <wp:extent cx="5759450" cy="1887220"/>
            <wp:effectExtent l="0" t="0" r="6350" b="5080"/>
            <wp:docPr id="348758146" name="Picture 2" descr="Graphs as described in the paragraph before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58146" name="Picture 2" descr="Graphs as described in the paragraph before Figure 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1887220"/>
                    </a:xfrm>
                    <a:prstGeom prst="rect">
                      <a:avLst/>
                    </a:prstGeom>
                  </pic:spPr>
                </pic:pic>
              </a:graphicData>
            </a:graphic>
          </wp:inline>
        </w:drawing>
      </w:r>
    </w:p>
    <w:p w14:paraId="71597F4C" w14:textId="3C0B9F9A" w:rsidR="00EE5F48" w:rsidRDefault="00EE5F48" w:rsidP="00EE5F48">
      <w:pPr>
        <w:pStyle w:val="Figureheading"/>
      </w:pPr>
      <w:bookmarkStart w:id="32" w:name="_Ref164638080"/>
      <w:r>
        <w:t xml:space="preserve">Figure </w:t>
      </w:r>
      <w:r>
        <w:fldChar w:fldCharType="begin"/>
      </w:r>
      <w:r>
        <w:instrText xml:space="preserve"> SEQ Figure \* ARABIC </w:instrText>
      </w:r>
      <w:r>
        <w:fldChar w:fldCharType="separate"/>
      </w:r>
      <w:r>
        <w:rPr>
          <w:noProof/>
        </w:rPr>
        <w:t>6</w:t>
      </w:r>
      <w:r>
        <w:fldChar w:fldCharType="end"/>
      </w:r>
      <w:bookmarkEnd w:id="32"/>
      <w:r w:rsidRPr="004133FE">
        <w:t>. Plot of total read number (excluding spike reads) against Spike 2 read number in eDNA samples of microbial 16S rDNA assemblages from alluvial (blue symbols) and fractured rock (red symbols) aquifers, with a) all samples and b) outlier removed</w:t>
      </w:r>
    </w:p>
    <w:p w14:paraId="4C99D24A" w14:textId="1EACC855" w:rsidR="00DC1FA0" w:rsidRDefault="00DC1FA0" w:rsidP="00DC1FA0">
      <w:pPr>
        <w:pStyle w:val="BodyText"/>
      </w:pPr>
      <w:r>
        <w:t>Despite the apparent shift in the similarities among the samples in the nMDS (</w:t>
      </w:r>
      <w:r w:rsidR="00E202FA">
        <w:fldChar w:fldCharType="begin"/>
      </w:r>
      <w:r w:rsidR="00E202FA">
        <w:instrText xml:space="preserve"> REF _Ref164638060 \h </w:instrText>
      </w:r>
      <w:r w:rsidR="00E202FA">
        <w:fldChar w:fldCharType="separate"/>
      </w:r>
      <w:r w:rsidR="00E202FA">
        <w:t xml:space="preserve">Figure </w:t>
      </w:r>
      <w:r w:rsidR="00E202FA">
        <w:rPr>
          <w:noProof/>
        </w:rPr>
        <w:t>5</w:t>
      </w:r>
      <w:r w:rsidR="00E202FA">
        <w:fldChar w:fldCharType="end"/>
      </w:r>
      <w:r>
        <w:t>), there was a significant correlation (RELATE, r=0.604, p=0.001) between the similarity matrices that underpin those ordinations. This correlation suggests that there was little impact of the standardisation method on the similarity among the samples.</w:t>
      </w:r>
    </w:p>
    <w:p w14:paraId="44252F55" w14:textId="77777777" w:rsidR="00DC1FA0" w:rsidRDefault="00DC1FA0" w:rsidP="004D3EA2">
      <w:pPr>
        <w:pStyle w:val="Heading3Numbered"/>
        <w:numPr>
          <w:ilvl w:val="0"/>
          <w:numId w:val="0"/>
        </w:numPr>
        <w:ind w:left="1276" w:hanging="851"/>
      </w:pPr>
      <w:bookmarkStart w:id="33" w:name="_Toc164960611"/>
      <w:r>
        <w:t>3.1.4</w:t>
      </w:r>
      <w:r>
        <w:tab/>
        <w:t>Spike 1 + 2 (pre- and post-PCR)</w:t>
      </w:r>
      <w:bookmarkEnd w:id="33"/>
    </w:p>
    <w:p w14:paraId="6195B089" w14:textId="41CB0B49" w:rsidR="00DC1FA0" w:rsidRDefault="00DC1FA0" w:rsidP="00DC1FA0">
      <w:pPr>
        <w:pStyle w:val="BodyText"/>
      </w:pPr>
      <w:r>
        <w:t>The ordination of all samples standardised by total read number shows a clear pattern of separation among samples based on aquifer type (</w:t>
      </w:r>
      <w:r w:rsidR="00E202FA">
        <w:fldChar w:fldCharType="begin"/>
      </w:r>
      <w:r w:rsidR="00E202FA">
        <w:instrText xml:space="preserve"> REF _Ref164638145 \h </w:instrText>
      </w:r>
      <w:r w:rsidR="00E202FA">
        <w:fldChar w:fldCharType="separate"/>
      </w:r>
      <w:r w:rsidR="00E202FA">
        <w:t xml:space="preserve">Figure </w:t>
      </w:r>
      <w:r w:rsidR="00E202FA">
        <w:rPr>
          <w:noProof/>
        </w:rPr>
        <w:t>7</w:t>
      </w:r>
      <w:r w:rsidR="00E202FA">
        <w:fldChar w:fldCharType="end"/>
      </w:r>
      <w:r>
        <w:t xml:space="preserve">a), with the exception of the sample from bore 36567, which was separated from other alluvial aquifer samples in the ordination plot. Bores 36567 and 271012 group together in the ordination plot, reflecting their relatively low total sequence read numbers. Standardising the taxa read numbers in each sample by the Spike 1 and then the Spike 2 read numbers effectively reduced total read numbers for some samples by between one and four orders of magnitude more than the standardisation by total read number. This effectively increased the variability between the samples to such an extent that the sample abundance becomes the driving factor in the nMDS. In </w:t>
      </w:r>
      <w:r w:rsidR="00E202FA">
        <w:fldChar w:fldCharType="begin"/>
      </w:r>
      <w:r w:rsidR="00E202FA">
        <w:instrText xml:space="preserve"> REF _Ref164638145 \h </w:instrText>
      </w:r>
      <w:r w:rsidR="00E202FA">
        <w:fldChar w:fldCharType="separate"/>
      </w:r>
      <w:r w:rsidR="00E202FA">
        <w:t xml:space="preserve">Figure </w:t>
      </w:r>
      <w:r w:rsidR="00E202FA">
        <w:rPr>
          <w:noProof/>
        </w:rPr>
        <w:t>7</w:t>
      </w:r>
      <w:r w:rsidR="00E202FA">
        <w:fldChar w:fldCharType="end"/>
      </w:r>
      <w:r>
        <w:t xml:space="preserve">b, the sample from bore 36567 was again remote from other alluvial aquifer samples and grouped close to the sample from bore 271012. The distribution of samples along the horizontal axis in </w:t>
      </w:r>
      <w:r w:rsidR="00E202FA">
        <w:fldChar w:fldCharType="begin"/>
      </w:r>
      <w:r w:rsidR="00E202FA">
        <w:instrText xml:space="preserve"> REF _Ref164638145 \h </w:instrText>
      </w:r>
      <w:r w:rsidR="00E202FA">
        <w:fldChar w:fldCharType="separate"/>
      </w:r>
      <w:r w:rsidR="00E202FA">
        <w:t xml:space="preserve">Figure </w:t>
      </w:r>
      <w:r w:rsidR="00E202FA">
        <w:rPr>
          <w:noProof/>
        </w:rPr>
        <w:t>7</w:t>
      </w:r>
      <w:r w:rsidR="00E202FA">
        <w:fldChar w:fldCharType="end"/>
      </w:r>
      <w:r>
        <w:t xml:space="preserve">b reflects the rank order of denominator (Spike 1 x Spike 2 read abundance) used in the standardisation (shown on the y axis in </w:t>
      </w:r>
      <w:r w:rsidR="00E202FA">
        <w:fldChar w:fldCharType="begin"/>
      </w:r>
      <w:r w:rsidR="00E202FA">
        <w:instrText xml:space="preserve"> REF _Ref164638167 \h </w:instrText>
      </w:r>
      <w:r w:rsidR="00E202FA">
        <w:fldChar w:fldCharType="separate"/>
      </w:r>
      <w:r w:rsidR="00E202FA">
        <w:t xml:space="preserve">Figure </w:t>
      </w:r>
      <w:r w:rsidR="00E202FA">
        <w:rPr>
          <w:noProof/>
        </w:rPr>
        <w:t>8</w:t>
      </w:r>
      <w:r w:rsidR="00E202FA">
        <w:fldChar w:fldCharType="end"/>
      </w:r>
      <w:r>
        <w:t>).</w:t>
      </w:r>
    </w:p>
    <w:p w14:paraId="46A25DBF" w14:textId="6C087F87" w:rsidR="00DC1FA0" w:rsidRDefault="00A471E0" w:rsidP="00DC1FA0">
      <w:pPr>
        <w:pStyle w:val="BodyText"/>
      </w:pPr>
      <w:r>
        <w:rPr>
          <w:noProof/>
        </w:rPr>
        <w:drawing>
          <wp:inline distT="0" distB="0" distL="0" distR="0" wp14:anchorId="1D1141B3" wp14:editId="1CAA0685">
            <wp:extent cx="5759450" cy="1830705"/>
            <wp:effectExtent l="0" t="0" r="6350" b="0"/>
            <wp:docPr id="256139436" name="Picture 5" descr="nMDS ordination 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9436" name="Picture 5" descr="nMDS ordination as described in previous paragraph"/>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1830705"/>
                    </a:xfrm>
                    <a:prstGeom prst="rect">
                      <a:avLst/>
                    </a:prstGeom>
                  </pic:spPr>
                </pic:pic>
              </a:graphicData>
            </a:graphic>
          </wp:inline>
        </w:drawing>
      </w:r>
    </w:p>
    <w:p w14:paraId="2BFD0E91" w14:textId="3601B448" w:rsidR="00EE5F48" w:rsidRDefault="00EE5F48" w:rsidP="00EE5F48">
      <w:pPr>
        <w:pStyle w:val="Figureheading"/>
      </w:pPr>
      <w:bookmarkStart w:id="34" w:name="_Ref164638145"/>
      <w:r>
        <w:t xml:space="preserve">Figure </w:t>
      </w:r>
      <w:r>
        <w:fldChar w:fldCharType="begin"/>
      </w:r>
      <w:r>
        <w:instrText xml:space="preserve"> SEQ Figure \* ARABIC </w:instrText>
      </w:r>
      <w:r>
        <w:fldChar w:fldCharType="separate"/>
      </w:r>
      <w:r>
        <w:rPr>
          <w:noProof/>
        </w:rPr>
        <w:t>7</w:t>
      </w:r>
      <w:r>
        <w:fldChar w:fldCharType="end"/>
      </w:r>
      <w:bookmarkEnd w:id="34"/>
      <w:r w:rsidRPr="00343873">
        <w:t>. nMDS ordination of 16S rDNA metabarcoding assemblages of groundwater microbial assemblages from bores in alluvial (blue symbols) and fractured rock (red symbols) aquifers: a) relative abundance based on sample read number with all samples; b) abundance</w:t>
      </w:r>
      <w:r w:rsidRPr="00EE5F48">
        <w:t xml:space="preserve"> standardised based on read number of a pre-PCR spike (Spike 1) and then a post-PCR spike (Spike 2) with all samples</w:t>
      </w:r>
    </w:p>
    <w:p w14:paraId="5979CEA5" w14:textId="3A6D4217" w:rsidR="00DC1FA0" w:rsidRDefault="00A471E0" w:rsidP="00EE5F48">
      <w:pPr>
        <w:pStyle w:val="BodyText"/>
        <w:keepNext/>
      </w:pPr>
      <w:r>
        <w:rPr>
          <w:noProof/>
        </w:rPr>
        <w:drawing>
          <wp:inline distT="0" distB="0" distL="0" distR="0" wp14:anchorId="0C8D32DE" wp14:editId="7E94E30D">
            <wp:extent cx="4902200" cy="2959100"/>
            <wp:effectExtent l="0" t="0" r="0" b="0"/>
            <wp:docPr id="682367692" name="Picture 4" descr="Graph as described in the paragraph before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67692" name="Picture 4" descr="Graph as described in the paragraph before Fig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02200" cy="2959100"/>
                    </a:xfrm>
                    <a:prstGeom prst="rect">
                      <a:avLst/>
                    </a:prstGeom>
                  </pic:spPr>
                </pic:pic>
              </a:graphicData>
            </a:graphic>
          </wp:inline>
        </w:drawing>
      </w:r>
    </w:p>
    <w:p w14:paraId="3D6F6433" w14:textId="673FE633" w:rsidR="00EE5F48" w:rsidRDefault="00EE5F48" w:rsidP="00EE5F48">
      <w:pPr>
        <w:pStyle w:val="Figureheading"/>
      </w:pPr>
      <w:bookmarkStart w:id="35" w:name="_Ref164638167"/>
      <w:r>
        <w:t xml:space="preserve">Figure </w:t>
      </w:r>
      <w:r>
        <w:fldChar w:fldCharType="begin"/>
      </w:r>
      <w:r>
        <w:instrText xml:space="preserve"> SEQ Figure \* ARABIC </w:instrText>
      </w:r>
      <w:r>
        <w:fldChar w:fldCharType="separate"/>
      </w:r>
      <w:r>
        <w:rPr>
          <w:noProof/>
        </w:rPr>
        <w:t>8</w:t>
      </w:r>
      <w:r>
        <w:fldChar w:fldCharType="end"/>
      </w:r>
      <w:bookmarkEnd w:id="35"/>
      <w:r w:rsidRPr="00444A7B">
        <w:t xml:space="preserve">. Plot of total read number (excluding spike reads) against Spike 1 + 2 standardisation value (1/Spike 1 read number x 1/Spike 2 read number) applied to eDNA samples of microbial 16S rDNA assemblages from alluvial (blue symbols) and fractured rock (red </w:t>
      </w:r>
      <w:r>
        <w:t>symbols) aquifers</w:t>
      </w:r>
    </w:p>
    <w:p w14:paraId="5A4E6945" w14:textId="4C89A2DA" w:rsidR="00DC1FA0" w:rsidRDefault="00DC1FA0" w:rsidP="00DC1FA0">
      <w:pPr>
        <w:pStyle w:val="BodyText"/>
      </w:pPr>
      <w:r>
        <w:t>Given the clear shift in the ordinations (</w:t>
      </w:r>
      <w:r w:rsidR="00E202FA">
        <w:fldChar w:fldCharType="begin"/>
      </w:r>
      <w:r w:rsidR="00E202FA">
        <w:instrText xml:space="preserve"> REF _Ref164638145 \h </w:instrText>
      </w:r>
      <w:r w:rsidR="00E202FA">
        <w:fldChar w:fldCharType="separate"/>
      </w:r>
      <w:r w:rsidR="00E202FA">
        <w:t xml:space="preserve">Figure </w:t>
      </w:r>
      <w:r w:rsidR="00E202FA">
        <w:rPr>
          <w:noProof/>
        </w:rPr>
        <w:t>7</w:t>
      </w:r>
      <w:r w:rsidR="00E202FA">
        <w:fldChar w:fldCharType="end"/>
      </w:r>
      <w:r>
        <w:t>), it is not surprising that there was a change in the pattern of similarity among samples, such that there was no significant correlation (RELATE, r=0.199, p=0.100) between the rank similarity matrices that underpin those ordinations.</w:t>
      </w:r>
    </w:p>
    <w:p w14:paraId="0D295981" w14:textId="77777777" w:rsidR="00DC1FA0" w:rsidRDefault="00DC1FA0" w:rsidP="00251782">
      <w:pPr>
        <w:pStyle w:val="Heading3Numbered"/>
        <w:numPr>
          <w:ilvl w:val="0"/>
          <w:numId w:val="0"/>
        </w:numPr>
        <w:ind w:left="1276" w:hanging="851"/>
      </w:pPr>
      <w:bookmarkStart w:id="36" w:name="_Toc164960612"/>
      <w:r>
        <w:t>3.1.5</w:t>
      </w:r>
      <w:r>
        <w:tab/>
      </w:r>
      <w:r w:rsidRPr="00251782">
        <w:t>Comparison</w:t>
      </w:r>
      <w:r>
        <w:t xml:space="preserve"> of spiking treatments</w:t>
      </w:r>
      <w:bookmarkEnd w:id="36"/>
    </w:p>
    <w:p w14:paraId="45602533" w14:textId="559EC8F3" w:rsidR="00016E1B" w:rsidRDefault="00DC1FA0" w:rsidP="00DC1FA0">
      <w:pPr>
        <w:pStyle w:val="BodyText"/>
      </w:pPr>
      <w:r>
        <w:t>There were 11 sites from which samples from all spiking treatments met quality assurance requirements. Among those samples, there was a significant difference in the assemblages between catchments (p=0.036) and data treatments (p=0.001), and the differences between catchments were not consistent across data treatments, leading to a significant interaction term (p=0.025). The ordination below (</w:t>
      </w:r>
      <w:r w:rsidR="00E202FA">
        <w:fldChar w:fldCharType="begin"/>
      </w:r>
      <w:r w:rsidR="00E202FA">
        <w:instrText xml:space="preserve"> REF _Ref164638188 \h </w:instrText>
      </w:r>
      <w:r w:rsidR="00E202FA">
        <w:fldChar w:fldCharType="separate"/>
      </w:r>
      <w:r w:rsidR="00E202FA">
        <w:t xml:space="preserve">Figure </w:t>
      </w:r>
      <w:r w:rsidR="00E202FA">
        <w:rPr>
          <w:noProof/>
        </w:rPr>
        <w:t>9</w:t>
      </w:r>
      <w:r w:rsidR="00E202FA">
        <w:fldChar w:fldCharType="end"/>
      </w:r>
      <w:r>
        <w:t>) shows the separation of samples by data treatment along the x axis and catchment along the y axis. Partitioning the variance of the PERMANOVA indicated a large amount of unexplained variance among samples. Spiking method accounted for around 25% of the variation in the assemblage data.</w:t>
      </w:r>
    </w:p>
    <w:p w14:paraId="7D0122C7" w14:textId="1A7678D1" w:rsidR="00DC1FA0" w:rsidRDefault="00DC1FA0" w:rsidP="00DC1FA0">
      <w:pPr>
        <w:pStyle w:val="BodyText"/>
      </w:pPr>
      <w:r>
        <w:t>As in the ordinations (</w:t>
      </w:r>
      <w:r w:rsidR="00E202FA">
        <w:fldChar w:fldCharType="begin"/>
      </w:r>
      <w:r w:rsidR="00E202FA">
        <w:instrText xml:space="preserve"> REF _Ref164637993 \h </w:instrText>
      </w:r>
      <w:r w:rsidR="00E202FA">
        <w:fldChar w:fldCharType="separate"/>
      </w:r>
      <w:r w:rsidR="00E202FA">
        <w:t xml:space="preserve">Figure </w:t>
      </w:r>
      <w:r w:rsidR="00E202FA">
        <w:rPr>
          <w:noProof/>
        </w:rPr>
        <w:t>3</w:t>
      </w:r>
      <w:r w:rsidR="00E202FA">
        <w:fldChar w:fldCharType="end"/>
      </w:r>
      <w:r>
        <w:t xml:space="preserve">, </w:t>
      </w:r>
      <w:r w:rsidR="00E202FA">
        <w:fldChar w:fldCharType="begin"/>
      </w:r>
      <w:r w:rsidR="00E202FA">
        <w:instrText xml:space="preserve"> REF _Ref164638060 \h </w:instrText>
      </w:r>
      <w:r w:rsidR="00E202FA">
        <w:fldChar w:fldCharType="separate"/>
      </w:r>
      <w:r w:rsidR="00E202FA">
        <w:t xml:space="preserve">Figure </w:t>
      </w:r>
      <w:r w:rsidR="00E202FA">
        <w:rPr>
          <w:noProof/>
        </w:rPr>
        <w:t>5</w:t>
      </w:r>
      <w:r w:rsidR="00E202FA">
        <w:fldChar w:fldCharType="end"/>
      </w:r>
      <w:r>
        <w:t xml:space="preserve"> and </w:t>
      </w:r>
      <w:r w:rsidR="00E202FA">
        <w:fldChar w:fldCharType="begin"/>
      </w:r>
      <w:r w:rsidR="00E202FA">
        <w:instrText xml:space="preserve"> REF _Ref164638145 \h </w:instrText>
      </w:r>
      <w:r w:rsidR="00E202FA">
        <w:fldChar w:fldCharType="separate"/>
      </w:r>
      <w:r w:rsidR="00E202FA">
        <w:t xml:space="preserve">Figure </w:t>
      </w:r>
      <w:r w:rsidR="00E202FA">
        <w:rPr>
          <w:noProof/>
        </w:rPr>
        <w:t>7</w:t>
      </w:r>
      <w:r w:rsidR="00E202FA">
        <w:fldChar w:fldCharType="end"/>
      </w:r>
      <w:r>
        <w:t xml:space="preserve">), the variation among spike-standardised samples was driven primarily by the magnitude of the standardisation; samples in </w:t>
      </w:r>
      <w:r w:rsidR="00E202FA">
        <w:fldChar w:fldCharType="begin"/>
      </w:r>
      <w:r w:rsidR="00E202FA">
        <w:instrText xml:space="preserve"> REF _Ref164638188 \h </w:instrText>
      </w:r>
      <w:r w:rsidR="00E202FA">
        <w:fldChar w:fldCharType="separate"/>
      </w:r>
      <w:r w:rsidR="00E202FA">
        <w:t xml:space="preserve">Figure </w:t>
      </w:r>
      <w:r w:rsidR="00E202FA">
        <w:rPr>
          <w:noProof/>
        </w:rPr>
        <w:t>9</w:t>
      </w:r>
      <w:r w:rsidR="00E202FA">
        <w:fldChar w:fldCharType="end"/>
      </w:r>
      <w:r>
        <w:t xml:space="preserve"> are distributed along the horizontal axis (from left to right) in the rank order of the magnitude of the standardisation (i.e., samples to the left in </w:t>
      </w:r>
      <w:r w:rsidR="00E202FA">
        <w:fldChar w:fldCharType="begin"/>
      </w:r>
      <w:r w:rsidR="00E202FA">
        <w:instrText xml:space="preserve"> REF _Ref164638188 \h </w:instrText>
      </w:r>
      <w:r w:rsidR="00E202FA">
        <w:fldChar w:fldCharType="separate"/>
      </w:r>
      <w:r w:rsidR="00E202FA">
        <w:t xml:space="preserve">Figure </w:t>
      </w:r>
      <w:r w:rsidR="00E202FA">
        <w:rPr>
          <w:noProof/>
        </w:rPr>
        <w:t>9</w:t>
      </w:r>
      <w:r w:rsidR="00E202FA">
        <w:fldChar w:fldCharType="end"/>
      </w:r>
      <w:r>
        <w:t xml:space="preserve"> are those with the smallest standardisation factors).</w:t>
      </w:r>
    </w:p>
    <w:p w14:paraId="2FA032DE" w14:textId="72A5EDD6" w:rsidR="00DC1FA0" w:rsidRDefault="00A471E0" w:rsidP="00DC1FA0">
      <w:pPr>
        <w:pStyle w:val="BodyText"/>
      </w:pPr>
      <w:r>
        <w:rPr>
          <w:noProof/>
        </w:rPr>
        <w:drawing>
          <wp:inline distT="0" distB="0" distL="0" distR="0" wp14:anchorId="62A222B3" wp14:editId="3FA29ACB">
            <wp:extent cx="4343400" cy="2946400"/>
            <wp:effectExtent l="0" t="0" r="0" b="0"/>
            <wp:docPr id="1625605673" name="Picture 7" descr="nMDS ordination as described in the previous two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05673" name="Picture 7" descr="nMDS ordination as described in the previous two paragraph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43400" cy="2946400"/>
                    </a:xfrm>
                    <a:prstGeom prst="rect">
                      <a:avLst/>
                    </a:prstGeom>
                  </pic:spPr>
                </pic:pic>
              </a:graphicData>
            </a:graphic>
          </wp:inline>
        </w:drawing>
      </w:r>
    </w:p>
    <w:p w14:paraId="485A9CCB" w14:textId="75BE7DB1" w:rsidR="00EE5F48" w:rsidRPr="00EE5F48" w:rsidRDefault="00EE5F48" w:rsidP="00EE5F48">
      <w:pPr>
        <w:pStyle w:val="Figureheading"/>
      </w:pPr>
      <w:bookmarkStart w:id="37" w:name="_Ref164638188"/>
      <w:r>
        <w:t xml:space="preserve">Figure </w:t>
      </w:r>
      <w:r>
        <w:fldChar w:fldCharType="begin"/>
      </w:r>
      <w:r>
        <w:instrText xml:space="preserve"> SEQ Figure \* ARABIC </w:instrText>
      </w:r>
      <w:r>
        <w:fldChar w:fldCharType="separate"/>
      </w:r>
      <w:r>
        <w:rPr>
          <w:noProof/>
        </w:rPr>
        <w:t>9</w:t>
      </w:r>
      <w:r>
        <w:fldChar w:fldCharType="end"/>
      </w:r>
      <w:bookmarkEnd w:id="37"/>
      <w:r w:rsidRPr="006A10B8">
        <w:t>. nMDS ordination of 16S rDNA metabarcoding assemblages of groundwater microbial assemblages in alluvial and fractured rock aquifers</w:t>
      </w:r>
    </w:p>
    <w:p w14:paraId="0DA3DD14" w14:textId="77777777" w:rsidR="00016E1B" w:rsidRDefault="00DC1FA0" w:rsidP="00251782">
      <w:pPr>
        <w:pStyle w:val="TableSourceNotes"/>
      </w:pPr>
      <w:r>
        <w:t>Read abundances of assemblages were standardised based on spiked sequence abundances. Spike 1 = pre-PCR spike, Spike 2 = post-PCR spike, Spike 1 + 2 = both Spike 1 and Spike 2.</w:t>
      </w:r>
    </w:p>
    <w:p w14:paraId="2014F351" w14:textId="1480009A" w:rsidR="00DC1FA0" w:rsidRDefault="00DC1FA0" w:rsidP="00DC1FA0">
      <w:pPr>
        <w:pStyle w:val="BodyText"/>
      </w:pPr>
      <w:r>
        <w:t>RELATE analysis, which compares the similarities between all samples with and without standardisation using the spikes, was significant (r=0.140, p=0.039), suggesting that the spike-standardised and read-total-standardised data showed similar patterns among samples. Although the standardisation had a strong impact on the similarity between samples, samples were more similar to those from the same aquifer type and spike treatment than to those of different aquifer types and spike treatments – i.e., were more similar to samples within the same group than between groups.</w:t>
      </w:r>
    </w:p>
    <w:p w14:paraId="5EC73DBF" w14:textId="77777777" w:rsidR="00DC1FA0" w:rsidRDefault="00DC1FA0" w:rsidP="00DC1FA0">
      <w:pPr>
        <w:pStyle w:val="BodyText"/>
      </w:pPr>
      <w:r>
        <w:t>The standardisations based on the spike read number of Spike 1 or Spike 2 were similar, and typically only one or two orders of magnitude different to the standardisation by total read number. As a result, samples primarily clustered by aquifer type in all ordinations and rank similarities among samples were retained, such that RELATE analyses between datasets standardised by total read number and either Spike 1 or Spike 2 remained significant (p&lt;0.05). However, the standardisation by Spike 1 and Spike 2 changed taxa read numbers by up to several orders of magnitude.</w:t>
      </w:r>
    </w:p>
    <w:p w14:paraId="1C98A1A1" w14:textId="77777777" w:rsidR="00DC1FA0" w:rsidRDefault="00DC1FA0" w:rsidP="00DC1FA0">
      <w:pPr>
        <w:pStyle w:val="BodyText"/>
      </w:pPr>
      <w:r>
        <w:t>It remains unclear whether a single spike can effectively account for PCR or sequencing bias, or indeed has any advantages over using relative abundances based on total read counts. There are numerous steps in the metabarcoding pipeline, from DNA extraction to bioinformatics, that preferentially measure some taxa over others within a sample (Hugerth and Andersson 2017; Pollock et al. 2018; McLaren et al. 2019). PCR amplification efficiency is related to G+C content of the amplicon (Suzuki and Giovanni 1996; Aird et al. 2011; Mallona et al. 2011), suggesting that (1) amplification efficiency will vary between taxa, and (2) the pre-PCR Spike 1 will only reflect amplification efficiency of taxa with similar G+C content and therefore the pre-PCR spike sequence will not reflect the bias of all sequences in a sample or library. Consequently, the standardisation by a pre-PCR spike may be introducing additional ‘noise’ or error into the analysis.</w:t>
      </w:r>
    </w:p>
    <w:p w14:paraId="267D5DC7" w14:textId="77777777" w:rsidR="00DC1FA0" w:rsidRDefault="00DC1FA0" w:rsidP="00DC1FA0">
      <w:pPr>
        <w:pStyle w:val="BodyText"/>
      </w:pPr>
      <w:r>
        <w:t>Illumina sequencing has inherent biases such that not all amplicons are sequenced with the same efficiency (Ross et al. 2013). As for PCR bias, sequencer bias is also related to G+C content of the amplicon (Ross et al. 2013). Illumina platforms may also introduce biases when sequencing DNA libraries with low gene diversity (Krueger et al. 2011; Lear et al. 2018), which is a common attribute of groundwater microbial communities (Griebler and Lueders 2009). Together, these also suggest that standardisation by a single sequence may not adequately correct the sequencing bias, and that the sequences used for this purpose should be chosen carefully. The artificial sequences used as spikes in this study were randomly generated. Future studies may wish to use multiple spikes, perhaps with high and low G+C content, which could be used to correct specific sequences based on G+C content.</w:t>
      </w:r>
    </w:p>
    <w:p w14:paraId="58B86712" w14:textId="77777777" w:rsidR="00016E1B" w:rsidRDefault="00DC1FA0" w:rsidP="00DC1FA0">
      <w:pPr>
        <w:pStyle w:val="BodyText"/>
      </w:pPr>
      <w:r>
        <w:t>It is evident from the ordinations that the standardisation using spikes changes the similarities among samples. In the ordinations presented above, when data were standardised by total read number, the primary division among samples was based on aquifer types, such that samples from the same aquifer type mostly clustered together. In ordinations based on data standardised by spikes, the distribution of samples in ordination space often reflected the magnitude of the standardisation, suggesting that the abundances of taxa had a greater influence on the between-sample similarities in those ordinations, leading to a breakdown in the sample groupings based on aquifer type. This may be contrary to expectation, because the purpose of the spike is to remove issues associated with bias within the pipeline and restore parity of sequence read numbers between samples. While it is difficult to know the true relationships between samples, the breakdown of the expected patterns of similarity among samples from the same aquifer suggests that the desired result is not being achieved. Lou et al. (2023) suggest that using spikes to address the noise or bias in the processing pipeline is enough to improve the quantification and analysis of eDNA data. Our results suggest that this might not be the case. However, it is currently difficult to know if the standardisation by spike read numbers actually improves the representativeness of the eDNA data of the microbial community. There remain a number of unknown and unquantified biases or sources of error in the entire eDNA analysis approach, including the differential amplification and sequencing of species (Ji et al. 2020), on which standardising by spike number may have little effect, or indeed magnify.</w:t>
      </w:r>
    </w:p>
    <w:p w14:paraId="7751351C" w14:textId="62650687" w:rsidR="00DC1FA0" w:rsidRDefault="00DC1FA0" w:rsidP="00DC1FA0">
      <w:pPr>
        <w:pStyle w:val="BodyText"/>
      </w:pPr>
      <w:r>
        <w:t>A challenge with the uneven read numbers between samples in sequence data is that low read samples typically have lower diversity. While standardisation can increase read number, it does not proportionally increase the diversity of the sample, so the issue of how representative a sample is of diversity remains. In terms of assessing groundwater ecosystems in which α-diversity is typically low, reliably assessing diversity is perhaps a more important issue than reliably assessing abundance. This may be exacerbated by spiking if the spike sequence ‘swamps’ the sample and reduces the depth of sequencing of other amplicons in the sample. Efforts to improve eDNA-based analyses for environmental impact assessment should, in the first instance, address the uncertainties of the methods to measure diversity.</w:t>
      </w:r>
    </w:p>
    <w:p w14:paraId="6759B382" w14:textId="2C460B42" w:rsidR="00130B8A" w:rsidRDefault="00DC1FA0" w:rsidP="00DC1FA0">
      <w:pPr>
        <w:pStyle w:val="BodyText"/>
      </w:pPr>
      <w:r>
        <w:t>Luo et al. (2023) argue that DNA spikes do enable effective cross-species quantification, and that this is sufficient to address many of the key challenges currently associated with eDNA metabarcoding. However, while there is sound reasoning for including a spike in metabarcode samples, the relative benefits of the spiking process are unclear because of the many remaining uncertainties. The spiking process is time-consuming and provides a further potential source of error and contamination such that the current benefits do not outweigh the additional costs and effort required to spike eDNA samples.</w:t>
      </w:r>
    </w:p>
    <w:p w14:paraId="162A9C26" w14:textId="77777777" w:rsidR="00130B8A" w:rsidRDefault="00130B8A">
      <w:pPr>
        <w:rPr>
          <w:rFonts w:ascii="Garamond" w:hAnsi="Garamond" w:cs="Calibri"/>
          <w:color w:val="000000"/>
          <w:sz w:val="20"/>
          <w:szCs w:val="20"/>
          <w:lang w:val="en-US"/>
        </w:rPr>
      </w:pPr>
      <w:r>
        <w:br w:type="page"/>
      </w:r>
    </w:p>
    <w:p w14:paraId="6DB3F835" w14:textId="77777777" w:rsidR="00016E1B" w:rsidRDefault="00016E1B" w:rsidP="00DC1FA0">
      <w:pPr>
        <w:pStyle w:val="BodyText"/>
      </w:pPr>
    </w:p>
    <w:p w14:paraId="2806A586" w14:textId="35570B4F" w:rsidR="00DC1FA0" w:rsidRDefault="00DC1FA0" w:rsidP="00130B8A">
      <w:pPr>
        <w:pStyle w:val="Box1Heading"/>
        <w:keepNext w:val="0"/>
        <w:keepLines/>
        <w:spacing w:line="240" w:lineRule="auto"/>
      </w:pPr>
      <w:r>
        <w:t>Our results from spiking samples indicate that …</w:t>
      </w:r>
    </w:p>
    <w:p w14:paraId="2208DE8C" w14:textId="77777777" w:rsidR="00DC1FA0" w:rsidRPr="00251782" w:rsidRDefault="00DC1FA0" w:rsidP="00130B8A">
      <w:pPr>
        <w:pStyle w:val="Box1Text"/>
        <w:keepLines/>
        <w:spacing w:line="240" w:lineRule="auto"/>
      </w:pPr>
      <w:r w:rsidRPr="00251782">
        <w:t>Spikes added to samples prior to PCR require a large amount of work to estimate suitable concentration so as to not ‘swamp’ the sample DNA.</w:t>
      </w:r>
    </w:p>
    <w:p w14:paraId="494E702C" w14:textId="77777777" w:rsidR="00DC1FA0" w:rsidRPr="00251782" w:rsidRDefault="00DC1FA0" w:rsidP="00130B8A">
      <w:pPr>
        <w:pStyle w:val="Box1Text"/>
        <w:keepLines/>
        <w:spacing w:line="240" w:lineRule="auto"/>
      </w:pPr>
      <w:r w:rsidRPr="00251782">
        <w:t>The concentrations of DNA to use in spikes added after PCR were easier to determine and yielded higher numbers of sequences than those added prior to PCR.</w:t>
      </w:r>
    </w:p>
    <w:p w14:paraId="613218DE" w14:textId="77777777" w:rsidR="00DC1FA0" w:rsidRPr="00251782" w:rsidRDefault="00DC1FA0" w:rsidP="00130B8A">
      <w:pPr>
        <w:pStyle w:val="Box1Text"/>
        <w:keepLines/>
        <w:spacing w:line="240" w:lineRule="auto"/>
      </w:pPr>
      <w:r w:rsidRPr="00251782">
        <w:t>At this stage, there is no clear indication that adding spikes aids the ability to quantify total or relative abundances of microbes within environmental DNA samples.</w:t>
      </w:r>
    </w:p>
    <w:p w14:paraId="59F0ECD1" w14:textId="77777777" w:rsidR="00DC1FA0" w:rsidRDefault="00DC1FA0" w:rsidP="00251782">
      <w:pPr>
        <w:pStyle w:val="Heading2Numbered"/>
        <w:numPr>
          <w:ilvl w:val="0"/>
          <w:numId w:val="0"/>
        </w:numPr>
        <w:ind w:left="567" w:hanging="567"/>
      </w:pPr>
      <w:bookmarkStart w:id="38" w:name="s32"/>
      <w:bookmarkStart w:id="39" w:name="_Toc164960613"/>
      <w:r>
        <w:t>3.2</w:t>
      </w:r>
      <w:bookmarkEnd w:id="38"/>
      <w:r>
        <w:tab/>
        <w:t>Metagenomics</w:t>
      </w:r>
      <w:bookmarkEnd w:id="39"/>
    </w:p>
    <w:p w14:paraId="30622E6F" w14:textId="77777777" w:rsidR="00016E1B" w:rsidRDefault="00DC1FA0" w:rsidP="00DC1FA0">
      <w:pPr>
        <w:pStyle w:val="BodyText"/>
      </w:pPr>
      <w:r>
        <w:t>Metagenome sequences were obtained for 34 of the 60 samples submitted for sequencing. Overall, there were fewer metagenomes produced for post-purge samples compared to pre-purge samples, which reflects the relatively low concentration of DNA in those samples.</w:t>
      </w:r>
    </w:p>
    <w:p w14:paraId="18818170" w14:textId="77486BF3" w:rsidR="00DC1FA0" w:rsidRDefault="00DC1FA0" w:rsidP="00251782">
      <w:pPr>
        <w:pStyle w:val="Heading3Numbered"/>
        <w:numPr>
          <w:ilvl w:val="0"/>
          <w:numId w:val="0"/>
        </w:numPr>
        <w:ind w:left="1276" w:hanging="851"/>
      </w:pPr>
      <w:bookmarkStart w:id="40" w:name="_Toc164960614"/>
      <w:r>
        <w:t>3.2.1</w:t>
      </w:r>
      <w:r>
        <w:tab/>
        <w:t>All identified genes/products</w:t>
      </w:r>
      <w:bookmarkEnd w:id="40"/>
    </w:p>
    <w:p w14:paraId="6AB5F6A6" w14:textId="77777777" w:rsidR="00016E1B" w:rsidRDefault="00DC1FA0" w:rsidP="00DC1FA0">
      <w:pPr>
        <w:pStyle w:val="BodyText"/>
      </w:pPr>
      <w:r>
        <w:t>A total of 10,900 functional genes were identified from the metagenomes across all samples. Over 45% (4,962) of the genes were present in all samples. Samples contained between 7,294 and 9,226 genes.</w:t>
      </w:r>
    </w:p>
    <w:p w14:paraId="3E125041" w14:textId="071430D6" w:rsidR="00016E1B" w:rsidRDefault="00DC1FA0" w:rsidP="00DC1FA0">
      <w:pPr>
        <w:pStyle w:val="BodyText"/>
      </w:pPr>
      <w:r>
        <w:t xml:space="preserve">There was a significant difference in the metagenomes by aquifer type (p=0.036), as evident in </w:t>
      </w:r>
      <w:r w:rsidR="00E202FA">
        <w:fldChar w:fldCharType="begin"/>
      </w:r>
      <w:r w:rsidR="00E202FA">
        <w:instrText xml:space="preserve"> REF _Ref164638246 \h </w:instrText>
      </w:r>
      <w:r w:rsidR="00E202FA">
        <w:fldChar w:fldCharType="separate"/>
      </w:r>
      <w:r w:rsidR="00E202FA">
        <w:t xml:space="preserve">Figure </w:t>
      </w:r>
      <w:r w:rsidR="00E202FA">
        <w:rPr>
          <w:noProof/>
        </w:rPr>
        <w:t>10</w:t>
      </w:r>
      <w:r w:rsidR="00E202FA">
        <w:fldChar w:fldCharType="end"/>
      </w:r>
      <w:r>
        <w:t xml:space="preserve">. There was also a significant difference between pre- and post-purge samples (p=0.006). The significant difference between pre- and post-purge samples is not clearly evident in </w:t>
      </w:r>
      <w:r w:rsidR="00E202FA">
        <w:fldChar w:fldCharType="begin"/>
      </w:r>
      <w:r w:rsidR="00E202FA">
        <w:instrText xml:space="preserve"> REF _Ref164638246 \h </w:instrText>
      </w:r>
      <w:r w:rsidR="00E202FA">
        <w:fldChar w:fldCharType="separate"/>
      </w:r>
      <w:r w:rsidR="00E202FA">
        <w:t xml:space="preserve">Figure </w:t>
      </w:r>
      <w:r w:rsidR="00E202FA">
        <w:rPr>
          <w:noProof/>
        </w:rPr>
        <w:t>10</w:t>
      </w:r>
      <w:r w:rsidR="00E202FA">
        <w:fldChar w:fldCharType="end"/>
      </w:r>
      <w:r>
        <w:t xml:space="preserve"> because the analysis is based on differences between samples from within the same bore, so although significant, it is not apparent as a clustering among groups of pre- and post-purge samples in the nMDS (cf. </w:t>
      </w:r>
      <w:r w:rsidR="00E202FA">
        <w:fldChar w:fldCharType="begin"/>
      </w:r>
      <w:r w:rsidR="00E202FA">
        <w:instrText xml:space="preserve"> REF _Ref164637993 \h </w:instrText>
      </w:r>
      <w:r w:rsidR="00E202FA">
        <w:fldChar w:fldCharType="separate"/>
      </w:r>
      <w:r w:rsidR="00E202FA">
        <w:t xml:space="preserve">Figure </w:t>
      </w:r>
      <w:r w:rsidR="00E202FA">
        <w:rPr>
          <w:noProof/>
        </w:rPr>
        <w:t>3</w:t>
      </w:r>
      <w:r w:rsidR="00E202FA">
        <w:fldChar w:fldCharType="end"/>
      </w:r>
      <w:r>
        <w:t>). There was no significant difference between bores (p=0.166), and the catchment x pre-/post-purge interaction was not significant (p=0.279). When examined collectively (sequential test), four variables (temperature, pH, total nitrogen (TN) and dissolved oxygen (DO)) were found to explain a significant proportion (25.2%) of the total variation in the functional genes derived from the metagenomic data (</w:t>
      </w:r>
      <w:r w:rsidR="00E202FA">
        <w:fldChar w:fldCharType="begin"/>
      </w:r>
      <w:r w:rsidR="00E202FA">
        <w:instrText xml:space="preserve"> REF _Ref164638398 \h </w:instrText>
      </w:r>
      <w:r w:rsidR="00E202FA">
        <w:fldChar w:fldCharType="separate"/>
      </w:r>
      <w:r w:rsidR="00E202FA">
        <w:t xml:space="preserve">Table </w:t>
      </w:r>
      <w:r w:rsidR="00E202FA">
        <w:rPr>
          <w:noProof/>
        </w:rPr>
        <w:t>1</w:t>
      </w:r>
      <w:r w:rsidR="00E202FA">
        <w:fldChar w:fldCharType="end"/>
      </w:r>
      <w:r>
        <w:t>).</w:t>
      </w:r>
    </w:p>
    <w:p w14:paraId="73B6387A" w14:textId="61C42D7F" w:rsidR="00DC1FA0" w:rsidRDefault="005A6F45" w:rsidP="00DC1FA0">
      <w:pPr>
        <w:pStyle w:val="BodyText"/>
      </w:pPr>
      <w:r>
        <w:rPr>
          <w:noProof/>
        </w:rPr>
        <w:drawing>
          <wp:inline distT="0" distB="0" distL="0" distR="0" wp14:anchorId="21385379" wp14:editId="648EE409">
            <wp:extent cx="4648200" cy="3149600"/>
            <wp:effectExtent l="0" t="0" r="0" b="0"/>
            <wp:docPr id="468056949" name="Picture 8"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56949" name="Picture 8" descr="nMDS ordination as described in the previous paragrap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8200" cy="3149600"/>
                    </a:xfrm>
                    <a:prstGeom prst="rect">
                      <a:avLst/>
                    </a:prstGeom>
                  </pic:spPr>
                </pic:pic>
              </a:graphicData>
            </a:graphic>
          </wp:inline>
        </w:drawing>
      </w:r>
    </w:p>
    <w:p w14:paraId="6ED1519A" w14:textId="1A266281" w:rsidR="00EE5F48" w:rsidRPr="00EE5F48" w:rsidRDefault="00EE5F48" w:rsidP="00EE5F48">
      <w:pPr>
        <w:pStyle w:val="Figureheading"/>
      </w:pPr>
      <w:bookmarkStart w:id="41" w:name="_Ref164638246"/>
      <w:r>
        <w:t xml:space="preserve">Figure </w:t>
      </w:r>
      <w:r>
        <w:fldChar w:fldCharType="begin"/>
      </w:r>
      <w:r>
        <w:instrText xml:space="preserve"> SEQ Figure \* ARABIC </w:instrText>
      </w:r>
      <w:r>
        <w:fldChar w:fldCharType="separate"/>
      </w:r>
      <w:r>
        <w:rPr>
          <w:noProof/>
        </w:rPr>
        <w:t>10</w:t>
      </w:r>
      <w:r>
        <w:fldChar w:fldCharType="end"/>
      </w:r>
      <w:bookmarkEnd w:id="41"/>
      <w:r w:rsidRPr="00177925">
        <w:t>. nMDS ordination of 34 metagenomes based on functional genes compiled from available databases</w:t>
      </w:r>
    </w:p>
    <w:p w14:paraId="4413A0CA" w14:textId="77777777" w:rsidR="00DC1FA0" w:rsidRDefault="00DC1FA0" w:rsidP="00251782">
      <w:pPr>
        <w:pStyle w:val="TableSourceNotes"/>
      </w:pPr>
      <w:r>
        <w:t>Samples collected from pre- and post-purge groundwater samples in sandstone and alluvial aquifers.</w:t>
      </w:r>
    </w:p>
    <w:p w14:paraId="400C4D62" w14:textId="1153D3C6" w:rsidR="00DC1FA0" w:rsidRDefault="00DC1FA0" w:rsidP="00251782">
      <w:pPr>
        <w:pStyle w:val="BodyText"/>
        <w:spacing w:before="240"/>
      </w:pPr>
      <w:r>
        <w:t>Samples with metagenomes annotated using all databases combined were significantly correlated with sulfate, DOC, DO and TN concentrations, as well as pH and temperature as independent variables (</w:t>
      </w:r>
      <w:r w:rsidR="00E202FA">
        <w:fldChar w:fldCharType="begin"/>
      </w:r>
      <w:r w:rsidR="00E202FA">
        <w:instrText xml:space="preserve"> REF _Ref164638398 \h </w:instrText>
      </w:r>
      <w:r w:rsidR="00E202FA">
        <w:fldChar w:fldCharType="separate"/>
      </w:r>
      <w:r w:rsidR="00E202FA">
        <w:t xml:space="preserve">Table </w:t>
      </w:r>
      <w:r w:rsidR="00E202FA">
        <w:rPr>
          <w:noProof/>
        </w:rPr>
        <w:t>1</w:t>
      </w:r>
      <w:r w:rsidR="00E202FA">
        <w:fldChar w:fldCharType="end"/>
      </w:r>
      <w:r>
        <w:t>). The stepwise DistLM model included sulfate and dissolved organic carbon (DOC) concentrations, pH and temperature as variables contributing significantly to explaining 35% of the variation in the metagenomes between samples (</w:t>
      </w:r>
      <w:r w:rsidR="00E202FA">
        <w:fldChar w:fldCharType="begin"/>
      </w:r>
      <w:r w:rsidR="00E202FA">
        <w:instrText xml:space="preserve"> REF _Ref164638398 \h </w:instrText>
      </w:r>
      <w:r w:rsidR="00E202FA">
        <w:fldChar w:fldCharType="separate"/>
      </w:r>
      <w:r w:rsidR="00E202FA">
        <w:t xml:space="preserve">Table </w:t>
      </w:r>
      <w:r w:rsidR="00E202FA">
        <w:rPr>
          <w:noProof/>
        </w:rPr>
        <w:t>1</w:t>
      </w:r>
      <w:r w:rsidR="00E202FA">
        <w:fldChar w:fldCharType="end"/>
      </w:r>
      <w:r>
        <w:t>).</w:t>
      </w:r>
    </w:p>
    <w:p w14:paraId="6A7D08A6" w14:textId="4444C28F" w:rsidR="00E915A8" w:rsidRPr="00E915A8" w:rsidRDefault="00E915A8" w:rsidP="00E915A8">
      <w:pPr>
        <w:pStyle w:val="TABLEHEADING"/>
      </w:pPr>
      <w:bookmarkStart w:id="42" w:name="_Ref164638398"/>
      <w:r>
        <w:t xml:space="preserve">Table </w:t>
      </w:r>
      <w:r>
        <w:fldChar w:fldCharType="begin"/>
      </w:r>
      <w:r>
        <w:instrText xml:space="preserve"> SEQ Table \* ARABIC </w:instrText>
      </w:r>
      <w:r>
        <w:fldChar w:fldCharType="separate"/>
      </w:r>
      <w:r w:rsidR="00307B2F">
        <w:rPr>
          <w:noProof/>
        </w:rPr>
        <w:t>1</w:t>
      </w:r>
      <w:r>
        <w:fldChar w:fldCharType="end"/>
      </w:r>
      <w:bookmarkEnd w:id="42"/>
      <w:r w:rsidRPr="00CF34E9">
        <w:t>. Proportion of variation (r</w:t>
      </w:r>
      <w:r w:rsidRPr="00E915A8">
        <w:rPr>
          <w:vertAlign w:val="superscript"/>
        </w:rPr>
        <w:t>2</w:t>
      </w:r>
      <w:r w:rsidRPr="00CF34E9">
        <w:t>) in functional gene assemblages based on metagenome data using all available databases explained by environmental variables individually and cumulatively in stepwise selection</w:t>
      </w:r>
    </w:p>
    <w:tbl>
      <w:tblPr>
        <w:tblStyle w:val="IESCTABLE1"/>
        <w:tblW w:w="8959" w:type="dxa"/>
        <w:tblLook w:val="04A0" w:firstRow="1" w:lastRow="0" w:firstColumn="1" w:lastColumn="0" w:noHBand="0" w:noVBand="1"/>
      </w:tblPr>
      <w:tblGrid>
        <w:gridCol w:w="2438"/>
        <w:gridCol w:w="1276"/>
        <w:gridCol w:w="1134"/>
        <w:gridCol w:w="1276"/>
        <w:gridCol w:w="1417"/>
        <w:gridCol w:w="1418"/>
      </w:tblGrid>
      <w:tr w:rsidR="00251782" w:rsidRPr="00DC1FA0" w14:paraId="7F16C8C2" w14:textId="77777777" w:rsidTr="003C5164">
        <w:trPr>
          <w:cnfStyle w:val="100000000000" w:firstRow="1" w:lastRow="0" w:firstColumn="0" w:lastColumn="0" w:oddVBand="0" w:evenVBand="0" w:oddHBand="0" w:evenHBand="0" w:firstRowFirstColumn="0" w:firstRowLastColumn="0" w:lastRowFirstColumn="0" w:lastRowLastColumn="0"/>
          <w:trHeight w:val="680"/>
          <w:tblHeader/>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34677A95" w14:textId="77777777" w:rsidR="00DC1FA0" w:rsidRPr="00251782" w:rsidRDefault="00DC1FA0" w:rsidP="00EE2F70">
            <w:pPr>
              <w:pStyle w:val="TableHeaderRow"/>
              <w:rPr>
                <w:b/>
              </w:rPr>
            </w:pPr>
            <w:r w:rsidRPr="00251782">
              <w:rPr>
                <w:b/>
              </w:rPr>
              <w:t>Variable</w:t>
            </w:r>
          </w:p>
        </w:tc>
        <w:tc>
          <w:tcPr>
            <w:tcW w:w="1276" w:type="dxa"/>
            <w:noWrap/>
            <w:tcMar>
              <w:top w:w="57" w:type="dxa"/>
              <w:left w:w="57" w:type="dxa"/>
              <w:bottom w:w="85" w:type="dxa"/>
              <w:right w:w="57" w:type="dxa"/>
            </w:tcMar>
            <w:hideMark/>
          </w:tcPr>
          <w:p w14:paraId="0806035F"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Individual</w:t>
            </w:r>
          </w:p>
          <w:p w14:paraId="00D66FF0" w14:textId="112D0ADA" w:rsidR="00DC1FA0" w:rsidRPr="00251782" w:rsidRDefault="00DC1FA0"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r</w:t>
            </w:r>
            <w:r w:rsidRPr="00251782">
              <w:rPr>
                <w:b/>
                <w:vertAlign w:val="superscript"/>
              </w:rPr>
              <w:t>2</w:t>
            </w:r>
          </w:p>
        </w:tc>
        <w:tc>
          <w:tcPr>
            <w:tcW w:w="1134" w:type="dxa"/>
            <w:noWrap/>
            <w:tcMar>
              <w:top w:w="57" w:type="dxa"/>
              <w:left w:w="57" w:type="dxa"/>
              <w:bottom w:w="85" w:type="dxa"/>
              <w:right w:w="57" w:type="dxa"/>
            </w:tcMar>
            <w:hideMark/>
          </w:tcPr>
          <w:p w14:paraId="4052E61D" w14:textId="77777777" w:rsidR="00016E1B"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Individual</w:t>
            </w:r>
          </w:p>
          <w:p w14:paraId="3D90FA71" w14:textId="5F9DB5C3" w:rsidR="00DC1FA0" w:rsidRPr="00251782" w:rsidRDefault="00DC1FA0"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p</w:t>
            </w:r>
          </w:p>
        </w:tc>
        <w:tc>
          <w:tcPr>
            <w:tcW w:w="1276" w:type="dxa"/>
            <w:noWrap/>
            <w:tcMar>
              <w:top w:w="57" w:type="dxa"/>
              <w:left w:w="57" w:type="dxa"/>
              <w:bottom w:w="85" w:type="dxa"/>
              <w:right w:w="57" w:type="dxa"/>
            </w:tcMar>
            <w:hideMark/>
          </w:tcPr>
          <w:p w14:paraId="23D2FE57"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7DE499FD" w14:textId="306813F9" w:rsidR="00DC1FA0" w:rsidRPr="00251782" w:rsidRDefault="00DC1FA0"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r</w:t>
            </w:r>
            <w:r w:rsidRPr="00251782">
              <w:rPr>
                <w:b/>
                <w:vertAlign w:val="superscript"/>
              </w:rPr>
              <w:t>2</w:t>
            </w:r>
          </w:p>
        </w:tc>
        <w:tc>
          <w:tcPr>
            <w:tcW w:w="1417" w:type="dxa"/>
            <w:noWrap/>
            <w:tcMar>
              <w:top w:w="57" w:type="dxa"/>
              <w:left w:w="57" w:type="dxa"/>
              <w:bottom w:w="85" w:type="dxa"/>
              <w:right w:w="57" w:type="dxa"/>
            </w:tcMar>
            <w:hideMark/>
          </w:tcPr>
          <w:p w14:paraId="499FF798" w14:textId="77777777" w:rsidR="00016E1B" w:rsidRDefault="00DC1FA0"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45F47B84" w14:textId="4752AC12" w:rsidR="00DC1FA0"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 xml:space="preserve">Cumulative </w:t>
            </w:r>
            <w:r w:rsidR="00DC1FA0" w:rsidRPr="00251782">
              <w:rPr>
                <w:b/>
              </w:rPr>
              <w:t>r</w:t>
            </w:r>
            <w:r w:rsidR="00DC1FA0" w:rsidRPr="00251782">
              <w:rPr>
                <w:b/>
                <w:vertAlign w:val="superscript"/>
              </w:rPr>
              <w:t>2</w:t>
            </w:r>
          </w:p>
        </w:tc>
        <w:tc>
          <w:tcPr>
            <w:tcW w:w="1418" w:type="dxa"/>
            <w:noWrap/>
            <w:tcMar>
              <w:top w:w="57" w:type="dxa"/>
              <w:left w:w="57" w:type="dxa"/>
              <w:bottom w:w="85" w:type="dxa"/>
              <w:right w:w="57" w:type="dxa"/>
            </w:tcMar>
            <w:hideMark/>
          </w:tcPr>
          <w:p w14:paraId="2796558B"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4F33537D" w14:textId="2E0F9A11" w:rsidR="00DC1FA0" w:rsidRPr="00251782" w:rsidRDefault="00DC1FA0"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p</w:t>
            </w:r>
          </w:p>
        </w:tc>
      </w:tr>
      <w:tr w:rsidR="00251782" w:rsidRPr="00DC1FA0" w14:paraId="6A856FB8"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2820BF54" w14:textId="77777777" w:rsidR="00DC1FA0" w:rsidRPr="00DC1FA0" w:rsidRDefault="00DC1FA0" w:rsidP="00251782">
            <w:pPr>
              <w:pStyle w:val="TableText"/>
              <w:rPr>
                <w:bCs w:val="0"/>
              </w:rPr>
            </w:pPr>
            <w:r w:rsidRPr="00DC1FA0">
              <w:rPr>
                <w:bCs w:val="0"/>
              </w:rPr>
              <w:t>Temperature</w:t>
            </w:r>
          </w:p>
        </w:tc>
        <w:tc>
          <w:tcPr>
            <w:tcW w:w="1276" w:type="dxa"/>
            <w:noWrap/>
            <w:tcMar>
              <w:top w:w="57" w:type="dxa"/>
              <w:left w:w="57" w:type="dxa"/>
              <w:bottom w:w="85" w:type="dxa"/>
              <w:right w:w="57" w:type="dxa"/>
            </w:tcMar>
            <w:hideMark/>
          </w:tcPr>
          <w:p w14:paraId="0B58AEF1"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134" w:type="dxa"/>
            <w:noWrap/>
            <w:tcMar>
              <w:top w:w="57" w:type="dxa"/>
              <w:left w:w="57" w:type="dxa"/>
              <w:bottom w:w="85" w:type="dxa"/>
              <w:right w:w="57" w:type="dxa"/>
            </w:tcMar>
            <w:hideMark/>
          </w:tcPr>
          <w:p w14:paraId="643C1A95"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0.005</w:t>
            </w:r>
          </w:p>
        </w:tc>
        <w:tc>
          <w:tcPr>
            <w:tcW w:w="1276" w:type="dxa"/>
            <w:noWrap/>
            <w:tcMar>
              <w:top w:w="57" w:type="dxa"/>
              <w:left w:w="57" w:type="dxa"/>
              <w:bottom w:w="85" w:type="dxa"/>
              <w:right w:w="57" w:type="dxa"/>
            </w:tcMar>
            <w:hideMark/>
          </w:tcPr>
          <w:p w14:paraId="70D4A775"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417" w:type="dxa"/>
            <w:noWrap/>
            <w:tcMar>
              <w:top w:w="57" w:type="dxa"/>
              <w:left w:w="57" w:type="dxa"/>
              <w:bottom w:w="85" w:type="dxa"/>
              <w:right w:w="57" w:type="dxa"/>
            </w:tcMar>
            <w:hideMark/>
          </w:tcPr>
          <w:p w14:paraId="292931D6"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418" w:type="dxa"/>
            <w:noWrap/>
            <w:tcMar>
              <w:top w:w="57" w:type="dxa"/>
              <w:left w:w="57" w:type="dxa"/>
              <w:bottom w:w="85" w:type="dxa"/>
              <w:right w:w="57" w:type="dxa"/>
            </w:tcMar>
            <w:hideMark/>
          </w:tcPr>
          <w:p w14:paraId="2C699BA9"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0.007</w:t>
            </w:r>
          </w:p>
        </w:tc>
      </w:tr>
      <w:tr w:rsidR="00251782" w:rsidRPr="00DC1FA0" w14:paraId="0E4C6473"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1C1BD112" w14:textId="77777777" w:rsidR="00DC1FA0" w:rsidRPr="00DC1FA0" w:rsidRDefault="00DC1FA0" w:rsidP="00251782">
            <w:pPr>
              <w:pStyle w:val="TableText"/>
              <w:rPr>
                <w:bCs w:val="0"/>
              </w:rPr>
            </w:pPr>
            <w:r w:rsidRPr="00DC1FA0">
              <w:rPr>
                <w:bCs w:val="0"/>
              </w:rPr>
              <w:t>pH</w:t>
            </w:r>
          </w:p>
        </w:tc>
        <w:tc>
          <w:tcPr>
            <w:tcW w:w="1276" w:type="dxa"/>
            <w:noWrap/>
            <w:tcMar>
              <w:top w:w="57" w:type="dxa"/>
              <w:left w:w="57" w:type="dxa"/>
              <w:bottom w:w="85" w:type="dxa"/>
              <w:right w:w="57" w:type="dxa"/>
            </w:tcMar>
            <w:hideMark/>
          </w:tcPr>
          <w:p w14:paraId="7230503D"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0.064</w:t>
            </w:r>
          </w:p>
        </w:tc>
        <w:tc>
          <w:tcPr>
            <w:tcW w:w="1134" w:type="dxa"/>
            <w:noWrap/>
            <w:tcMar>
              <w:top w:w="57" w:type="dxa"/>
              <w:left w:w="57" w:type="dxa"/>
              <w:bottom w:w="85" w:type="dxa"/>
              <w:right w:w="57" w:type="dxa"/>
            </w:tcMar>
            <w:hideMark/>
          </w:tcPr>
          <w:p w14:paraId="428336E9"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0.015</w:t>
            </w:r>
          </w:p>
        </w:tc>
        <w:tc>
          <w:tcPr>
            <w:tcW w:w="1276" w:type="dxa"/>
            <w:noWrap/>
            <w:tcMar>
              <w:top w:w="57" w:type="dxa"/>
              <w:left w:w="57" w:type="dxa"/>
              <w:bottom w:w="85" w:type="dxa"/>
              <w:right w:w="57" w:type="dxa"/>
            </w:tcMar>
            <w:hideMark/>
          </w:tcPr>
          <w:p w14:paraId="3EDE6123"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0.065</w:t>
            </w:r>
          </w:p>
        </w:tc>
        <w:tc>
          <w:tcPr>
            <w:tcW w:w="1417" w:type="dxa"/>
            <w:noWrap/>
            <w:tcMar>
              <w:top w:w="57" w:type="dxa"/>
              <w:left w:w="57" w:type="dxa"/>
              <w:bottom w:w="85" w:type="dxa"/>
              <w:right w:w="57" w:type="dxa"/>
            </w:tcMar>
            <w:hideMark/>
          </w:tcPr>
          <w:p w14:paraId="7441430B"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0.137</w:t>
            </w:r>
          </w:p>
        </w:tc>
        <w:tc>
          <w:tcPr>
            <w:tcW w:w="1418" w:type="dxa"/>
            <w:noWrap/>
            <w:tcMar>
              <w:top w:w="57" w:type="dxa"/>
              <w:left w:w="57" w:type="dxa"/>
              <w:bottom w:w="85" w:type="dxa"/>
              <w:right w:w="57" w:type="dxa"/>
            </w:tcMar>
            <w:hideMark/>
          </w:tcPr>
          <w:p w14:paraId="06B5FA35"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0.008</w:t>
            </w:r>
          </w:p>
        </w:tc>
      </w:tr>
      <w:tr w:rsidR="00251782" w:rsidRPr="00DC1FA0" w14:paraId="6468CE95"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23B6552A" w14:textId="77777777" w:rsidR="00DC1FA0" w:rsidRPr="00DC1FA0" w:rsidRDefault="00DC1FA0" w:rsidP="00251782">
            <w:pPr>
              <w:pStyle w:val="TableText"/>
              <w:rPr>
                <w:bCs w:val="0"/>
              </w:rPr>
            </w:pPr>
            <w:r w:rsidRPr="00DC1FA0">
              <w:rPr>
                <w:bCs w:val="0"/>
              </w:rPr>
              <w:t>Total nitrogen</w:t>
            </w:r>
          </w:p>
        </w:tc>
        <w:tc>
          <w:tcPr>
            <w:tcW w:w="1276" w:type="dxa"/>
            <w:noWrap/>
            <w:tcMar>
              <w:top w:w="57" w:type="dxa"/>
              <w:left w:w="57" w:type="dxa"/>
              <w:bottom w:w="85" w:type="dxa"/>
              <w:right w:w="57" w:type="dxa"/>
            </w:tcMar>
            <w:hideMark/>
          </w:tcPr>
          <w:p w14:paraId="24EDE761"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0.064</w:t>
            </w:r>
          </w:p>
        </w:tc>
        <w:tc>
          <w:tcPr>
            <w:tcW w:w="1134" w:type="dxa"/>
            <w:noWrap/>
            <w:tcMar>
              <w:top w:w="57" w:type="dxa"/>
              <w:left w:w="57" w:type="dxa"/>
              <w:bottom w:w="85" w:type="dxa"/>
              <w:right w:w="57" w:type="dxa"/>
            </w:tcMar>
            <w:hideMark/>
          </w:tcPr>
          <w:p w14:paraId="55D233C7"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0.010</w:t>
            </w:r>
          </w:p>
        </w:tc>
        <w:tc>
          <w:tcPr>
            <w:tcW w:w="1276" w:type="dxa"/>
            <w:noWrap/>
            <w:tcMar>
              <w:top w:w="57" w:type="dxa"/>
              <w:left w:w="57" w:type="dxa"/>
              <w:bottom w:w="85" w:type="dxa"/>
              <w:right w:w="57" w:type="dxa"/>
            </w:tcMar>
            <w:hideMark/>
          </w:tcPr>
          <w:p w14:paraId="7C193454"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0.064</w:t>
            </w:r>
          </w:p>
        </w:tc>
        <w:tc>
          <w:tcPr>
            <w:tcW w:w="1417" w:type="dxa"/>
            <w:noWrap/>
            <w:tcMar>
              <w:top w:w="57" w:type="dxa"/>
              <w:left w:w="57" w:type="dxa"/>
              <w:bottom w:w="85" w:type="dxa"/>
              <w:right w:w="57" w:type="dxa"/>
            </w:tcMar>
            <w:hideMark/>
          </w:tcPr>
          <w:p w14:paraId="6DF96EF4"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0.200</w:t>
            </w:r>
          </w:p>
        </w:tc>
        <w:tc>
          <w:tcPr>
            <w:tcW w:w="1418" w:type="dxa"/>
            <w:noWrap/>
            <w:tcMar>
              <w:top w:w="57" w:type="dxa"/>
              <w:left w:w="57" w:type="dxa"/>
              <w:bottom w:w="85" w:type="dxa"/>
              <w:right w:w="57" w:type="dxa"/>
            </w:tcMar>
            <w:hideMark/>
          </w:tcPr>
          <w:p w14:paraId="15226AD3"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0.008</w:t>
            </w:r>
          </w:p>
        </w:tc>
      </w:tr>
      <w:tr w:rsidR="00251782" w:rsidRPr="00DC1FA0" w14:paraId="16F7C6E2"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23CA113B" w14:textId="77777777" w:rsidR="00DC1FA0" w:rsidRPr="00DC1FA0" w:rsidRDefault="00DC1FA0" w:rsidP="00251782">
            <w:pPr>
              <w:pStyle w:val="TableText"/>
              <w:rPr>
                <w:bCs w:val="0"/>
              </w:rPr>
            </w:pPr>
            <w:r w:rsidRPr="00DC1FA0">
              <w:rPr>
                <w:bCs w:val="0"/>
              </w:rPr>
              <w:t>Dissolved oxygen</w:t>
            </w:r>
          </w:p>
        </w:tc>
        <w:tc>
          <w:tcPr>
            <w:tcW w:w="1276" w:type="dxa"/>
            <w:noWrap/>
            <w:tcMar>
              <w:top w:w="57" w:type="dxa"/>
              <w:left w:w="57" w:type="dxa"/>
              <w:bottom w:w="85" w:type="dxa"/>
              <w:right w:w="57" w:type="dxa"/>
            </w:tcMar>
            <w:hideMark/>
          </w:tcPr>
          <w:p w14:paraId="1A03DBE1"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0.063</w:t>
            </w:r>
          </w:p>
        </w:tc>
        <w:tc>
          <w:tcPr>
            <w:tcW w:w="1134" w:type="dxa"/>
            <w:noWrap/>
            <w:tcMar>
              <w:top w:w="57" w:type="dxa"/>
              <w:left w:w="57" w:type="dxa"/>
              <w:bottom w:w="85" w:type="dxa"/>
              <w:right w:w="57" w:type="dxa"/>
            </w:tcMar>
            <w:hideMark/>
          </w:tcPr>
          <w:p w14:paraId="2116F93E"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0.017</w:t>
            </w:r>
          </w:p>
        </w:tc>
        <w:tc>
          <w:tcPr>
            <w:tcW w:w="1276" w:type="dxa"/>
            <w:noWrap/>
            <w:tcMar>
              <w:top w:w="57" w:type="dxa"/>
              <w:left w:w="57" w:type="dxa"/>
              <w:bottom w:w="85" w:type="dxa"/>
              <w:right w:w="57" w:type="dxa"/>
            </w:tcMar>
            <w:hideMark/>
          </w:tcPr>
          <w:p w14:paraId="09648356"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0.052</w:t>
            </w:r>
          </w:p>
        </w:tc>
        <w:tc>
          <w:tcPr>
            <w:tcW w:w="1417" w:type="dxa"/>
            <w:noWrap/>
            <w:tcMar>
              <w:top w:w="57" w:type="dxa"/>
              <w:left w:w="57" w:type="dxa"/>
              <w:bottom w:w="85" w:type="dxa"/>
              <w:right w:w="57" w:type="dxa"/>
            </w:tcMar>
            <w:hideMark/>
          </w:tcPr>
          <w:p w14:paraId="700F3C7A"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0.252</w:t>
            </w:r>
          </w:p>
        </w:tc>
        <w:tc>
          <w:tcPr>
            <w:tcW w:w="1418" w:type="dxa"/>
            <w:noWrap/>
            <w:tcMar>
              <w:top w:w="57" w:type="dxa"/>
              <w:left w:w="57" w:type="dxa"/>
              <w:bottom w:w="85" w:type="dxa"/>
              <w:right w:w="57" w:type="dxa"/>
            </w:tcMar>
            <w:hideMark/>
          </w:tcPr>
          <w:p w14:paraId="1390040B"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0.024</w:t>
            </w:r>
          </w:p>
        </w:tc>
      </w:tr>
      <w:tr w:rsidR="00B56DDE" w:rsidRPr="00DC1FA0" w14:paraId="04C8EE1A"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3A957803" w14:textId="77777777" w:rsidR="00B56DDE" w:rsidRPr="00DC1FA0" w:rsidRDefault="00B56DDE" w:rsidP="00B56DDE">
            <w:pPr>
              <w:pStyle w:val="TableText"/>
              <w:rPr>
                <w:bCs w:val="0"/>
              </w:rPr>
            </w:pPr>
            <w:r w:rsidRPr="00DC1FA0">
              <w:rPr>
                <w:bCs w:val="0"/>
              </w:rPr>
              <w:t xml:space="preserve">Water level </w:t>
            </w:r>
          </w:p>
        </w:tc>
        <w:tc>
          <w:tcPr>
            <w:tcW w:w="1276" w:type="dxa"/>
            <w:noWrap/>
            <w:tcMar>
              <w:top w:w="57" w:type="dxa"/>
              <w:left w:w="57" w:type="dxa"/>
              <w:bottom w:w="85" w:type="dxa"/>
              <w:right w:w="57" w:type="dxa"/>
            </w:tcMar>
            <w:hideMark/>
          </w:tcPr>
          <w:p w14:paraId="1329CF81"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0.052</w:t>
            </w:r>
          </w:p>
        </w:tc>
        <w:tc>
          <w:tcPr>
            <w:tcW w:w="1134" w:type="dxa"/>
            <w:noWrap/>
            <w:tcMar>
              <w:top w:w="57" w:type="dxa"/>
              <w:left w:w="57" w:type="dxa"/>
              <w:bottom w:w="85" w:type="dxa"/>
              <w:right w:w="57" w:type="dxa"/>
            </w:tcMar>
            <w:hideMark/>
          </w:tcPr>
          <w:p w14:paraId="460A351F"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0.048</w:t>
            </w:r>
          </w:p>
        </w:tc>
        <w:tc>
          <w:tcPr>
            <w:tcW w:w="1276" w:type="dxa"/>
            <w:noWrap/>
            <w:tcMar>
              <w:top w:w="57" w:type="dxa"/>
              <w:left w:w="57" w:type="dxa"/>
              <w:bottom w:w="85" w:type="dxa"/>
              <w:right w:w="57" w:type="dxa"/>
            </w:tcMar>
            <w:hideMark/>
          </w:tcPr>
          <w:p w14:paraId="10A4B504" w14:textId="682CC966"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19C10A43" w14:textId="69B9E7C6"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1DB35B79" w14:textId="66BAC7A8"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r>
      <w:tr w:rsidR="00B56DDE" w:rsidRPr="00DC1FA0" w14:paraId="0E4F4E98"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2B631751" w14:textId="77777777" w:rsidR="00B56DDE" w:rsidRPr="00DC1FA0" w:rsidRDefault="00B56DDE" w:rsidP="00B56DDE">
            <w:pPr>
              <w:pStyle w:val="TableText"/>
              <w:rPr>
                <w:bCs w:val="0"/>
              </w:rPr>
            </w:pPr>
            <w:r w:rsidRPr="00DC1FA0">
              <w:rPr>
                <w:bCs w:val="0"/>
              </w:rPr>
              <w:t>Mean slot depth</w:t>
            </w:r>
          </w:p>
        </w:tc>
        <w:tc>
          <w:tcPr>
            <w:tcW w:w="1276" w:type="dxa"/>
            <w:noWrap/>
            <w:tcMar>
              <w:top w:w="57" w:type="dxa"/>
              <w:left w:w="57" w:type="dxa"/>
              <w:bottom w:w="85" w:type="dxa"/>
              <w:right w:w="57" w:type="dxa"/>
            </w:tcMar>
            <w:hideMark/>
          </w:tcPr>
          <w:p w14:paraId="138236ED"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0.051</w:t>
            </w:r>
          </w:p>
        </w:tc>
        <w:tc>
          <w:tcPr>
            <w:tcW w:w="1134" w:type="dxa"/>
            <w:noWrap/>
            <w:tcMar>
              <w:top w:w="57" w:type="dxa"/>
              <w:left w:w="57" w:type="dxa"/>
              <w:bottom w:w="85" w:type="dxa"/>
              <w:right w:w="57" w:type="dxa"/>
            </w:tcMar>
            <w:hideMark/>
          </w:tcPr>
          <w:p w14:paraId="0581D3EE"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0.043</w:t>
            </w:r>
          </w:p>
        </w:tc>
        <w:tc>
          <w:tcPr>
            <w:tcW w:w="1276" w:type="dxa"/>
            <w:noWrap/>
            <w:tcMar>
              <w:top w:w="57" w:type="dxa"/>
              <w:left w:w="57" w:type="dxa"/>
              <w:bottom w:w="85" w:type="dxa"/>
              <w:right w:w="57" w:type="dxa"/>
            </w:tcMar>
            <w:hideMark/>
          </w:tcPr>
          <w:p w14:paraId="60ABFCEB" w14:textId="19373C5A"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4112AAB3" w14:textId="1BFD8633"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042B5B04" w14:textId="268A68A6"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r>
      <w:tr w:rsidR="00B56DDE" w:rsidRPr="00DC1FA0" w14:paraId="67EAEDB1"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1386E228" w14:textId="77777777" w:rsidR="00B56DDE" w:rsidRPr="00DC1FA0" w:rsidRDefault="00B56DDE" w:rsidP="00B56DDE">
            <w:pPr>
              <w:pStyle w:val="TableText"/>
              <w:rPr>
                <w:bCs w:val="0"/>
              </w:rPr>
            </w:pPr>
            <w:r w:rsidRPr="00DC1FA0">
              <w:rPr>
                <w:bCs w:val="0"/>
              </w:rPr>
              <w:t>Electrical conductivity</w:t>
            </w:r>
          </w:p>
        </w:tc>
        <w:tc>
          <w:tcPr>
            <w:tcW w:w="1276" w:type="dxa"/>
            <w:noWrap/>
            <w:tcMar>
              <w:top w:w="57" w:type="dxa"/>
              <w:left w:w="57" w:type="dxa"/>
              <w:bottom w:w="85" w:type="dxa"/>
              <w:right w:w="57" w:type="dxa"/>
            </w:tcMar>
            <w:hideMark/>
          </w:tcPr>
          <w:p w14:paraId="389ED034"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0.043</w:t>
            </w:r>
          </w:p>
        </w:tc>
        <w:tc>
          <w:tcPr>
            <w:tcW w:w="1134" w:type="dxa"/>
            <w:noWrap/>
            <w:tcMar>
              <w:top w:w="57" w:type="dxa"/>
              <w:left w:w="57" w:type="dxa"/>
              <w:bottom w:w="85" w:type="dxa"/>
              <w:right w:w="57" w:type="dxa"/>
            </w:tcMar>
            <w:hideMark/>
          </w:tcPr>
          <w:p w14:paraId="3FA6332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0.125</w:t>
            </w:r>
          </w:p>
        </w:tc>
        <w:tc>
          <w:tcPr>
            <w:tcW w:w="1276" w:type="dxa"/>
            <w:noWrap/>
            <w:tcMar>
              <w:top w:w="57" w:type="dxa"/>
              <w:left w:w="57" w:type="dxa"/>
              <w:bottom w:w="85" w:type="dxa"/>
              <w:right w:w="57" w:type="dxa"/>
            </w:tcMar>
            <w:hideMark/>
          </w:tcPr>
          <w:p w14:paraId="66055E52" w14:textId="77130A8E"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770052FE" w14:textId="68122240"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627CC6FE" w14:textId="26DD825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r>
      <w:tr w:rsidR="00B56DDE" w:rsidRPr="00DC1FA0" w14:paraId="7E0764A3"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3AAD7CF6" w14:textId="77777777" w:rsidR="00B56DDE" w:rsidRPr="00DC1FA0" w:rsidRDefault="00B56DDE" w:rsidP="00B56DDE">
            <w:pPr>
              <w:pStyle w:val="TableText"/>
              <w:rPr>
                <w:bCs w:val="0"/>
              </w:rPr>
            </w:pPr>
            <w:r w:rsidRPr="00DC1FA0">
              <w:rPr>
                <w:bCs w:val="0"/>
              </w:rPr>
              <w:t>Sulfate</w:t>
            </w:r>
          </w:p>
        </w:tc>
        <w:tc>
          <w:tcPr>
            <w:tcW w:w="1276" w:type="dxa"/>
            <w:noWrap/>
            <w:tcMar>
              <w:top w:w="57" w:type="dxa"/>
              <w:left w:w="57" w:type="dxa"/>
              <w:bottom w:w="85" w:type="dxa"/>
              <w:right w:w="57" w:type="dxa"/>
            </w:tcMar>
            <w:hideMark/>
          </w:tcPr>
          <w:p w14:paraId="2C9FC528"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0.042</w:t>
            </w:r>
          </w:p>
        </w:tc>
        <w:tc>
          <w:tcPr>
            <w:tcW w:w="1134" w:type="dxa"/>
            <w:noWrap/>
            <w:tcMar>
              <w:top w:w="57" w:type="dxa"/>
              <w:left w:w="57" w:type="dxa"/>
              <w:bottom w:w="85" w:type="dxa"/>
              <w:right w:w="57" w:type="dxa"/>
            </w:tcMar>
            <w:hideMark/>
          </w:tcPr>
          <w:p w14:paraId="085B5691"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0.133</w:t>
            </w:r>
          </w:p>
        </w:tc>
        <w:tc>
          <w:tcPr>
            <w:tcW w:w="1276" w:type="dxa"/>
            <w:noWrap/>
            <w:tcMar>
              <w:top w:w="57" w:type="dxa"/>
              <w:left w:w="57" w:type="dxa"/>
              <w:bottom w:w="85" w:type="dxa"/>
              <w:right w:w="57" w:type="dxa"/>
            </w:tcMar>
            <w:hideMark/>
          </w:tcPr>
          <w:p w14:paraId="3314B3A5" w14:textId="3088DCD4"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3C3C98E8" w14:textId="1AB8D548"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7BC2DF8F" w14:textId="1ADF36BA"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r>
      <w:tr w:rsidR="00B56DDE" w:rsidRPr="00DC1FA0" w14:paraId="26C7AA98"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7CACAC6F" w14:textId="77777777" w:rsidR="00B56DDE" w:rsidRPr="00DC1FA0" w:rsidRDefault="00B56DDE" w:rsidP="00B56DDE">
            <w:pPr>
              <w:pStyle w:val="TableText"/>
              <w:rPr>
                <w:bCs w:val="0"/>
              </w:rPr>
            </w:pPr>
            <w:r w:rsidRPr="00DC1FA0">
              <w:rPr>
                <w:bCs w:val="0"/>
              </w:rPr>
              <w:t>Total phosphorus</w:t>
            </w:r>
          </w:p>
        </w:tc>
        <w:tc>
          <w:tcPr>
            <w:tcW w:w="1276" w:type="dxa"/>
            <w:noWrap/>
            <w:tcMar>
              <w:top w:w="57" w:type="dxa"/>
              <w:left w:w="57" w:type="dxa"/>
              <w:bottom w:w="85" w:type="dxa"/>
              <w:right w:w="57" w:type="dxa"/>
            </w:tcMar>
            <w:hideMark/>
          </w:tcPr>
          <w:p w14:paraId="07601BD5"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0.040</w:t>
            </w:r>
          </w:p>
        </w:tc>
        <w:tc>
          <w:tcPr>
            <w:tcW w:w="1134" w:type="dxa"/>
            <w:noWrap/>
            <w:tcMar>
              <w:top w:w="57" w:type="dxa"/>
              <w:left w:w="57" w:type="dxa"/>
              <w:bottom w:w="85" w:type="dxa"/>
              <w:right w:w="57" w:type="dxa"/>
            </w:tcMar>
            <w:hideMark/>
          </w:tcPr>
          <w:p w14:paraId="0D187773"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0.166</w:t>
            </w:r>
          </w:p>
        </w:tc>
        <w:tc>
          <w:tcPr>
            <w:tcW w:w="1276" w:type="dxa"/>
            <w:noWrap/>
            <w:tcMar>
              <w:top w:w="57" w:type="dxa"/>
              <w:left w:w="57" w:type="dxa"/>
              <w:bottom w:w="85" w:type="dxa"/>
              <w:right w:w="57" w:type="dxa"/>
            </w:tcMar>
            <w:hideMark/>
          </w:tcPr>
          <w:p w14:paraId="7EAB2BAC" w14:textId="0D8C726E"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07B76ED5" w14:textId="3FDAF170"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232392E9" w14:textId="00434A9A"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r>
      <w:tr w:rsidR="00B56DDE" w:rsidRPr="00DC1FA0" w14:paraId="5C04239D"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54E85AAA" w14:textId="77777777" w:rsidR="00B56DDE" w:rsidRPr="00DC1FA0" w:rsidRDefault="00B56DDE" w:rsidP="00B56DDE">
            <w:pPr>
              <w:pStyle w:val="TableText"/>
              <w:rPr>
                <w:bCs w:val="0"/>
              </w:rPr>
            </w:pPr>
            <w:r w:rsidRPr="00DC1FA0">
              <w:rPr>
                <w:bCs w:val="0"/>
              </w:rPr>
              <w:t>Oxidation-reduction potential</w:t>
            </w:r>
          </w:p>
        </w:tc>
        <w:tc>
          <w:tcPr>
            <w:tcW w:w="1276" w:type="dxa"/>
            <w:noWrap/>
            <w:tcMar>
              <w:top w:w="57" w:type="dxa"/>
              <w:left w:w="57" w:type="dxa"/>
              <w:bottom w:w="85" w:type="dxa"/>
              <w:right w:w="57" w:type="dxa"/>
            </w:tcMar>
            <w:hideMark/>
          </w:tcPr>
          <w:p w14:paraId="70EB169A"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0.034</w:t>
            </w:r>
          </w:p>
        </w:tc>
        <w:tc>
          <w:tcPr>
            <w:tcW w:w="1134" w:type="dxa"/>
            <w:noWrap/>
            <w:tcMar>
              <w:top w:w="57" w:type="dxa"/>
              <w:left w:w="57" w:type="dxa"/>
              <w:bottom w:w="85" w:type="dxa"/>
              <w:right w:w="57" w:type="dxa"/>
            </w:tcMar>
            <w:hideMark/>
          </w:tcPr>
          <w:p w14:paraId="05CF12E7"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0.351</w:t>
            </w:r>
          </w:p>
        </w:tc>
        <w:tc>
          <w:tcPr>
            <w:tcW w:w="1276" w:type="dxa"/>
            <w:noWrap/>
            <w:tcMar>
              <w:top w:w="57" w:type="dxa"/>
              <w:left w:w="57" w:type="dxa"/>
              <w:bottom w:w="85" w:type="dxa"/>
              <w:right w:w="57" w:type="dxa"/>
            </w:tcMar>
            <w:hideMark/>
          </w:tcPr>
          <w:p w14:paraId="7414CC41" w14:textId="600EAF64"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5CECDD7C" w14:textId="4D6D3E10"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05F9D244" w14:textId="30919EEF"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6E6F4B">
              <w:rPr>
                <w:color w:val="EBEEF5"/>
              </w:rPr>
              <w:t>-</w:t>
            </w:r>
          </w:p>
        </w:tc>
      </w:tr>
      <w:tr w:rsidR="00B56DDE" w:rsidRPr="00DC1FA0" w14:paraId="4DE8CAE4"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438" w:type="dxa"/>
            <w:noWrap/>
            <w:tcMar>
              <w:top w:w="57" w:type="dxa"/>
              <w:left w:w="57" w:type="dxa"/>
              <w:bottom w:w="85" w:type="dxa"/>
              <w:right w:w="57" w:type="dxa"/>
            </w:tcMar>
            <w:hideMark/>
          </w:tcPr>
          <w:p w14:paraId="25D71E9F" w14:textId="77777777" w:rsidR="00B56DDE" w:rsidRPr="00DC1FA0" w:rsidRDefault="00B56DDE" w:rsidP="00B56DDE">
            <w:pPr>
              <w:pStyle w:val="TableText"/>
              <w:rPr>
                <w:bCs w:val="0"/>
              </w:rPr>
            </w:pPr>
            <w:r w:rsidRPr="00DC1FA0">
              <w:rPr>
                <w:bCs w:val="0"/>
              </w:rPr>
              <w:t>Dissolved organic carbon</w:t>
            </w:r>
          </w:p>
        </w:tc>
        <w:tc>
          <w:tcPr>
            <w:tcW w:w="1276" w:type="dxa"/>
            <w:noWrap/>
            <w:tcMar>
              <w:top w:w="57" w:type="dxa"/>
              <w:left w:w="57" w:type="dxa"/>
              <w:bottom w:w="85" w:type="dxa"/>
              <w:right w:w="57" w:type="dxa"/>
            </w:tcMar>
            <w:hideMark/>
          </w:tcPr>
          <w:p w14:paraId="48BE726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0.032</w:t>
            </w:r>
          </w:p>
        </w:tc>
        <w:tc>
          <w:tcPr>
            <w:tcW w:w="1134" w:type="dxa"/>
            <w:noWrap/>
            <w:tcMar>
              <w:top w:w="57" w:type="dxa"/>
              <w:left w:w="57" w:type="dxa"/>
              <w:bottom w:w="85" w:type="dxa"/>
              <w:right w:w="57" w:type="dxa"/>
            </w:tcMar>
            <w:hideMark/>
          </w:tcPr>
          <w:p w14:paraId="4D37E5E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0.458</w:t>
            </w:r>
          </w:p>
        </w:tc>
        <w:tc>
          <w:tcPr>
            <w:tcW w:w="1276" w:type="dxa"/>
            <w:noWrap/>
            <w:tcMar>
              <w:top w:w="57" w:type="dxa"/>
              <w:left w:w="57" w:type="dxa"/>
              <w:bottom w:w="85" w:type="dxa"/>
              <w:right w:w="57" w:type="dxa"/>
            </w:tcMar>
            <w:hideMark/>
          </w:tcPr>
          <w:p w14:paraId="747BE539" w14:textId="2E6B6978"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7" w:type="dxa"/>
            <w:noWrap/>
            <w:tcMar>
              <w:top w:w="57" w:type="dxa"/>
              <w:left w:w="57" w:type="dxa"/>
              <w:bottom w:w="85" w:type="dxa"/>
              <w:right w:w="57" w:type="dxa"/>
            </w:tcMar>
            <w:hideMark/>
          </w:tcPr>
          <w:p w14:paraId="5015A3C8" w14:textId="72F2C69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c>
          <w:tcPr>
            <w:tcW w:w="1418" w:type="dxa"/>
            <w:noWrap/>
            <w:tcMar>
              <w:top w:w="57" w:type="dxa"/>
              <w:left w:w="57" w:type="dxa"/>
              <w:bottom w:w="85" w:type="dxa"/>
              <w:right w:w="57" w:type="dxa"/>
            </w:tcMar>
            <w:hideMark/>
          </w:tcPr>
          <w:p w14:paraId="69391508" w14:textId="5D8AF803"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6E6F4B">
              <w:rPr>
                <w:color w:val="EBEEF5"/>
              </w:rPr>
              <w:t>-</w:t>
            </w:r>
          </w:p>
        </w:tc>
      </w:tr>
    </w:tbl>
    <w:p w14:paraId="366E8F5F" w14:textId="77777777" w:rsidR="00DC1FA0" w:rsidRDefault="00DC1FA0" w:rsidP="00251782">
      <w:pPr>
        <w:pStyle w:val="TableSourceNotes"/>
      </w:pPr>
      <w:r>
        <w:t>Values in bold were significant (p&lt;0.05).</w:t>
      </w:r>
    </w:p>
    <w:p w14:paraId="0745EB7B" w14:textId="77777777" w:rsidR="00DC1FA0" w:rsidRDefault="00DC1FA0" w:rsidP="00251782">
      <w:pPr>
        <w:pStyle w:val="Heading3Numbered"/>
        <w:numPr>
          <w:ilvl w:val="0"/>
          <w:numId w:val="0"/>
        </w:numPr>
        <w:ind w:left="1276" w:hanging="851"/>
      </w:pPr>
      <w:bookmarkStart w:id="43" w:name="_Toc164960615"/>
      <w:r>
        <w:t>3.2.2</w:t>
      </w:r>
      <w:r>
        <w:tab/>
        <w:t>Genes identified in the COG database</w:t>
      </w:r>
      <w:bookmarkEnd w:id="43"/>
    </w:p>
    <w:p w14:paraId="206791DF" w14:textId="7232173F" w:rsidR="00DC1FA0" w:rsidRDefault="00DC1FA0" w:rsidP="00DC1FA0">
      <w:pPr>
        <w:pStyle w:val="BodyText"/>
      </w:pPr>
      <w:r>
        <w:t>In total, 2,748 genes were identified from the COG database. More than 70% (1,980) of these genes were present in all samples. There was a significant difference in the metagenomes by aquifer type (p=0.041) and between pre- and post-purge samples (p=0.013) (</w:t>
      </w:r>
      <w:r w:rsidR="00E202FA">
        <w:fldChar w:fldCharType="begin"/>
      </w:r>
      <w:r w:rsidR="00E202FA">
        <w:instrText xml:space="preserve"> REF _Ref164638272 \h </w:instrText>
      </w:r>
      <w:r w:rsidR="00E202FA">
        <w:fldChar w:fldCharType="separate"/>
      </w:r>
      <w:r w:rsidR="00E202FA">
        <w:t xml:space="preserve">Figure </w:t>
      </w:r>
      <w:r w:rsidR="00E202FA">
        <w:rPr>
          <w:noProof/>
        </w:rPr>
        <w:t>11</w:t>
      </w:r>
      <w:r w:rsidR="00E202FA">
        <w:fldChar w:fldCharType="end"/>
      </w:r>
      <w:r>
        <w:t>). There was no significant difference between bores (p=0.321), and the catchment x pre-/post-purge interaction was not significant (p=0.324).</w:t>
      </w:r>
    </w:p>
    <w:p w14:paraId="4053D6BA" w14:textId="7990C1C4" w:rsidR="00DC1FA0" w:rsidRDefault="005A6F45" w:rsidP="00DC1FA0">
      <w:pPr>
        <w:pStyle w:val="BodyText"/>
      </w:pPr>
      <w:r>
        <w:rPr>
          <w:noProof/>
        </w:rPr>
        <w:drawing>
          <wp:inline distT="0" distB="0" distL="0" distR="0" wp14:anchorId="4166700B" wp14:editId="1E0AB866">
            <wp:extent cx="4648200" cy="3136900"/>
            <wp:effectExtent l="0" t="0" r="0" b="0"/>
            <wp:docPr id="1184592053" name="Picture 9"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92053" name="Picture 9" descr="nMDS ordination as described in the previous paragraph"/>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48200" cy="3136900"/>
                    </a:xfrm>
                    <a:prstGeom prst="rect">
                      <a:avLst/>
                    </a:prstGeom>
                  </pic:spPr>
                </pic:pic>
              </a:graphicData>
            </a:graphic>
          </wp:inline>
        </w:drawing>
      </w:r>
    </w:p>
    <w:p w14:paraId="5643F9CE" w14:textId="2535A29A" w:rsidR="00EE5F48" w:rsidRPr="00EE5F48" w:rsidRDefault="00EE5F48" w:rsidP="00EE5F48">
      <w:pPr>
        <w:pStyle w:val="Figureheading"/>
      </w:pPr>
      <w:bookmarkStart w:id="44" w:name="_Ref164638272"/>
      <w:r>
        <w:t xml:space="preserve">Figure </w:t>
      </w:r>
      <w:r>
        <w:fldChar w:fldCharType="begin"/>
      </w:r>
      <w:r>
        <w:instrText xml:space="preserve"> SEQ Figure \* ARABIC </w:instrText>
      </w:r>
      <w:r>
        <w:fldChar w:fldCharType="separate"/>
      </w:r>
      <w:r>
        <w:rPr>
          <w:noProof/>
        </w:rPr>
        <w:t>11</w:t>
      </w:r>
      <w:r>
        <w:fldChar w:fldCharType="end"/>
      </w:r>
      <w:bookmarkEnd w:id="44"/>
      <w:r w:rsidRPr="00FA20DD">
        <w:t>. nMDS ordination of 34 metagenomes based on functional genes compiled from the Cluster of Orthologous Genes database</w:t>
      </w:r>
    </w:p>
    <w:p w14:paraId="155FA69F" w14:textId="77777777" w:rsidR="00DC1FA0" w:rsidRDefault="00DC1FA0" w:rsidP="00251782">
      <w:pPr>
        <w:pStyle w:val="TableSourceNotes"/>
      </w:pPr>
      <w:r>
        <w:t>Samples collected from pre- and post-purge groundwater samples in sandstone and alluvial aquifers.</w:t>
      </w:r>
    </w:p>
    <w:p w14:paraId="1187DB89" w14:textId="3CE162B8" w:rsidR="00DC1FA0" w:rsidRDefault="00DC1FA0" w:rsidP="00251782">
      <w:pPr>
        <w:pStyle w:val="BodyText"/>
        <w:spacing w:before="240"/>
      </w:pPr>
      <w:r>
        <w:t>Samples with genomes annotated using the COG database were significantly correlated with sulfate, DOC, TN and DO concentrations, as well as pH and temperature when tested individually (</w:t>
      </w:r>
      <w:r w:rsidR="00E202FA">
        <w:fldChar w:fldCharType="begin"/>
      </w:r>
      <w:r w:rsidR="00E202FA">
        <w:instrText xml:space="preserve"> REF _Ref164638425 \h </w:instrText>
      </w:r>
      <w:r w:rsidR="00E202FA">
        <w:fldChar w:fldCharType="separate"/>
      </w:r>
      <w:r w:rsidR="00E202FA">
        <w:t xml:space="preserve">Table </w:t>
      </w:r>
      <w:r w:rsidR="00E202FA">
        <w:rPr>
          <w:noProof/>
        </w:rPr>
        <w:t>2</w:t>
      </w:r>
      <w:r w:rsidR="00E202FA">
        <w:fldChar w:fldCharType="end"/>
      </w:r>
      <w:r>
        <w:t>). Stepwise DistLM analysis included sulfate concentration, pH, DOC concentration and temperature as the variables that accounted for a unique and significant portion of the variation in metagenomes between samples. Together these variables explained 37.3% of the variation in the metagenomes between samples (</w:t>
      </w:r>
      <w:r w:rsidR="00E202FA">
        <w:fldChar w:fldCharType="begin"/>
      </w:r>
      <w:r w:rsidR="00E202FA">
        <w:instrText xml:space="preserve"> REF _Ref164638425 \h </w:instrText>
      </w:r>
      <w:r w:rsidR="00E202FA">
        <w:fldChar w:fldCharType="separate"/>
      </w:r>
      <w:r w:rsidR="00E202FA">
        <w:t xml:space="preserve">Table </w:t>
      </w:r>
      <w:r w:rsidR="00E202FA">
        <w:rPr>
          <w:noProof/>
        </w:rPr>
        <w:t>2</w:t>
      </w:r>
      <w:r w:rsidR="00E202FA">
        <w:fldChar w:fldCharType="end"/>
      </w:r>
      <w:r>
        <w:t>).</w:t>
      </w:r>
    </w:p>
    <w:p w14:paraId="5A2734B7" w14:textId="0C366F39" w:rsidR="00E915A8" w:rsidRDefault="00036CF4" w:rsidP="00EE2F70">
      <w:pPr>
        <w:pStyle w:val="TABLEHEADING"/>
        <w:keepNext/>
      </w:pPr>
      <w:bookmarkStart w:id="45" w:name="_Ref164638425"/>
      <w:r>
        <w:t xml:space="preserve">Table </w:t>
      </w:r>
      <w:r>
        <w:fldChar w:fldCharType="begin"/>
      </w:r>
      <w:r>
        <w:instrText xml:space="preserve"> SEQ Table \* ARABIC </w:instrText>
      </w:r>
      <w:r>
        <w:fldChar w:fldCharType="separate"/>
      </w:r>
      <w:r w:rsidR="00307B2F">
        <w:rPr>
          <w:noProof/>
        </w:rPr>
        <w:t>2</w:t>
      </w:r>
      <w:r>
        <w:fldChar w:fldCharType="end"/>
      </w:r>
      <w:bookmarkEnd w:id="45"/>
      <w:r w:rsidRPr="00BB3948">
        <w:t>. Proportion of variation (r</w:t>
      </w:r>
      <w:r w:rsidRPr="00036CF4">
        <w:rPr>
          <w:vertAlign w:val="superscript"/>
        </w:rPr>
        <w:t>2</w:t>
      </w:r>
      <w:r w:rsidRPr="00BB3948">
        <w:t>) in functional gene assemblages based on metagenome data using functions identified in the Cluster of Orthologous Genes database explained by environmental variables individually and in stepwise selection</w:t>
      </w:r>
    </w:p>
    <w:tbl>
      <w:tblPr>
        <w:tblStyle w:val="IESCTABLE1"/>
        <w:tblW w:w="9060" w:type="dxa"/>
        <w:tblLook w:val="04A0" w:firstRow="1" w:lastRow="0" w:firstColumn="1" w:lastColumn="0" w:noHBand="0" w:noVBand="1"/>
      </w:tblPr>
      <w:tblGrid>
        <w:gridCol w:w="2782"/>
        <w:gridCol w:w="1168"/>
        <w:gridCol w:w="1146"/>
        <w:gridCol w:w="1278"/>
        <w:gridCol w:w="1418"/>
        <w:gridCol w:w="1268"/>
      </w:tblGrid>
      <w:tr w:rsidR="00251782" w:rsidRPr="00DC1FA0" w14:paraId="47D93BDC" w14:textId="77777777" w:rsidTr="003C516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32A4BF39" w14:textId="77777777" w:rsidR="00251782" w:rsidRPr="00251782" w:rsidRDefault="00251782" w:rsidP="00251782">
            <w:pPr>
              <w:pStyle w:val="TableHeaderRow"/>
              <w:rPr>
                <w:b/>
              </w:rPr>
            </w:pPr>
            <w:r w:rsidRPr="00251782">
              <w:rPr>
                <w:b/>
              </w:rPr>
              <w:t>Variable</w:t>
            </w:r>
          </w:p>
        </w:tc>
        <w:tc>
          <w:tcPr>
            <w:tcW w:w="1168" w:type="dxa"/>
            <w:noWrap/>
            <w:tcMar>
              <w:top w:w="57" w:type="dxa"/>
              <w:left w:w="57" w:type="dxa"/>
              <w:bottom w:w="85" w:type="dxa"/>
              <w:right w:w="57" w:type="dxa"/>
            </w:tcMar>
            <w:hideMark/>
          </w:tcPr>
          <w:p w14:paraId="044822E4"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Individual</w:t>
            </w:r>
          </w:p>
          <w:p w14:paraId="7548C5BF" w14:textId="5E6F3767" w:rsidR="00251782"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r</w:t>
            </w:r>
            <w:r w:rsidRPr="00251782">
              <w:rPr>
                <w:b/>
                <w:vertAlign w:val="superscript"/>
              </w:rPr>
              <w:t>2</w:t>
            </w:r>
          </w:p>
        </w:tc>
        <w:tc>
          <w:tcPr>
            <w:tcW w:w="1146" w:type="dxa"/>
            <w:noWrap/>
            <w:tcMar>
              <w:top w:w="57" w:type="dxa"/>
              <w:left w:w="57" w:type="dxa"/>
              <w:bottom w:w="85" w:type="dxa"/>
              <w:right w:w="57" w:type="dxa"/>
            </w:tcMar>
            <w:hideMark/>
          </w:tcPr>
          <w:p w14:paraId="726D1686" w14:textId="77777777" w:rsidR="00016E1B"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Individual</w:t>
            </w:r>
          </w:p>
          <w:p w14:paraId="03D71AA4" w14:textId="18EA5FE2" w:rsidR="00251782"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p</w:t>
            </w:r>
          </w:p>
        </w:tc>
        <w:tc>
          <w:tcPr>
            <w:tcW w:w="1278" w:type="dxa"/>
            <w:noWrap/>
            <w:tcMar>
              <w:top w:w="57" w:type="dxa"/>
              <w:left w:w="57" w:type="dxa"/>
              <w:bottom w:w="85" w:type="dxa"/>
              <w:right w:w="57" w:type="dxa"/>
            </w:tcMar>
            <w:hideMark/>
          </w:tcPr>
          <w:p w14:paraId="142E842D"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6E25A86B" w14:textId="57917FF9" w:rsidR="00251782"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r</w:t>
            </w:r>
            <w:r w:rsidRPr="00251782">
              <w:rPr>
                <w:b/>
                <w:vertAlign w:val="superscript"/>
              </w:rPr>
              <w:t>2</w:t>
            </w:r>
          </w:p>
        </w:tc>
        <w:tc>
          <w:tcPr>
            <w:tcW w:w="1418" w:type="dxa"/>
            <w:noWrap/>
            <w:tcMar>
              <w:top w:w="57" w:type="dxa"/>
              <w:left w:w="57" w:type="dxa"/>
              <w:bottom w:w="85" w:type="dxa"/>
              <w:right w:w="57" w:type="dxa"/>
            </w:tcMar>
            <w:hideMark/>
          </w:tcPr>
          <w:p w14:paraId="273DBA3C" w14:textId="77777777" w:rsidR="00016E1B"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35BAFC78" w14:textId="5E060013" w:rsidR="00251782"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Cumulative r</w:t>
            </w:r>
            <w:r w:rsidRPr="00251782">
              <w:rPr>
                <w:b/>
                <w:vertAlign w:val="superscript"/>
              </w:rPr>
              <w:t>2</w:t>
            </w:r>
          </w:p>
        </w:tc>
        <w:tc>
          <w:tcPr>
            <w:tcW w:w="1268" w:type="dxa"/>
            <w:noWrap/>
            <w:tcMar>
              <w:top w:w="57" w:type="dxa"/>
              <w:left w:w="57" w:type="dxa"/>
              <w:bottom w:w="85" w:type="dxa"/>
              <w:right w:w="57" w:type="dxa"/>
            </w:tcMar>
            <w:hideMark/>
          </w:tcPr>
          <w:p w14:paraId="319163B2" w14:textId="77777777" w:rsidR="00251782" w:rsidRPr="00251782" w:rsidRDefault="00251782" w:rsidP="00251782">
            <w:pPr>
              <w:pStyle w:val="TableHeaderRow"/>
              <w:cnfStyle w:val="100000000000" w:firstRow="1" w:lastRow="0" w:firstColumn="0" w:lastColumn="0" w:oddVBand="0" w:evenVBand="0" w:oddHBand="0" w:evenHBand="0" w:firstRowFirstColumn="0" w:firstRowLastColumn="0" w:lastRowFirstColumn="0" w:lastRowLastColumn="0"/>
              <w:rPr>
                <w:b/>
              </w:rPr>
            </w:pPr>
            <w:r w:rsidRPr="00251782">
              <w:rPr>
                <w:b/>
              </w:rPr>
              <w:t>Cumulative</w:t>
            </w:r>
          </w:p>
          <w:p w14:paraId="61745B23" w14:textId="31AA5FC2" w:rsidR="00251782" w:rsidRPr="00251782" w:rsidRDefault="00251782" w:rsidP="00251782">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51782">
              <w:rPr>
                <w:b/>
              </w:rPr>
              <w:t>p</w:t>
            </w:r>
          </w:p>
        </w:tc>
      </w:tr>
      <w:tr w:rsidR="00251782" w:rsidRPr="00DC1FA0" w14:paraId="3C8D4C37"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73DA4135" w14:textId="77777777" w:rsidR="00DC1FA0" w:rsidRPr="00251782" w:rsidRDefault="00DC1FA0" w:rsidP="00251782">
            <w:pPr>
              <w:pStyle w:val="TableText"/>
              <w:rPr>
                <w:b w:val="0"/>
              </w:rPr>
            </w:pPr>
            <w:r w:rsidRPr="00251782">
              <w:rPr>
                <w:b w:val="0"/>
              </w:rPr>
              <w:t>Sulfate</w:t>
            </w:r>
          </w:p>
        </w:tc>
        <w:tc>
          <w:tcPr>
            <w:tcW w:w="1168" w:type="dxa"/>
            <w:noWrap/>
            <w:tcMar>
              <w:top w:w="57" w:type="dxa"/>
              <w:left w:w="57" w:type="dxa"/>
              <w:bottom w:w="85" w:type="dxa"/>
              <w:right w:w="57" w:type="dxa"/>
            </w:tcMar>
            <w:hideMark/>
          </w:tcPr>
          <w:p w14:paraId="170489BD"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0.103</w:t>
            </w:r>
          </w:p>
        </w:tc>
        <w:tc>
          <w:tcPr>
            <w:tcW w:w="1146" w:type="dxa"/>
            <w:noWrap/>
            <w:tcMar>
              <w:top w:w="57" w:type="dxa"/>
              <w:left w:w="57" w:type="dxa"/>
              <w:bottom w:w="85" w:type="dxa"/>
              <w:right w:w="57" w:type="dxa"/>
            </w:tcMar>
            <w:hideMark/>
          </w:tcPr>
          <w:p w14:paraId="2424D853"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0.001</w:t>
            </w:r>
          </w:p>
        </w:tc>
        <w:tc>
          <w:tcPr>
            <w:tcW w:w="1278" w:type="dxa"/>
            <w:noWrap/>
            <w:tcMar>
              <w:top w:w="57" w:type="dxa"/>
              <w:left w:w="57" w:type="dxa"/>
              <w:bottom w:w="85" w:type="dxa"/>
              <w:right w:w="57" w:type="dxa"/>
            </w:tcMar>
            <w:hideMark/>
          </w:tcPr>
          <w:p w14:paraId="348BB8A0"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0.103</w:t>
            </w:r>
          </w:p>
        </w:tc>
        <w:tc>
          <w:tcPr>
            <w:tcW w:w="1418" w:type="dxa"/>
            <w:noWrap/>
            <w:tcMar>
              <w:top w:w="57" w:type="dxa"/>
              <w:left w:w="57" w:type="dxa"/>
              <w:bottom w:w="85" w:type="dxa"/>
              <w:right w:w="57" w:type="dxa"/>
            </w:tcMar>
            <w:hideMark/>
          </w:tcPr>
          <w:p w14:paraId="6F36AF1C"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0.103</w:t>
            </w:r>
          </w:p>
        </w:tc>
        <w:tc>
          <w:tcPr>
            <w:tcW w:w="1268" w:type="dxa"/>
            <w:noWrap/>
            <w:tcMar>
              <w:top w:w="57" w:type="dxa"/>
              <w:left w:w="57" w:type="dxa"/>
              <w:bottom w:w="85" w:type="dxa"/>
              <w:right w:w="57" w:type="dxa"/>
            </w:tcMar>
            <w:hideMark/>
          </w:tcPr>
          <w:p w14:paraId="1FE8AEF9"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0.002</w:t>
            </w:r>
          </w:p>
        </w:tc>
      </w:tr>
      <w:tr w:rsidR="00251782" w:rsidRPr="00DC1FA0" w14:paraId="1E1DEA24"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13B1B7F2" w14:textId="77777777" w:rsidR="00DC1FA0" w:rsidRPr="00251782" w:rsidRDefault="00DC1FA0" w:rsidP="00251782">
            <w:pPr>
              <w:pStyle w:val="TableText"/>
              <w:rPr>
                <w:b w:val="0"/>
              </w:rPr>
            </w:pPr>
            <w:r w:rsidRPr="00251782">
              <w:rPr>
                <w:b w:val="0"/>
              </w:rPr>
              <w:t>pH</w:t>
            </w:r>
          </w:p>
        </w:tc>
        <w:tc>
          <w:tcPr>
            <w:tcW w:w="1168" w:type="dxa"/>
            <w:noWrap/>
            <w:tcMar>
              <w:top w:w="57" w:type="dxa"/>
              <w:left w:w="57" w:type="dxa"/>
              <w:bottom w:w="85" w:type="dxa"/>
              <w:right w:w="57" w:type="dxa"/>
            </w:tcMar>
            <w:hideMark/>
          </w:tcPr>
          <w:p w14:paraId="23EA69DA"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0.082</w:t>
            </w:r>
          </w:p>
        </w:tc>
        <w:tc>
          <w:tcPr>
            <w:tcW w:w="1146" w:type="dxa"/>
            <w:noWrap/>
            <w:tcMar>
              <w:top w:w="57" w:type="dxa"/>
              <w:left w:w="57" w:type="dxa"/>
              <w:bottom w:w="85" w:type="dxa"/>
              <w:right w:w="57" w:type="dxa"/>
            </w:tcMar>
            <w:hideMark/>
          </w:tcPr>
          <w:p w14:paraId="72EB86BE"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0.013</w:t>
            </w:r>
          </w:p>
        </w:tc>
        <w:tc>
          <w:tcPr>
            <w:tcW w:w="1278" w:type="dxa"/>
            <w:noWrap/>
            <w:tcMar>
              <w:top w:w="57" w:type="dxa"/>
              <w:left w:w="57" w:type="dxa"/>
              <w:bottom w:w="85" w:type="dxa"/>
              <w:right w:w="57" w:type="dxa"/>
            </w:tcMar>
            <w:hideMark/>
          </w:tcPr>
          <w:p w14:paraId="509D09DA"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0.096</w:t>
            </w:r>
          </w:p>
        </w:tc>
        <w:tc>
          <w:tcPr>
            <w:tcW w:w="1418" w:type="dxa"/>
            <w:noWrap/>
            <w:tcMar>
              <w:top w:w="57" w:type="dxa"/>
              <w:left w:w="57" w:type="dxa"/>
              <w:bottom w:w="85" w:type="dxa"/>
              <w:right w:w="57" w:type="dxa"/>
            </w:tcMar>
            <w:hideMark/>
          </w:tcPr>
          <w:p w14:paraId="338FE084"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0.199</w:t>
            </w:r>
          </w:p>
        </w:tc>
        <w:tc>
          <w:tcPr>
            <w:tcW w:w="1268" w:type="dxa"/>
            <w:noWrap/>
            <w:tcMar>
              <w:top w:w="57" w:type="dxa"/>
              <w:left w:w="57" w:type="dxa"/>
              <w:bottom w:w="85" w:type="dxa"/>
              <w:right w:w="57" w:type="dxa"/>
            </w:tcMar>
            <w:hideMark/>
          </w:tcPr>
          <w:p w14:paraId="31A4E625"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0.002</w:t>
            </w:r>
          </w:p>
        </w:tc>
      </w:tr>
      <w:tr w:rsidR="00251782" w:rsidRPr="00DC1FA0" w14:paraId="00ED1945"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7CAC329A" w14:textId="77777777" w:rsidR="00DC1FA0" w:rsidRPr="00251782" w:rsidRDefault="00DC1FA0" w:rsidP="00251782">
            <w:pPr>
              <w:pStyle w:val="TableText"/>
              <w:rPr>
                <w:b w:val="0"/>
              </w:rPr>
            </w:pPr>
            <w:r w:rsidRPr="00251782">
              <w:rPr>
                <w:b w:val="0"/>
              </w:rPr>
              <w:t>Dissolved organic carbon</w:t>
            </w:r>
          </w:p>
        </w:tc>
        <w:tc>
          <w:tcPr>
            <w:tcW w:w="1168" w:type="dxa"/>
            <w:noWrap/>
            <w:tcMar>
              <w:top w:w="57" w:type="dxa"/>
              <w:left w:w="57" w:type="dxa"/>
              <w:bottom w:w="85" w:type="dxa"/>
              <w:right w:w="57" w:type="dxa"/>
            </w:tcMar>
            <w:hideMark/>
          </w:tcPr>
          <w:p w14:paraId="751E41BE"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0.098</w:t>
            </w:r>
          </w:p>
        </w:tc>
        <w:tc>
          <w:tcPr>
            <w:tcW w:w="1146" w:type="dxa"/>
            <w:noWrap/>
            <w:tcMar>
              <w:top w:w="57" w:type="dxa"/>
              <w:left w:w="57" w:type="dxa"/>
              <w:bottom w:w="85" w:type="dxa"/>
              <w:right w:w="57" w:type="dxa"/>
            </w:tcMar>
            <w:hideMark/>
          </w:tcPr>
          <w:p w14:paraId="24CD0359"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0.003</w:t>
            </w:r>
          </w:p>
        </w:tc>
        <w:tc>
          <w:tcPr>
            <w:tcW w:w="1278" w:type="dxa"/>
            <w:noWrap/>
            <w:tcMar>
              <w:top w:w="57" w:type="dxa"/>
              <w:left w:w="57" w:type="dxa"/>
              <w:bottom w:w="85" w:type="dxa"/>
              <w:right w:w="57" w:type="dxa"/>
            </w:tcMar>
            <w:hideMark/>
          </w:tcPr>
          <w:p w14:paraId="68062168"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0.096</w:t>
            </w:r>
          </w:p>
        </w:tc>
        <w:tc>
          <w:tcPr>
            <w:tcW w:w="1418" w:type="dxa"/>
            <w:noWrap/>
            <w:tcMar>
              <w:top w:w="57" w:type="dxa"/>
              <w:left w:w="57" w:type="dxa"/>
              <w:bottom w:w="85" w:type="dxa"/>
              <w:right w:w="57" w:type="dxa"/>
            </w:tcMar>
            <w:hideMark/>
          </w:tcPr>
          <w:p w14:paraId="4E3C75D6"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pPr>
            <w:r w:rsidRPr="00DC1FA0">
              <w:t>0.295</w:t>
            </w:r>
          </w:p>
        </w:tc>
        <w:tc>
          <w:tcPr>
            <w:tcW w:w="1268" w:type="dxa"/>
            <w:noWrap/>
            <w:tcMar>
              <w:top w:w="57" w:type="dxa"/>
              <w:left w:w="57" w:type="dxa"/>
              <w:bottom w:w="85" w:type="dxa"/>
              <w:right w:w="57" w:type="dxa"/>
            </w:tcMar>
            <w:hideMark/>
          </w:tcPr>
          <w:p w14:paraId="00817188" w14:textId="77777777" w:rsidR="00DC1FA0" w:rsidRPr="00DC1FA0" w:rsidRDefault="00DC1FA0" w:rsidP="00251782">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0.001</w:t>
            </w:r>
          </w:p>
        </w:tc>
      </w:tr>
      <w:tr w:rsidR="00251782" w:rsidRPr="00DC1FA0" w14:paraId="3DE304BF"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22EF1BA6" w14:textId="77777777" w:rsidR="00DC1FA0" w:rsidRPr="00251782" w:rsidRDefault="00DC1FA0" w:rsidP="00251782">
            <w:pPr>
              <w:pStyle w:val="TableText"/>
              <w:rPr>
                <w:b w:val="0"/>
              </w:rPr>
            </w:pPr>
            <w:r w:rsidRPr="00251782">
              <w:rPr>
                <w:b w:val="0"/>
              </w:rPr>
              <w:t>Temperature</w:t>
            </w:r>
          </w:p>
        </w:tc>
        <w:tc>
          <w:tcPr>
            <w:tcW w:w="1168" w:type="dxa"/>
            <w:noWrap/>
            <w:tcMar>
              <w:top w:w="57" w:type="dxa"/>
              <w:left w:w="57" w:type="dxa"/>
              <w:bottom w:w="85" w:type="dxa"/>
              <w:right w:w="57" w:type="dxa"/>
            </w:tcMar>
            <w:hideMark/>
          </w:tcPr>
          <w:p w14:paraId="4A047B64"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0.088</w:t>
            </w:r>
          </w:p>
        </w:tc>
        <w:tc>
          <w:tcPr>
            <w:tcW w:w="1146" w:type="dxa"/>
            <w:noWrap/>
            <w:tcMar>
              <w:top w:w="57" w:type="dxa"/>
              <w:left w:w="57" w:type="dxa"/>
              <w:bottom w:w="85" w:type="dxa"/>
              <w:right w:w="57" w:type="dxa"/>
            </w:tcMar>
            <w:hideMark/>
          </w:tcPr>
          <w:p w14:paraId="28FE92D8"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0.007</w:t>
            </w:r>
          </w:p>
        </w:tc>
        <w:tc>
          <w:tcPr>
            <w:tcW w:w="1278" w:type="dxa"/>
            <w:noWrap/>
            <w:tcMar>
              <w:top w:w="57" w:type="dxa"/>
              <w:left w:w="57" w:type="dxa"/>
              <w:bottom w:w="85" w:type="dxa"/>
              <w:right w:w="57" w:type="dxa"/>
            </w:tcMar>
            <w:hideMark/>
          </w:tcPr>
          <w:p w14:paraId="49542CBA"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0.077</w:t>
            </w:r>
          </w:p>
        </w:tc>
        <w:tc>
          <w:tcPr>
            <w:tcW w:w="1418" w:type="dxa"/>
            <w:noWrap/>
            <w:tcMar>
              <w:top w:w="57" w:type="dxa"/>
              <w:left w:w="57" w:type="dxa"/>
              <w:bottom w:w="85" w:type="dxa"/>
              <w:right w:w="57" w:type="dxa"/>
            </w:tcMar>
            <w:hideMark/>
          </w:tcPr>
          <w:p w14:paraId="3D44C79E"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pPr>
            <w:r w:rsidRPr="00DC1FA0">
              <w:t>0.373</w:t>
            </w:r>
          </w:p>
        </w:tc>
        <w:tc>
          <w:tcPr>
            <w:tcW w:w="1268" w:type="dxa"/>
            <w:noWrap/>
            <w:tcMar>
              <w:top w:w="57" w:type="dxa"/>
              <w:left w:w="57" w:type="dxa"/>
              <w:bottom w:w="85" w:type="dxa"/>
              <w:right w:w="57" w:type="dxa"/>
            </w:tcMar>
            <w:hideMark/>
          </w:tcPr>
          <w:p w14:paraId="12AACF65" w14:textId="77777777" w:rsidR="00DC1FA0" w:rsidRPr="00DC1FA0" w:rsidRDefault="00DC1FA0" w:rsidP="00251782">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0.002</w:t>
            </w:r>
          </w:p>
        </w:tc>
      </w:tr>
      <w:tr w:rsidR="00B56DDE" w:rsidRPr="00DC1FA0" w14:paraId="29475879"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4939EFEC" w14:textId="77777777" w:rsidR="00B56DDE" w:rsidRPr="00251782" w:rsidRDefault="00B56DDE" w:rsidP="00B56DDE">
            <w:pPr>
              <w:pStyle w:val="TableText"/>
              <w:rPr>
                <w:b w:val="0"/>
              </w:rPr>
            </w:pPr>
            <w:r w:rsidRPr="00251782">
              <w:rPr>
                <w:b w:val="0"/>
              </w:rPr>
              <w:t>Total nitrogen</w:t>
            </w:r>
          </w:p>
        </w:tc>
        <w:tc>
          <w:tcPr>
            <w:tcW w:w="1168" w:type="dxa"/>
            <w:noWrap/>
            <w:tcMar>
              <w:top w:w="57" w:type="dxa"/>
              <w:left w:w="57" w:type="dxa"/>
              <w:bottom w:w="85" w:type="dxa"/>
              <w:right w:w="57" w:type="dxa"/>
            </w:tcMar>
            <w:hideMark/>
          </w:tcPr>
          <w:p w14:paraId="4EB61716"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0.085</w:t>
            </w:r>
          </w:p>
        </w:tc>
        <w:tc>
          <w:tcPr>
            <w:tcW w:w="1146" w:type="dxa"/>
            <w:noWrap/>
            <w:tcMar>
              <w:top w:w="57" w:type="dxa"/>
              <w:left w:w="57" w:type="dxa"/>
              <w:bottom w:w="85" w:type="dxa"/>
              <w:right w:w="57" w:type="dxa"/>
            </w:tcMar>
            <w:hideMark/>
          </w:tcPr>
          <w:p w14:paraId="3AA0857A"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0.007</w:t>
            </w:r>
          </w:p>
        </w:tc>
        <w:tc>
          <w:tcPr>
            <w:tcW w:w="1278" w:type="dxa"/>
            <w:noWrap/>
            <w:tcMar>
              <w:top w:w="57" w:type="dxa"/>
              <w:left w:w="57" w:type="dxa"/>
              <w:bottom w:w="85" w:type="dxa"/>
              <w:right w:w="57" w:type="dxa"/>
            </w:tcMar>
            <w:hideMark/>
          </w:tcPr>
          <w:p w14:paraId="3B2D7508" w14:textId="5F549D1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59EF9A55" w14:textId="5922285E"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58009455" w14:textId="03CA22F1"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r>
      <w:tr w:rsidR="00B56DDE" w:rsidRPr="00DC1FA0" w14:paraId="49F322CE"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3119DA66" w14:textId="77777777" w:rsidR="00B56DDE" w:rsidRPr="00251782" w:rsidRDefault="00B56DDE" w:rsidP="00B56DDE">
            <w:pPr>
              <w:pStyle w:val="TableText"/>
              <w:rPr>
                <w:b w:val="0"/>
              </w:rPr>
            </w:pPr>
            <w:r w:rsidRPr="00251782">
              <w:rPr>
                <w:b w:val="0"/>
              </w:rPr>
              <w:t>Dissolved oxygen</w:t>
            </w:r>
          </w:p>
        </w:tc>
        <w:tc>
          <w:tcPr>
            <w:tcW w:w="1168" w:type="dxa"/>
            <w:noWrap/>
            <w:tcMar>
              <w:top w:w="57" w:type="dxa"/>
              <w:left w:w="57" w:type="dxa"/>
              <w:bottom w:w="85" w:type="dxa"/>
              <w:right w:w="57" w:type="dxa"/>
            </w:tcMar>
            <w:hideMark/>
          </w:tcPr>
          <w:p w14:paraId="47DC369F"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0.080</w:t>
            </w:r>
          </w:p>
        </w:tc>
        <w:tc>
          <w:tcPr>
            <w:tcW w:w="1146" w:type="dxa"/>
            <w:noWrap/>
            <w:tcMar>
              <w:top w:w="57" w:type="dxa"/>
              <w:left w:w="57" w:type="dxa"/>
              <w:bottom w:w="85" w:type="dxa"/>
              <w:right w:w="57" w:type="dxa"/>
            </w:tcMar>
            <w:hideMark/>
          </w:tcPr>
          <w:p w14:paraId="66285B1C"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0.014</w:t>
            </w:r>
          </w:p>
        </w:tc>
        <w:tc>
          <w:tcPr>
            <w:tcW w:w="1278" w:type="dxa"/>
            <w:noWrap/>
            <w:tcMar>
              <w:top w:w="57" w:type="dxa"/>
              <w:left w:w="57" w:type="dxa"/>
              <w:bottom w:w="85" w:type="dxa"/>
              <w:right w:w="57" w:type="dxa"/>
            </w:tcMar>
            <w:hideMark/>
          </w:tcPr>
          <w:p w14:paraId="353C29D9" w14:textId="4C1CA3D3"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601E3A27" w14:textId="0E73795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02A9DF96" w14:textId="7CAB1824"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r>
      <w:tr w:rsidR="00B56DDE" w:rsidRPr="00DC1FA0" w14:paraId="130F4B90"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0F8B2437" w14:textId="77777777" w:rsidR="00B56DDE" w:rsidRPr="00251782" w:rsidRDefault="00B56DDE" w:rsidP="00B56DDE">
            <w:pPr>
              <w:pStyle w:val="TableText"/>
              <w:rPr>
                <w:b w:val="0"/>
              </w:rPr>
            </w:pPr>
            <w:r w:rsidRPr="00251782">
              <w:rPr>
                <w:b w:val="0"/>
              </w:rPr>
              <w:t xml:space="preserve">Water level </w:t>
            </w:r>
          </w:p>
        </w:tc>
        <w:tc>
          <w:tcPr>
            <w:tcW w:w="1168" w:type="dxa"/>
            <w:noWrap/>
            <w:tcMar>
              <w:top w:w="57" w:type="dxa"/>
              <w:left w:w="57" w:type="dxa"/>
              <w:bottom w:w="85" w:type="dxa"/>
              <w:right w:w="57" w:type="dxa"/>
            </w:tcMar>
            <w:hideMark/>
          </w:tcPr>
          <w:p w14:paraId="67F90142"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0.053</w:t>
            </w:r>
          </w:p>
        </w:tc>
        <w:tc>
          <w:tcPr>
            <w:tcW w:w="1146" w:type="dxa"/>
            <w:noWrap/>
            <w:tcMar>
              <w:top w:w="57" w:type="dxa"/>
              <w:left w:w="57" w:type="dxa"/>
              <w:bottom w:w="85" w:type="dxa"/>
              <w:right w:w="57" w:type="dxa"/>
            </w:tcMar>
            <w:hideMark/>
          </w:tcPr>
          <w:p w14:paraId="56B2326B"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0.129</w:t>
            </w:r>
          </w:p>
        </w:tc>
        <w:tc>
          <w:tcPr>
            <w:tcW w:w="1278" w:type="dxa"/>
            <w:noWrap/>
            <w:tcMar>
              <w:top w:w="57" w:type="dxa"/>
              <w:left w:w="57" w:type="dxa"/>
              <w:bottom w:w="85" w:type="dxa"/>
              <w:right w:w="57" w:type="dxa"/>
            </w:tcMar>
            <w:hideMark/>
          </w:tcPr>
          <w:p w14:paraId="0D450CDD" w14:textId="01C5AF45"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2D0B3388" w14:textId="7F02B440"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21C4B98E" w14:textId="4ACA1DCE"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r>
      <w:tr w:rsidR="00B56DDE" w:rsidRPr="00DC1FA0" w14:paraId="4D7CF57F"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4CD29805" w14:textId="77777777" w:rsidR="00B56DDE" w:rsidRPr="00251782" w:rsidRDefault="00B56DDE" w:rsidP="00B56DDE">
            <w:pPr>
              <w:pStyle w:val="TableText"/>
              <w:rPr>
                <w:b w:val="0"/>
              </w:rPr>
            </w:pPr>
            <w:r w:rsidRPr="00251782">
              <w:rPr>
                <w:b w:val="0"/>
              </w:rPr>
              <w:t>Electrical conductivity</w:t>
            </w:r>
          </w:p>
        </w:tc>
        <w:tc>
          <w:tcPr>
            <w:tcW w:w="1168" w:type="dxa"/>
            <w:noWrap/>
            <w:tcMar>
              <w:top w:w="57" w:type="dxa"/>
              <w:left w:w="57" w:type="dxa"/>
              <w:bottom w:w="85" w:type="dxa"/>
              <w:right w:w="57" w:type="dxa"/>
            </w:tcMar>
            <w:hideMark/>
          </w:tcPr>
          <w:p w14:paraId="461EE74F"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0.052</w:t>
            </w:r>
          </w:p>
        </w:tc>
        <w:tc>
          <w:tcPr>
            <w:tcW w:w="1146" w:type="dxa"/>
            <w:noWrap/>
            <w:tcMar>
              <w:top w:w="57" w:type="dxa"/>
              <w:left w:w="57" w:type="dxa"/>
              <w:bottom w:w="85" w:type="dxa"/>
              <w:right w:w="57" w:type="dxa"/>
            </w:tcMar>
            <w:hideMark/>
          </w:tcPr>
          <w:p w14:paraId="2A9CA654"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0.116</w:t>
            </w:r>
          </w:p>
        </w:tc>
        <w:tc>
          <w:tcPr>
            <w:tcW w:w="1278" w:type="dxa"/>
            <w:noWrap/>
            <w:tcMar>
              <w:top w:w="57" w:type="dxa"/>
              <w:left w:w="57" w:type="dxa"/>
              <w:bottom w:w="85" w:type="dxa"/>
              <w:right w:w="57" w:type="dxa"/>
            </w:tcMar>
            <w:hideMark/>
          </w:tcPr>
          <w:p w14:paraId="56A5BC2E" w14:textId="17E1A6D6"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2F311E7B" w14:textId="25C9FD8D"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0A6B327F" w14:textId="46E643EC"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r>
      <w:tr w:rsidR="00B56DDE" w:rsidRPr="00DC1FA0" w14:paraId="5C85A9FB"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4DE2EE4A" w14:textId="77777777" w:rsidR="00B56DDE" w:rsidRPr="00251782" w:rsidRDefault="00B56DDE" w:rsidP="00B56DDE">
            <w:pPr>
              <w:pStyle w:val="TableText"/>
              <w:rPr>
                <w:b w:val="0"/>
              </w:rPr>
            </w:pPr>
            <w:r w:rsidRPr="00251782">
              <w:rPr>
                <w:b w:val="0"/>
              </w:rPr>
              <w:t>Total phosphorus</w:t>
            </w:r>
          </w:p>
        </w:tc>
        <w:tc>
          <w:tcPr>
            <w:tcW w:w="1168" w:type="dxa"/>
            <w:noWrap/>
            <w:tcMar>
              <w:top w:w="57" w:type="dxa"/>
              <w:left w:w="57" w:type="dxa"/>
              <w:bottom w:w="85" w:type="dxa"/>
              <w:right w:w="57" w:type="dxa"/>
            </w:tcMar>
            <w:hideMark/>
          </w:tcPr>
          <w:p w14:paraId="15DC6EF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0.051</w:t>
            </w:r>
          </w:p>
        </w:tc>
        <w:tc>
          <w:tcPr>
            <w:tcW w:w="1146" w:type="dxa"/>
            <w:noWrap/>
            <w:tcMar>
              <w:top w:w="57" w:type="dxa"/>
              <w:left w:w="57" w:type="dxa"/>
              <w:bottom w:w="85" w:type="dxa"/>
              <w:right w:w="57" w:type="dxa"/>
            </w:tcMar>
            <w:hideMark/>
          </w:tcPr>
          <w:p w14:paraId="4499CAA7"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0.126</w:t>
            </w:r>
          </w:p>
        </w:tc>
        <w:tc>
          <w:tcPr>
            <w:tcW w:w="1278" w:type="dxa"/>
            <w:noWrap/>
            <w:tcMar>
              <w:top w:w="57" w:type="dxa"/>
              <w:left w:w="57" w:type="dxa"/>
              <w:bottom w:w="85" w:type="dxa"/>
              <w:right w:w="57" w:type="dxa"/>
            </w:tcMar>
            <w:hideMark/>
          </w:tcPr>
          <w:p w14:paraId="5B004919" w14:textId="46CA1F22"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35013B85" w14:textId="5110DF44"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0B552553" w14:textId="0AC897A5"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r>
      <w:tr w:rsidR="00B56DDE" w:rsidRPr="00DC1FA0" w14:paraId="53B690B2"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0ED6F14E" w14:textId="77777777" w:rsidR="00B56DDE" w:rsidRPr="00251782" w:rsidRDefault="00B56DDE" w:rsidP="00B56DDE">
            <w:pPr>
              <w:pStyle w:val="TableText"/>
              <w:rPr>
                <w:b w:val="0"/>
              </w:rPr>
            </w:pPr>
            <w:r w:rsidRPr="00251782">
              <w:rPr>
                <w:b w:val="0"/>
              </w:rPr>
              <w:t>Mean slot depth</w:t>
            </w:r>
          </w:p>
        </w:tc>
        <w:tc>
          <w:tcPr>
            <w:tcW w:w="1168" w:type="dxa"/>
            <w:noWrap/>
            <w:tcMar>
              <w:top w:w="57" w:type="dxa"/>
              <w:left w:w="57" w:type="dxa"/>
              <w:bottom w:w="85" w:type="dxa"/>
              <w:right w:w="57" w:type="dxa"/>
            </w:tcMar>
            <w:hideMark/>
          </w:tcPr>
          <w:p w14:paraId="66F3FF1F"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0.049</w:t>
            </w:r>
          </w:p>
        </w:tc>
        <w:tc>
          <w:tcPr>
            <w:tcW w:w="1146" w:type="dxa"/>
            <w:noWrap/>
            <w:tcMar>
              <w:top w:w="57" w:type="dxa"/>
              <w:left w:w="57" w:type="dxa"/>
              <w:bottom w:w="85" w:type="dxa"/>
              <w:right w:w="57" w:type="dxa"/>
            </w:tcMar>
            <w:hideMark/>
          </w:tcPr>
          <w:p w14:paraId="398F3489"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0.158</w:t>
            </w:r>
          </w:p>
        </w:tc>
        <w:tc>
          <w:tcPr>
            <w:tcW w:w="1278" w:type="dxa"/>
            <w:noWrap/>
            <w:tcMar>
              <w:top w:w="57" w:type="dxa"/>
              <w:left w:w="57" w:type="dxa"/>
              <w:bottom w:w="85" w:type="dxa"/>
              <w:right w:w="57" w:type="dxa"/>
            </w:tcMar>
            <w:hideMark/>
          </w:tcPr>
          <w:p w14:paraId="45DF314E" w14:textId="53193F74"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1E734665" w14:textId="0F5213C4"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476047FD" w14:textId="4C6E3F6D"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E85F39">
              <w:rPr>
                <w:color w:val="EBEEF5"/>
              </w:rPr>
              <w:t>-</w:t>
            </w:r>
          </w:p>
        </w:tc>
      </w:tr>
      <w:tr w:rsidR="00B56DDE" w:rsidRPr="00DC1FA0" w14:paraId="4D8EB328"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82" w:type="dxa"/>
            <w:noWrap/>
            <w:tcMar>
              <w:top w:w="57" w:type="dxa"/>
              <w:left w:w="57" w:type="dxa"/>
              <w:bottom w:w="85" w:type="dxa"/>
              <w:right w:w="57" w:type="dxa"/>
            </w:tcMar>
            <w:hideMark/>
          </w:tcPr>
          <w:p w14:paraId="1DD9EA10" w14:textId="77777777" w:rsidR="00B56DDE" w:rsidRPr="00251782" w:rsidRDefault="00B56DDE" w:rsidP="00B56DDE">
            <w:pPr>
              <w:pStyle w:val="TableText"/>
              <w:rPr>
                <w:b w:val="0"/>
              </w:rPr>
            </w:pPr>
            <w:r w:rsidRPr="00251782">
              <w:rPr>
                <w:b w:val="0"/>
              </w:rPr>
              <w:t>Oxidation-reduction potential</w:t>
            </w:r>
          </w:p>
        </w:tc>
        <w:tc>
          <w:tcPr>
            <w:tcW w:w="1168" w:type="dxa"/>
            <w:noWrap/>
            <w:tcMar>
              <w:top w:w="57" w:type="dxa"/>
              <w:left w:w="57" w:type="dxa"/>
              <w:bottom w:w="85" w:type="dxa"/>
              <w:right w:w="57" w:type="dxa"/>
            </w:tcMar>
            <w:hideMark/>
          </w:tcPr>
          <w:p w14:paraId="4BF522C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0.040</w:t>
            </w:r>
          </w:p>
        </w:tc>
        <w:tc>
          <w:tcPr>
            <w:tcW w:w="1146" w:type="dxa"/>
            <w:noWrap/>
            <w:tcMar>
              <w:top w:w="57" w:type="dxa"/>
              <w:left w:w="57" w:type="dxa"/>
              <w:bottom w:w="85" w:type="dxa"/>
              <w:right w:w="57" w:type="dxa"/>
            </w:tcMar>
            <w:hideMark/>
          </w:tcPr>
          <w:p w14:paraId="16442AA0"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0.372</w:t>
            </w:r>
          </w:p>
        </w:tc>
        <w:tc>
          <w:tcPr>
            <w:tcW w:w="1278" w:type="dxa"/>
            <w:noWrap/>
            <w:tcMar>
              <w:top w:w="57" w:type="dxa"/>
              <w:left w:w="57" w:type="dxa"/>
              <w:bottom w:w="85" w:type="dxa"/>
              <w:right w:w="57" w:type="dxa"/>
            </w:tcMar>
            <w:hideMark/>
          </w:tcPr>
          <w:p w14:paraId="5023F90B" w14:textId="0AA438C2"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418" w:type="dxa"/>
            <w:noWrap/>
            <w:tcMar>
              <w:top w:w="57" w:type="dxa"/>
              <w:left w:w="57" w:type="dxa"/>
              <w:bottom w:w="85" w:type="dxa"/>
              <w:right w:w="57" w:type="dxa"/>
            </w:tcMar>
            <w:hideMark/>
          </w:tcPr>
          <w:p w14:paraId="0F15E853" w14:textId="5ACCF46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c>
          <w:tcPr>
            <w:tcW w:w="1268" w:type="dxa"/>
            <w:noWrap/>
            <w:tcMar>
              <w:top w:w="57" w:type="dxa"/>
              <w:left w:w="57" w:type="dxa"/>
              <w:bottom w:w="85" w:type="dxa"/>
              <w:right w:w="57" w:type="dxa"/>
            </w:tcMar>
            <w:hideMark/>
          </w:tcPr>
          <w:p w14:paraId="567E7D03" w14:textId="3C841210"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E85F39">
              <w:rPr>
                <w:color w:val="EBEEF5"/>
              </w:rPr>
              <w:t>-</w:t>
            </w:r>
          </w:p>
        </w:tc>
      </w:tr>
    </w:tbl>
    <w:p w14:paraId="37984195" w14:textId="77777777" w:rsidR="00DC1FA0" w:rsidRDefault="00DC1FA0" w:rsidP="00251782">
      <w:pPr>
        <w:pStyle w:val="TableSourceNotes"/>
      </w:pPr>
      <w:r>
        <w:t>Values in bold were significant (p&lt;0.05).</w:t>
      </w:r>
    </w:p>
    <w:p w14:paraId="3E12738D" w14:textId="77777777" w:rsidR="00DC1FA0" w:rsidRDefault="00DC1FA0" w:rsidP="00251782">
      <w:pPr>
        <w:pStyle w:val="Heading3Numbered"/>
        <w:numPr>
          <w:ilvl w:val="0"/>
          <w:numId w:val="0"/>
        </w:numPr>
        <w:ind w:left="1276" w:hanging="851"/>
      </w:pPr>
      <w:bookmarkStart w:id="46" w:name="_Toc164960616"/>
      <w:r>
        <w:t>3.2.1</w:t>
      </w:r>
      <w:r>
        <w:tab/>
        <w:t>Genes identified in the GO functional database</w:t>
      </w:r>
      <w:bookmarkEnd w:id="46"/>
    </w:p>
    <w:p w14:paraId="64E7AEF4" w14:textId="1A42C03F" w:rsidR="00DC1FA0" w:rsidRDefault="00DC1FA0" w:rsidP="00DC1FA0">
      <w:pPr>
        <w:pStyle w:val="BodyText"/>
      </w:pPr>
      <w:r>
        <w:t>A total of 3,256 genes were identified in the samples that were present in the GO functional database. Over 75% of the genes (2,472) were present in all samples. The number of functional genes identified in samples ranged from 2,858 to 3,109. Samples were separated by aquifer type, but not clearly by pre- and post-purge (</w:t>
      </w:r>
      <w:r w:rsidR="00E202FA">
        <w:fldChar w:fldCharType="begin"/>
      </w:r>
      <w:r w:rsidR="00E202FA">
        <w:instrText xml:space="preserve"> REF _Ref164638284 \h </w:instrText>
      </w:r>
      <w:r w:rsidR="00E202FA">
        <w:fldChar w:fldCharType="separate"/>
      </w:r>
      <w:r w:rsidR="00E202FA">
        <w:t xml:space="preserve">Figure </w:t>
      </w:r>
      <w:r w:rsidR="00E202FA">
        <w:rPr>
          <w:noProof/>
        </w:rPr>
        <w:t>12</w:t>
      </w:r>
      <w:r w:rsidR="00E202FA">
        <w:fldChar w:fldCharType="end"/>
      </w:r>
      <w:r>
        <w:t>). Nevertheless, gene composition of samples differed significantly with catchment type (p=0.031) and sample (p=0.013), but not between bores (p=0.168); the catchment x pre-/post-purge interaction was also not significant (p=0.253). Stepwise DistLM analysis found that four variables (TN, temperature, pH and DO) collectively explained 26.3% of the variation in the GO-derived functional assemblages (</w:t>
      </w:r>
      <w:r w:rsidR="00E202FA">
        <w:fldChar w:fldCharType="begin"/>
      </w:r>
      <w:r w:rsidR="00E202FA">
        <w:instrText xml:space="preserve"> REF _Ref164638441 \h </w:instrText>
      </w:r>
      <w:r w:rsidR="00E202FA">
        <w:fldChar w:fldCharType="separate"/>
      </w:r>
      <w:r w:rsidR="00E202FA">
        <w:t xml:space="preserve">Table </w:t>
      </w:r>
      <w:r w:rsidR="00E202FA">
        <w:rPr>
          <w:noProof/>
        </w:rPr>
        <w:t>3</w:t>
      </w:r>
      <w:r w:rsidR="00E202FA">
        <w:fldChar w:fldCharType="end"/>
      </w:r>
      <w:r>
        <w:t>).</w:t>
      </w:r>
    </w:p>
    <w:p w14:paraId="1790E769" w14:textId="02BBE67F" w:rsidR="005A6F45" w:rsidRDefault="005A6F45" w:rsidP="00EE2F70">
      <w:pPr>
        <w:pStyle w:val="BodyText"/>
        <w:spacing w:after="0"/>
      </w:pPr>
      <w:r>
        <w:rPr>
          <w:noProof/>
        </w:rPr>
        <w:drawing>
          <wp:inline distT="0" distB="0" distL="0" distR="0" wp14:anchorId="7D864663" wp14:editId="685A2482">
            <wp:extent cx="4584700" cy="3111500"/>
            <wp:effectExtent l="0" t="0" r="0" b="0"/>
            <wp:docPr id="509184661" name="Picture 10"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4661" name="Picture 10" descr="nMDS ordination as described in the previous paragraph"/>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4700" cy="3111500"/>
                    </a:xfrm>
                    <a:prstGeom prst="rect">
                      <a:avLst/>
                    </a:prstGeom>
                  </pic:spPr>
                </pic:pic>
              </a:graphicData>
            </a:graphic>
          </wp:inline>
        </w:drawing>
      </w:r>
    </w:p>
    <w:p w14:paraId="4108A6C3" w14:textId="29418D5E" w:rsidR="00EE5F48" w:rsidRPr="00EE5F48" w:rsidRDefault="00EE5F48" w:rsidP="00EE2F70">
      <w:pPr>
        <w:pStyle w:val="Figureheading"/>
        <w:spacing w:before="0"/>
      </w:pPr>
      <w:bookmarkStart w:id="47" w:name="_Ref164638284"/>
      <w:r>
        <w:t xml:space="preserve">Figure </w:t>
      </w:r>
      <w:r>
        <w:fldChar w:fldCharType="begin"/>
      </w:r>
      <w:r>
        <w:instrText xml:space="preserve"> SEQ Figure \* ARABIC </w:instrText>
      </w:r>
      <w:r>
        <w:fldChar w:fldCharType="separate"/>
      </w:r>
      <w:r>
        <w:rPr>
          <w:noProof/>
        </w:rPr>
        <w:t>12</w:t>
      </w:r>
      <w:r>
        <w:fldChar w:fldCharType="end"/>
      </w:r>
      <w:bookmarkEnd w:id="47"/>
      <w:r w:rsidRPr="00D6231A">
        <w:t>. nMDS ordination of 34 metagenomes based on functional genes compiled from the Gene Ontology database</w:t>
      </w:r>
    </w:p>
    <w:p w14:paraId="487CA235" w14:textId="77777777" w:rsidR="00DC1FA0" w:rsidRDefault="00DC1FA0" w:rsidP="00803598">
      <w:pPr>
        <w:pStyle w:val="TableSourceNotes"/>
      </w:pPr>
      <w:r>
        <w:t>Samples collected from pre- and post-purge groundwater samples in sandstone and alluvial aquifers.</w:t>
      </w:r>
    </w:p>
    <w:p w14:paraId="6DF972F5" w14:textId="2EBAC234" w:rsidR="00036CF4" w:rsidRDefault="00036CF4" w:rsidP="00036CF4">
      <w:pPr>
        <w:pStyle w:val="TABLEHEADING"/>
      </w:pPr>
      <w:bookmarkStart w:id="48" w:name="_Ref164638441"/>
      <w:r>
        <w:t xml:space="preserve">Table </w:t>
      </w:r>
      <w:r>
        <w:fldChar w:fldCharType="begin"/>
      </w:r>
      <w:r>
        <w:instrText xml:space="preserve"> SEQ Table \* ARABIC </w:instrText>
      </w:r>
      <w:r>
        <w:fldChar w:fldCharType="separate"/>
      </w:r>
      <w:r w:rsidR="00307B2F">
        <w:rPr>
          <w:noProof/>
        </w:rPr>
        <w:t>3</w:t>
      </w:r>
      <w:r>
        <w:fldChar w:fldCharType="end"/>
      </w:r>
      <w:bookmarkEnd w:id="48"/>
      <w:r w:rsidRPr="00860944">
        <w:t>. Proportion of variation (r</w:t>
      </w:r>
      <w:r w:rsidRPr="00036CF4">
        <w:rPr>
          <w:vertAlign w:val="superscript"/>
        </w:rPr>
        <w:t>2</w:t>
      </w:r>
      <w:r w:rsidRPr="00860944">
        <w:t>) in functional gene assemblages based on metagenome data using functions identified in the Gene Ontology database explained by environmental variables individually and in stepwise selection</w:t>
      </w:r>
    </w:p>
    <w:tbl>
      <w:tblPr>
        <w:tblStyle w:val="IESCTABLE1"/>
        <w:tblW w:w="9351" w:type="dxa"/>
        <w:tblLayout w:type="fixed"/>
        <w:tblCellMar>
          <w:top w:w="57" w:type="dxa"/>
          <w:left w:w="57" w:type="dxa"/>
          <w:bottom w:w="57" w:type="dxa"/>
          <w:right w:w="57" w:type="dxa"/>
        </w:tblCellMar>
        <w:tblLook w:val="04A0" w:firstRow="1" w:lastRow="0" w:firstColumn="1" w:lastColumn="0" w:noHBand="0" w:noVBand="1"/>
      </w:tblPr>
      <w:tblGrid>
        <w:gridCol w:w="2830"/>
        <w:gridCol w:w="1134"/>
        <w:gridCol w:w="1134"/>
        <w:gridCol w:w="1418"/>
        <w:gridCol w:w="1559"/>
        <w:gridCol w:w="1276"/>
      </w:tblGrid>
      <w:tr w:rsidR="00803598" w:rsidRPr="00DC1FA0" w14:paraId="1AB0CF38" w14:textId="77777777" w:rsidTr="003C516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3C0ABB21" w14:textId="24104EEC" w:rsidR="00803598" w:rsidRPr="00803598" w:rsidRDefault="00803598" w:rsidP="00803598">
            <w:pPr>
              <w:pStyle w:val="TableHeaderRow"/>
              <w:rPr>
                <w:b/>
                <w:bCs w:val="0"/>
              </w:rPr>
            </w:pPr>
            <w:r w:rsidRPr="00803598">
              <w:rPr>
                <w:b/>
                <w:bCs w:val="0"/>
              </w:rPr>
              <w:t>Variable</w:t>
            </w:r>
          </w:p>
        </w:tc>
        <w:tc>
          <w:tcPr>
            <w:tcW w:w="1134" w:type="dxa"/>
            <w:noWrap/>
            <w:tcMar>
              <w:top w:w="57" w:type="dxa"/>
              <w:bottom w:w="85" w:type="dxa"/>
            </w:tcMar>
            <w:hideMark/>
          </w:tcPr>
          <w:p w14:paraId="2C79BD03"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Individual</w:t>
            </w:r>
          </w:p>
          <w:p w14:paraId="02B9B403" w14:textId="5554E897" w:rsidR="00803598" w:rsidRPr="00803598" w:rsidRDefault="00803598" w:rsidP="00803598">
            <w:pPr>
              <w:pStyle w:val="TableHeaderRow"/>
              <w:spacing w:before="240"/>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r</w:t>
            </w:r>
            <w:r w:rsidRPr="00F03027">
              <w:rPr>
                <w:b/>
                <w:bCs w:val="0"/>
                <w:vertAlign w:val="superscript"/>
              </w:rPr>
              <w:t>2</w:t>
            </w:r>
          </w:p>
        </w:tc>
        <w:tc>
          <w:tcPr>
            <w:tcW w:w="1134" w:type="dxa"/>
            <w:noWrap/>
            <w:tcMar>
              <w:top w:w="57" w:type="dxa"/>
              <w:bottom w:w="85" w:type="dxa"/>
            </w:tcMar>
            <w:hideMark/>
          </w:tcPr>
          <w:p w14:paraId="577F871E" w14:textId="77777777" w:rsidR="00016E1B"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Individual</w:t>
            </w:r>
          </w:p>
          <w:p w14:paraId="293B9475" w14:textId="061E67C4" w:rsidR="00803598" w:rsidRPr="00803598" w:rsidRDefault="00803598" w:rsidP="00803598">
            <w:pPr>
              <w:pStyle w:val="TableHeaderRow"/>
              <w:spacing w:before="240"/>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p</w:t>
            </w:r>
          </w:p>
        </w:tc>
        <w:tc>
          <w:tcPr>
            <w:tcW w:w="1418" w:type="dxa"/>
            <w:noWrap/>
            <w:tcMar>
              <w:top w:w="57" w:type="dxa"/>
              <w:bottom w:w="85" w:type="dxa"/>
            </w:tcMar>
            <w:hideMark/>
          </w:tcPr>
          <w:p w14:paraId="0047E513"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Cumulative</w:t>
            </w:r>
          </w:p>
          <w:p w14:paraId="6DBB1D47" w14:textId="612BB0DD" w:rsidR="00803598" w:rsidRPr="00803598" w:rsidRDefault="00803598" w:rsidP="00803598">
            <w:pPr>
              <w:pStyle w:val="TableHeaderRow"/>
              <w:spacing w:before="240"/>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r</w:t>
            </w:r>
            <w:r w:rsidRPr="00803598">
              <w:rPr>
                <w:b/>
                <w:bCs w:val="0"/>
                <w:vertAlign w:val="superscript"/>
              </w:rPr>
              <w:t>2</w:t>
            </w:r>
          </w:p>
        </w:tc>
        <w:tc>
          <w:tcPr>
            <w:tcW w:w="1559" w:type="dxa"/>
            <w:noWrap/>
            <w:tcMar>
              <w:top w:w="57" w:type="dxa"/>
              <w:bottom w:w="85" w:type="dxa"/>
            </w:tcMar>
            <w:hideMark/>
          </w:tcPr>
          <w:p w14:paraId="1A31CEB8" w14:textId="77777777" w:rsidR="00016E1B"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Cumulative</w:t>
            </w:r>
          </w:p>
          <w:p w14:paraId="3E5F164B" w14:textId="526F7D96" w:rsidR="00803598" w:rsidRPr="00803598" w:rsidRDefault="00803598" w:rsidP="00803598">
            <w:pPr>
              <w:pStyle w:val="TableHeaderRow"/>
              <w:spacing w:before="240"/>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Cumulative r</w:t>
            </w:r>
            <w:r w:rsidRPr="00803598">
              <w:rPr>
                <w:b/>
                <w:bCs w:val="0"/>
                <w:vertAlign w:val="superscript"/>
              </w:rPr>
              <w:t>2</w:t>
            </w:r>
          </w:p>
        </w:tc>
        <w:tc>
          <w:tcPr>
            <w:tcW w:w="1276" w:type="dxa"/>
            <w:noWrap/>
            <w:tcMar>
              <w:top w:w="57" w:type="dxa"/>
              <w:bottom w:w="85" w:type="dxa"/>
            </w:tcMar>
            <w:hideMark/>
          </w:tcPr>
          <w:p w14:paraId="0962055D"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Cumulative</w:t>
            </w:r>
          </w:p>
          <w:p w14:paraId="60E70B7E" w14:textId="107483C6" w:rsidR="00803598" w:rsidRPr="00803598" w:rsidRDefault="00803598" w:rsidP="00803598">
            <w:pPr>
              <w:pStyle w:val="TableHeaderRow"/>
              <w:spacing w:before="240"/>
              <w:cnfStyle w:val="100000000000" w:firstRow="1" w:lastRow="0" w:firstColumn="0" w:lastColumn="0" w:oddVBand="0" w:evenVBand="0" w:oddHBand="0" w:evenHBand="0" w:firstRowFirstColumn="0" w:firstRowLastColumn="0" w:lastRowFirstColumn="0" w:lastRowLastColumn="0"/>
              <w:rPr>
                <w:b/>
                <w:bCs w:val="0"/>
              </w:rPr>
            </w:pPr>
            <w:r w:rsidRPr="00803598">
              <w:rPr>
                <w:b/>
                <w:bCs w:val="0"/>
              </w:rPr>
              <w:t>p</w:t>
            </w:r>
          </w:p>
        </w:tc>
      </w:tr>
      <w:tr w:rsidR="00DC1FA0" w:rsidRPr="00DC1FA0" w14:paraId="295F9103"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0C0A6725" w14:textId="77777777" w:rsidR="00DC1FA0" w:rsidRPr="00803598" w:rsidRDefault="00DC1FA0" w:rsidP="00803598">
            <w:pPr>
              <w:pStyle w:val="TableText"/>
              <w:rPr>
                <w:b w:val="0"/>
              </w:rPr>
            </w:pPr>
            <w:r w:rsidRPr="00803598">
              <w:rPr>
                <w:b w:val="0"/>
              </w:rPr>
              <w:t>Total nitrogen</w:t>
            </w:r>
          </w:p>
        </w:tc>
        <w:tc>
          <w:tcPr>
            <w:tcW w:w="1134" w:type="dxa"/>
            <w:noWrap/>
            <w:tcMar>
              <w:top w:w="57" w:type="dxa"/>
              <w:bottom w:w="85" w:type="dxa"/>
            </w:tcMar>
            <w:hideMark/>
          </w:tcPr>
          <w:p w14:paraId="0623BB14"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134" w:type="dxa"/>
            <w:noWrap/>
            <w:tcMar>
              <w:top w:w="57" w:type="dxa"/>
              <w:bottom w:w="85" w:type="dxa"/>
            </w:tcMar>
            <w:hideMark/>
          </w:tcPr>
          <w:p w14:paraId="23CCB06E"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0.005</w:t>
            </w:r>
          </w:p>
        </w:tc>
        <w:tc>
          <w:tcPr>
            <w:tcW w:w="1418" w:type="dxa"/>
            <w:noWrap/>
            <w:tcMar>
              <w:top w:w="57" w:type="dxa"/>
              <w:bottom w:w="85" w:type="dxa"/>
            </w:tcMar>
            <w:hideMark/>
          </w:tcPr>
          <w:p w14:paraId="7E992E58"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559" w:type="dxa"/>
            <w:noWrap/>
            <w:tcMar>
              <w:top w:w="57" w:type="dxa"/>
              <w:bottom w:w="85" w:type="dxa"/>
            </w:tcMar>
            <w:hideMark/>
          </w:tcPr>
          <w:p w14:paraId="5593E39F"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276" w:type="dxa"/>
            <w:noWrap/>
            <w:tcMar>
              <w:top w:w="57" w:type="dxa"/>
              <w:bottom w:w="85" w:type="dxa"/>
            </w:tcMar>
            <w:hideMark/>
          </w:tcPr>
          <w:p w14:paraId="25903C21"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0.008</w:t>
            </w:r>
          </w:p>
        </w:tc>
      </w:tr>
      <w:tr w:rsidR="00DC1FA0" w:rsidRPr="00DC1FA0" w14:paraId="6E0F95CB"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524ADD75" w14:textId="77777777" w:rsidR="00DC1FA0" w:rsidRPr="00803598" w:rsidRDefault="00DC1FA0" w:rsidP="00803598">
            <w:pPr>
              <w:pStyle w:val="TableText"/>
              <w:rPr>
                <w:b w:val="0"/>
              </w:rPr>
            </w:pPr>
            <w:r w:rsidRPr="00803598">
              <w:rPr>
                <w:b w:val="0"/>
              </w:rPr>
              <w:t>Temperature</w:t>
            </w:r>
          </w:p>
        </w:tc>
        <w:tc>
          <w:tcPr>
            <w:tcW w:w="1134" w:type="dxa"/>
            <w:noWrap/>
            <w:tcMar>
              <w:top w:w="57" w:type="dxa"/>
              <w:bottom w:w="85" w:type="dxa"/>
            </w:tcMar>
            <w:hideMark/>
          </w:tcPr>
          <w:p w14:paraId="1D1EA247"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0.069</w:t>
            </w:r>
          </w:p>
        </w:tc>
        <w:tc>
          <w:tcPr>
            <w:tcW w:w="1134" w:type="dxa"/>
            <w:noWrap/>
            <w:tcMar>
              <w:top w:w="57" w:type="dxa"/>
              <w:bottom w:w="85" w:type="dxa"/>
            </w:tcMar>
            <w:hideMark/>
          </w:tcPr>
          <w:p w14:paraId="3B44504A"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0.009</w:t>
            </w:r>
          </w:p>
        </w:tc>
        <w:tc>
          <w:tcPr>
            <w:tcW w:w="1418" w:type="dxa"/>
            <w:noWrap/>
            <w:tcMar>
              <w:top w:w="57" w:type="dxa"/>
              <w:bottom w:w="85" w:type="dxa"/>
            </w:tcMar>
            <w:hideMark/>
          </w:tcPr>
          <w:p w14:paraId="46C90032"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0.071</w:t>
            </w:r>
          </w:p>
        </w:tc>
        <w:tc>
          <w:tcPr>
            <w:tcW w:w="1559" w:type="dxa"/>
            <w:noWrap/>
            <w:tcMar>
              <w:top w:w="57" w:type="dxa"/>
              <w:bottom w:w="85" w:type="dxa"/>
            </w:tcMar>
            <w:hideMark/>
          </w:tcPr>
          <w:p w14:paraId="28196BC9"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0.141</w:t>
            </w:r>
          </w:p>
        </w:tc>
        <w:tc>
          <w:tcPr>
            <w:tcW w:w="1276" w:type="dxa"/>
            <w:noWrap/>
            <w:tcMar>
              <w:top w:w="57" w:type="dxa"/>
              <w:bottom w:w="85" w:type="dxa"/>
            </w:tcMar>
            <w:hideMark/>
          </w:tcPr>
          <w:p w14:paraId="7248CDE4"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0.010</w:t>
            </w:r>
          </w:p>
        </w:tc>
      </w:tr>
      <w:tr w:rsidR="00DC1FA0" w:rsidRPr="00DC1FA0" w14:paraId="0EAFC5BD"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66F27139" w14:textId="77777777" w:rsidR="00DC1FA0" w:rsidRPr="00803598" w:rsidRDefault="00DC1FA0" w:rsidP="00803598">
            <w:pPr>
              <w:pStyle w:val="TableText"/>
              <w:rPr>
                <w:b w:val="0"/>
              </w:rPr>
            </w:pPr>
            <w:r w:rsidRPr="00803598">
              <w:rPr>
                <w:b w:val="0"/>
              </w:rPr>
              <w:t>pH</w:t>
            </w:r>
          </w:p>
        </w:tc>
        <w:tc>
          <w:tcPr>
            <w:tcW w:w="1134" w:type="dxa"/>
            <w:noWrap/>
            <w:tcMar>
              <w:top w:w="57" w:type="dxa"/>
              <w:bottom w:w="85" w:type="dxa"/>
            </w:tcMar>
            <w:hideMark/>
          </w:tcPr>
          <w:p w14:paraId="7DEE87DF"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0.065</w:t>
            </w:r>
          </w:p>
        </w:tc>
        <w:tc>
          <w:tcPr>
            <w:tcW w:w="1134" w:type="dxa"/>
            <w:noWrap/>
            <w:tcMar>
              <w:top w:w="57" w:type="dxa"/>
              <w:bottom w:w="85" w:type="dxa"/>
            </w:tcMar>
            <w:hideMark/>
          </w:tcPr>
          <w:p w14:paraId="42DF72FE"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0.017</w:t>
            </w:r>
          </w:p>
        </w:tc>
        <w:tc>
          <w:tcPr>
            <w:tcW w:w="1418" w:type="dxa"/>
            <w:noWrap/>
            <w:tcMar>
              <w:top w:w="57" w:type="dxa"/>
              <w:bottom w:w="85" w:type="dxa"/>
            </w:tcMar>
            <w:hideMark/>
          </w:tcPr>
          <w:p w14:paraId="114B5337"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0.065</w:t>
            </w:r>
          </w:p>
        </w:tc>
        <w:tc>
          <w:tcPr>
            <w:tcW w:w="1559" w:type="dxa"/>
            <w:noWrap/>
            <w:tcMar>
              <w:top w:w="57" w:type="dxa"/>
              <w:bottom w:w="85" w:type="dxa"/>
            </w:tcMar>
            <w:hideMark/>
          </w:tcPr>
          <w:p w14:paraId="11C42FC3"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0.206</w:t>
            </w:r>
          </w:p>
        </w:tc>
        <w:tc>
          <w:tcPr>
            <w:tcW w:w="1276" w:type="dxa"/>
            <w:noWrap/>
            <w:tcMar>
              <w:top w:w="57" w:type="dxa"/>
              <w:bottom w:w="85" w:type="dxa"/>
            </w:tcMar>
            <w:hideMark/>
          </w:tcPr>
          <w:p w14:paraId="2E6909F5"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rPr>
                <w:b/>
              </w:rPr>
            </w:pPr>
            <w:r w:rsidRPr="00DC1FA0">
              <w:rPr>
                <w:b/>
              </w:rPr>
              <w:t>0.007</w:t>
            </w:r>
          </w:p>
        </w:tc>
      </w:tr>
      <w:tr w:rsidR="00DC1FA0" w:rsidRPr="00DC1FA0" w14:paraId="4B3025A8"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08418CF3" w14:textId="77777777" w:rsidR="00DC1FA0" w:rsidRPr="00803598" w:rsidRDefault="00DC1FA0" w:rsidP="00803598">
            <w:pPr>
              <w:pStyle w:val="TableText"/>
              <w:rPr>
                <w:b w:val="0"/>
              </w:rPr>
            </w:pPr>
            <w:r w:rsidRPr="00803598">
              <w:rPr>
                <w:b w:val="0"/>
              </w:rPr>
              <w:t>Dissolved oxygen</w:t>
            </w:r>
          </w:p>
        </w:tc>
        <w:tc>
          <w:tcPr>
            <w:tcW w:w="1134" w:type="dxa"/>
            <w:noWrap/>
            <w:tcMar>
              <w:top w:w="57" w:type="dxa"/>
              <w:bottom w:w="85" w:type="dxa"/>
            </w:tcMar>
            <w:hideMark/>
          </w:tcPr>
          <w:p w14:paraId="55C8FCF9"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0.067</w:t>
            </w:r>
          </w:p>
        </w:tc>
        <w:tc>
          <w:tcPr>
            <w:tcW w:w="1134" w:type="dxa"/>
            <w:noWrap/>
            <w:tcMar>
              <w:top w:w="57" w:type="dxa"/>
              <w:bottom w:w="85" w:type="dxa"/>
            </w:tcMar>
            <w:hideMark/>
          </w:tcPr>
          <w:p w14:paraId="1A9DCD3A"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0.009</w:t>
            </w:r>
          </w:p>
        </w:tc>
        <w:tc>
          <w:tcPr>
            <w:tcW w:w="1418" w:type="dxa"/>
            <w:noWrap/>
            <w:tcMar>
              <w:top w:w="57" w:type="dxa"/>
              <w:bottom w:w="85" w:type="dxa"/>
            </w:tcMar>
            <w:hideMark/>
          </w:tcPr>
          <w:p w14:paraId="32D6EBB5"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0.057</w:t>
            </w:r>
          </w:p>
        </w:tc>
        <w:tc>
          <w:tcPr>
            <w:tcW w:w="1559" w:type="dxa"/>
            <w:noWrap/>
            <w:tcMar>
              <w:top w:w="57" w:type="dxa"/>
              <w:bottom w:w="85" w:type="dxa"/>
            </w:tcMar>
            <w:hideMark/>
          </w:tcPr>
          <w:p w14:paraId="7A1D5D16"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0.263</w:t>
            </w:r>
          </w:p>
        </w:tc>
        <w:tc>
          <w:tcPr>
            <w:tcW w:w="1276" w:type="dxa"/>
            <w:noWrap/>
            <w:tcMar>
              <w:top w:w="57" w:type="dxa"/>
              <w:bottom w:w="85" w:type="dxa"/>
            </w:tcMar>
            <w:hideMark/>
          </w:tcPr>
          <w:p w14:paraId="53890921"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rPr>
                <w:b/>
              </w:rPr>
            </w:pPr>
            <w:r w:rsidRPr="00DC1FA0">
              <w:rPr>
                <w:b/>
              </w:rPr>
              <w:t>0.019</w:t>
            </w:r>
          </w:p>
        </w:tc>
      </w:tr>
      <w:tr w:rsidR="00B56DDE" w:rsidRPr="00DC1FA0" w14:paraId="3B18C36B"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112182BD" w14:textId="77777777" w:rsidR="00B56DDE" w:rsidRPr="00803598" w:rsidRDefault="00B56DDE" w:rsidP="00B56DDE">
            <w:pPr>
              <w:pStyle w:val="TableText"/>
              <w:rPr>
                <w:b w:val="0"/>
              </w:rPr>
            </w:pPr>
            <w:r w:rsidRPr="00803598">
              <w:rPr>
                <w:b w:val="0"/>
              </w:rPr>
              <w:t>Water level</w:t>
            </w:r>
          </w:p>
        </w:tc>
        <w:tc>
          <w:tcPr>
            <w:tcW w:w="1134" w:type="dxa"/>
            <w:noWrap/>
            <w:tcMar>
              <w:top w:w="57" w:type="dxa"/>
              <w:bottom w:w="85" w:type="dxa"/>
            </w:tcMar>
            <w:hideMark/>
          </w:tcPr>
          <w:p w14:paraId="4DA144EE"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0.052</w:t>
            </w:r>
          </w:p>
        </w:tc>
        <w:tc>
          <w:tcPr>
            <w:tcW w:w="1134" w:type="dxa"/>
            <w:noWrap/>
            <w:tcMar>
              <w:top w:w="57" w:type="dxa"/>
              <w:bottom w:w="85" w:type="dxa"/>
            </w:tcMar>
            <w:hideMark/>
          </w:tcPr>
          <w:p w14:paraId="3EDE481C"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0.075</w:t>
            </w:r>
          </w:p>
        </w:tc>
        <w:tc>
          <w:tcPr>
            <w:tcW w:w="1418" w:type="dxa"/>
            <w:noWrap/>
            <w:tcMar>
              <w:top w:w="57" w:type="dxa"/>
              <w:bottom w:w="85" w:type="dxa"/>
            </w:tcMar>
            <w:hideMark/>
          </w:tcPr>
          <w:p w14:paraId="7081385B" w14:textId="70A792FD"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559" w:type="dxa"/>
            <w:noWrap/>
            <w:tcMar>
              <w:top w:w="57" w:type="dxa"/>
              <w:bottom w:w="85" w:type="dxa"/>
            </w:tcMar>
            <w:hideMark/>
          </w:tcPr>
          <w:p w14:paraId="285BE143" w14:textId="370E75E5"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276" w:type="dxa"/>
            <w:noWrap/>
            <w:tcMar>
              <w:top w:w="57" w:type="dxa"/>
              <w:bottom w:w="85" w:type="dxa"/>
            </w:tcMar>
            <w:hideMark/>
          </w:tcPr>
          <w:p w14:paraId="67DD97E3" w14:textId="29AF326E"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r>
      <w:tr w:rsidR="00B56DDE" w:rsidRPr="00DC1FA0" w14:paraId="00003D64"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400DC58D" w14:textId="77777777" w:rsidR="00B56DDE" w:rsidRPr="00803598" w:rsidRDefault="00B56DDE" w:rsidP="00B56DDE">
            <w:pPr>
              <w:pStyle w:val="TableText"/>
              <w:rPr>
                <w:b w:val="0"/>
              </w:rPr>
            </w:pPr>
            <w:r w:rsidRPr="00803598">
              <w:rPr>
                <w:b w:val="0"/>
              </w:rPr>
              <w:t>Mean slot depth</w:t>
            </w:r>
          </w:p>
        </w:tc>
        <w:tc>
          <w:tcPr>
            <w:tcW w:w="1134" w:type="dxa"/>
            <w:noWrap/>
            <w:tcMar>
              <w:top w:w="57" w:type="dxa"/>
              <w:bottom w:w="85" w:type="dxa"/>
            </w:tcMar>
            <w:hideMark/>
          </w:tcPr>
          <w:p w14:paraId="6B60785A"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0.046</w:t>
            </w:r>
          </w:p>
        </w:tc>
        <w:tc>
          <w:tcPr>
            <w:tcW w:w="1134" w:type="dxa"/>
            <w:noWrap/>
            <w:tcMar>
              <w:top w:w="57" w:type="dxa"/>
              <w:bottom w:w="85" w:type="dxa"/>
            </w:tcMar>
            <w:hideMark/>
          </w:tcPr>
          <w:p w14:paraId="6EF6157F"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0.108</w:t>
            </w:r>
          </w:p>
        </w:tc>
        <w:tc>
          <w:tcPr>
            <w:tcW w:w="1418" w:type="dxa"/>
            <w:noWrap/>
            <w:tcMar>
              <w:top w:w="57" w:type="dxa"/>
              <w:bottom w:w="85" w:type="dxa"/>
            </w:tcMar>
            <w:hideMark/>
          </w:tcPr>
          <w:p w14:paraId="71A38C44" w14:textId="67BEF7DB"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559" w:type="dxa"/>
            <w:noWrap/>
            <w:tcMar>
              <w:top w:w="57" w:type="dxa"/>
              <w:bottom w:w="85" w:type="dxa"/>
            </w:tcMar>
            <w:hideMark/>
          </w:tcPr>
          <w:p w14:paraId="2A48F288" w14:textId="40CD9B3F"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276" w:type="dxa"/>
            <w:noWrap/>
            <w:tcMar>
              <w:top w:w="57" w:type="dxa"/>
              <w:bottom w:w="85" w:type="dxa"/>
            </w:tcMar>
            <w:hideMark/>
          </w:tcPr>
          <w:p w14:paraId="4B8D1F8D" w14:textId="412E734A"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r>
      <w:tr w:rsidR="00B56DDE" w:rsidRPr="00DC1FA0" w14:paraId="2529EC4F"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243FDEA6" w14:textId="77777777" w:rsidR="00B56DDE" w:rsidRPr="00803598" w:rsidRDefault="00B56DDE" w:rsidP="00B56DDE">
            <w:pPr>
              <w:pStyle w:val="TableText"/>
              <w:rPr>
                <w:b w:val="0"/>
              </w:rPr>
            </w:pPr>
            <w:r w:rsidRPr="00803598">
              <w:rPr>
                <w:b w:val="0"/>
              </w:rPr>
              <w:t>Sulfate</w:t>
            </w:r>
          </w:p>
        </w:tc>
        <w:tc>
          <w:tcPr>
            <w:tcW w:w="1134" w:type="dxa"/>
            <w:noWrap/>
            <w:tcMar>
              <w:top w:w="57" w:type="dxa"/>
              <w:bottom w:w="85" w:type="dxa"/>
            </w:tcMar>
            <w:hideMark/>
          </w:tcPr>
          <w:p w14:paraId="414D5E6C"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0.044</w:t>
            </w:r>
          </w:p>
        </w:tc>
        <w:tc>
          <w:tcPr>
            <w:tcW w:w="1134" w:type="dxa"/>
            <w:noWrap/>
            <w:tcMar>
              <w:top w:w="57" w:type="dxa"/>
              <w:bottom w:w="85" w:type="dxa"/>
            </w:tcMar>
            <w:hideMark/>
          </w:tcPr>
          <w:p w14:paraId="502C2DE0"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0.140</w:t>
            </w:r>
          </w:p>
        </w:tc>
        <w:tc>
          <w:tcPr>
            <w:tcW w:w="1418" w:type="dxa"/>
            <w:noWrap/>
            <w:tcMar>
              <w:top w:w="57" w:type="dxa"/>
              <w:bottom w:w="85" w:type="dxa"/>
            </w:tcMar>
            <w:hideMark/>
          </w:tcPr>
          <w:p w14:paraId="49E8BFA5" w14:textId="243787D1"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559" w:type="dxa"/>
            <w:noWrap/>
            <w:tcMar>
              <w:top w:w="57" w:type="dxa"/>
              <w:bottom w:w="85" w:type="dxa"/>
            </w:tcMar>
            <w:hideMark/>
          </w:tcPr>
          <w:p w14:paraId="010CEB8C" w14:textId="2AC99D8C"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276" w:type="dxa"/>
            <w:noWrap/>
            <w:tcMar>
              <w:top w:w="57" w:type="dxa"/>
              <w:bottom w:w="85" w:type="dxa"/>
            </w:tcMar>
            <w:hideMark/>
          </w:tcPr>
          <w:p w14:paraId="67B4FBBA" w14:textId="2E09B9B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r>
      <w:tr w:rsidR="00B56DDE" w:rsidRPr="00DC1FA0" w14:paraId="292E9CA7"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545B5A8E" w14:textId="77777777" w:rsidR="00B56DDE" w:rsidRPr="00803598" w:rsidRDefault="00B56DDE" w:rsidP="00B56DDE">
            <w:pPr>
              <w:pStyle w:val="TableText"/>
              <w:rPr>
                <w:b w:val="0"/>
              </w:rPr>
            </w:pPr>
            <w:r w:rsidRPr="00803598">
              <w:rPr>
                <w:b w:val="0"/>
              </w:rPr>
              <w:t>Electrical conductivity</w:t>
            </w:r>
          </w:p>
        </w:tc>
        <w:tc>
          <w:tcPr>
            <w:tcW w:w="1134" w:type="dxa"/>
            <w:noWrap/>
            <w:tcMar>
              <w:top w:w="57" w:type="dxa"/>
              <w:bottom w:w="85" w:type="dxa"/>
            </w:tcMar>
            <w:hideMark/>
          </w:tcPr>
          <w:p w14:paraId="4FADDAD8"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0.041</w:t>
            </w:r>
          </w:p>
        </w:tc>
        <w:tc>
          <w:tcPr>
            <w:tcW w:w="1134" w:type="dxa"/>
            <w:noWrap/>
            <w:tcMar>
              <w:top w:w="57" w:type="dxa"/>
              <w:bottom w:w="85" w:type="dxa"/>
            </w:tcMar>
            <w:hideMark/>
          </w:tcPr>
          <w:p w14:paraId="5BB16177"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0.179</w:t>
            </w:r>
          </w:p>
        </w:tc>
        <w:tc>
          <w:tcPr>
            <w:tcW w:w="1418" w:type="dxa"/>
            <w:noWrap/>
            <w:tcMar>
              <w:top w:w="57" w:type="dxa"/>
              <w:bottom w:w="85" w:type="dxa"/>
            </w:tcMar>
            <w:hideMark/>
          </w:tcPr>
          <w:p w14:paraId="3EF4F9A2" w14:textId="01622F0D"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559" w:type="dxa"/>
            <w:noWrap/>
            <w:tcMar>
              <w:top w:w="57" w:type="dxa"/>
              <w:bottom w:w="85" w:type="dxa"/>
            </w:tcMar>
            <w:hideMark/>
          </w:tcPr>
          <w:p w14:paraId="571988CD" w14:textId="13ADDFA6"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276" w:type="dxa"/>
            <w:noWrap/>
            <w:tcMar>
              <w:top w:w="57" w:type="dxa"/>
              <w:bottom w:w="85" w:type="dxa"/>
            </w:tcMar>
            <w:hideMark/>
          </w:tcPr>
          <w:p w14:paraId="09A20F38" w14:textId="4627A263"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r>
      <w:tr w:rsidR="00B56DDE" w:rsidRPr="00DC1FA0" w14:paraId="71CBF9B3"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7C3C8D2E" w14:textId="77777777" w:rsidR="00B56DDE" w:rsidRPr="00803598" w:rsidRDefault="00B56DDE" w:rsidP="00B56DDE">
            <w:pPr>
              <w:pStyle w:val="TableText"/>
              <w:rPr>
                <w:b w:val="0"/>
              </w:rPr>
            </w:pPr>
            <w:r w:rsidRPr="00803598">
              <w:rPr>
                <w:b w:val="0"/>
              </w:rPr>
              <w:t>Total phosphorus</w:t>
            </w:r>
          </w:p>
        </w:tc>
        <w:tc>
          <w:tcPr>
            <w:tcW w:w="1134" w:type="dxa"/>
            <w:noWrap/>
            <w:tcMar>
              <w:top w:w="57" w:type="dxa"/>
              <w:bottom w:w="85" w:type="dxa"/>
            </w:tcMar>
            <w:hideMark/>
          </w:tcPr>
          <w:p w14:paraId="3A0107BC"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0.039</w:t>
            </w:r>
          </w:p>
        </w:tc>
        <w:tc>
          <w:tcPr>
            <w:tcW w:w="1134" w:type="dxa"/>
            <w:noWrap/>
            <w:tcMar>
              <w:top w:w="57" w:type="dxa"/>
              <w:bottom w:w="85" w:type="dxa"/>
            </w:tcMar>
            <w:hideMark/>
          </w:tcPr>
          <w:p w14:paraId="54929209"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0.205</w:t>
            </w:r>
          </w:p>
        </w:tc>
        <w:tc>
          <w:tcPr>
            <w:tcW w:w="1418" w:type="dxa"/>
            <w:noWrap/>
            <w:tcMar>
              <w:top w:w="57" w:type="dxa"/>
              <w:bottom w:w="85" w:type="dxa"/>
            </w:tcMar>
            <w:hideMark/>
          </w:tcPr>
          <w:p w14:paraId="15F93BD6" w14:textId="2EB3BC32"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559" w:type="dxa"/>
            <w:noWrap/>
            <w:tcMar>
              <w:top w:w="57" w:type="dxa"/>
              <w:bottom w:w="85" w:type="dxa"/>
            </w:tcMar>
            <w:hideMark/>
          </w:tcPr>
          <w:p w14:paraId="15794F0C" w14:textId="1069AA5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276" w:type="dxa"/>
            <w:noWrap/>
            <w:tcMar>
              <w:top w:w="57" w:type="dxa"/>
              <w:bottom w:w="85" w:type="dxa"/>
            </w:tcMar>
            <w:hideMark/>
          </w:tcPr>
          <w:p w14:paraId="69DA2BB7" w14:textId="798D8D2C"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r>
      <w:tr w:rsidR="00B56DDE" w:rsidRPr="00DC1FA0" w14:paraId="27160638"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39372949" w14:textId="77777777" w:rsidR="00B56DDE" w:rsidRPr="00803598" w:rsidRDefault="00B56DDE" w:rsidP="00B56DDE">
            <w:pPr>
              <w:pStyle w:val="TableText"/>
              <w:rPr>
                <w:b w:val="0"/>
              </w:rPr>
            </w:pPr>
            <w:r w:rsidRPr="00803598">
              <w:rPr>
                <w:b w:val="0"/>
              </w:rPr>
              <w:t>Oxidation-reduction potential</w:t>
            </w:r>
          </w:p>
        </w:tc>
        <w:tc>
          <w:tcPr>
            <w:tcW w:w="1134" w:type="dxa"/>
            <w:noWrap/>
            <w:tcMar>
              <w:top w:w="57" w:type="dxa"/>
              <w:bottom w:w="85" w:type="dxa"/>
            </w:tcMar>
            <w:hideMark/>
          </w:tcPr>
          <w:p w14:paraId="1437A685"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0.036</w:t>
            </w:r>
          </w:p>
        </w:tc>
        <w:tc>
          <w:tcPr>
            <w:tcW w:w="1134" w:type="dxa"/>
            <w:noWrap/>
            <w:tcMar>
              <w:top w:w="57" w:type="dxa"/>
              <w:bottom w:w="85" w:type="dxa"/>
            </w:tcMar>
            <w:hideMark/>
          </w:tcPr>
          <w:p w14:paraId="35FBFD5B"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0.332</w:t>
            </w:r>
          </w:p>
        </w:tc>
        <w:tc>
          <w:tcPr>
            <w:tcW w:w="1418" w:type="dxa"/>
            <w:noWrap/>
            <w:tcMar>
              <w:top w:w="57" w:type="dxa"/>
              <w:bottom w:w="85" w:type="dxa"/>
            </w:tcMar>
            <w:hideMark/>
          </w:tcPr>
          <w:p w14:paraId="1F335903" w14:textId="4047A60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559" w:type="dxa"/>
            <w:noWrap/>
            <w:tcMar>
              <w:top w:w="57" w:type="dxa"/>
              <w:bottom w:w="85" w:type="dxa"/>
            </w:tcMar>
            <w:hideMark/>
          </w:tcPr>
          <w:p w14:paraId="0FEA9079" w14:textId="40B88693"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c>
          <w:tcPr>
            <w:tcW w:w="1276" w:type="dxa"/>
            <w:noWrap/>
            <w:tcMar>
              <w:top w:w="57" w:type="dxa"/>
              <w:bottom w:w="85" w:type="dxa"/>
            </w:tcMar>
            <w:hideMark/>
          </w:tcPr>
          <w:p w14:paraId="34B53744" w14:textId="466DCFB0"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133FDE">
              <w:rPr>
                <w:color w:val="EBEEF5"/>
              </w:rPr>
              <w:t>-</w:t>
            </w:r>
          </w:p>
        </w:tc>
      </w:tr>
      <w:tr w:rsidR="00B56DDE" w:rsidRPr="00DC1FA0" w14:paraId="3C55DABE"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30" w:type="dxa"/>
            <w:noWrap/>
            <w:tcMar>
              <w:top w:w="57" w:type="dxa"/>
              <w:bottom w:w="85" w:type="dxa"/>
            </w:tcMar>
            <w:hideMark/>
          </w:tcPr>
          <w:p w14:paraId="12F95602" w14:textId="77777777" w:rsidR="00B56DDE" w:rsidRPr="00803598" w:rsidRDefault="00B56DDE" w:rsidP="00B56DDE">
            <w:pPr>
              <w:pStyle w:val="TableText"/>
              <w:rPr>
                <w:b w:val="0"/>
              </w:rPr>
            </w:pPr>
            <w:r w:rsidRPr="00803598">
              <w:rPr>
                <w:b w:val="0"/>
              </w:rPr>
              <w:t>Dissolved organic carbon</w:t>
            </w:r>
          </w:p>
        </w:tc>
        <w:tc>
          <w:tcPr>
            <w:tcW w:w="1134" w:type="dxa"/>
            <w:noWrap/>
            <w:tcMar>
              <w:top w:w="57" w:type="dxa"/>
              <w:bottom w:w="85" w:type="dxa"/>
            </w:tcMar>
            <w:hideMark/>
          </w:tcPr>
          <w:p w14:paraId="02653F0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0.033</w:t>
            </w:r>
          </w:p>
        </w:tc>
        <w:tc>
          <w:tcPr>
            <w:tcW w:w="1134" w:type="dxa"/>
            <w:noWrap/>
            <w:tcMar>
              <w:top w:w="57" w:type="dxa"/>
              <w:bottom w:w="85" w:type="dxa"/>
            </w:tcMar>
            <w:hideMark/>
          </w:tcPr>
          <w:p w14:paraId="012FC125"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0.401</w:t>
            </w:r>
          </w:p>
        </w:tc>
        <w:tc>
          <w:tcPr>
            <w:tcW w:w="1418" w:type="dxa"/>
            <w:noWrap/>
            <w:tcMar>
              <w:top w:w="57" w:type="dxa"/>
              <w:bottom w:w="85" w:type="dxa"/>
            </w:tcMar>
            <w:hideMark/>
          </w:tcPr>
          <w:p w14:paraId="20115481" w14:textId="17B9340C"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559" w:type="dxa"/>
            <w:noWrap/>
            <w:tcMar>
              <w:top w:w="57" w:type="dxa"/>
              <w:bottom w:w="85" w:type="dxa"/>
            </w:tcMar>
            <w:hideMark/>
          </w:tcPr>
          <w:p w14:paraId="53E39BD8" w14:textId="020F8D5F"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c>
          <w:tcPr>
            <w:tcW w:w="1276" w:type="dxa"/>
            <w:noWrap/>
            <w:tcMar>
              <w:top w:w="57" w:type="dxa"/>
              <w:bottom w:w="85" w:type="dxa"/>
            </w:tcMar>
            <w:hideMark/>
          </w:tcPr>
          <w:p w14:paraId="5DDE8309" w14:textId="7DC572C4"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133FDE">
              <w:rPr>
                <w:color w:val="EBEEF5"/>
              </w:rPr>
              <w:t>-</w:t>
            </w:r>
          </w:p>
        </w:tc>
      </w:tr>
    </w:tbl>
    <w:p w14:paraId="3B1D6E7D" w14:textId="77777777" w:rsidR="00DC1FA0" w:rsidRDefault="00DC1FA0" w:rsidP="00803598">
      <w:pPr>
        <w:pStyle w:val="TableSourceNotes"/>
      </w:pPr>
      <w:r>
        <w:t>Values in bold were significant (p&lt;0.05).</w:t>
      </w:r>
    </w:p>
    <w:p w14:paraId="588F4F7F" w14:textId="5FA0F860" w:rsidR="00DC1FA0" w:rsidRDefault="00DC1FA0" w:rsidP="00803598">
      <w:pPr>
        <w:pStyle w:val="Heading3Numbered"/>
        <w:numPr>
          <w:ilvl w:val="0"/>
          <w:numId w:val="0"/>
        </w:numPr>
        <w:ind w:left="1276" w:hanging="851"/>
      </w:pPr>
      <w:bookmarkStart w:id="49" w:name="_Toc164960617"/>
      <w:r>
        <w:t>3.2.2</w:t>
      </w:r>
      <w:r>
        <w:tab/>
        <w:t>Genes identified in the EC database</w:t>
      </w:r>
      <w:bookmarkEnd w:id="49"/>
    </w:p>
    <w:p w14:paraId="0CE98F96" w14:textId="77777777" w:rsidR="00DC1FA0" w:rsidRDefault="00DC1FA0" w:rsidP="00DC1FA0">
      <w:pPr>
        <w:pStyle w:val="BodyText"/>
      </w:pPr>
      <w:r>
        <w:t>Across all samples, 2,530 genes were identified from the EC database. Approximately 66% of genes (1,670) were present in all samples. The number of functional genes per sample, as identified from the EC database, varied from 2,084 to 2,335.</w:t>
      </w:r>
    </w:p>
    <w:p w14:paraId="773615CD" w14:textId="0FF88407" w:rsidR="00DC1FA0" w:rsidRDefault="00DC1FA0" w:rsidP="00DC1FA0">
      <w:pPr>
        <w:pStyle w:val="BodyText"/>
      </w:pPr>
      <w:r>
        <w:t>The nMDS ordination shows a clear separation by aquifer type, but not between pre- and post-purge samples (</w:t>
      </w:r>
      <w:r w:rsidR="00E202FA">
        <w:fldChar w:fldCharType="begin"/>
      </w:r>
      <w:r w:rsidR="00E202FA">
        <w:instrText xml:space="preserve"> REF _Ref164638295 \h </w:instrText>
      </w:r>
      <w:r w:rsidR="00E202FA">
        <w:fldChar w:fldCharType="separate"/>
      </w:r>
      <w:r w:rsidR="00E202FA">
        <w:t>Figure </w:t>
      </w:r>
      <w:r w:rsidR="00E202FA">
        <w:rPr>
          <w:noProof/>
        </w:rPr>
        <w:t>13</w:t>
      </w:r>
      <w:r w:rsidR="00E202FA">
        <w:fldChar w:fldCharType="end"/>
      </w:r>
      <w:r>
        <w:t>). Nevertheless, differences in gene composition of samples between both aquifer type and pre- and post-purge collection were significant (p=0.040 and p=0.008, respectively). There was no significant difference between bores (p=0.226), and the aquifer type x pre-/post-purge interaction was not significant (p=0.250). Stepwise DistLM analysis found that 25.2% of the variation in the EC-derived functional metagenomes was explained by TN, temperature, pH and DO (</w:t>
      </w:r>
      <w:r w:rsidR="00E202FA">
        <w:fldChar w:fldCharType="begin"/>
      </w:r>
      <w:r w:rsidR="00E202FA">
        <w:instrText xml:space="preserve"> REF _Ref164638451 \h </w:instrText>
      </w:r>
      <w:r w:rsidR="00E202FA">
        <w:fldChar w:fldCharType="separate"/>
      </w:r>
      <w:r w:rsidR="00E202FA">
        <w:t xml:space="preserve">Table </w:t>
      </w:r>
      <w:r w:rsidR="00E202FA">
        <w:rPr>
          <w:noProof/>
        </w:rPr>
        <w:t>4</w:t>
      </w:r>
      <w:r w:rsidR="00E202FA">
        <w:fldChar w:fldCharType="end"/>
      </w:r>
      <w:r>
        <w:t>).</w:t>
      </w:r>
    </w:p>
    <w:p w14:paraId="70EF4F08" w14:textId="7FC5AC0F" w:rsidR="00DC1FA0" w:rsidRDefault="005A6F45" w:rsidP="00EE2F70">
      <w:pPr>
        <w:pStyle w:val="BodyText"/>
        <w:spacing w:after="0"/>
      </w:pPr>
      <w:r>
        <w:rPr>
          <w:noProof/>
        </w:rPr>
        <w:drawing>
          <wp:inline distT="0" distB="0" distL="0" distR="0" wp14:anchorId="5D66C3F8" wp14:editId="1F72218A">
            <wp:extent cx="4660900" cy="3136900"/>
            <wp:effectExtent l="0" t="0" r="0" b="0"/>
            <wp:docPr id="1432630686" name="Picture 11"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30686" name="Picture 11" descr="nMDS ordination as described in the previous paragraph"/>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60900" cy="3136900"/>
                    </a:xfrm>
                    <a:prstGeom prst="rect">
                      <a:avLst/>
                    </a:prstGeom>
                  </pic:spPr>
                </pic:pic>
              </a:graphicData>
            </a:graphic>
          </wp:inline>
        </w:drawing>
      </w:r>
    </w:p>
    <w:p w14:paraId="0FC8B0EA" w14:textId="3351707D" w:rsidR="00EE5F48" w:rsidRPr="00EE5F48" w:rsidRDefault="00EE5F48" w:rsidP="00EE2F70">
      <w:pPr>
        <w:pStyle w:val="Figureheading"/>
        <w:spacing w:before="0"/>
      </w:pPr>
      <w:bookmarkStart w:id="50" w:name="_Ref164638295"/>
      <w:r>
        <w:t xml:space="preserve">Figure </w:t>
      </w:r>
      <w:r>
        <w:fldChar w:fldCharType="begin"/>
      </w:r>
      <w:r>
        <w:instrText xml:space="preserve"> SEQ Figure \* ARABIC </w:instrText>
      </w:r>
      <w:r>
        <w:fldChar w:fldCharType="separate"/>
      </w:r>
      <w:r>
        <w:rPr>
          <w:noProof/>
        </w:rPr>
        <w:t>13</w:t>
      </w:r>
      <w:r>
        <w:fldChar w:fldCharType="end"/>
      </w:r>
      <w:bookmarkEnd w:id="50"/>
      <w:r w:rsidRPr="001F5F85">
        <w:t>. nMDS ordination of 34 metagenomes based on functional genes compiled from the Enzyme Commission database</w:t>
      </w:r>
    </w:p>
    <w:p w14:paraId="54FDD22D" w14:textId="77777777" w:rsidR="00DC1FA0" w:rsidRDefault="00DC1FA0" w:rsidP="00803598">
      <w:pPr>
        <w:pStyle w:val="TableSourceNotes"/>
      </w:pPr>
      <w:r>
        <w:t>Samples collected from pre- and post-purge groundwater samples in sandstone and alluvial aquifers.</w:t>
      </w:r>
    </w:p>
    <w:p w14:paraId="14312DF9" w14:textId="3A37E91B" w:rsidR="00036CF4" w:rsidRDefault="00036CF4" w:rsidP="00130B8A">
      <w:pPr>
        <w:pStyle w:val="TABLEHEADING"/>
        <w:keepNext/>
      </w:pPr>
      <w:bookmarkStart w:id="51" w:name="_Ref164638451"/>
      <w:r>
        <w:t xml:space="preserve">Table </w:t>
      </w:r>
      <w:r>
        <w:fldChar w:fldCharType="begin"/>
      </w:r>
      <w:r>
        <w:instrText xml:space="preserve"> SEQ Table \* ARABIC </w:instrText>
      </w:r>
      <w:r>
        <w:fldChar w:fldCharType="separate"/>
      </w:r>
      <w:r w:rsidR="00307B2F">
        <w:rPr>
          <w:noProof/>
        </w:rPr>
        <w:t>4</w:t>
      </w:r>
      <w:r>
        <w:fldChar w:fldCharType="end"/>
      </w:r>
      <w:bookmarkEnd w:id="51"/>
      <w:r w:rsidRPr="00300093">
        <w:t>. Proportion of variation (r</w:t>
      </w:r>
      <w:r w:rsidRPr="00036CF4">
        <w:rPr>
          <w:vertAlign w:val="superscript"/>
        </w:rPr>
        <w:t>2</w:t>
      </w:r>
      <w:r w:rsidRPr="00300093">
        <w:t>) in functional gene assemblages based on metagenome data using functions identified in the Enzyme Commission database explained by environmental variables individually and in stepwise selection</w:t>
      </w:r>
    </w:p>
    <w:tbl>
      <w:tblPr>
        <w:tblStyle w:val="IESCTABLE1"/>
        <w:tblW w:w="9060" w:type="dxa"/>
        <w:tblLook w:val="04A0" w:firstRow="1" w:lastRow="0" w:firstColumn="1" w:lastColumn="0" w:noHBand="0" w:noVBand="1"/>
      </w:tblPr>
      <w:tblGrid>
        <w:gridCol w:w="2734"/>
        <w:gridCol w:w="1328"/>
        <w:gridCol w:w="1165"/>
        <w:gridCol w:w="1287"/>
        <w:gridCol w:w="1385"/>
        <w:gridCol w:w="1161"/>
      </w:tblGrid>
      <w:tr w:rsidR="00803598" w:rsidRPr="00DC1FA0" w14:paraId="7E06D71F" w14:textId="77777777" w:rsidTr="003C5164">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3D34A26D" w14:textId="31F1988C" w:rsidR="00803598" w:rsidRPr="00803598" w:rsidRDefault="00803598" w:rsidP="00803598">
            <w:pPr>
              <w:pStyle w:val="TableHeaderRow"/>
              <w:rPr>
                <w:b/>
              </w:rPr>
            </w:pPr>
            <w:r w:rsidRPr="00803598">
              <w:rPr>
                <w:b/>
              </w:rPr>
              <w:t>Variable</w:t>
            </w:r>
          </w:p>
        </w:tc>
        <w:tc>
          <w:tcPr>
            <w:tcW w:w="1328" w:type="dxa"/>
            <w:noWrap/>
            <w:tcMar>
              <w:top w:w="57" w:type="dxa"/>
              <w:left w:w="57" w:type="dxa"/>
              <w:bottom w:w="85" w:type="dxa"/>
              <w:right w:w="57" w:type="dxa"/>
            </w:tcMar>
            <w:hideMark/>
          </w:tcPr>
          <w:p w14:paraId="78C095F6"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Individual</w:t>
            </w:r>
          </w:p>
          <w:p w14:paraId="2748144E" w14:textId="0F460158" w:rsidR="00803598" w:rsidRPr="00803598" w:rsidRDefault="00803598" w:rsidP="00B56DDE">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803598">
              <w:rPr>
                <w:b/>
              </w:rPr>
              <w:t>r</w:t>
            </w:r>
            <w:r w:rsidRPr="00803598">
              <w:rPr>
                <w:b/>
                <w:vertAlign w:val="superscript"/>
              </w:rPr>
              <w:t>2</w:t>
            </w:r>
          </w:p>
        </w:tc>
        <w:tc>
          <w:tcPr>
            <w:tcW w:w="1165" w:type="dxa"/>
            <w:noWrap/>
            <w:tcMar>
              <w:top w:w="57" w:type="dxa"/>
              <w:left w:w="57" w:type="dxa"/>
              <w:bottom w:w="85" w:type="dxa"/>
              <w:right w:w="57" w:type="dxa"/>
            </w:tcMar>
            <w:hideMark/>
          </w:tcPr>
          <w:p w14:paraId="7AE4EC3E" w14:textId="77777777" w:rsidR="00016E1B"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Individual</w:t>
            </w:r>
          </w:p>
          <w:p w14:paraId="133FAC9C" w14:textId="03D4198D" w:rsidR="00803598" w:rsidRPr="00803598" w:rsidRDefault="00803598" w:rsidP="00B56DDE">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803598">
              <w:rPr>
                <w:b/>
              </w:rPr>
              <w:t>p</w:t>
            </w:r>
          </w:p>
        </w:tc>
        <w:tc>
          <w:tcPr>
            <w:tcW w:w="1287" w:type="dxa"/>
            <w:noWrap/>
            <w:tcMar>
              <w:top w:w="57" w:type="dxa"/>
              <w:left w:w="57" w:type="dxa"/>
              <w:bottom w:w="85" w:type="dxa"/>
              <w:right w:w="57" w:type="dxa"/>
            </w:tcMar>
            <w:hideMark/>
          </w:tcPr>
          <w:p w14:paraId="781F85B4"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0CCD9FF6" w14:textId="6C594A38" w:rsidR="00803598" w:rsidRPr="00803598" w:rsidRDefault="00803598" w:rsidP="00B56DDE">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803598">
              <w:rPr>
                <w:b/>
              </w:rPr>
              <w:t>r</w:t>
            </w:r>
            <w:r w:rsidRPr="00803598">
              <w:rPr>
                <w:b/>
                <w:vertAlign w:val="superscript"/>
              </w:rPr>
              <w:t>2</w:t>
            </w:r>
          </w:p>
        </w:tc>
        <w:tc>
          <w:tcPr>
            <w:tcW w:w="1385" w:type="dxa"/>
            <w:noWrap/>
            <w:tcMar>
              <w:top w:w="57" w:type="dxa"/>
              <w:left w:w="57" w:type="dxa"/>
              <w:bottom w:w="85" w:type="dxa"/>
              <w:right w:w="57" w:type="dxa"/>
            </w:tcMar>
            <w:hideMark/>
          </w:tcPr>
          <w:p w14:paraId="550041B3" w14:textId="77777777" w:rsidR="00016E1B"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477E5830" w14:textId="3B48054D" w:rsidR="00803598" w:rsidRPr="00803598" w:rsidRDefault="00803598" w:rsidP="00B56DDE">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803598">
              <w:rPr>
                <w:b/>
              </w:rPr>
              <w:t>Cumulative r</w:t>
            </w:r>
            <w:r w:rsidRPr="00803598">
              <w:rPr>
                <w:b/>
                <w:vertAlign w:val="superscript"/>
              </w:rPr>
              <w:t>2</w:t>
            </w:r>
          </w:p>
        </w:tc>
        <w:tc>
          <w:tcPr>
            <w:tcW w:w="1161" w:type="dxa"/>
            <w:noWrap/>
            <w:tcMar>
              <w:top w:w="57" w:type="dxa"/>
              <w:left w:w="57" w:type="dxa"/>
              <w:bottom w:w="85" w:type="dxa"/>
              <w:right w:w="57" w:type="dxa"/>
            </w:tcMar>
            <w:hideMark/>
          </w:tcPr>
          <w:p w14:paraId="0FAC144F" w14:textId="77777777" w:rsidR="00803598" w:rsidRPr="00803598" w:rsidRDefault="00803598" w:rsidP="00803598">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550A0FA4" w14:textId="5793E10E" w:rsidR="00803598" w:rsidRPr="00803598" w:rsidRDefault="00803598" w:rsidP="00B56DDE">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803598">
              <w:rPr>
                <w:b/>
              </w:rPr>
              <w:t>p</w:t>
            </w:r>
          </w:p>
        </w:tc>
      </w:tr>
      <w:tr w:rsidR="00803598" w:rsidRPr="00DC1FA0" w14:paraId="4CA9D8B8"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6777CA94" w14:textId="77777777" w:rsidR="00DC1FA0" w:rsidRPr="00DC1FA0" w:rsidRDefault="00DC1FA0" w:rsidP="00803598">
            <w:pPr>
              <w:pStyle w:val="TableText"/>
              <w:rPr>
                <w:b w:val="0"/>
                <w:bCs w:val="0"/>
              </w:rPr>
            </w:pPr>
            <w:r w:rsidRPr="00DC1FA0">
              <w:rPr>
                <w:b w:val="0"/>
                <w:bCs w:val="0"/>
              </w:rPr>
              <w:t>Total nitrogen</w:t>
            </w:r>
          </w:p>
        </w:tc>
        <w:tc>
          <w:tcPr>
            <w:tcW w:w="1328" w:type="dxa"/>
            <w:noWrap/>
            <w:tcMar>
              <w:top w:w="57" w:type="dxa"/>
              <w:left w:w="57" w:type="dxa"/>
              <w:bottom w:w="85" w:type="dxa"/>
              <w:right w:w="57" w:type="dxa"/>
            </w:tcMar>
            <w:hideMark/>
          </w:tcPr>
          <w:p w14:paraId="79A37571"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0.067</w:t>
            </w:r>
          </w:p>
        </w:tc>
        <w:tc>
          <w:tcPr>
            <w:tcW w:w="1165" w:type="dxa"/>
            <w:noWrap/>
            <w:tcMar>
              <w:top w:w="57" w:type="dxa"/>
              <w:left w:w="57" w:type="dxa"/>
              <w:bottom w:w="85" w:type="dxa"/>
              <w:right w:w="57" w:type="dxa"/>
            </w:tcMar>
            <w:hideMark/>
          </w:tcPr>
          <w:p w14:paraId="0EDD5C8D" w14:textId="77777777" w:rsidR="00DC1FA0" w:rsidRPr="00B56DDE" w:rsidRDefault="00DC1FA0" w:rsidP="00803598">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0.018</w:t>
            </w:r>
          </w:p>
        </w:tc>
        <w:tc>
          <w:tcPr>
            <w:tcW w:w="1287" w:type="dxa"/>
            <w:noWrap/>
            <w:tcMar>
              <w:top w:w="57" w:type="dxa"/>
              <w:left w:w="57" w:type="dxa"/>
              <w:bottom w:w="85" w:type="dxa"/>
              <w:right w:w="57" w:type="dxa"/>
            </w:tcMar>
            <w:hideMark/>
          </w:tcPr>
          <w:p w14:paraId="5D34414C"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0.067</w:t>
            </w:r>
          </w:p>
        </w:tc>
        <w:tc>
          <w:tcPr>
            <w:tcW w:w="1385" w:type="dxa"/>
            <w:noWrap/>
            <w:tcMar>
              <w:top w:w="57" w:type="dxa"/>
              <w:left w:w="57" w:type="dxa"/>
              <w:bottom w:w="85" w:type="dxa"/>
              <w:right w:w="57" w:type="dxa"/>
            </w:tcMar>
            <w:hideMark/>
          </w:tcPr>
          <w:p w14:paraId="38B9E3AA"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0.067</w:t>
            </w:r>
          </w:p>
        </w:tc>
        <w:tc>
          <w:tcPr>
            <w:tcW w:w="1161" w:type="dxa"/>
            <w:noWrap/>
            <w:tcMar>
              <w:top w:w="57" w:type="dxa"/>
              <w:left w:w="57" w:type="dxa"/>
              <w:bottom w:w="85" w:type="dxa"/>
              <w:right w:w="57" w:type="dxa"/>
            </w:tcMar>
            <w:hideMark/>
          </w:tcPr>
          <w:p w14:paraId="4E5FCF8B" w14:textId="77777777" w:rsidR="00DC1FA0" w:rsidRPr="00B56DDE" w:rsidRDefault="00DC1FA0" w:rsidP="00803598">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0.007</w:t>
            </w:r>
          </w:p>
        </w:tc>
      </w:tr>
      <w:tr w:rsidR="00803598" w:rsidRPr="00DC1FA0" w14:paraId="4961652D"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2AEBE0CA" w14:textId="77777777" w:rsidR="00DC1FA0" w:rsidRPr="00DC1FA0" w:rsidRDefault="00DC1FA0" w:rsidP="00803598">
            <w:pPr>
              <w:pStyle w:val="TableText"/>
              <w:rPr>
                <w:b w:val="0"/>
                <w:bCs w:val="0"/>
              </w:rPr>
            </w:pPr>
            <w:r w:rsidRPr="00DC1FA0">
              <w:rPr>
                <w:b w:val="0"/>
                <w:bCs w:val="0"/>
              </w:rPr>
              <w:t>Temperature</w:t>
            </w:r>
          </w:p>
        </w:tc>
        <w:tc>
          <w:tcPr>
            <w:tcW w:w="1328" w:type="dxa"/>
            <w:noWrap/>
            <w:tcMar>
              <w:top w:w="57" w:type="dxa"/>
              <w:left w:w="57" w:type="dxa"/>
              <w:bottom w:w="85" w:type="dxa"/>
              <w:right w:w="57" w:type="dxa"/>
            </w:tcMar>
            <w:hideMark/>
          </w:tcPr>
          <w:p w14:paraId="361B65F9"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0.066</w:t>
            </w:r>
          </w:p>
        </w:tc>
        <w:tc>
          <w:tcPr>
            <w:tcW w:w="1165" w:type="dxa"/>
            <w:noWrap/>
            <w:tcMar>
              <w:top w:w="57" w:type="dxa"/>
              <w:left w:w="57" w:type="dxa"/>
              <w:bottom w:w="85" w:type="dxa"/>
              <w:right w:w="57" w:type="dxa"/>
            </w:tcMar>
            <w:hideMark/>
          </w:tcPr>
          <w:p w14:paraId="5423CAF6" w14:textId="77777777" w:rsidR="00DC1FA0" w:rsidRPr="00B56DDE" w:rsidRDefault="00DC1FA0" w:rsidP="00803598">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0.009</w:t>
            </w:r>
          </w:p>
        </w:tc>
        <w:tc>
          <w:tcPr>
            <w:tcW w:w="1287" w:type="dxa"/>
            <w:noWrap/>
            <w:tcMar>
              <w:top w:w="57" w:type="dxa"/>
              <w:left w:w="57" w:type="dxa"/>
              <w:bottom w:w="85" w:type="dxa"/>
              <w:right w:w="57" w:type="dxa"/>
            </w:tcMar>
            <w:hideMark/>
          </w:tcPr>
          <w:p w14:paraId="7C2E2079"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0.068</w:t>
            </w:r>
          </w:p>
        </w:tc>
        <w:tc>
          <w:tcPr>
            <w:tcW w:w="1385" w:type="dxa"/>
            <w:noWrap/>
            <w:tcMar>
              <w:top w:w="57" w:type="dxa"/>
              <w:left w:w="57" w:type="dxa"/>
              <w:bottom w:w="85" w:type="dxa"/>
              <w:right w:w="57" w:type="dxa"/>
            </w:tcMar>
            <w:hideMark/>
          </w:tcPr>
          <w:p w14:paraId="10A0AB62"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0.135</w:t>
            </w:r>
          </w:p>
        </w:tc>
        <w:tc>
          <w:tcPr>
            <w:tcW w:w="1161" w:type="dxa"/>
            <w:noWrap/>
            <w:tcMar>
              <w:top w:w="57" w:type="dxa"/>
              <w:left w:w="57" w:type="dxa"/>
              <w:bottom w:w="85" w:type="dxa"/>
              <w:right w:w="57" w:type="dxa"/>
            </w:tcMar>
            <w:hideMark/>
          </w:tcPr>
          <w:p w14:paraId="7EDB97F4" w14:textId="77777777" w:rsidR="00DC1FA0" w:rsidRPr="00B56DDE" w:rsidRDefault="00DC1FA0" w:rsidP="00803598">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0.009</w:t>
            </w:r>
          </w:p>
        </w:tc>
      </w:tr>
      <w:tr w:rsidR="00803598" w:rsidRPr="00DC1FA0" w14:paraId="5AC28FF8"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38733AA7" w14:textId="77777777" w:rsidR="00DC1FA0" w:rsidRPr="00DC1FA0" w:rsidRDefault="00DC1FA0" w:rsidP="00803598">
            <w:pPr>
              <w:pStyle w:val="TableText"/>
              <w:rPr>
                <w:b w:val="0"/>
                <w:bCs w:val="0"/>
              </w:rPr>
            </w:pPr>
            <w:r w:rsidRPr="00DC1FA0">
              <w:rPr>
                <w:b w:val="0"/>
                <w:bCs w:val="0"/>
              </w:rPr>
              <w:t>pH</w:t>
            </w:r>
          </w:p>
        </w:tc>
        <w:tc>
          <w:tcPr>
            <w:tcW w:w="1328" w:type="dxa"/>
            <w:noWrap/>
            <w:tcMar>
              <w:top w:w="57" w:type="dxa"/>
              <w:left w:w="57" w:type="dxa"/>
              <w:bottom w:w="85" w:type="dxa"/>
              <w:right w:w="57" w:type="dxa"/>
            </w:tcMar>
            <w:hideMark/>
          </w:tcPr>
          <w:p w14:paraId="379DE133"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0.063</w:t>
            </w:r>
          </w:p>
        </w:tc>
        <w:tc>
          <w:tcPr>
            <w:tcW w:w="1165" w:type="dxa"/>
            <w:noWrap/>
            <w:tcMar>
              <w:top w:w="57" w:type="dxa"/>
              <w:left w:w="57" w:type="dxa"/>
              <w:bottom w:w="85" w:type="dxa"/>
              <w:right w:w="57" w:type="dxa"/>
            </w:tcMar>
            <w:hideMark/>
          </w:tcPr>
          <w:p w14:paraId="3ED534C6" w14:textId="77777777" w:rsidR="00DC1FA0" w:rsidRPr="00B56DDE" w:rsidRDefault="00DC1FA0" w:rsidP="00803598">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0.021</w:t>
            </w:r>
          </w:p>
        </w:tc>
        <w:tc>
          <w:tcPr>
            <w:tcW w:w="1287" w:type="dxa"/>
            <w:noWrap/>
            <w:tcMar>
              <w:top w:w="57" w:type="dxa"/>
              <w:left w:w="57" w:type="dxa"/>
              <w:bottom w:w="85" w:type="dxa"/>
              <w:right w:w="57" w:type="dxa"/>
            </w:tcMar>
            <w:hideMark/>
          </w:tcPr>
          <w:p w14:paraId="14566234"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0.064</w:t>
            </w:r>
          </w:p>
        </w:tc>
        <w:tc>
          <w:tcPr>
            <w:tcW w:w="1385" w:type="dxa"/>
            <w:noWrap/>
            <w:tcMar>
              <w:top w:w="57" w:type="dxa"/>
              <w:left w:w="57" w:type="dxa"/>
              <w:bottom w:w="85" w:type="dxa"/>
              <w:right w:w="57" w:type="dxa"/>
            </w:tcMar>
            <w:hideMark/>
          </w:tcPr>
          <w:p w14:paraId="5102294D" w14:textId="77777777" w:rsidR="00DC1FA0" w:rsidRPr="00DC1FA0" w:rsidRDefault="00DC1FA0" w:rsidP="00803598">
            <w:pPr>
              <w:pStyle w:val="TableText"/>
              <w:cnfStyle w:val="000000100000" w:firstRow="0" w:lastRow="0" w:firstColumn="0" w:lastColumn="0" w:oddVBand="0" w:evenVBand="0" w:oddHBand="1" w:evenHBand="0" w:firstRowFirstColumn="0" w:firstRowLastColumn="0" w:lastRowFirstColumn="0" w:lastRowLastColumn="0"/>
            </w:pPr>
            <w:r w:rsidRPr="00DC1FA0">
              <w:t>0.199</w:t>
            </w:r>
          </w:p>
        </w:tc>
        <w:tc>
          <w:tcPr>
            <w:tcW w:w="1161" w:type="dxa"/>
            <w:noWrap/>
            <w:tcMar>
              <w:top w:w="57" w:type="dxa"/>
              <w:left w:w="57" w:type="dxa"/>
              <w:bottom w:w="85" w:type="dxa"/>
              <w:right w:w="57" w:type="dxa"/>
            </w:tcMar>
            <w:hideMark/>
          </w:tcPr>
          <w:p w14:paraId="5AF74297" w14:textId="77777777" w:rsidR="00DC1FA0" w:rsidRPr="00B56DDE" w:rsidRDefault="00DC1FA0" w:rsidP="00803598">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0.008</w:t>
            </w:r>
          </w:p>
        </w:tc>
      </w:tr>
      <w:tr w:rsidR="00803598" w:rsidRPr="00DC1FA0" w14:paraId="6D1DCC97"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7519F342" w14:textId="77777777" w:rsidR="00DC1FA0" w:rsidRPr="00DC1FA0" w:rsidRDefault="00DC1FA0" w:rsidP="00803598">
            <w:pPr>
              <w:pStyle w:val="TableText"/>
              <w:rPr>
                <w:b w:val="0"/>
                <w:bCs w:val="0"/>
              </w:rPr>
            </w:pPr>
            <w:r w:rsidRPr="00DC1FA0">
              <w:rPr>
                <w:b w:val="0"/>
                <w:bCs w:val="0"/>
              </w:rPr>
              <w:t>Dissolved oxygen</w:t>
            </w:r>
          </w:p>
        </w:tc>
        <w:tc>
          <w:tcPr>
            <w:tcW w:w="1328" w:type="dxa"/>
            <w:noWrap/>
            <w:tcMar>
              <w:top w:w="57" w:type="dxa"/>
              <w:left w:w="57" w:type="dxa"/>
              <w:bottom w:w="85" w:type="dxa"/>
              <w:right w:w="57" w:type="dxa"/>
            </w:tcMar>
            <w:hideMark/>
          </w:tcPr>
          <w:p w14:paraId="7F9626D4"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0.064</w:t>
            </w:r>
          </w:p>
        </w:tc>
        <w:tc>
          <w:tcPr>
            <w:tcW w:w="1165" w:type="dxa"/>
            <w:noWrap/>
            <w:tcMar>
              <w:top w:w="57" w:type="dxa"/>
              <w:left w:w="57" w:type="dxa"/>
              <w:bottom w:w="85" w:type="dxa"/>
              <w:right w:w="57" w:type="dxa"/>
            </w:tcMar>
            <w:hideMark/>
          </w:tcPr>
          <w:p w14:paraId="3E5C9CF6" w14:textId="77777777" w:rsidR="00DC1FA0" w:rsidRPr="00B56DDE" w:rsidRDefault="00DC1FA0" w:rsidP="00803598">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0.015</w:t>
            </w:r>
          </w:p>
        </w:tc>
        <w:tc>
          <w:tcPr>
            <w:tcW w:w="1287" w:type="dxa"/>
            <w:noWrap/>
            <w:tcMar>
              <w:top w:w="57" w:type="dxa"/>
              <w:left w:w="57" w:type="dxa"/>
              <w:bottom w:w="85" w:type="dxa"/>
              <w:right w:w="57" w:type="dxa"/>
            </w:tcMar>
            <w:hideMark/>
          </w:tcPr>
          <w:p w14:paraId="01FE4C48"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0.053</w:t>
            </w:r>
          </w:p>
        </w:tc>
        <w:tc>
          <w:tcPr>
            <w:tcW w:w="1385" w:type="dxa"/>
            <w:noWrap/>
            <w:tcMar>
              <w:top w:w="57" w:type="dxa"/>
              <w:left w:w="57" w:type="dxa"/>
              <w:bottom w:w="85" w:type="dxa"/>
              <w:right w:w="57" w:type="dxa"/>
            </w:tcMar>
            <w:hideMark/>
          </w:tcPr>
          <w:p w14:paraId="13C12181" w14:textId="77777777" w:rsidR="00DC1FA0" w:rsidRPr="00DC1FA0" w:rsidRDefault="00DC1FA0" w:rsidP="00803598">
            <w:pPr>
              <w:pStyle w:val="TableText"/>
              <w:cnfStyle w:val="000000010000" w:firstRow="0" w:lastRow="0" w:firstColumn="0" w:lastColumn="0" w:oddVBand="0" w:evenVBand="0" w:oddHBand="0" w:evenHBand="1" w:firstRowFirstColumn="0" w:firstRowLastColumn="0" w:lastRowFirstColumn="0" w:lastRowLastColumn="0"/>
            </w:pPr>
            <w:r w:rsidRPr="00DC1FA0">
              <w:t>0.252</w:t>
            </w:r>
          </w:p>
        </w:tc>
        <w:tc>
          <w:tcPr>
            <w:tcW w:w="1161" w:type="dxa"/>
            <w:noWrap/>
            <w:tcMar>
              <w:top w:w="57" w:type="dxa"/>
              <w:left w:w="57" w:type="dxa"/>
              <w:bottom w:w="85" w:type="dxa"/>
              <w:right w:w="57" w:type="dxa"/>
            </w:tcMar>
            <w:hideMark/>
          </w:tcPr>
          <w:p w14:paraId="732EFFF2" w14:textId="77777777" w:rsidR="00DC1FA0" w:rsidRPr="00B56DDE" w:rsidRDefault="00DC1FA0" w:rsidP="00803598">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0.026</w:t>
            </w:r>
          </w:p>
        </w:tc>
      </w:tr>
      <w:tr w:rsidR="00B56DDE" w:rsidRPr="00DC1FA0" w14:paraId="5C844939"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2B3EA96E" w14:textId="77777777" w:rsidR="00B56DDE" w:rsidRPr="00DC1FA0" w:rsidRDefault="00B56DDE" w:rsidP="00B56DDE">
            <w:pPr>
              <w:pStyle w:val="TableText"/>
              <w:rPr>
                <w:b w:val="0"/>
                <w:bCs w:val="0"/>
              </w:rPr>
            </w:pPr>
            <w:r w:rsidRPr="00DC1FA0">
              <w:rPr>
                <w:b w:val="0"/>
                <w:bCs w:val="0"/>
              </w:rPr>
              <w:t xml:space="preserve">Water level </w:t>
            </w:r>
          </w:p>
        </w:tc>
        <w:tc>
          <w:tcPr>
            <w:tcW w:w="1328" w:type="dxa"/>
            <w:noWrap/>
            <w:tcMar>
              <w:top w:w="57" w:type="dxa"/>
              <w:left w:w="57" w:type="dxa"/>
              <w:bottom w:w="85" w:type="dxa"/>
              <w:right w:w="57" w:type="dxa"/>
            </w:tcMar>
            <w:hideMark/>
          </w:tcPr>
          <w:p w14:paraId="1DF69C15"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0.050</w:t>
            </w:r>
          </w:p>
        </w:tc>
        <w:tc>
          <w:tcPr>
            <w:tcW w:w="1165" w:type="dxa"/>
            <w:noWrap/>
            <w:tcMar>
              <w:top w:w="57" w:type="dxa"/>
              <w:left w:w="57" w:type="dxa"/>
              <w:bottom w:w="85" w:type="dxa"/>
              <w:right w:w="57" w:type="dxa"/>
            </w:tcMar>
            <w:hideMark/>
          </w:tcPr>
          <w:p w14:paraId="18CE912C"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0.071</w:t>
            </w:r>
          </w:p>
        </w:tc>
        <w:tc>
          <w:tcPr>
            <w:tcW w:w="1287" w:type="dxa"/>
            <w:noWrap/>
            <w:tcMar>
              <w:top w:w="57" w:type="dxa"/>
              <w:left w:w="57" w:type="dxa"/>
              <w:bottom w:w="85" w:type="dxa"/>
              <w:right w:w="57" w:type="dxa"/>
            </w:tcMar>
            <w:hideMark/>
          </w:tcPr>
          <w:p w14:paraId="47A3F9A9" w14:textId="4446A639"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78AD9677" w14:textId="5294B485"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36725DC6" w14:textId="627A14E8"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r>
      <w:tr w:rsidR="00B56DDE" w:rsidRPr="00DC1FA0" w14:paraId="02117243"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59F9F6CF" w14:textId="77777777" w:rsidR="00B56DDE" w:rsidRPr="00DC1FA0" w:rsidRDefault="00B56DDE" w:rsidP="00B56DDE">
            <w:pPr>
              <w:pStyle w:val="TableText"/>
              <w:rPr>
                <w:b w:val="0"/>
                <w:bCs w:val="0"/>
              </w:rPr>
            </w:pPr>
            <w:r w:rsidRPr="00DC1FA0">
              <w:rPr>
                <w:b w:val="0"/>
                <w:bCs w:val="0"/>
              </w:rPr>
              <w:t>Mean slot depth</w:t>
            </w:r>
          </w:p>
        </w:tc>
        <w:tc>
          <w:tcPr>
            <w:tcW w:w="1328" w:type="dxa"/>
            <w:noWrap/>
            <w:tcMar>
              <w:top w:w="57" w:type="dxa"/>
              <w:left w:w="57" w:type="dxa"/>
              <w:bottom w:w="85" w:type="dxa"/>
              <w:right w:w="57" w:type="dxa"/>
            </w:tcMar>
            <w:hideMark/>
          </w:tcPr>
          <w:p w14:paraId="657E3AA3"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0.048</w:t>
            </w:r>
          </w:p>
        </w:tc>
        <w:tc>
          <w:tcPr>
            <w:tcW w:w="1165" w:type="dxa"/>
            <w:noWrap/>
            <w:tcMar>
              <w:top w:w="57" w:type="dxa"/>
              <w:left w:w="57" w:type="dxa"/>
              <w:bottom w:w="85" w:type="dxa"/>
              <w:right w:w="57" w:type="dxa"/>
            </w:tcMar>
            <w:hideMark/>
          </w:tcPr>
          <w:p w14:paraId="369C7E72"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0.077</w:t>
            </w:r>
          </w:p>
        </w:tc>
        <w:tc>
          <w:tcPr>
            <w:tcW w:w="1287" w:type="dxa"/>
            <w:noWrap/>
            <w:tcMar>
              <w:top w:w="57" w:type="dxa"/>
              <w:left w:w="57" w:type="dxa"/>
              <w:bottom w:w="85" w:type="dxa"/>
              <w:right w:w="57" w:type="dxa"/>
            </w:tcMar>
            <w:hideMark/>
          </w:tcPr>
          <w:p w14:paraId="2CAB9F3A" w14:textId="6563B0E5"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4F08364E" w14:textId="2DDE2A95"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09183E0F" w14:textId="0080F54E"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r>
      <w:tr w:rsidR="00B56DDE" w:rsidRPr="00DC1FA0" w14:paraId="28FE8C9B"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72591947" w14:textId="77777777" w:rsidR="00B56DDE" w:rsidRPr="00DC1FA0" w:rsidRDefault="00B56DDE" w:rsidP="00B56DDE">
            <w:pPr>
              <w:pStyle w:val="TableText"/>
              <w:rPr>
                <w:b w:val="0"/>
                <w:bCs w:val="0"/>
              </w:rPr>
            </w:pPr>
            <w:r w:rsidRPr="00DC1FA0">
              <w:rPr>
                <w:b w:val="0"/>
                <w:bCs w:val="0"/>
              </w:rPr>
              <w:t>Sulfate</w:t>
            </w:r>
          </w:p>
        </w:tc>
        <w:tc>
          <w:tcPr>
            <w:tcW w:w="1328" w:type="dxa"/>
            <w:noWrap/>
            <w:tcMar>
              <w:top w:w="57" w:type="dxa"/>
              <w:left w:w="57" w:type="dxa"/>
              <w:bottom w:w="85" w:type="dxa"/>
              <w:right w:w="57" w:type="dxa"/>
            </w:tcMar>
            <w:hideMark/>
          </w:tcPr>
          <w:p w14:paraId="5F2BA7B0"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0.041</w:t>
            </w:r>
          </w:p>
        </w:tc>
        <w:tc>
          <w:tcPr>
            <w:tcW w:w="1165" w:type="dxa"/>
            <w:noWrap/>
            <w:tcMar>
              <w:top w:w="57" w:type="dxa"/>
              <w:left w:w="57" w:type="dxa"/>
              <w:bottom w:w="85" w:type="dxa"/>
              <w:right w:w="57" w:type="dxa"/>
            </w:tcMar>
            <w:hideMark/>
          </w:tcPr>
          <w:p w14:paraId="28CCF51D"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0.158</w:t>
            </w:r>
          </w:p>
        </w:tc>
        <w:tc>
          <w:tcPr>
            <w:tcW w:w="1287" w:type="dxa"/>
            <w:noWrap/>
            <w:tcMar>
              <w:top w:w="57" w:type="dxa"/>
              <w:left w:w="57" w:type="dxa"/>
              <w:bottom w:w="85" w:type="dxa"/>
              <w:right w:w="57" w:type="dxa"/>
            </w:tcMar>
            <w:hideMark/>
          </w:tcPr>
          <w:p w14:paraId="59E41BC5" w14:textId="3C863960"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1F0A4449" w14:textId="3F146EEB"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67EA77B0" w14:textId="6E4F6FD3"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r>
      <w:tr w:rsidR="00B56DDE" w:rsidRPr="00DC1FA0" w14:paraId="3CD1F847"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4864DED7" w14:textId="77777777" w:rsidR="00B56DDE" w:rsidRPr="00DC1FA0" w:rsidRDefault="00B56DDE" w:rsidP="00B56DDE">
            <w:pPr>
              <w:pStyle w:val="TableText"/>
              <w:rPr>
                <w:b w:val="0"/>
                <w:bCs w:val="0"/>
              </w:rPr>
            </w:pPr>
            <w:r w:rsidRPr="00DC1FA0">
              <w:rPr>
                <w:b w:val="0"/>
                <w:bCs w:val="0"/>
              </w:rPr>
              <w:t>Electrical conductivity</w:t>
            </w:r>
          </w:p>
        </w:tc>
        <w:tc>
          <w:tcPr>
            <w:tcW w:w="1328" w:type="dxa"/>
            <w:noWrap/>
            <w:tcMar>
              <w:top w:w="57" w:type="dxa"/>
              <w:left w:w="57" w:type="dxa"/>
              <w:bottom w:w="85" w:type="dxa"/>
              <w:right w:w="57" w:type="dxa"/>
            </w:tcMar>
            <w:hideMark/>
          </w:tcPr>
          <w:p w14:paraId="60C5B159"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0.040</w:t>
            </w:r>
          </w:p>
        </w:tc>
        <w:tc>
          <w:tcPr>
            <w:tcW w:w="1165" w:type="dxa"/>
            <w:noWrap/>
            <w:tcMar>
              <w:top w:w="57" w:type="dxa"/>
              <w:left w:w="57" w:type="dxa"/>
              <w:bottom w:w="85" w:type="dxa"/>
              <w:right w:w="57" w:type="dxa"/>
            </w:tcMar>
            <w:hideMark/>
          </w:tcPr>
          <w:p w14:paraId="1B319BF8"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0.180</w:t>
            </w:r>
          </w:p>
        </w:tc>
        <w:tc>
          <w:tcPr>
            <w:tcW w:w="1287" w:type="dxa"/>
            <w:noWrap/>
            <w:tcMar>
              <w:top w:w="57" w:type="dxa"/>
              <w:left w:w="57" w:type="dxa"/>
              <w:bottom w:w="85" w:type="dxa"/>
              <w:right w:w="57" w:type="dxa"/>
            </w:tcMar>
            <w:hideMark/>
          </w:tcPr>
          <w:p w14:paraId="59393D81" w14:textId="0453FF35"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03F9517D" w14:textId="0DF01094"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0EB7D0CD" w14:textId="7881DE39"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r>
      <w:tr w:rsidR="00B56DDE" w:rsidRPr="00DC1FA0" w14:paraId="2A69BC1C"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5E2E9149" w14:textId="77777777" w:rsidR="00B56DDE" w:rsidRPr="00DC1FA0" w:rsidRDefault="00B56DDE" w:rsidP="00B56DDE">
            <w:pPr>
              <w:pStyle w:val="TableText"/>
              <w:rPr>
                <w:b w:val="0"/>
                <w:bCs w:val="0"/>
              </w:rPr>
            </w:pPr>
            <w:r w:rsidRPr="00DC1FA0">
              <w:rPr>
                <w:b w:val="0"/>
                <w:bCs w:val="0"/>
              </w:rPr>
              <w:t>Oxidation-reduction potential</w:t>
            </w:r>
          </w:p>
        </w:tc>
        <w:tc>
          <w:tcPr>
            <w:tcW w:w="1328" w:type="dxa"/>
            <w:noWrap/>
            <w:tcMar>
              <w:top w:w="57" w:type="dxa"/>
              <w:left w:w="57" w:type="dxa"/>
              <w:bottom w:w="85" w:type="dxa"/>
              <w:right w:w="57" w:type="dxa"/>
            </w:tcMar>
            <w:hideMark/>
          </w:tcPr>
          <w:p w14:paraId="3B888106"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0.037</w:t>
            </w:r>
          </w:p>
        </w:tc>
        <w:tc>
          <w:tcPr>
            <w:tcW w:w="1165" w:type="dxa"/>
            <w:noWrap/>
            <w:tcMar>
              <w:top w:w="57" w:type="dxa"/>
              <w:left w:w="57" w:type="dxa"/>
              <w:bottom w:w="85" w:type="dxa"/>
              <w:right w:w="57" w:type="dxa"/>
            </w:tcMar>
            <w:hideMark/>
          </w:tcPr>
          <w:p w14:paraId="7ECAA568"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0.310</w:t>
            </w:r>
          </w:p>
        </w:tc>
        <w:tc>
          <w:tcPr>
            <w:tcW w:w="1287" w:type="dxa"/>
            <w:noWrap/>
            <w:tcMar>
              <w:top w:w="57" w:type="dxa"/>
              <w:left w:w="57" w:type="dxa"/>
              <w:bottom w:w="85" w:type="dxa"/>
              <w:right w:w="57" w:type="dxa"/>
            </w:tcMar>
            <w:hideMark/>
          </w:tcPr>
          <w:p w14:paraId="3F388C01" w14:textId="257233E0"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775FDA8D" w14:textId="4DB8C41F"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33504B69" w14:textId="29371D94"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r>
      <w:tr w:rsidR="00B56DDE" w:rsidRPr="00DC1FA0" w14:paraId="6D4D715E" w14:textId="77777777" w:rsidTr="003C516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35624428" w14:textId="77777777" w:rsidR="00B56DDE" w:rsidRPr="00DC1FA0" w:rsidRDefault="00B56DDE" w:rsidP="00B56DDE">
            <w:pPr>
              <w:pStyle w:val="TableText"/>
              <w:rPr>
                <w:b w:val="0"/>
                <w:bCs w:val="0"/>
              </w:rPr>
            </w:pPr>
            <w:r w:rsidRPr="00DC1FA0">
              <w:rPr>
                <w:b w:val="0"/>
                <w:bCs w:val="0"/>
              </w:rPr>
              <w:t>Total phosphorus</w:t>
            </w:r>
          </w:p>
        </w:tc>
        <w:tc>
          <w:tcPr>
            <w:tcW w:w="1328" w:type="dxa"/>
            <w:noWrap/>
            <w:tcMar>
              <w:top w:w="57" w:type="dxa"/>
              <w:left w:w="57" w:type="dxa"/>
              <w:bottom w:w="85" w:type="dxa"/>
              <w:right w:w="57" w:type="dxa"/>
            </w:tcMar>
            <w:hideMark/>
          </w:tcPr>
          <w:p w14:paraId="15DD7F09"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0.036</w:t>
            </w:r>
          </w:p>
        </w:tc>
        <w:tc>
          <w:tcPr>
            <w:tcW w:w="1165" w:type="dxa"/>
            <w:noWrap/>
            <w:tcMar>
              <w:top w:w="57" w:type="dxa"/>
              <w:left w:w="57" w:type="dxa"/>
              <w:bottom w:w="85" w:type="dxa"/>
              <w:right w:w="57" w:type="dxa"/>
            </w:tcMar>
            <w:hideMark/>
          </w:tcPr>
          <w:p w14:paraId="6D5F4133" w14:textId="77777777" w:rsidR="00B56DDE" w:rsidRPr="00DC1FA0" w:rsidRDefault="00B56DDE" w:rsidP="00B56DDE">
            <w:pPr>
              <w:pStyle w:val="TableText"/>
              <w:cnfStyle w:val="000000010000" w:firstRow="0" w:lastRow="0" w:firstColumn="0" w:lastColumn="0" w:oddVBand="0" w:evenVBand="0" w:oddHBand="0" w:evenHBand="1" w:firstRowFirstColumn="0" w:firstRowLastColumn="0" w:lastRowFirstColumn="0" w:lastRowLastColumn="0"/>
            </w:pPr>
            <w:r w:rsidRPr="00DC1FA0">
              <w:t>0.237</w:t>
            </w:r>
          </w:p>
        </w:tc>
        <w:tc>
          <w:tcPr>
            <w:tcW w:w="1287" w:type="dxa"/>
            <w:noWrap/>
            <w:tcMar>
              <w:top w:w="57" w:type="dxa"/>
              <w:left w:w="57" w:type="dxa"/>
              <w:bottom w:w="85" w:type="dxa"/>
              <w:right w:w="57" w:type="dxa"/>
            </w:tcMar>
            <w:hideMark/>
          </w:tcPr>
          <w:p w14:paraId="7A5545EC" w14:textId="293CE4E1"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34686D70" w14:textId="4448C89B"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253B4186" w14:textId="42768DC2" w:rsidR="00B56DDE" w:rsidRPr="00B56DDE" w:rsidRDefault="00B56DDE" w:rsidP="00B56DDE">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56DDE">
              <w:rPr>
                <w:color w:val="EBEEF5"/>
              </w:rPr>
              <w:t>-</w:t>
            </w:r>
          </w:p>
        </w:tc>
      </w:tr>
      <w:tr w:rsidR="00B56DDE" w:rsidRPr="00DC1FA0" w14:paraId="42E22F0F" w14:textId="77777777" w:rsidTr="003C516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34" w:type="dxa"/>
            <w:noWrap/>
            <w:tcMar>
              <w:top w:w="57" w:type="dxa"/>
              <w:left w:w="57" w:type="dxa"/>
              <w:bottom w:w="85" w:type="dxa"/>
              <w:right w:w="57" w:type="dxa"/>
            </w:tcMar>
            <w:hideMark/>
          </w:tcPr>
          <w:p w14:paraId="4F030C1F" w14:textId="77777777" w:rsidR="00B56DDE" w:rsidRPr="00DC1FA0" w:rsidRDefault="00B56DDE" w:rsidP="00B56DDE">
            <w:pPr>
              <w:pStyle w:val="TableText"/>
              <w:rPr>
                <w:b w:val="0"/>
                <w:bCs w:val="0"/>
              </w:rPr>
            </w:pPr>
            <w:r w:rsidRPr="00DC1FA0">
              <w:rPr>
                <w:b w:val="0"/>
                <w:bCs w:val="0"/>
              </w:rPr>
              <w:t>Dissolved organic carbon</w:t>
            </w:r>
          </w:p>
        </w:tc>
        <w:tc>
          <w:tcPr>
            <w:tcW w:w="1328" w:type="dxa"/>
            <w:noWrap/>
            <w:tcMar>
              <w:top w:w="57" w:type="dxa"/>
              <w:left w:w="57" w:type="dxa"/>
              <w:bottom w:w="85" w:type="dxa"/>
              <w:right w:w="57" w:type="dxa"/>
            </w:tcMar>
            <w:hideMark/>
          </w:tcPr>
          <w:p w14:paraId="42F4ED89"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0.033</w:t>
            </w:r>
          </w:p>
        </w:tc>
        <w:tc>
          <w:tcPr>
            <w:tcW w:w="1165" w:type="dxa"/>
            <w:noWrap/>
            <w:tcMar>
              <w:top w:w="57" w:type="dxa"/>
              <w:left w:w="57" w:type="dxa"/>
              <w:bottom w:w="85" w:type="dxa"/>
              <w:right w:w="57" w:type="dxa"/>
            </w:tcMar>
            <w:hideMark/>
          </w:tcPr>
          <w:p w14:paraId="4949664E" w14:textId="77777777" w:rsidR="00B56DDE" w:rsidRPr="00DC1FA0" w:rsidRDefault="00B56DDE" w:rsidP="00B56DDE">
            <w:pPr>
              <w:pStyle w:val="TableText"/>
              <w:cnfStyle w:val="000000100000" w:firstRow="0" w:lastRow="0" w:firstColumn="0" w:lastColumn="0" w:oddVBand="0" w:evenVBand="0" w:oddHBand="1" w:evenHBand="0" w:firstRowFirstColumn="0" w:firstRowLastColumn="0" w:lastRowFirstColumn="0" w:lastRowLastColumn="0"/>
            </w:pPr>
            <w:r w:rsidRPr="00DC1FA0">
              <w:t>0.428</w:t>
            </w:r>
          </w:p>
        </w:tc>
        <w:tc>
          <w:tcPr>
            <w:tcW w:w="1287" w:type="dxa"/>
            <w:noWrap/>
            <w:tcMar>
              <w:top w:w="57" w:type="dxa"/>
              <w:left w:w="57" w:type="dxa"/>
              <w:bottom w:w="85" w:type="dxa"/>
              <w:right w:w="57" w:type="dxa"/>
            </w:tcMar>
            <w:hideMark/>
          </w:tcPr>
          <w:p w14:paraId="1FE68765" w14:textId="202550AD"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385" w:type="dxa"/>
            <w:noWrap/>
            <w:tcMar>
              <w:top w:w="57" w:type="dxa"/>
              <w:left w:w="57" w:type="dxa"/>
              <w:bottom w:w="85" w:type="dxa"/>
              <w:right w:w="57" w:type="dxa"/>
            </w:tcMar>
            <w:hideMark/>
          </w:tcPr>
          <w:p w14:paraId="69E4E4FC" w14:textId="3744B900"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56DDE">
              <w:rPr>
                <w:color w:val="EBEEF5"/>
              </w:rPr>
              <w:t>-</w:t>
            </w:r>
          </w:p>
        </w:tc>
        <w:tc>
          <w:tcPr>
            <w:tcW w:w="1161" w:type="dxa"/>
            <w:noWrap/>
            <w:tcMar>
              <w:top w:w="57" w:type="dxa"/>
              <w:left w:w="57" w:type="dxa"/>
              <w:bottom w:w="85" w:type="dxa"/>
              <w:right w:w="57" w:type="dxa"/>
            </w:tcMar>
            <w:hideMark/>
          </w:tcPr>
          <w:p w14:paraId="0D3199B3" w14:textId="592920E5" w:rsidR="00B56DDE" w:rsidRPr="00B56DDE" w:rsidRDefault="00B56DDE" w:rsidP="00B56DDE">
            <w:pPr>
              <w:pStyle w:val="TableText"/>
              <w:cnfStyle w:val="000000100000" w:firstRow="0" w:lastRow="0" w:firstColumn="0" w:lastColumn="0" w:oddVBand="0" w:evenVBand="0" w:oddHBand="1" w:evenHBand="0" w:firstRowFirstColumn="0" w:firstRowLastColumn="0" w:lastRowFirstColumn="0" w:lastRowLastColumn="0"/>
              <w:rPr>
                <w:color w:val="EBEEF5"/>
                <w:lang w:val="en-AU"/>
              </w:rPr>
            </w:pPr>
            <w:r w:rsidRPr="00B56DDE">
              <w:rPr>
                <w:color w:val="EBEEF5"/>
              </w:rPr>
              <w:t>-</w:t>
            </w:r>
          </w:p>
        </w:tc>
      </w:tr>
    </w:tbl>
    <w:p w14:paraId="083ACEE7" w14:textId="77777777" w:rsidR="00DC1FA0" w:rsidRDefault="00DC1FA0" w:rsidP="00B56DDE">
      <w:pPr>
        <w:pStyle w:val="TableSourceNotes"/>
      </w:pPr>
      <w:r>
        <w:t>Values in bold were significant (p&lt;0.05).</w:t>
      </w:r>
    </w:p>
    <w:p w14:paraId="1454B6B4" w14:textId="77777777" w:rsidR="00DC1FA0" w:rsidRDefault="00DC1FA0" w:rsidP="00B56DDE">
      <w:pPr>
        <w:pStyle w:val="Heading3Numbered"/>
        <w:numPr>
          <w:ilvl w:val="0"/>
          <w:numId w:val="0"/>
        </w:numPr>
        <w:ind w:left="1276" w:hanging="851"/>
      </w:pPr>
      <w:bookmarkStart w:id="52" w:name="_Toc164960618"/>
      <w:r>
        <w:t>3.2.3</w:t>
      </w:r>
      <w:r>
        <w:tab/>
        <w:t>16S rDNA (prokaryote) simulated metabarcoding (Kelpie)</w:t>
      </w:r>
      <w:bookmarkEnd w:id="52"/>
    </w:p>
    <w:p w14:paraId="10F1C2DA" w14:textId="58F06514" w:rsidR="00DC1FA0" w:rsidRDefault="00DC1FA0" w:rsidP="00DC1FA0">
      <w:pPr>
        <w:pStyle w:val="BodyText"/>
      </w:pPr>
      <w:r>
        <w:t>There was a significant difference in the simulated 16S rDNA metabarcode assemblages compiled using Kelpie 2.0 by aquifer type (p=0.001) and between pre- and post-purge samples (p=0.011) (</w:t>
      </w:r>
      <w:r w:rsidR="00E202FA">
        <w:fldChar w:fldCharType="begin"/>
      </w:r>
      <w:r w:rsidR="00E202FA">
        <w:instrText xml:space="preserve"> REF _Ref164638312 \h </w:instrText>
      </w:r>
      <w:r w:rsidR="00E202FA">
        <w:fldChar w:fldCharType="separate"/>
      </w:r>
      <w:r w:rsidR="00E202FA">
        <w:t xml:space="preserve">Figure </w:t>
      </w:r>
      <w:r w:rsidR="00E202FA">
        <w:rPr>
          <w:noProof/>
        </w:rPr>
        <w:t>14</w:t>
      </w:r>
      <w:r w:rsidR="00E202FA">
        <w:fldChar w:fldCharType="end"/>
      </w:r>
      <w:r>
        <w:t>). There was also a significant difference between bores (p=0.007); however, the catchment x pre-/post-purge interaction was not significant (p=0.079).</w:t>
      </w:r>
    </w:p>
    <w:p w14:paraId="25CCE629" w14:textId="25AAC4A0" w:rsidR="00DC1FA0" w:rsidRDefault="005A6F45" w:rsidP="00EE2F70">
      <w:pPr>
        <w:pStyle w:val="BodyText"/>
        <w:spacing w:after="0"/>
      </w:pPr>
      <w:r>
        <w:rPr>
          <w:noProof/>
        </w:rPr>
        <w:drawing>
          <wp:inline distT="0" distB="0" distL="0" distR="0" wp14:anchorId="2346080B" wp14:editId="00E4C755">
            <wp:extent cx="4648200" cy="3136900"/>
            <wp:effectExtent l="0" t="0" r="0" b="0"/>
            <wp:docPr id="23173198" name="Picture 12"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3198" name="Picture 12" descr="nMDS ordination as described in the previous paragraph"/>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8200" cy="3136900"/>
                    </a:xfrm>
                    <a:prstGeom prst="rect">
                      <a:avLst/>
                    </a:prstGeom>
                  </pic:spPr>
                </pic:pic>
              </a:graphicData>
            </a:graphic>
          </wp:inline>
        </w:drawing>
      </w:r>
    </w:p>
    <w:p w14:paraId="0016A21B" w14:textId="2F638663" w:rsidR="00EE5F48" w:rsidRDefault="00EE5F48" w:rsidP="00EE2F70">
      <w:pPr>
        <w:pStyle w:val="Figureheading"/>
        <w:spacing w:before="0"/>
      </w:pPr>
      <w:bookmarkStart w:id="53" w:name="_Ref164638312"/>
      <w:r>
        <w:t xml:space="preserve">Figure </w:t>
      </w:r>
      <w:r>
        <w:fldChar w:fldCharType="begin"/>
      </w:r>
      <w:r>
        <w:instrText xml:space="preserve"> SEQ Figure \* ARABIC </w:instrText>
      </w:r>
      <w:r>
        <w:fldChar w:fldCharType="separate"/>
      </w:r>
      <w:r>
        <w:rPr>
          <w:noProof/>
        </w:rPr>
        <w:t>14</w:t>
      </w:r>
      <w:r>
        <w:fldChar w:fldCharType="end"/>
      </w:r>
      <w:bookmarkEnd w:id="53"/>
      <w:r w:rsidRPr="00C6525A">
        <w:t>. nMDS ordination of prokaryote assemblages in groundwater based on 16S rDNA genes identified within metagenome data using Kelpie</w:t>
      </w:r>
    </w:p>
    <w:p w14:paraId="4D781C3D" w14:textId="77777777" w:rsidR="00DC1FA0" w:rsidRDefault="00DC1FA0" w:rsidP="00B56DDE">
      <w:pPr>
        <w:pStyle w:val="TableSourceNotes"/>
      </w:pPr>
      <w:r>
        <w:t>Samples represent pre- and post-purge groundwater samples in sandstone and alluvial aquifers.</w:t>
      </w:r>
    </w:p>
    <w:p w14:paraId="1C55D58B" w14:textId="22384ACB" w:rsidR="00DC1FA0" w:rsidRDefault="00DC1FA0" w:rsidP="00B56DDE">
      <w:pPr>
        <w:pStyle w:val="BodyText"/>
        <w:spacing w:before="240"/>
      </w:pPr>
      <w:r>
        <w:t>Simulated 16S rDNA metabarcode assemblages based on Kelpie were significantly correlated with all variables except total phosphorus, oxygen-reduction potential and water level when tested individually (</w:t>
      </w:r>
      <w:r w:rsidR="00E202FA">
        <w:fldChar w:fldCharType="begin"/>
      </w:r>
      <w:r w:rsidR="00E202FA">
        <w:instrText xml:space="preserve"> REF _Ref164638461 \h </w:instrText>
      </w:r>
      <w:r w:rsidR="00E202FA">
        <w:fldChar w:fldCharType="separate"/>
      </w:r>
      <w:r w:rsidR="00E202FA">
        <w:t xml:space="preserve">Table </w:t>
      </w:r>
      <w:r w:rsidR="00E202FA">
        <w:rPr>
          <w:noProof/>
        </w:rPr>
        <w:t>5</w:t>
      </w:r>
      <w:r w:rsidR="00E202FA">
        <w:fldChar w:fldCharType="end"/>
      </w:r>
      <w:r>
        <w:t>). When added sequentially in a stepwise model, only sulfate, DOC, pH and temperature contributed significantly to explaining 33.8% of the variability in the 16S metabarcode assemblages (</w:t>
      </w:r>
      <w:r w:rsidR="00E202FA">
        <w:fldChar w:fldCharType="begin"/>
      </w:r>
      <w:r w:rsidR="00E202FA">
        <w:instrText xml:space="preserve"> REF _Ref164638461 \h </w:instrText>
      </w:r>
      <w:r w:rsidR="00E202FA">
        <w:fldChar w:fldCharType="separate"/>
      </w:r>
      <w:r w:rsidR="00E202FA">
        <w:t xml:space="preserve">Table </w:t>
      </w:r>
      <w:r w:rsidR="00E202FA">
        <w:rPr>
          <w:noProof/>
        </w:rPr>
        <w:t>5</w:t>
      </w:r>
      <w:r w:rsidR="00E202FA">
        <w:fldChar w:fldCharType="end"/>
      </w:r>
      <w:r>
        <w:t>).</w:t>
      </w:r>
    </w:p>
    <w:p w14:paraId="1FF03E8E" w14:textId="7CB214A8" w:rsidR="00036CF4" w:rsidRDefault="00036CF4" w:rsidP="004A09B1">
      <w:pPr>
        <w:pStyle w:val="TABLEHEADING"/>
        <w:keepNext/>
      </w:pPr>
      <w:bookmarkStart w:id="54" w:name="_Ref164638461"/>
      <w:r>
        <w:t xml:space="preserve">Table </w:t>
      </w:r>
      <w:r>
        <w:fldChar w:fldCharType="begin"/>
      </w:r>
      <w:r>
        <w:instrText xml:space="preserve"> SEQ Table \* ARABIC </w:instrText>
      </w:r>
      <w:r>
        <w:fldChar w:fldCharType="separate"/>
      </w:r>
      <w:r w:rsidR="00307B2F">
        <w:rPr>
          <w:noProof/>
        </w:rPr>
        <w:t>5</w:t>
      </w:r>
      <w:r>
        <w:fldChar w:fldCharType="end"/>
      </w:r>
      <w:bookmarkEnd w:id="54"/>
      <w:r w:rsidRPr="005071DA">
        <w:t>. Proportion of variation (r</w:t>
      </w:r>
      <w:r w:rsidRPr="00036CF4">
        <w:rPr>
          <w:vertAlign w:val="superscript"/>
        </w:rPr>
        <w:t>2</w:t>
      </w:r>
      <w:r w:rsidRPr="005071DA">
        <w:t>) in prokaryote assemblages in groundwater based on 16S rDNA genes identified within metagenome data explained by environmental variables individually and in stepwise selection</w:t>
      </w:r>
    </w:p>
    <w:tbl>
      <w:tblPr>
        <w:tblStyle w:val="IESCTABLE1"/>
        <w:tblW w:w="9060" w:type="dxa"/>
        <w:tblLook w:val="04A0" w:firstRow="1" w:lastRow="0" w:firstColumn="1" w:lastColumn="0" w:noHBand="0" w:noVBand="1"/>
      </w:tblPr>
      <w:tblGrid>
        <w:gridCol w:w="2862"/>
        <w:gridCol w:w="1191"/>
        <w:gridCol w:w="1163"/>
        <w:gridCol w:w="1298"/>
        <w:gridCol w:w="1385"/>
        <w:gridCol w:w="1161"/>
      </w:tblGrid>
      <w:tr w:rsidR="00B56DDE" w:rsidRPr="00DC1FA0" w14:paraId="7DFE9C21" w14:textId="77777777" w:rsidTr="00EE2F7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07AE054C" w14:textId="74B8D021" w:rsidR="00B56DDE" w:rsidRPr="00DC1FA0" w:rsidRDefault="00B56DDE" w:rsidP="00B56DDE">
            <w:pPr>
              <w:pStyle w:val="TableHeaderRow"/>
            </w:pPr>
            <w:r w:rsidRPr="00803598">
              <w:rPr>
                <w:b/>
              </w:rPr>
              <w:t>Variable</w:t>
            </w:r>
          </w:p>
        </w:tc>
        <w:tc>
          <w:tcPr>
            <w:tcW w:w="1191" w:type="dxa"/>
            <w:noWrap/>
            <w:tcMar>
              <w:top w:w="57" w:type="dxa"/>
              <w:left w:w="57" w:type="dxa"/>
              <w:bottom w:w="85" w:type="dxa"/>
              <w:right w:w="57" w:type="dxa"/>
            </w:tcMar>
            <w:hideMark/>
          </w:tcPr>
          <w:p w14:paraId="5EDD5E3E" w14:textId="77777777" w:rsidR="00B56DDE" w:rsidRPr="00803598" w:rsidRDefault="00B56DDE" w:rsidP="00B56DDE">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Individual</w:t>
            </w:r>
          </w:p>
          <w:p w14:paraId="3A0DEC48" w14:textId="6D75530D" w:rsidR="00B56DDE" w:rsidRPr="00DC1FA0" w:rsidRDefault="00B56DDE" w:rsidP="00B56DDE">
            <w:pPr>
              <w:pStyle w:val="TableHeaderRow"/>
              <w:spacing w:before="240"/>
              <w:cnfStyle w:val="100000000000" w:firstRow="1" w:lastRow="0" w:firstColumn="0" w:lastColumn="0" w:oddVBand="0" w:evenVBand="0" w:oddHBand="0" w:evenHBand="0" w:firstRowFirstColumn="0" w:firstRowLastColumn="0" w:lastRowFirstColumn="0" w:lastRowLastColumn="0"/>
            </w:pPr>
            <w:r w:rsidRPr="00803598">
              <w:rPr>
                <w:b/>
              </w:rPr>
              <w:t>r</w:t>
            </w:r>
            <w:r w:rsidRPr="00803598">
              <w:rPr>
                <w:b/>
                <w:vertAlign w:val="superscript"/>
              </w:rPr>
              <w:t>2</w:t>
            </w:r>
          </w:p>
        </w:tc>
        <w:tc>
          <w:tcPr>
            <w:tcW w:w="1163" w:type="dxa"/>
            <w:noWrap/>
            <w:tcMar>
              <w:top w:w="57" w:type="dxa"/>
              <w:left w:w="57" w:type="dxa"/>
              <w:bottom w:w="85" w:type="dxa"/>
              <w:right w:w="57" w:type="dxa"/>
            </w:tcMar>
            <w:hideMark/>
          </w:tcPr>
          <w:p w14:paraId="487AB961" w14:textId="77777777" w:rsidR="00016E1B" w:rsidRDefault="00B56DDE" w:rsidP="00B56DDE">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Individual</w:t>
            </w:r>
          </w:p>
          <w:p w14:paraId="432E5E6C" w14:textId="05E54AFF" w:rsidR="00B56DDE" w:rsidRPr="00DC1FA0" w:rsidRDefault="00B56DDE" w:rsidP="00B56DDE">
            <w:pPr>
              <w:pStyle w:val="TableHeaderRow"/>
              <w:spacing w:before="240"/>
              <w:cnfStyle w:val="100000000000" w:firstRow="1" w:lastRow="0" w:firstColumn="0" w:lastColumn="0" w:oddVBand="0" w:evenVBand="0" w:oddHBand="0" w:evenHBand="0" w:firstRowFirstColumn="0" w:firstRowLastColumn="0" w:lastRowFirstColumn="0" w:lastRowLastColumn="0"/>
            </w:pPr>
            <w:r w:rsidRPr="00803598">
              <w:rPr>
                <w:b/>
              </w:rPr>
              <w:t>p</w:t>
            </w:r>
          </w:p>
        </w:tc>
        <w:tc>
          <w:tcPr>
            <w:tcW w:w="1298" w:type="dxa"/>
            <w:noWrap/>
            <w:tcMar>
              <w:top w:w="57" w:type="dxa"/>
              <w:left w:w="57" w:type="dxa"/>
              <w:bottom w:w="85" w:type="dxa"/>
              <w:right w:w="57" w:type="dxa"/>
            </w:tcMar>
            <w:hideMark/>
          </w:tcPr>
          <w:p w14:paraId="4C1A6A40" w14:textId="77777777" w:rsidR="00B56DDE" w:rsidRPr="00803598" w:rsidRDefault="00B56DDE" w:rsidP="00B56DDE">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64E92E06" w14:textId="2C6AED3F" w:rsidR="00B56DDE" w:rsidRPr="00DC1FA0" w:rsidRDefault="00B56DDE" w:rsidP="00B56DDE">
            <w:pPr>
              <w:pStyle w:val="TableHeaderRow"/>
              <w:spacing w:before="240"/>
              <w:cnfStyle w:val="100000000000" w:firstRow="1" w:lastRow="0" w:firstColumn="0" w:lastColumn="0" w:oddVBand="0" w:evenVBand="0" w:oddHBand="0" w:evenHBand="0" w:firstRowFirstColumn="0" w:firstRowLastColumn="0" w:lastRowFirstColumn="0" w:lastRowLastColumn="0"/>
            </w:pPr>
            <w:r w:rsidRPr="00803598">
              <w:rPr>
                <w:b/>
              </w:rPr>
              <w:t>r</w:t>
            </w:r>
            <w:r w:rsidRPr="00803598">
              <w:rPr>
                <w:b/>
                <w:vertAlign w:val="superscript"/>
              </w:rPr>
              <w:t>2</w:t>
            </w:r>
          </w:p>
        </w:tc>
        <w:tc>
          <w:tcPr>
            <w:tcW w:w="1385" w:type="dxa"/>
            <w:noWrap/>
            <w:tcMar>
              <w:top w:w="57" w:type="dxa"/>
              <w:left w:w="57" w:type="dxa"/>
              <w:bottom w:w="85" w:type="dxa"/>
              <w:right w:w="57" w:type="dxa"/>
            </w:tcMar>
            <w:hideMark/>
          </w:tcPr>
          <w:p w14:paraId="10CFCFFB" w14:textId="77777777" w:rsidR="00016E1B" w:rsidRDefault="00B56DDE" w:rsidP="00B56DDE">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60977F62" w14:textId="2726A68A" w:rsidR="00B56DDE" w:rsidRPr="00DC1FA0" w:rsidRDefault="00B56DDE" w:rsidP="00B56DDE">
            <w:pPr>
              <w:pStyle w:val="TableHeaderRow"/>
              <w:spacing w:before="240"/>
              <w:cnfStyle w:val="100000000000" w:firstRow="1" w:lastRow="0" w:firstColumn="0" w:lastColumn="0" w:oddVBand="0" w:evenVBand="0" w:oddHBand="0" w:evenHBand="0" w:firstRowFirstColumn="0" w:firstRowLastColumn="0" w:lastRowFirstColumn="0" w:lastRowLastColumn="0"/>
            </w:pPr>
            <w:r w:rsidRPr="00803598">
              <w:rPr>
                <w:b/>
              </w:rPr>
              <w:t>Cumulative r</w:t>
            </w:r>
            <w:r w:rsidRPr="00803598">
              <w:rPr>
                <w:b/>
                <w:vertAlign w:val="superscript"/>
              </w:rPr>
              <w:t>2</w:t>
            </w:r>
          </w:p>
        </w:tc>
        <w:tc>
          <w:tcPr>
            <w:tcW w:w="1161" w:type="dxa"/>
            <w:noWrap/>
            <w:tcMar>
              <w:top w:w="57" w:type="dxa"/>
              <w:left w:w="57" w:type="dxa"/>
              <w:bottom w:w="85" w:type="dxa"/>
              <w:right w:w="57" w:type="dxa"/>
            </w:tcMar>
            <w:hideMark/>
          </w:tcPr>
          <w:p w14:paraId="085D8299" w14:textId="77777777" w:rsidR="00B56DDE" w:rsidRPr="00803598" w:rsidRDefault="00B56DDE" w:rsidP="00B56DDE">
            <w:pPr>
              <w:pStyle w:val="TableHeaderRow"/>
              <w:cnfStyle w:val="100000000000" w:firstRow="1" w:lastRow="0" w:firstColumn="0" w:lastColumn="0" w:oddVBand="0" w:evenVBand="0" w:oddHBand="0" w:evenHBand="0" w:firstRowFirstColumn="0" w:firstRowLastColumn="0" w:lastRowFirstColumn="0" w:lastRowLastColumn="0"/>
              <w:rPr>
                <w:b/>
              </w:rPr>
            </w:pPr>
            <w:r w:rsidRPr="00803598">
              <w:rPr>
                <w:b/>
              </w:rPr>
              <w:t>Cumulative</w:t>
            </w:r>
          </w:p>
          <w:p w14:paraId="2EFEBF53" w14:textId="0667E973" w:rsidR="00B56DDE" w:rsidRPr="00DC1FA0" w:rsidRDefault="00B56DDE" w:rsidP="00B56DDE">
            <w:pPr>
              <w:pStyle w:val="TableHeaderRow"/>
              <w:spacing w:before="240"/>
              <w:cnfStyle w:val="100000000000" w:firstRow="1" w:lastRow="0" w:firstColumn="0" w:lastColumn="0" w:oddVBand="0" w:evenVBand="0" w:oddHBand="0" w:evenHBand="0" w:firstRowFirstColumn="0" w:firstRowLastColumn="0" w:lastRowFirstColumn="0" w:lastRowLastColumn="0"/>
            </w:pPr>
            <w:r w:rsidRPr="00803598">
              <w:rPr>
                <w:b/>
              </w:rPr>
              <w:t>p</w:t>
            </w:r>
          </w:p>
        </w:tc>
      </w:tr>
      <w:tr w:rsidR="00B56DDE" w:rsidRPr="00DC1FA0" w14:paraId="43D60786"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2BB89B0C" w14:textId="77777777" w:rsidR="00DC1FA0" w:rsidRPr="00B56DDE" w:rsidRDefault="00DC1FA0" w:rsidP="00B56DDE">
            <w:pPr>
              <w:pStyle w:val="TableText"/>
              <w:rPr>
                <w:b w:val="0"/>
              </w:rPr>
            </w:pPr>
            <w:r w:rsidRPr="00B56DDE">
              <w:rPr>
                <w:b w:val="0"/>
              </w:rPr>
              <w:t>Sulfate</w:t>
            </w:r>
          </w:p>
        </w:tc>
        <w:tc>
          <w:tcPr>
            <w:tcW w:w="1191" w:type="dxa"/>
            <w:noWrap/>
            <w:tcMar>
              <w:top w:w="57" w:type="dxa"/>
              <w:left w:w="57" w:type="dxa"/>
              <w:bottom w:w="85" w:type="dxa"/>
              <w:right w:w="57" w:type="dxa"/>
            </w:tcMar>
            <w:hideMark/>
          </w:tcPr>
          <w:p w14:paraId="6420D4FA"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0.097</w:t>
            </w:r>
          </w:p>
        </w:tc>
        <w:tc>
          <w:tcPr>
            <w:tcW w:w="1163" w:type="dxa"/>
            <w:noWrap/>
            <w:tcMar>
              <w:top w:w="57" w:type="dxa"/>
              <w:left w:w="57" w:type="dxa"/>
              <w:bottom w:w="85" w:type="dxa"/>
              <w:right w:w="57" w:type="dxa"/>
            </w:tcMar>
            <w:hideMark/>
          </w:tcPr>
          <w:p w14:paraId="5A976ECF" w14:textId="77777777" w:rsidR="00DC1FA0" w:rsidRPr="00B56DDE" w:rsidRDefault="00DC1FA0" w:rsidP="00B56DDE">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0.001</w:t>
            </w:r>
          </w:p>
        </w:tc>
        <w:tc>
          <w:tcPr>
            <w:tcW w:w="1298" w:type="dxa"/>
            <w:noWrap/>
            <w:tcMar>
              <w:top w:w="57" w:type="dxa"/>
              <w:left w:w="57" w:type="dxa"/>
              <w:bottom w:w="85" w:type="dxa"/>
              <w:right w:w="57" w:type="dxa"/>
            </w:tcMar>
            <w:hideMark/>
          </w:tcPr>
          <w:p w14:paraId="7E82DBEE"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0.097</w:t>
            </w:r>
          </w:p>
        </w:tc>
        <w:tc>
          <w:tcPr>
            <w:tcW w:w="1385" w:type="dxa"/>
            <w:noWrap/>
            <w:tcMar>
              <w:top w:w="57" w:type="dxa"/>
              <w:left w:w="57" w:type="dxa"/>
              <w:bottom w:w="85" w:type="dxa"/>
              <w:right w:w="57" w:type="dxa"/>
            </w:tcMar>
            <w:hideMark/>
          </w:tcPr>
          <w:p w14:paraId="7D3C2667"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0.097</w:t>
            </w:r>
          </w:p>
        </w:tc>
        <w:tc>
          <w:tcPr>
            <w:tcW w:w="1161" w:type="dxa"/>
            <w:noWrap/>
            <w:tcMar>
              <w:top w:w="57" w:type="dxa"/>
              <w:left w:w="57" w:type="dxa"/>
              <w:bottom w:w="85" w:type="dxa"/>
              <w:right w:w="57" w:type="dxa"/>
            </w:tcMar>
            <w:hideMark/>
          </w:tcPr>
          <w:p w14:paraId="079A41AC" w14:textId="77777777" w:rsidR="00DC1FA0" w:rsidRPr="00B56DDE" w:rsidRDefault="00DC1FA0" w:rsidP="00B56DDE">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0.001</w:t>
            </w:r>
          </w:p>
        </w:tc>
      </w:tr>
      <w:tr w:rsidR="00B56DDE" w:rsidRPr="00DC1FA0" w14:paraId="75F8D36C" w14:textId="77777777" w:rsidTr="00EE2F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04EB87AF" w14:textId="77777777" w:rsidR="00DC1FA0" w:rsidRPr="00B56DDE" w:rsidRDefault="00DC1FA0" w:rsidP="00B56DDE">
            <w:pPr>
              <w:pStyle w:val="TableText"/>
              <w:rPr>
                <w:b w:val="0"/>
              </w:rPr>
            </w:pPr>
            <w:r w:rsidRPr="00B56DDE">
              <w:rPr>
                <w:b w:val="0"/>
              </w:rPr>
              <w:t>Dissolved organic carbon</w:t>
            </w:r>
          </w:p>
        </w:tc>
        <w:tc>
          <w:tcPr>
            <w:tcW w:w="1191" w:type="dxa"/>
            <w:noWrap/>
            <w:tcMar>
              <w:top w:w="57" w:type="dxa"/>
              <w:left w:w="57" w:type="dxa"/>
              <w:bottom w:w="85" w:type="dxa"/>
              <w:right w:w="57" w:type="dxa"/>
            </w:tcMar>
            <w:hideMark/>
          </w:tcPr>
          <w:p w14:paraId="5AC0FC8B"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0.095</w:t>
            </w:r>
          </w:p>
        </w:tc>
        <w:tc>
          <w:tcPr>
            <w:tcW w:w="1163" w:type="dxa"/>
            <w:noWrap/>
            <w:tcMar>
              <w:top w:w="57" w:type="dxa"/>
              <w:left w:w="57" w:type="dxa"/>
              <w:bottom w:w="85" w:type="dxa"/>
              <w:right w:w="57" w:type="dxa"/>
            </w:tcMar>
            <w:hideMark/>
          </w:tcPr>
          <w:p w14:paraId="38A554A3" w14:textId="77777777" w:rsidR="00DC1FA0" w:rsidRPr="00B56DDE" w:rsidRDefault="00DC1FA0" w:rsidP="00B56DDE">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0.001</w:t>
            </w:r>
          </w:p>
        </w:tc>
        <w:tc>
          <w:tcPr>
            <w:tcW w:w="1298" w:type="dxa"/>
            <w:noWrap/>
            <w:tcMar>
              <w:top w:w="57" w:type="dxa"/>
              <w:left w:w="57" w:type="dxa"/>
              <w:bottom w:w="85" w:type="dxa"/>
              <w:right w:w="57" w:type="dxa"/>
            </w:tcMar>
            <w:hideMark/>
          </w:tcPr>
          <w:p w14:paraId="39ACB985"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0.097</w:t>
            </w:r>
          </w:p>
        </w:tc>
        <w:tc>
          <w:tcPr>
            <w:tcW w:w="1385" w:type="dxa"/>
            <w:noWrap/>
            <w:tcMar>
              <w:top w:w="57" w:type="dxa"/>
              <w:left w:w="57" w:type="dxa"/>
              <w:bottom w:w="85" w:type="dxa"/>
              <w:right w:w="57" w:type="dxa"/>
            </w:tcMar>
            <w:hideMark/>
          </w:tcPr>
          <w:p w14:paraId="32560805"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0.194</w:t>
            </w:r>
          </w:p>
        </w:tc>
        <w:tc>
          <w:tcPr>
            <w:tcW w:w="1161" w:type="dxa"/>
            <w:noWrap/>
            <w:tcMar>
              <w:top w:w="57" w:type="dxa"/>
              <w:left w:w="57" w:type="dxa"/>
              <w:bottom w:w="85" w:type="dxa"/>
              <w:right w:w="57" w:type="dxa"/>
            </w:tcMar>
            <w:hideMark/>
          </w:tcPr>
          <w:p w14:paraId="297E8674" w14:textId="77777777" w:rsidR="00DC1FA0" w:rsidRPr="00B56DDE" w:rsidRDefault="00DC1FA0" w:rsidP="00B56DDE">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0.001</w:t>
            </w:r>
          </w:p>
        </w:tc>
      </w:tr>
      <w:tr w:rsidR="00B56DDE" w:rsidRPr="00DC1FA0" w14:paraId="0F07C50D"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65D3DAC8" w14:textId="77777777" w:rsidR="00DC1FA0" w:rsidRPr="00B56DDE" w:rsidRDefault="00DC1FA0" w:rsidP="00B56DDE">
            <w:pPr>
              <w:pStyle w:val="TableText"/>
              <w:rPr>
                <w:b w:val="0"/>
              </w:rPr>
            </w:pPr>
            <w:r w:rsidRPr="00B56DDE">
              <w:rPr>
                <w:b w:val="0"/>
              </w:rPr>
              <w:t>pH</w:t>
            </w:r>
          </w:p>
        </w:tc>
        <w:tc>
          <w:tcPr>
            <w:tcW w:w="1191" w:type="dxa"/>
            <w:noWrap/>
            <w:tcMar>
              <w:top w:w="57" w:type="dxa"/>
              <w:left w:w="57" w:type="dxa"/>
              <w:bottom w:w="85" w:type="dxa"/>
              <w:right w:w="57" w:type="dxa"/>
            </w:tcMar>
            <w:hideMark/>
          </w:tcPr>
          <w:p w14:paraId="0B7D10F0"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0.090</w:t>
            </w:r>
          </w:p>
        </w:tc>
        <w:tc>
          <w:tcPr>
            <w:tcW w:w="1163" w:type="dxa"/>
            <w:noWrap/>
            <w:tcMar>
              <w:top w:w="57" w:type="dxa"/>
              <w:left w:w="57" w:type="dxa"/>
              <w:bottom w:w="85" w:type="dxa"/>
              <w:right w:w="57" w:type="dxa"/>
            </w:tcMar>
            <w:hideMark/>
          </w:tcPr>
          <w:p w14:paraId="57FF7857" w14:textId="77777777" w:rsidR="00DC1FA0" w:rsidRPr="00B56DDE" w:rsidRDefault="00DC1FA0" w:rsidP="00B56DDE">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0.006</w:t>
            </w:r>
          </w:p>
        </w:tc>
        <w:tc>
          <w:tcPr>
            <w:tcW w:w="1298" w:type="dxa"/>
            <w:noWrap/>
            <w:tcMar>
              <w:top w:w="57" w:type="dxa"/>
              <w:left w:w="57" w:type="dxa"/>
              <w:bottom w:w="85" w:type="dxa"/>
              <w:right w:w="57" w:type="dxa"/>
            </w:tcMar>
            <w:hideMark/>
          </w:tcPr>
          <w:p w14:paraId="7EB8816F"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0.087</w:t>
            </w:r>
          </w:p>
        </w:tc>
        <w:tc>
          <w:tcPr>
            <w:tcW w:w="1385" w:type="dxa"/>
            <w:noWrap/>
            <w:tcMar>
              <w:top w:w="57" w:type="dxa"/>
              <w:left w:w="57" w:type="dxa"/>
              <w:bottom w:w="85" w:type="dxa"/>
              <w:right w:w="57" w:type="dxa"/>
            </w:tcMar>
            <w:hideMark/>
          </w:tcPr>
          <w:p w14:paraId="074A8BBE" w14:textId="77777777" w:rsidR="00DC1FA0" w:rsidRPr="00DC1FA0" w:rsidRDefault="00DC1FA0" w:rsidP="00B56DDE">
            <w:pPr>
              <w:pStyle w:val="TableText"/>
              <w:cnfStyle w:val="000000100000" w:firstRow="0" w:lastRow="0" w:firstColumn="0" w:lastColumn="0" w:oddVBand="0" w:evenVBand="0" w:oddHBand="1" w:evenHBand="0" w:firstRowFirstColumn="0" w:firstRowLastColumn="0" w:lastRowFirstColumn="0" w:lastRowLastColumn="0"/>
            </w:pPr>
            <w:r w:rsidRPr="00DC1FA0">
              <w:t>0.281</w:t>
            </w:r>
          </w:p>
        </w:tc>
        <w:tc>
          <w:tcPr>
            <w:tcW w:w="1161" w:type="dxa"/>
            <w:noWrap/>
            <w:tcMar>
              <w:top w:w="57" w:type="dxa"/>
              <w:left w:w="57" w:type="dxa"/>
              <w:bottom w:w="85" w:type="dxa"/>
              <w:right w:w="57" w:type="dxa"/>
            </w:tcMar>
            <w:hideMark/>
          </w:tcPr>
          <w:p w14:paraId="51DFBAA2" w14:textId="77777777" w:rsidR="00DC1FA0" w:rsidRPr="00B56DDE" w:rsidRDefault="00DC1FA0" w:rsidP="00B56DDE">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0.003</w:t>
            </w:r>
          </w:p>
        </w:tc>
      </w:tr>
      <w:tr w:rsidR="00B56DDE" w:rsidRPr="00DC1FA0" w14:paraId="7D36F315" w14:textId="77777777" w:rsidTr="00EE2F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381F424A" w14:textId="77777777" w:rsidR="00DC1FA0" w:rsidRPr="00B56DDE" w:rsidRDefault="00DC1FA0" w:rsidP="00B56DDE">
            <w:pPr>
              <w:pStyle w:val="TableText"/>
              <w:rPr>
                <w:b w:val="0"/>
              </w:rPr>
            </w:pPr>
            <w:r w:rsidRPr="00B56DDE">
              <w:rPr>
                <w:b w:val="0"/>
              </w:rPr>
              <w:t>Temperature</w:t>
            </w:r>
          </w:p>
        </w:tc>
        <w:tc>
          <w:tcPr>
            <w:tcW w:w="1191" w:type="dxa"/>
            <w:noWrap/>
            <w:tcMar>
              <w:top w:w="57" w:type="dxa"/>
              <w:left w:w="57" w:type="dxa"/>
              <w:bottom w:w="85" w:type="dxa"/>
              <w:right w:w="57" w:type="dxa"/>
            </w:tcMar>
            <w:hideMark/>
          </w:tcPr>
          <w:p w14:paraId="223EDE10"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0.077</w:t>
            </w:r>
          </w:p>
        </w:tc>
        <w:tc>
          <w:tcPr>
            <w:tcW w:w="1163" w:type="dxa"/>
            <w:noWrap/>
            <w:tcMar>
              <w:top w:w="57" w:type="dxa"/>
              <w:left w:w="57" w:type="dxa"/>
              <w:bottom w:w="85" w:type="dxa"/>
              <w:right w:w="57" w:type="dxa"/>
            </w:tcMar>
            <w:hideMark/>
          </w:tcPr>
          <w:p w14:paraId="60D9C2BC" w14:textId="77777777" w:rsidR="00DC1FA0" w:rsidRPr="00B56DDE" w:rsidRDefault="00DC1FA0" w:rsidP="00B56DDE">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0.007</w:t>
            </w:r>
          </w:p>
        </w:tc>
        <w:tc>
          <w:tcPr>
            <w:tcW w:w="1298" w:type="dxa"/>
            <w:noWrap/>
            <w:tcMar>
              <w:top w:w="57" w:type="dxa"/>
              <w:left w:w="57" w:type="dxa"/>
              <w:bottom w:w="85" w:type="dxa"/>
              <w:right w:w="57" w:type="dxa"/>
            </w:tcMar>
            <w:hideMark/>
          </w:tcPr>
          <w:p w14:paraId="1D10859C"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0.057</w:t>
            </w:r>
          </w:p>
        </w:tc>
        <w:tc>
          <w:tcPr>
            <w:tcW w:w="1385" w:type="dxa"/>
            <w:noWrap/>
            <w:tcMar>
              <w:top w:w="57" w:type="dxa"/>
              <w:left w:w="57" w:type="dxa"/>
              <w:bottom w:w="85" w:type="dxa"/>
              <w:right w:w="57" w:type="dxa"/>
            </w:tcMar>
            <w:hideMark/>
          </w:tcPr>
          <w:p w14:paraId="1DE266F3" w14:textId="77777777" w:rsidR="00DC1FA0" w:rsidRPr="00DC1FA0" w:rsidRDefault="00DC1FA0" w:rsidP="00B56DDE">
            <w:pPr>
              <w:pStyle w:val="TableText"/>
              <w:cnfStyle w:val="000000010000" w:firstRow="0" w:lastRow="0" w:firstColumn="0" w:lastColumn="0" w:oddVBand="0" w:evenVBand="0" w:oddHBand="0" w:evenHBand="1" w:firstRowFirstColumn="0" w:firstRowLastColumn="0" w:lastRowFirstColumn="0" w:lastRowLastColumn="0"/>
            </w:pPr>
            <w:r w:rsidRPr="00DC1FA0">
              <w:t>0.338</w:t>
            </w:r>
          </w:p>
        </w:tc>
        <w:tc>
          <w:tcPr>
            <w:tcW w:w="1161" w:type="dxa"/>
            <w:noWrap/>
            <w:tcMar>
              <w:top w:w="57" w:type="dxa"/>
              <w:left w:w="57" w:type="dxa"/>
              <w:bottom w:w="85" w:type="dxa"/>
              <w:right w:w="57" w:type="dxa"/>
            </w:tcMar>
            <w:hideMark/>
          </w:tcPr>
          <w:p w14:paraId="11943160" w14:textId="77777777" w:rsidR="00DC1FA0" w:rsidRPr="00B56DDE" w:rsidRDefault="00DC1FA0" w:rsidP="00B56DDE">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0.020</w:t>
            </w:r>
          </w:p>
        </w:tc>
      </w:tr>
      <w:tr w:rsidR="00BE5BF7" w:rsidRPr="00DC1FA0" w14:paraId="27BBDD88"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40186A36" w14:textId="77777777" w:rsidR="00BE5BF7" w:rsidRPr="00B56DDE" w:rsidRDefault="00BE5BF7" w:rsidP="00BE5BF7">
            <w:pPr>
              <w:pStyle w:val="TableText"/>
              <w:rPr>
                <w:b w:val="0"/>
              </w:rPr>
            </w:pPr>
            <w:r w:rsidRPr="00B56DDE">
              <w:rPr>
                <w:b w:val="0"/>
              </w:rPr>
              <w:t>Electrical conductivity</w:t>
            </w:r>
          </w:p>
        </w:tc>
        <w:tc>
          <w:tcPr>
            <w:tcW w:w="1191" w:type="dxa"/>
            <w:noWrap/>
            <w:tcMar>
              <w:top w:w="57" w:type="dxa"/>
              <w:left w:w="57" w:type="dxa"/>
              <w:bottom w:w="85" w:type="dxa"/>
              <w:right w:w="57" w:type="dxa"/>
            </w:tcMar>
            <w:hideMark/>
          </w:tcPr>
          <w:p w14:paraId="03AF5D95"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0.090</w:t>
            </w:r>
          </w:p>
        </w:tc>
        <w:tc>
          <w:tcPr>
            <w:tcW w:w="1163" w:type="dxa"/>
            <w:noWrap/>
            <w:tcMar>
              <w:top w:w="57" w:type="dxa"/>
              <w:left w:w="57" w:type="dxa"/>
              <w:bottom w:w="85" w:type="dxa"/>
              <w:right w:w="57" w:type="dxa"/>
            </w:tcMar>
            <w:hideMark/>
          </w:tcPr>
          <w:p w14:paraId="79A5C6F0" w14:textId="77777777" w:rsidR="00BE5BF7" w:rsidRPr="00B56DDE" w:rsidRDefault="00BE5BF7"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0.006</w:t>
            </w:r>
          </w:p>
        </w:tc>
        <w:tc>
          <w:tcPr>
            <w:tcW w:w="1298" w:type="dxa"/>
            <w:noWrap/>
            <w:tcMar>
              <w:top w:w="57" w:type="dxa"/>
              <w:left w:w="57" w:type="dxa"/>
              <w:bottom w:w="85" w:type="dxa"/>
              <w:right w:w="57" w:type="dxa"/>
            </w:tcMar>
            <w:hideMark/>
          </w:tcPr>
          <w:p w14:paraId="67CDCCA9" w14:textId="0C33D068"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5D3169C0" w14:textId="06437B30"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4BB2DC57" w14:textId="19A1A713"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328034AC" w14:textId="77777777" w:rsidTr="00EE2F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6D2E81C5" w14:textId="77777777" w:rsidR="00BE5BF7" w:rsidRPr="00B56DDE" w:rsidRDefault="00BE5BF7" w:rsidP="00BE5BF7">
            <w:pPr>
              <w:pStyle w:val="TableText"/>
              <w:rPr>
                <w:b w:val="0"/>
              </w:rPr>
            </w:pPr>
            <w:r w:rsidRPr="00B56DDE">
              <w:rPr>
                <w:b w:val="0"/>
              </w:rPr>
              <w:t>Total nitrogen</w:t>
            </w:r>
          </w:p>
        </w:tc>
        <w:tc>
          <w:tcPr>
            <w:tcW w:w="1191" w:type="dxa"/>
            <w:noWrap/>
            <w:tcMar>
              <w:top w:w="57" w:type="dxa"/>
              <w:left w:w="57" w:type="dxa"/>
              <w:bottom w:w="85" w:type="dxa"/>
              <w:right w:w="57" w:type="dxa"/>
            </w:tcMar>
            <w:hideMark/>
          </w:tcPr>
          <w:p w14:paraId="2C355AD4"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0.088</w:t>
            </w:r>
          </w:p>
        </w:tc>
        <w:tc>
          <w:tcPr>
            <w:tcW w:w="1163" w:type="dxa"/>
            <w:noWrap/>
            <w:tcMar>
              <w:top w:w="57" w:type="dxa"/>
              <w:left w:w="57" w:type="dxa"/>
              <w:bottom w:w="85" w:type="dxa"/>
              <w:right w:w="57" w:type="dxa"/>
            </w:tcMar>
            <w:hideMark/>
          </w:tcPr>
          <w:p w14:paraId="15EA3F06" w14:textId="77777777" w:rsidR="00BE5BF7" w:rsidRPr="00B56DDE" w:rsidRDefault="00BE5BF7"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0.002</w:t>
            </w:r>
          </w:p>
        </w:tc>
        <w:tc>
          <w:tcPr>
            <w:tcW w:w="1298" w:type="dxa"/>
            <w:noWrap/>
            <w:tcMar>
              <w:top w:w="57" w:type="dxa"/>
              <w:left w:w="57" w:type="dxa"/>
              <w:bottom w:w="85" w:type="dxa"/>
              <w:right w:w="57" w:type="dxa"/>
            </w:tcMar>
            <w:hideMark/>
          </w:tcPr>
          <w:p w14:paraId="56809202" w14:textId="3ACEE698"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1D6E45D9" w14:textId="65D99A35"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2A7A579F" w14:textId="69934324"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1434D1DD"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7B717004" w14:textId="77777777" w:rsidR="00BE5BF7" w:rsidRPr="00B56DDE" w:rsidRDefault="00BE5BF7" w:rsidP="00BE5BF7">
            <w:pPr>
              <w:pStyle w:val="TableText"/>
              <w:rPr>
                <w:b w:val="0"/>
              </w:rPr>
            </w:pPr>
            <w:r w:rsidRPr="00B56DDE">
              <w:rPr>
                <w:b w:val="0"/>
              </w:rPr>
              <w:t>Dissolved oxygen</w:t>
            </w:r>
          </w:p>
        </w:tc>
        <w:tc>
          <w:tcPr>
            <w:tcW w:w="1191" w:type="dxa"/>
            <w:noWrap/>
            <w:tcMar>
              <w:top w:w="57" w:type="dxa"/>
              <w:left w:w="57" w:type="dxa"/>
              <w:bottom w:w="85" w:type="dxa"/>
              <w:right w:w="57" w:type="dxa"/>
            </w:tcMar>
            <w:hideMark/>
          </w:tcPr>
          <w:p w14:paraId="49E338DF"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0.084</w:t>
            </w:r>
          </w:p>
        </w:tc>
        <w:tc>
          <w:tcPr>
            <w:tcW w:w="1163" w:type="dxa"/>
            <w:noWrap/>
            <w:tcMar>
              <w:top w:w="57" w:type="dxa"/>
              <w:left w:w="57" w:type="dxa"/>
              <w:bottom w:w="85" w:type="dxa"/>
              <w:right w:w="57" w:type="dxa"/>
            </w:tcMar>
            <w:hideMark/>
          </w:tcPr>
          <w:p w14:paraId="2D09A0C0" w14:textId="77777777" w:rsidR="00BE5BF7" w:rsidRPr="00B56DDE" w:rsidRDefault="00BE5BF7"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56DDE">
              <w:rPr>
                <w:b/>
                <w:bCs/>
              </w:rPr>
              <w:t>0.007</w:t>
            </w:r>
          </w:p>
        </w:tc>
        <w:tc>
          <w:tcPr>
            <w:tcW w:w="1298" w:type="dxa"/>
            <w:noWrap/>
            <w:tcMar>
              <w:top w:w="57" w:type="dxa"/>
              <w:left w:w="57" w:type="dxa"/>
              <w:bottom w:w="85" w:type="dxa"/>
              <w:right w:w="57" w:type="dxa"/>
            </w:tcMar>
            <w:hideMark/>
          </w:tcPr>
          <w:p w14:paraId="6568A224" w14:textId="2E7133A1"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7A212859" w14:textId="67FDBED0"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515E666" w14:textId="5183A19B"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674A915B" w14:textId="77777777" w:rsidTr="00EE2F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4963D9F6" w14:textId="77777777" w:rsidR="00BE5BF7" w:rsidRPr="00B56DDE" w:rsidRDefault="00BE5BF7" w:rsidP="00BE5BF7">
            <w:pPr>
              <w:pStyle w:val="TableText"/>
              <w:rPr>
                <w:b w:val="0"/>
              </w:rPr>
            </w:pPr>
            <w:r w:rsidRPr="00B56DDE">
              <w:rPr>
                <w:b w:val="0"/>
              </w:rPr>
              <w:t>Mean slot depth</w:t>
            </w:r>
          </w:p>
        </w:tc>
        <w:tc>
          <w:tcPr>
            <w:tcW w:w="1191" w:type="dxa"/>
            <w:noWrap/>
            <w:tcMar>
              <w:top w:w="57" w:type="dxa"/>
              <w:left w:w="57" w:type="dxa"/>
              <w:bottom w:w="85" w:type="dxa"/>
              <w:right w:w="57" w:type="dxa"/>
            </w:tcMar>
            <w:hideMark/>
          </w:tcPr>
          <w:p w14:paraId="16AD8192"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0.063</w:t>
            </w:r>
          </w:p>
        </w:tc>
        <w:tc>
          <w:tcPr>
            <w:tcW w:w="1163" w:type="dxa"/>
            <w:noWrap/>
            <w:tcMar>
              <w:top w:w="57" w:type="dxa"/>
              <w:left w:w="57" w:type="dxa"/>
              <w:bottom w:w="85" w:type="dxa"/>
              <w:right w:w="57" w:type="dxa"/>
            </w:tcMar>
            <w:hideMark/>
          </w:tcPr>
          <w:p w14:paraId="1950714B" w14:textId="77777777" w:rsidR="00BE5BF7" w:rsidRPr="00B56DDE" w:rsidRDefault="00BE5BF7"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56DDE">
              <w:rPr>
                <w:b/>
                <w:bCs/>
              </w:rPr>
              <w:t>0.043</w:t>
            </w:r>
          </w:p>
        </w:tc>
        <w:tc>
          <w:tcPr>
            <w:tcW w:w="1298" w:type="dxa"/>
            <w:noWrap/>
            <w:tcMar>
              <w:top w:w="57" w:type="dxa"/>
              <w:left w:w="57" w:type="dxa"/>
              <w:bottom w:w="85" w:type="dxa"/>
              <w:right w:w="57" w:type="dxa"/>
            </w:tcMar>
            <w:hideMark/>
          </w:tcPr>
          <w:p w14:paraId="3E170703" w14:textId="47D67C3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1474E3D8" w14:textId="0C8E306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355A291" w14:textId="41DB95DE"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089F137B"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32B7337D" w14:textId="77777777" w:rsidR="00BE5BF7" w:rsidRPr="00B56DDE" w:rsidRDefault="00BE5BF7" w:rsidP="00BE5BF7">
            <w:pPr>
              <w:pStyle w:val="TableText"/>
              <w:rPr>
                <w:b w:val="0"/>
              </w:rPr>
            </w:pPr>
            <w:r w:rsidRPr="00B56DDE">
              <w:rPr>
                <w:b w:val="0"/>
              </w:rPr>
              <w:t>Total phosphorus</w:t>
            </w:r>
          </w:p>
        </w:tc>
        <w:tc>
          <w:tcPr>
            <w:tcW w:w="1191" w:type="dxa"/>
            <w:noWrap/>
            <w:tcMar>
              <w:top w:w="57" w:type="dxa"/>
              <w:left w:w="57" w:type="dxa"/>
              <w:bottom w:w="85" w:type="dxa"/>
              <w:right w:w="57" w:type="dxa"/>
            </w:tcMar>
            <w:hideMark/>
          </w:tcPr>
          <w:p w14:paraId="393F1DAC"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0.051</w:t>
            </w:r>
          </w:p>
        </w:tc>
        <w:tc>
          <w:tcPr>
            <w:tcW w:w="1163" w:type="dxa"/>
            <w:noWrap/>
            <w:tcMar>
              <w:top w:w="57" w:type="dxa"/>
              <w:left w:w="57" w:type="dxa"/>
              <w:bottom w:w="85" w:type="dxa"/>
              <w:right w:w="57" w:type="dxa"/>
            </w:tcMar>
            <w:hideMark/>
          </w:tcPr>
          <w:p w14:paraId="45623277"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0.135</w:t>
            </w:r>
          </w:p>
        </w:tc>
        <w:tc>
          <w:tcPr>
            <w:tcW w:w="1298" w:type="dxa"/>
            <w:noWrap/>
            <w:tcMar>
              <w:top w:w="57" w:type="dxa"/>
              <w:left w:w="57" w:type="dxa"/>
              <w:bottom w:w="85" w:type="dxa"/>
              <w:right w:w="57" w:type="dxa"/>
            </w:tcMar>
            <w:hideMark/>
          </w:tcPr>
          <w:p w14:paraId="6336D70B" w14:textId="0A68CDFC"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49E4BCB4" w14:textId="45E44034"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7281AF5" w14:textId="2011485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3C74060E" w14:textId="77777777" w:rsidTr="00EE2F70">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59BB0D6E" w14:textId="77777777" w:rsidR="00BE5BF7" w:rsidRPr="00B56DDE" w:rsidRDefault="00BE5BF7" w:rsidP="00BE5BF7">
            <w:pPr>
              <w:pStyle w:val="TableText"/>
              <w:rPr>
                <w:b w:val="0"/>
              </w:rPr>
            </w:pPr>
            <w:r w:rsidRPr="00B56DDE">
              <w:rPr>
                <w:b w:val="0"/>
              </w:rPr>
              <w:t>Oxidation-reduction potential</w:t>
            </w:r>
          </w:p>
        </w:tc>
        <w:tc>
          <w:tcPr>
            <w:tcW w:w="1191" w:type="dxa"/>
            <w:noWrap/>
            <w:tcMar>
              <w:top w:w="57" w:type="dxa"/>
              <w:left w:w="57" w:type="dxa"/>
              <w:bottom w:w="85" w:type="dxa"/>
              <w:right w:w="57" w:type="dxa"/>
            </w:tcMar>
            <w:hideMark/>
          </w:tcPr>
          <w:p w14:paraId="77FF1431"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0.048</w:t>
            </w:r>
          </w:p>
        </w:tc>
        <w:tc>
          <w:tcPr>
            <w:tcW w:w="1163" w:type="dxa"/>
            <w:noWrap/>
            <w:tcMar>
              <w:top w:w="57" w:type="dxa"/>
              <w:left w:w="57" w:type="dxa"/>
              <w:bottom w:w="85" w:type="dxa"/>
              <w:right w:w="57" w:type="dxa"/>
            </w:tcMar>
            <w:hideMark/>
          </w:tcPr>
          <w:p w14:paraId="0FB696D6"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0.154</w:t>
            </w:r>
          </w:p>
        </w:tc>
        <w:tc>
          <w:tcPr>
            <w:tcW w:w="1298" w:type="dxa"/>
            <w:noWrap/>
            <w:tcMar>
              <w:top w:w="57" w:type="dxa"/>
              <w:left w:w="57" w:type="dxa"/>
              <w:bottom w:w="85" w:type="dxa"/>
              <w:right w:w="57" w:type="dxa"/>
            </w:tcMar>
            <w:hideMark/>
          </w:tcPr>
          <w:p w14:paraId="6AC54CF5" w14:textId="71B2FB42"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2E263C34" w14:textId="607FE1B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0BE071A2" w14:textId="5210A0D2"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3FAD379B" w14:textId="77777777" w:rsidTr="00EE2F70">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862" w:type="dxa"/>
            <w:noWrap/>
            <w:tcMar>
              <w:top w:w="57" w:type="dxa"/>
              <w:left w:w="57" w:type="dxa"/>
              <w:bottom w:w="85" w:type="dxa"/>
              <w:right w:w="57" w:type="dxa"/>
            </w:tcMar>
            <w:hideMark/>
          </w:tcPr>
          <w:p w14:paraId="4A191563" w14:textId="77777777" w:rsidR="00BE5BF7" w:rsidRPr="00B56DDE" w:rsidRDefault="00BE5BF7" w:rsidP="00BE5BF7">
            <w:pPr>
              <w:pStyle w:val="TableText"/>
              <w:rPr>
                <w:b w:val="0"/>
              </w:rPr>
            </w:pPr>
            <w:r w:rsidRPr="00B56DDE">
              <w:rPr>
                <w:b w:val="0"/>
              </w:rPr>
              <w:t>Water level</w:t>
            </w:r>
          </w:p>
        </w:tc>
        <w:tc>
          <w:tcPr>
            <w:tcW w:w="1191" w:type="dxa"/>
            <w:noWrap/>
            <w:tcMar>
              <w:top w:w="57" w:type="dxa"/>
              <w:left w:w="57" w:type="dxa"/>
              <w:bottom w:w="85" w:type="dxa"/>
              <w:right w:w="57" w:type="dxa"/>
            </w:tcMar>
            <w:hideMark/>
          </w:tcPr>
          <w:p w14:paraId="3F5649B0"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0.041</w:t>
            </w:r>
          </w:p>
        </w:tc>
        <w:tc>
          <w:tcPr>
            <w:tcW w:w="1163" w:type="dxa"/>
            <w:noWrap/>
            <w:tcMar>
              <w:top w:w="57" w:type="dxa"/>
              <w:left w:w="57" w:type="dxa"/>
              <w:bottom w:w="85" w:type="dxa"/>
              <w:right w:w="57" w:type="dxa"/>
            </w:tcMar>
            <w:hideMark/>
          </w:tcPr>
          <w:p w14:paraId="6C55ACCB"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0.297</w:t>
            </w:r>
          </w:p>
        </w:tc>
        <w:tc>
          <w:tcPr>
            <w:tcW w:w="1298" w:type="dxa"/>
            <w:noWrap/>
            <w:tcMar>
              <w:top w:w="57" w:type="dxa"/>
              <w:left w:w="57" w:type="dxa"/>
              <w:bottom w:w="85" w:type="dxa"/>
              <w:right w:w="57" w:type="dxa"/>
            </w:tcMar>
            <w:hideMark/>
          </w:tcPr>
          <w:p w14:paraId="2DD2C901" w14:textId="7A5E1473"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5" w:type="dxa"/>
            <w:noWrap/>
            <w:tcMar>
              <w:top w:w="57" w:type="dxa"/>
              <w:left w:w="57" w:type="dxa"/>
              <w:bottom w:w="85" w:type="dxa"/>
              <w:right w:w="57" w:type="dxa"/>
            </w:tcMar>
            <w:hideMark/>
          </w:tcPr>
          <w:p w14:paraId="0A75FC5D" w14:textId="2503B0C8"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B5F3CD2" w14:textId="62F67E1D"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bl>
    <w:p w14:paraId="5D7076D4" w14:textId="77777777" w:rsidR="00DC1FA0" w:rsidRDefault="00DC1FA0" w:rsidP="00BE5BF7">
      <w:pPr>
        <w:pStyle w:val="TableSourceNotes"/>
      </w:pPr>
      <w:r>
        <w:t>Values in bold were significant (p&lt;0.05).</w:t>
      </w:r>
    </w:p>
    <w:p w14:paraId="05C24B21" w14:textId="77777777" w:rsidR="00016E1B" w:rsidRDefault="00DC1FA0" w:rsidP="00BE5BF7">
      <w:pPr>
        <w:pStyle w:val="Heading3Numbered"/>
        <w:numPr>
          <w:ilvl w:val="0"/>
          <w:numId w:val="0"/>
        </w:numPr>
        <w:ind w:left="1276" w:hanging="851"/>
      </w:pPr>
      <w:bookmarkStart w:id="55" w:name="_Toc164960619"/>
      <w:r>
        <w:t>3.2.4</w:t>
      </w:r>
      <w:r>
        <w:tab/>
        <w:t>18S rDNA (eukaryote) simulated metabarcoding (Kelpie)</w:t>
      </w:r>
      <w:bookmarkEnd w:id="55"/>
    </w:p>
    <w:p w14:paraId="7A345097" w14:textId="71F86397" w:rsidR="00DC1FA0" w:rsidRDefault="00DC1FA0" w:rsidP="00DC1FA0">
      <w:pPr>
        <w:pStyle w:val="BodyText"/>
      </w:pPr>
      <w:r>
        <w:t>There was a significant difference in the simulated 18S rDNA metabarcode assemblages compiled using Kelpie 2.0 by aquifer type (p=0.001) and between pre- and post-purge samples (p=0.023) (</w:t>
      </w:r>
      <w:r w:rsidR="00E202FA">
        <w:fldChar w:fldCharType="begin"/>
      </w:r>
      <w:r w:rsidR="00E202FA">
        <w:instrText xml:space="preserve"> REF _Ref164638323 \h </w:instrText>
      </w:r>
      <w:r w:rsidR="00E202FA">
        <w:fldChar w:fldCharType="separate"/>
      </w:r>
      <w:r w:rsidR="00E202FA">
        <w:t xml:space="preserve">Figure </w:t>
      </w:r>
      <w:r w:rsidR="00E202FA">
        <w:rPr>
          <w:noProof/>
        </w:rPr>
        <w:t>15</w:t>
      </w:r>
      <w:r w:rsidR="00E202FA">
        <w:fldChar w:fldCharType="end"/>
      </w:r>
      <w:r>
        <w:t>). There was also a significant difference between bores (p=0.012); however, the catchment x pre-/post-purge interaction was not significant (p=0.324). When examined collectively, 23.3% of the variation in the 18S rDNA simulated eukaryote data (derived from Kelpie) could be explained by EC, TN, mean slot depth and DO (</w:t>
      </w:r>
      <w:r w:rsidR="00E202FA">
        <w:fldChar w:fldCharType="begin"/>
      </w:r>
      <w:r w:rsidR="00E202FA">
        <w:instrText xml:space="preserve"> REF _Ref164638480 \h </w:instrText>
      </w:r>
      <w:r w:rsidR="00E202FA">
        <w:fldChar w:fldCharType="separate"/>
      </w:r>
      <w:r w:rsidR="00E202FA">
        <w:t xml:space="preserve">Table </w:t>
      </w:r>
      <w:r w:rsidR="00E202FA">
        <w:rPr>
          <w:noProof/>
        </w:rPr>
        <w:t>6</w:t>
      </w:r>
      <w:r w:rsidR="00E202FA">
        <w:fldChar w:fldCharType="end"/>
      </w:r>
      <w:r>
        <w:t>).</w:t>
      </w:r>
    </w:p>
    <w:p w14:paraId="4404AC6A" w14:textId="602ECB09" w:rsidR="00DC1FA0" w:rsidRDefault="005A6F45" w:rsidP="00EE2F70">
      <w:pPr>
        <w:pStyle w:val="BodyText"/>
        <w:spacing w:after="0"/>
      </w:pPr>
      <w:r>
        <w:rPr>
          <w:noProof/>
        </w:rPr>
        <w:drawing>
          <wp:inline distT="0" distB="0" distL="0" distR="0" wp14:anchorId="7E30019E" wp14:editId="4F1B915E">
            <wp:extent cx="4838700" cy="3263900"/>
            <wp:effectExtent l="0" t="0" r="0" b="0"/>
            <wp:docPr id="542756640" name="Picture 13"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56640" name="Picture 13" descr="nMDS ordination as described in the previous paragraph"/>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38700" cy="3263900"/>
                    </a:xfrm>
                    <a:prstGeom prst="rect">
                      <a:avLst/>
                    </a:prstGeom>
                  </pic:spPr>
                </pic:pic>
              </a:graphicData>
            </a:graphic>
          </wp:inline>
        </w:drawing>
      </w:r>
    </w:p>
    <w:p w14:paraId="00C34CCD" w14:textId="59232EB9" w:rsidR="00EE5F48" w:rsidRPr="00EE5F48" w:rsidRDefault="00EE5F48" w:rsidP="00EE2F70">
      <w:pPr>
        <w:pStyle w:val="Figureheading"/>
        <w:spacing w:before="0"/>
      </w:pPr>
      <w:bookmarkStart w:id="56" w:name="_Ref164638323"/>
      <w:r>
        <w:t xml:space="preserve">Figure </w:t>
      </w:r>
      <w:r>
        <w:fldChar w:fldCharType="begin"/>
      </w:r>
      <w:r>
        <w:instrText xml:space="preserve"> SEQ Figure \* ARABIC </w:instrText>
      </w:r>
      <w:r>
        <w:fldChar w:fldCharType="separate"/>
      </w:r>
      <w:r>
        <w:rPr>
          <w:noProof/>
        </w:rPr>
        <w:t>15</w:t>
      </w:r>
      <w:r>
        <w:fldChar w:fldCharType="end"/>
      </w:r>
      <w:bookmarkEnd w:id="56"/>
      <w:r w:rsidRPr="004864F3">
        <w:t>. nMDS ordination of eukaryote assemblages in groundwater based on 18S rDNA genes identified within metagenome data using Kelpie</w:t>
      </w:r>
    </w:p>
    <w:p w14:paraId="19C06638" w14:textId="2A225B53" w:rsidR="00DC1FA0" w:rsidRDefault="00DC1FA0" w:rsidP="00BE5BF7">
      <w:pPr>
        <w:pStyle w:val="TableSourceNotes"/>
      </w:pPr>
      <w:r>
        <w:t>Samples represent pre- and post-purge groundwater samples in sandstone and alluvial aquifers.</w:t>
      </w:r>
    </w:p>
    <w:p w14:paraId="66E60F51" w14:textId="3B6FE2B6" w:rsidR="004A09B1" w:rsidRDefault="004A09B1" w:rsidP="00130B8A">
      <w:pPr>
        <w:pStyle w:val="TABLEHEADING"/>
        <w:keepNext/>
      </w:pPr>
      <w:bookmarkStart w:id="57" w:name="_Ref164638480"/>
      <w:r>
        <w:t xml:space="preserve">Table </w:t>
      </w:r>
      <w:r>
        <w:fldChar w:fldCharType="begin"/>
      </w:r>
      <w:r>
        <w:instrText xml:space="preserve"> SEQ Table \* ARABIC </w:instrText>
      </w:r>
      <w:r>
        <w:fldChar w:fldCharType="separate"/>
      </w:r>
      <w:r w:rsidR="00307B2F">
        <w:rPr>
          <w:noProof/>
        </w:rPr>
        <w:t>6</w:t>
      </w:r>
      <w:r>
        <w:fldChar w:fldCharType="end"/>
      </w:r>
      <w:bookmarkEnd w:id="57"/>
      <w:r w:rsidRPr="00753CB2">
        <w:t>. Proportion of variation (r</w:t>
      </w:r>
      <w:r w:rsidRPr="004A09B1">
        <w:rPr>
          <w:vertAlign w:val="superscript"/>
        </w:rPr>
        <w:t>2</w:t>
      </w:r>
      <w:r w:rsidRPr="00753CB2">
        <w:t>) in eukaryote assemblages in groundwater based on 18S rDNA genes identified within metagenome data explained by environmental variables individually and in stepwise selection</w:t>
      </w:r>
    </w:p>
    <w:tbl>
      <w:tblPr>
        <w:tblStyle w:val="IESCTABLE1"/>
        <w:tblW w:w="9060" w:type="dxa"/>
        <w:tblLook w:val="04A0" w:firstRow="1" w:lastRow="0" w:firstColumn="1" w:lastColumn="0" w:noHBand="0" w:noVBand="1"/>
      </w:tblPr>
      <w:tblGrid>
        <w:gridCol w:w="2778"/>
        <w:gridCol w:w="1304"/>
        <w:gridCol w:w="1151"/>
        <w:gridCol w:w="1282"/>
        <w:gridCol w:w="1384"/>
        <w:gridCol w:w="1161"/>
      </w:tblGrid>
      <w:tr w:rsidR="00BE5BF7" w:rsidRPr="00DC1FA0" w14:paraId="0BE82C0D" w14:textId="77777777" w:rsidTr="003C5164">
        <w:trPr>
          <w:cnfStyle w:val="100000000000" w:firstRow="1" w:lastRow="0" w:firstColumn="0" w:lastColumn="0" w:oddVBand="0" w:evenVBand="0" w:oddHBand="0" w:evenHBand="0" w:firstRowFirstColumn="0" w:firstRowLastColumn="0" w:lastRowFirstColumn="0" w:lastRowLastColumn="0"/>
          <w:cantSplit/>
          <w:trHeight w:hRule="exact" w:val="907"/>
          <w:tblHeader/>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3FA08AA5" w14:textId="2ACAE6A0" w:rsidR="00BE5BF7" w:rsidRPr="00BE5BF7" w:rsidRDefault="00BE5BF7" w:rsidP="00BE5BF7">
            <w:pPr>
              <w:pStyle w:val="TableHeaderRow"/>
              <w:rPr>
                <w:b/>
              </w:rPr>
            </w:pPr>
            <w:r w:rsidRPr="00BE5BF7">
              <w:rPr>
                <w:b/>
              </w:rPr>
              <w:t>Variable</w:t>
            </w:r>
          </w:p>
        </w:tc>
        <w:tc>
          <w:tcPr>
            <w:tcW w:w="1304" w:type="dxa"/>
            <w:noWrap/>
            <w:tcMar>
              <w:top w:w="57" w:type="dxa"/>
              <w:left w:w="57" w:type="dxa"/>
              <w:bottom w:w="85" w:type="dxa"/>
              <w:right w:w="57" w:type="dxa"/>
            </w:tcMar>
            <w:hideMark/>
          </w:tcPr>
          <w:p w14:paraId="6DDE93F4"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Individual</w:t>
            </w:r>
          </w:p>
          <w:p w14:paraId="0CF3B363" w14:textId="0EDEDC1F" w:rsidR="00BE5BF7" w:rsidRPr="00BE5BF7" w:rsidRDefault="00BE5BF7"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r</w:t>
            </w:r>
            <w:r w:rsidRPr="00BE5BF7">
              <w:rPr>
                <w:b/>
                <w:vertAlign w:val="superscript"/>
              </w:rPr>
              <w:t>2</w:t>
            </w:r>
          </w:p>
        </w:tc>
        <w:tc>
          <w:tcPr>
            <w:tcW w:w="1151" w:type="dxa"/>
            <w:noWrap/>
            <w:tcMar>
              <w:top w:w="57" w:type="dxa"/>
              <w:left w:w="57" w:type="dxa"/>
              <w:bottom w:w="85" w:type="dxa"/>
              <w:right w:w="57" w:type="dxa"/>
            </w:tcMar>
            <w:hideMark/>
          </w:tcPr>
          <w:p w14:paraId="7A75E076" w14:textId="77777777" w:rsidR="00016E1B"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Individual</w:t>
            </w:r>
          </w:p>
          <w:p w14:paraId="7C358F77" w14:textId="09C8E13F" w:rsidR="00BE5BF7" w:rsidRPr="00BE5BF7" w:rsidRDefault="00BE5BF7"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p</w:t>
            </w:r>
          </w:p>
        </w:tc>
        <w:tc>
          <w:tcPr>
            <w:tcW w:w="1282" w:type="dxa"/>
            <w:noWrap/>
            <w:tcMar>
              <w:top w:w="57" w:type="dxa"/>
              <w:left w:w="57" w:type="dxa"/>
              <w:bottom w:w="85" w:type="dxa"/>
              <w:right w:w="57" w:type="dxa"/>
            </w:tcMar>
            <w:hideMark/>
          </w:tcPr>
          <w:p w14:paraId="0F6E2BF6"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2DCDB268" w14:textId="1099461A" w:rsidR="00BE5BF7" w:rsidRPr="00BE5BF7" w:rsidRDefault="00BE5BF7"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r</w:t>
            </w:r>
            <w:r w:rsidRPr="00BE5BF7">
              <w:rPr>
                <w:b/>
                <w:vertAlign w:val="superscript"/>
              </w:rPr>
              <w:t>2</w:t>
            </w:r>
          </w:p>
        </w:tc>
        <w:tc>
          <w:tcPr>
            <w:tcW w:w="1384" w:type="dxa"/>
            <w:noWrap/>
            <w:tcMar>
              <w:top w:w="57" w:type="dxa"/>
              <w:left w:w="57" w:type="dxa"/>
              <w:bottom w:w="85" w:type="dxa"/>
              <w:right w:w="57" w:type="dxa"/>
            </w:tcMar>
            <w:hideMark/>
          </w:tcPr>
          <w:p w14:paraId="4DDA3134" w14:textId="77777777" w:rsidR="00016E1B"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47420218" w14:textId="17310003" w:rsidR="00BE5BF7" w:rsidRPr="00BE5BF7" w:rsidRDefault="00BE5BF7"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Cumulative r</w:t>
            </w:r>
            <w:r w:rsidRPr="00BE5BF7">
              <w:rPr>
                <w:b/>
                <w:vertAlign w:val="superscript"/>
              </w:rPr>
              <w:t>2</w:t>
            </w:r>
          </w:p>
        </w:tc>
        <w:tc>
          <w:tcPr>
            <w:tcW w:w="1161" w:type="dxa"/>
            <w:noWrap/>
            <w:tcMar>
              <w:top w:w="57" w:type="dxa"/>
              <w:left w:w="57" w:type="dxa"/>
              <w:bottom w:w="85" w:type="dxa"/>
              <w:right w:w="57" w:type="dxa"/>
            </w:tcMar>
            <w:hideMark/>
          </w:tcPr>
          <w:p w14:paraId="15C37F30"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4A57230B" w14:textId="07F32238" w:rsidR="00BE5BF7" w:rsidRPr="00BE5BF7" w:rsidRDefault="00BE5BF7"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p</w:t>
            </w:r>
          </w:p>
        </w:tc>
      </w:tr>
      <w:tr w:rsidR="00BE5BF7" w:rsidRPr="00DC1FA0" w14:paraId="75177208"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64EE9409" w14:textId="77777777" w:rsidR="00DC1FA0" w:rsidRPr="00DC1FA0" w:rsidRDefault="00DC1FA0" w:rsidP="00BE5BF7">
            <w:pPr>
              <w:pStyle w:val="TableText"/>
              <w:rPr>
                <w:b w:val="0"/>
                <w:bCs w:val="0"/>
              </w:rPr>
            </w:pPr>
            <w:r w:rsidRPr="00DC1FA0">
              <w:rPr>
                <w:b w:val="0"/>
                <w:bCs w:val="0"/>
              </w:rPr>
              <w:t>Electrical conductivity</w:t>
            </w:r>
          </w:p>
        </w:tc>
        <w:tc>
          <w:tcPr>
            <w:tcW w:w="1304" w:type="dxa"/>
            <w:noWrap/>
            <w:tcMar>
              <w:top w:w="57" w:type="dxa"/>
              <w:left w:w="57" w:type="dxa"/>
              <w:bottom w:w="85" w:type="dxa"/>
              <w:right w:w="57" w:type="dxa"/>
            </w:tcMar>
            <w:hideMark/>
          </w:tcPr>
          <w:p w14:paraId="2FB208A5"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0.072</w:t>
            </w:r>
          </w:p>
        </w:tc>
        <w:tc>
          <w:tcPr>
            <w:tcW w:w="1151" w:type="dxa"/>
            <w:noWrap/>
            <w:tcMar>
              <w:top w:w="57" w:type="dxa"/>
              <w:left w:w="57" w:type="dxa"/>
              <w:bottom w:w="85" w:type="dxa"/>
              <w:right w:w="57" w:type="dxa"/>
            </w:tcMar>
            <w:hideMark/>
          </w:tcPr>
          <w:p w14:paraId="5C026094" w14:textId="77777777" w:rsidR="00DC1FA0" w:rsidRPr="00BE5BF7" w:rsidRDefault="00DC1FA0"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E5BF7">
              <w:rPr>
                <w:b/>
                <w:bCs/>
              </w:rPr>
              <w:t>0.008</w:t>
            </w:r>
          </w:p>
        </w:tc>
        <w:tc>
          <w:tcPr>
            <w:tcW w:w="1282" w:type="dxa"/>
            <w:noWrap/>
            <w:tcMar>
              <w:top w:w="57" w:type="dxa"/>
              <w:left w:w="57" w:type="dxa"/>
              <w:bottom w:w="85" w:type="dxa"/>
              <w:right w:w="57" w:type="dxa"/>
            </w:tcMar>
            <w:hideMark/>
          </w:tcPr>
          <w:p w14:paraId="62400846"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0.072</w:t>
            </w:r>
          </w:p>
        </w:tc>
        <w:tc>
          <w:tcPr>
            <w:tcW w:w="1384" w:type="dxa"/>
            <w:noWrap/>
            <w:tcMar>
              <w:top w:w="57" w:type="dxa"/>
              <w:left w:w="57" w:type="dxa"/>
              <w:bottom w:w="85" w:type="dxa"/>
              <w:right w:w="57" w:type="dxa"/>
            </w:tcMar>
            <w:hideMark/>
          </w:tcPr>
          <w:p w14:paraId="4D8A3E98"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0.072</w:t>
            </w:r>
          </w:p>
        </w:tc>
        <w:tc>
          <w:tcPr>
            <w:tcW w:w="1161" w:type="dxa"/>
            <w:noWrap/>
            <w:tcMar>
              <w:top w:w="57" w:type="dxa"/>
              <w:left w:w="57" w:type="dxa"/>
              <w:bottom w:w="85" w:type="dxa"/>
              <w:right w:w="57" w:type="dxa"/>
            </w:tcMar>
            <w:hideMark/>
          </w:tcPr>
          <w:p w14:paraId="4B902CE7" w14:textId="77777777" w:rsidR="00DC1FA0" w:rsidRPr="00BE5BF7" w:rsidRDefault="00DC1FA0"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E5BF7">
              <w:rPr>
                <w:b/>
                <w:bCs/>
              </w:rPr>
              <w:t>0.008</w:t>
            </w:r>
          </w:p>
        </w:tc>
      </w:tr>
      <w:tr w:rsidR="00BE5BF7" w:rsidRPr="00DC1FA0" w14:paraId="2E934412" w14:textId="77777777" w:rsidTr="003C5164">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1F7E8E20" w14:textId="77777777" w:rsidR="00DC1FA0" w:rsidRPr="00DC1FA0" w:rsidRDefault="00DC1FA0" w:rsidP="00BE5BF7">
            <w:pPr>
              <w:pStyle w:val="TableText"/>
              <w:rPr>
                <w:b w:val="0"/>
                <w:bCs w:val="0"/>
              </w:rPr>
            </w:pPr>
            <w:r w:rsidRPr="00DC1FA0">
              <w:rPr>
                <w:b w:val="0"/>
                <w:bCs w:val="0"/>
              </w:rPr>
              <w:t>Total nitrogen</w:t>
            </w:r>
          </w:p>
        </w:tc>
        <w:tc>
          <w:tcPr>
            <w:tcW w:w="1304" w:type="dxa"/>
            <w:noWrap/>
            <w:tcMar>
              <w:top w:w="57" w:type="dxa"/>
              <w:left w:w="57" w:type="dxa"/>
              <w:bottom w:w="85" w:type="dxa"/>
              <w:right w:w="57" w:type="dxa"/>
            </w:tcMar>
            <w:hideMark/>
          </w:tcPr>
          <w:p w14:paraId="551F26C8"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0.049</w:t>
            </w:r>
          </w:p>
        </w:tc>
        <w:tc>
          <w:tcPr>
            <w:tcW w:w="1151" w:type="dxa"/>
            <w:noWrap/>
            <w:tcMar>
              <w:top w:w="57" w:type="dxa"/>
              <w:left w:w="57" w:type="dxa"/>
              <w:bottom w:w="85" w:type="dxa"/>
              <w:right w:w="57" w:type="dxa"/>
            </w:tcMar>
            <w:hideMark/>
          </w:tcPr>
          <w:p w14:paraId="271FB999"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0.070</w:t>
            </w:r>
          </w:p>
        </w:tc>
        <w:tc>
          <w:tcPr>
            <w:tcW w:w="1282" w:type="dxa"/>
            <w:noWrap/>
            <w:tcMar>
              <w:top w:w="57" w:type="dxa"/>
              <w:left w:w="57" w:type="dxa"/>
              <w:bottom w:w="85" w:type="dxa"/>
              <w:right w:w="57" w:type="dxa"/>
            </w:tcMar>
            <w:hideMark/>
          </w:tcPr>
          <w:p w14:paraId="071FEE7D"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0.059</w:t>
            </w:r>
          </w:p>
        </w:tc>
        <w:tc>
          <w:tcPr>
            <w:tcW w:w="1384" w:type="dxa"/>
            <w:noWrap/>
            <w:tcMar>
              <w:top w:w="57" w:type="dxa"/>
              <w:left w:w="57" w:type="dxa"/>
              <w:bottom w:w="85" w:type="dxa"/>
              <w:right w:w="57" w:type="dxa"/>
            </w:tcMar>
            <w:hideMark/>
          </w:tcPr>
          <w:p w14:paraId="6F0CE4F5"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0.130</w:t>
            </w:r>
          </w:p>
        </w:tc>
        <w:tc>
          <w:tcPr>
            <w:tcW w:w="1161" w:type="dxa"/>
            <w:noWrap/>
            <w:tcMar>
              <w:top w:w="57" w:type="dxa"/>
              <w:left w:w="57" w:type="dxa"/>
              <w:bottom w:w="85" w:type="dxa"/>
              <w:right w:w="57" w:type="dxa"/>
            </w:tcMar>
            <w:hideMark/>
          </w:tcPr>
          <w:p w14:paraId="5CB88A02" w14:textId="77777777" w:rsidR="00DC1FA0" w:rsidRPr="00BE5BF7" w:rsidRDefault="00DC1FA0"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E5BF7">
              <w:rPr>
                <w:b/>
                <w:bCs/>
              </w:rPr>
              <w:t>0.019</w:t>
            </w:r>
          </w:p>
        </w:tc>
      </w:tr>
      <w:tr w:rsidR="00BE5BF7" w:rsidRPr="00DC1FA0" w14:paraId="093D58EB"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62A73C1B" w14:textId="77777777" w:rsidR="00DC1FA0" w:rsidRPr="00DC1FA0" w:rsidRDefault="00DC1FA0" w:rsidP="00BE5BF7">
            <w:pPr>
              <w:pStyle w:val="TableText"/>
              <w:rPr>
                <w:b w:val="0"/>
                <w:bCs w:val="0"/>
              </w:rPr>
            </w:pPr>
            <w:r w:rsidRPr="00DC1FA0">
              <w:rPr>
                <w:b w:val="0"/>
                <w:bCs w:val="0"/>
              </w:rPr>
              <w:t>Mean slot depth</w:t>
            </w:r>
          </w:p>
        </w:tc>
        <w:tc>
          <w:tcPr>
            <w:tcW w:w="1304" w:type="dxa"/>
            <w:noWrap/>
            <w:tcMar>
              <w:top w:w="57" w:type="dxa"/>
              <w:left w:w="57" w:type="dxa"/>
              <w:bottom w:w="85" w:type="dxa"/>
              <w:right w:w="57" w:type="dxa"/>
            </w:tcMar>
            <w:hideMark/>
          </w:tcPr>
          <w:p w14:paraId="44B9C248"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0.051</w:t>
            </w:r>
          </w:p>
        </w:tc>
        <w:tc>
          <w:tcPr>
            <w:tcW w:w="1151" w:type="dxa"/>
            <w:noWrap/>
            <w:tcMar>
              <w:top w:w="57" w:type="dxa"/>
              <w:left w:w="57" w:type="dxa"/>
              <w:bottom w:w="85" w:type="dxa"/>
              <w:right w:w="57" w:type="dxa"/>
            </w:tcMar>
            <w:hideMark/>
          </w:tcPr>
          <w:p w14:paraId="255F2245"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0.072</w:t>
            </w:r>
          </w:p>
        </w:tc>
        <w:tc>
          <w:tcPr>
            <w:tcW w:w="1282" w:type="dxa"/>
            <w:noWrap/>
            <w:tcMar>
              <w:top w:w="57" w:type="dxa"/>
              <w:left w:w="57" w:type="dxa"/>
              <w:bottom w:w="85" w:type="dxa"/>
              <w:right w:w="57" w:type="dxa"/>
            </w:tcMar>
            <w:hideMark/>
          </w:tcPr>
          <w:p w14:paraId="4DB269F0"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0.053</w:t>
            </w:r>
          </w:p>
        </w:tc>
        <w:tc>
          <w:tcPr>
            <w:tcW w:w="1384" w:type="dxa"/>
            <w:noWrap/>
            <w:tcMar>
              <w:top w:w="57" w:type="dxa"/>
              <w:left w:w="57" w:type="dxa"/>
              <w:bottom w:w="85" w:type="dxa"/>
              <w:right w:w="57" w:type="dxa"/>
            </w:tcMar>
            <w:hideMark/>
          </w:tcPr>
          <w:p w14:paraId="5096F0DB" w14:textId="77777777" w:rsidR="00DC1FA0" w:rsidRPr="00DC1FA0" w:rsidRDefault="00DC1FA0" w:rsidP="00BE5BF7">
            <w:pPr>
              <w:pStyle w:val="TableText"/>
              <w:cnfStyle w:val="000000100000" w:firstRow="0" w:lastRow="0" w:firstColumn="0" w:lastColumn="0" w:oddVBand="0" w:evenVBand="0" w:oddHBand="1" w:evenHBand="0" w:firstRowFirstColumn="0" w:firstRowLastColumn="0" w:lastRowFirstColumn="0" w:lastRowLastColumn="0"/>
            </w:pPr>
            <w:r w:rsidRPr="00DC1FA0">
              <w:t>0.184</w:t>
            </w:r>
          </w:p>
        </w:tc>
        <w:tc>
          <w:tcPr>
            <w:tcW w:w="1161" w:type="dxa"/>
            <w:noWrap/>
            <w:tcMar>
              <w:top w:w="57" w:type="dxa"/>
              <w:left w:w="57" w:type="dxa"/>
              <w:bottom w:w="85" w:type="dxa"/>
              <w:right w:w="57" w:type="dxa"/>
            </w:tcMar>
            <w:hideMark/>
          </w:tcPr>
          <w:p w14:paraId="49A2E523" w14:textId="77777777" w:rsidR="00DC1FA0" w:rsidRPr="00BE5BF7" w:rsidRDefault="00DC1FA0"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E5BF7">
              <w:rPr>
                <w:b/>
                <w:bCs/>
              </w:rPr>
              <w:t>0.032</w:t>
            </w:r>
          </w:p>
        </w:tc>
      </w:tr>
      <w:tr w:rsidR="00BE5BF7" w:rsidRPr="00DC1FA0" w14:paraId="263A613D" w14:textId="77777777" w:rsidTr="003C5164">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1188E3C0" w14:textId="77777777" w:rsidR="00DC1FA0" w:rsidRPr="00DC1FA0" w:rsidRDefault="00DC1FA0" w:rsidP="00BE5BF7">
            <w:pPr>
              <w:pStyle w:val="TableText"/>
              <w:rPr>
                <w:b w:val="0"/>
                <w:bCs w:val="0"/>
              </w:rPr>
            </w:pPr>
            <w:r w:rsidRPr="00DC1FA0">
              <w:rPr>
                <w:b w:val="0"/>
                <w:bCs w:val="0"/>
              </w:rPr>
              <w:t>Dissolved oxygen</w:t>
            </w:r>
          </w:p>
        </w:tc>
        <w:tc>
          <w:tcPr>
            <w:tcW w:w="1304" w:type="dxa"/>
            <w:noWrap/>
            <w:tcMar>
              <w:top w:w="57" w:type="dxa"/>
              <w:left w:w="57" w:type="dxa"/>
              <w:bottom w:w="85" w:type="dxa"/>
              <w:right w:w="57" w:type="dxa"/>
            </w:tcMar>
            <w:hideMark/>
          </w:tcPr>
          <w:p w14:paraId="4B95EEF4"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0.067</w:t>
            </w:r>
          </w:p>
        </w:tc>
        <w:tc>
          <w:tcPr>
            <w:tcW w:w="1151" w:type="dxa"/>
            <w:noWrap/>
            <w:tcMar>
              <w:top w:w="57" w:type="dxa"/>
              <w:left w:w="57" w:type="dxa"/>
              <w:bottom w:w="85" w:type="dxa"/>
              <w:right w:w="57" w:type="dxa"/>
            </w:tcMar>
            <w:hideMark/>
          </w:tcPr>
          <w:p w14:paraId="51FCD4F1" w14:textId="77777777" w:rsidR="00DC1FA0" w:rsidRPr="00BE5BF7" w:rsidRDefault="00DC1FA0"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E5BF7">
              <w:rPr>
                <w:b/>
                <w:bCs/>
              </w:rPr>
              <w:t>0.014</w:t>
            </w:r>
          </w:p>
        </w:tc>
        <w:tc>
          <w:tcPr>
            <w:tcW w:w="1282" w:type="dxa"/>
            <w:noWrap/>
            <w:tcMar>
              <w:top w:w="57" w:type="dxa"/>
              <w:left w:w="57" w:type="dxa"/>
              <w:bottom w:w="85" w:type="dxa"/>
              <w:right w:w="57" w:type="dxa"/>
            </w:tcMar>
            <w:hideMark/>
          </w:tcPr>
          <w:p w14:paraId="6B81F445"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0.049</w:t>
            </w:r>
          </w:p>
        </w:tc>
        <w:tc>
          <w:tcPr>
            <w:tcW w:w="1384" w:type="dxa"/>
            <w:noWrap/>
            <w:tcMar>
              <w:top w:w="57" w:type="dxa"/>
              <w:left w:w="57" w:type="dxa"/>
              <w:bottom w:w="85" w:type="dxa"/>
              <w:right w:w="57" w:type="dxa"/>
            </w:tcMar>
            <w:hideMark/>
          </w:tcPr>
          <w:p w14:paraId="7384E948" w14:textId="77777777" w:rsidR="00DC1FA0" w:rsidRPr="00DC1FA0" w:rsidRDefault="00DC1FA0" w:rsidP="00BE5BF7">
            <w:pPr>
              <w:pStyle w:val="TableText"/>
              <w:cnfStyle w:val="000000010000" w:firstRow="0" w:lastRow="0" w:firstColumn="0" w:lastColumn="0" w:oddVBand="0" w:evenVBand="0" w:oddHBand="0" w:evenHBand="1" w:firstRowFirstColumn="0" w:firstRowLastColumn="0" w:lastRowFirstColumn="0" w:lastRowLastColumn="0"/>
            </w:pPr>
            <w:r w:rsidRPr="00DC1FA0">
              <w:t>0.233</w:t>
            </w:r>
          </w:p>
        </w:tc>
        <w:tc>
          <w:tcPr>
            <w:tcW w:w="1161" w:type="dxa"/>
            <w:noWrap/>
            <w:tcMar>
              <w:top w:w="57" w:type="dxa"/>
              <w:left w:w="57" w:type="dxa"/>
              <w:bottom w:w="85" w:type="dxa"/>
              <w:right w:w="57" w:type="dxa"/>
            </w:tcMar>
            <w:hideMark/>
          </w:tcPr>
          <w:p w14:paraId="4CF676DA" w14:textId="77777777" w:rsidR="00DC1FA0" w:rsidRPr="00BE5BF7" w:rsidRDefault="00DC1FA0"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E5BF7">
              <w:rPr>
                <w:b/>
                <w:bCs/>
              </w:rPr>
              <w:t>0.048</w:t>
            </w:r>
          </w:p>
        </w:tc>
      </w:tr>
      <w:tr w:rsidR="00BE5BF7" w:rsidRPr="00DC1FA0" w14:paraId="5B9B27D3"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28B1250C" w14:textId="77777777" w:rsidR="00BE5BF7" w:rsidRPr="00DC1FA0" w:rsidRDefault="00BE5BF7" w:rsidP="00BE5BF7">
            <w:pPr>
              <w:pStyle w:val="TableText"/>
              <w:rPr>
                <w:b w:val="0"/>
                <w:bCs w:val="0"/>
              </w:rPr>
            </w:pPr>
            <w:r w:rsidRPr="00DC1FA0">
              <w:rPr>
                <w:b w:val="0"/>
                <w:bCs w:val="0"/>
              </w:rPr>
              <w:t>pH</w:t>
            </w:r>
          </w:p>
        </w:tc>
        <w:tc>
          <w:tcPr>
            <w:tcW w:w="1304" w:type="dxa"/>
            <w:noWrap/>
            <w:tcMar>
              <w:top w:w="57" w:type="dxa"/>
              <w:left w:w="57" w:type="dxa"/>
              <w:bottom w:w="85" w:type="dxa"/>
              <w:right w:w="57" w:type="dxa"/>
            </w:tcMar>
            <w:hideMark/>
          </w:tcPr>
          <w:p w14:paraId="2EE70691"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0.065</w:t>
            </w:r>
          </w:p>
        </w:tc>
        <w:tc>
          <w:tcPr>
            <w:tcW w:w="1151" w:type="dxa"/>
            <w:noWrap/>
            <w:tcMar>
              <w:top w:w="57" w:type="dxa"/>
              <w:left w:w="57" w:type="dxa"/>
              <w:bottom w:w="85" w:type="dxa"/>
              <w:right w:w="57" w:type="dxa"/>
            </w:tcMar>
            <w:hideMark/>
          </w:tcPr>
          <w:p w14:paraId="6FF3ADE8" w14:textId="77777777"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b/>
                <w:bCs/>
              </w:rPr>
            </w:pPr>
            <w:r w:rsidRPr="00BE5BF7">
              <w:rPr>
                <w:b/>
                <w:bCs/>
              </w:rPr>
              <w:t>0.020</w:t>
            </w:r>
          </w:p>
        </w:tc>
        <w:tc>
          <w:tcPr>
            <w:tcW w:w="1282" w:type="dxa"/>
            <w:noWrap/>
            <w:tcMar>
              <w:top w:w="57" w:type="dxa"/>
              <w:left w:w="57" w:type="dxa"/>
              <w:bottom w:w="85" w:type="dxa"/>
              <w:right w:w="57" w:type="dxa"/>
            </w:tcMar>
            <w:hideMark/>
          </w:tcPr>
          <w:p w14:paraId="72639730" w14:textId="54535D22"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71ABFAA8" w14:textId="4C44B10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DBBE05C" w14:textId="4E88A8CA"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211F8188" w14:textId="77777777" w:rsidTr="003C5164">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6A53B3F9" w14:textId="77777777" w:rsidR="00BE5BF7" w:rsidRPr="00DC1FA0" w:rsidRDefault="00BE5BF7" w:rsidP="00BE5BF7">
            <w:pPr>
              <w:pStyle w:val="TableText"/>
              <w:rPr>
                <w:b w:val="0"/>
                <w:bCs w:val="0"/>
              </w:rPr>
            </w:pPr>
            <w:r w:rsidRPr="00DC1FA0">
              <w:rPr>
                <w:b w:val="0"/>
                <w:bCs w:val="0"/>
              </w:rPr>
              <w:t>Oxidation-reduction potential</w:t>
            </w:r>
          </w:p>
        </w:tc>
        <w:tc>
          <w:tcPr>
            <w:tcW w:w="1304" w:type="dxa"/>
            <w:noWrap/>
            <w:tcMar>
              <w:top w:w="57" w:type="dxa"/>
              <w:left w:w="57" w:type="dxa"/>
              <w:bottom w:w="85" w:type="dxa"/>
              <w:right w:w="57" w:type="dxa"/>
            </w:tcMar>
            <w:hideMark/>
          </w:tcPr>
          <w:p w14:paraId="282C4DFF"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0.061</w:t>
            </w:r>
          </w:p>
        </w:tc>
        <w:tc>
          <w:tcPr>
            <w:tcW w:w="1151" w:type="dxa"/>
            <w:noWrap/>
            <w:tcMar>
              <w:top w:w="57" w:type="dxa"/>
              <w:left w:w="57" w:type="dxa"/>
              <w:bottom w:w="85" w:type="dxa"/>
              <w:right w:w="57" w:type="dxa"/>
            </w:tcMar>
            <w:hideMark/>
          </w:tcPr>
          <w:p w14:paraId="46B8F0C0" w14:textId="77777777"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b/>
                <w:bCs/>
              </w:rPr>
            </w:pPr>
            <w:r w:rsidRPr="00BE5BF7">
              <w:rPr>
                <w:b/>
                <w:bCs/>
              </w:rPr>
              <w:t>0.024</w:t>
            </w:r>
          </w:p>
        </w:tc>
        <w:tc>
          <w:tcPr>
            <w:tcW w:w="1282" w:type="dxa"/>
            <w:noWrap/>
            <w:tcMar>
              <w:top w:w="57" w:type="dxa"/>
              <w:left w:w="57" w:type="dxa"/>
              <w:bottom w:w="85" w:type="dxa"/>
              <w:right w:w="57" w:type="dxa"/>
            </w:tcMar>
            <w:hideMark/>
          </w:tcPr>
          <w:p w14:paraId="3FF8C9AC" w14:textId="1D28C36F"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465D8FBE" w14:textId="0247F4F9"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0E605813" w14:textId="6BC02306"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608C4D49"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50B913D3" w14:textId="77777777" w:rsidR="00BE5BF7" w:rsidRPr="00DC1FA0" w:rsidRDefault="00BE5BF7" w:rsidP="00BE5BF7">
            <w:pPr>
              <w:pStyle w:val="TableText"/>
              <w:rPr>
                <w:b w:val="0"/>
                <w:bCs w:val="0"/>
              </w:rPr>
            </w:pPr>
            <w:r w:rsidRPr="00DC1FA0">
              <w:rPr>
                <w:b w:val="0"/>
                <w:bCs w:val="0"/>
              </w:rPr>
              <w:t>Temperature</w:t>
            </w:r>
          </w:p>
        </w:tc>
        <w:tc>
          <w:tcPr>
            <w:tcW w:w="1304" w:type="dxa"/>
            <w:noWrap/>
            <w:tcMar>
              <w:top w:w="57" w:type="dxa"/>
              <w:left w:w="57" w:type="dxa"/>
              <w:bottom w:w="85" w:type="dxa"/>
              <w:right w:w="57" w:type="dxa"/>
            </w:tcMar>
            <w:hideMark/>
          </w:tcPr>
          <w:p w14:paraId="673A6230"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0.051</w:t>
            </w:r>
          </w:p>
        </w:tc>
        <w:tc>
          <w:tcPr>
            <w:tcW w:w="1151" w:type="dxa"/>
            <w:noWrap/>
            <w:tcMar>
              <w:top w:w="57" w:type="dxa"/>
              <w:left w:w="57" w:type="dxa"/>
              <w:bottom w:w="85" w:type="dxa"/>
              <w:right w:w="57" w:type="dxa"/>
            </w:tcMar>
            <w:hideMark/>
          </w:tcPr>
          <w:p w14:paraId="45D5B1CA"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0.061</w:t>
            </w:r>
          </w:p>
        </w:tc>
        <w:tc>
          <w:tcPr>
            <w:tcW w:w="1282" w:type="dxa"/>
            <w:noWrap/>
            <w:tcMar>
              <w:top w:w="57" w:type="dxa"/>
              <w:left w:w="57" w:type="dxa"/>
              <w:bottom w:w="85" w:type="dxa"/>
              <w:right w:w="57" w:type="dxa"/>
            </w:tcMar>
            <w:hideMark/>
          </w:tcPr>
          <w:p w14:paraId="321270DE" w14:textId="3FDE4A3F"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0880D05D" w14:textId="1D8D9401"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50C63FD9" w14:textId="450C8E9F"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4915B083" w14:textId="77777777" w:rsidTr="003C5164">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017DC11D" w14:textId="77777777" w:rsidR="00BE5BF7" w:rsidRPr="00DC1FA0" w:rsidRDefault="00BE5BF7" w:rsidP="00BE5BF7">
            <w:pPr>
              <w:pStyle w:val="TableText"/>
              <w:rPr>
                <w:b w:val="0"/>
                <w:bCs w:val="0"/>
              </w:rPr>
            </w:pPr>
            <w:r w:rsidRPr="00DC1FA0">
              <w:rPr>
                <w:b w:val="0"/>
                <w:bCs w:val="0"/>
              </w:rPr>
              <w:t>Water level (depth to water – casing height)</w:t>
            </w:r>
          </w:p>
        </w:tc>
        <w:tc>
          <w:tcPr>
            <w:tcW w:w="1304" w:type="dxa"/>
            <w:noWrap/>
            <w:tcMar>
              <w:top w:w="57" w:type="dxa"/>
              <w:left w:w="57" w:type="dxa"/>
              <w:bottom w:w="85" w:type="dxa"/>
              <w:right w:w="57" w:type="dxa"/>
            </w:tcMar>
            <w:hideMark/>
          </w:tcPr>
          <w:p w14:paraId="506635F9"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0.049</w:t>
            </w:r>
          </w:p>
        </w:tc>
        <w:tc>
          <w:tcPr>
            <w:tcW w:w="1151" w:type="dxa"/>
            <w:noWrap/>
            <w:tcMar>
              <w:top w:w="57" w:type="dxa"/>
              <w:left w:w="57" w:type="dxa"/>
              <w:bottom w:w="85" w:type="dxa"/>
              <w:right w:w="57" w:type="dxa"/>
            </w:tcMar>
            <w:hideMark/>
          </w:tcPr>
          <w:p w14:paraId="7C317363"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0.097</w:t>
            </w:r>
          </w:p>
        </w:tc>
        <w:tc>
          <w:tcPr>
            <w:tcW w:w="1282" w:type="dxa"/>
            <w:noWrap/>
            <w:tcMar>
              <w:top w:w="57" w:type="dxa"/>
              <w:left w:w="57" w:type="dxa"/>
              <w:bottom w:w="85" w:type="dxa"/>
              <w:right w:w="57" w:type="dxa"/>
            </w:tcMar>
            <w:hideMark/>
          </w:tcPr>
          <w:p w14:paraId="102491C8" w14:textId="4DD33352"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65F96006" w14:textId="5B73AFE6"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2AE5B321" w14:textId="0DC843C1"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28BE8604"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60215BEB" w14:textId="77777777" w:rsidR="00BE5BF7" w:rsidRPr="00DC1FA0" w:rsidRDefault="00BE5BF7" w:rsidP="00BE5BF7">
            <w:pPr>
              <w:pStyle w:val="TableText"/>
              <w:rPr>
                <w:b w:val="0"/>
                <w:bCs w:val="0"/>
              </w:rPr>
            </w:pPr>
            <w:r w:rsidRPr="00DC1FA0">
              <w:rPr>
                <w:b w:val="0"/>
                <w:bCs w:val="0"/>
              </w:rPr>
              <w:t>Sulfate</w:t>
            </w:r>
          </w:p>
        </w:tc>
        <w:tc>
          <w:tcPr>
            <w:tcW w:w="1304" w:type="dxa"/>
            <w:noWrap/>
            <w:tcMar>
              <w:top w:w="57" w:type="dxa"/>
              <w:left w:w="57" w:type="dxa"/>
              <w:bottom w:w="85" w:type="dxa"/>
              <w:right w:w="57" w:type="dxa"/>
            </w:tcMar>
            <w:hideMark/>
          </w:tcPr>
          <w:p w14:paraId="7AD02766"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0.043</w:t>
            </w:r>
          </w:p>
        </w:tc>
        <w:tc>
          <w:tcPr>
            <w:tcW w:w="1151" w:type="dxa"/>
            <w:noWrap/>
            <w:tcMar>
              <w:top w:w="57" w:type="dxa"/>
              <w:left w:w="57" w:type="dxa"/>
              <w:bottom w:w="85" w:type="dxa"/>
              <w:right w:w="57" w:type="dxa"/>
            </w:tcMar>
            <w:hideMark/>
          </w:tcPr>
          <w:p w14:paraId="1E847CE0"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0.107</w:t>
            </w:r>
          </w:p>
        </w:tc>
        <w:tc>
          <w:tcPr>
            <w:tcW w:w="1282" w:type="dxa"/>
            <w:noWrap/>
            <w:tcMar>
              <w:top w:w="57" w:type="dxa"/>
              <w:left w:w="57" w:type="dxa"/>
              <w:bottom w:w="85" w:type="dxa"/>
              <w:right w:w="57" w:type="dxa"/>
            </w:tcMar>
            <w:hideMark/>
          </w:tcPr>
          <w:p w14:paraId="5BB76AC6" w14:textId="3A64A1DD"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2688201F" w14:textId="002FEA9E"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4F451835" w14:textId="56DBFC5C"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DC1FA0" w14:paraId="4F68AE60" w14:textId="77777777" w:rsidTr="003C5164">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30281C59" w14:textId="77777777" w:rsidR="00BE5BF7" w:rsidRPr="00DC1FA0" w:rsidRDefault="00BE5BF7" w:rsidP="00BE5BF7">
            <w:pPr>
              <w:pStyle w:val="TableText"/>
              <w:rPr>
                <w:b w:val="0"/>
                <w:bCs w:val="0"/>
              </w:rPr>
            </w:pPr>
            <w:r w:rsidRPr="00DC1FA0">
              <w:rPr>
                <w:b w:val="0"/>
                <w:bCs w:val="0"/>
              </w:rPr>
              <w:t>Dissolved organic carbon</w:t>
            </w:r>
          </w:p>
        </w:tc>
        <w:tc>
          <w:tcPr>
            <w:tcW w:w="1304" w:type="dxa"/>
            <w:noWrap/>
            <w:tcMar>
              <w:top w:w="57" w:type="dxa"/>
              <w:left w:w="57" w:type="dxa"/>
              <w:bottom w:w="85" w:type="dxa"/>
              <w:right w:w="57" w:type="dxa"/>
            </w:tcMar>
            <w:hideMark/>
          </w:tcPr>
          <w:p w14:paraId="0DD45475"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0.028</w:t>
            </w:r>
          </w:p>
        </w:tc>
        <w:tc>
          <w:tcPr>
            <w:tcW w:w="1151" w:type="dxa"/>
            <w:noWrap/>
            <w:tcMar>
              <w:top w:w="57" w:type="dxa"/>
              <w:left w:w="57" w:type="dxa"/>
              <w:bottom w:w="85" w:type="dxa"/>
              <w:right w:w="57" w:type="dxa"/>
            </w:tcMar>
            <w:hideMark/>
          </w:tcPr>
          <w:p w14:paraId="25B8C2FB" w14:textId="77777777" w:rsidR="00BE5BF7" w:rsidRPr="00DC1FA0"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DC1FA0">
              <w:t>0.600</w:t>
            </w:r>
          </w:p>
        </w:tc>
        <w:tc>
          <w:tcPr>
            <w:tcW w:w="1282" w:type="dxa"/>
            <w:noWrap/>
            <w:tcMar>
              <w:top w:w="57" w:type="dxa"/>
              <w:left w:w="57" w:type="dxa"/>
              <w:bottom w:w="85" w:type="dxa"/>
              <w:right w:w="57" w:type="dxa"/>
            </w:tcMar>
            <w:hideMark/>
          </w:tcPr>
          <w:p w14:paraId="3C1CCCAF" w14:textId="41A2634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37E52393" w14:textId="49485DA1"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6C929B9C" w14:textId="506D2692"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DC1FA0" w14:paraId="1CF448AE" w14:textId="77777777" w:rsidTr="003C5164">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778" w:type="dxa"/>
            <w:noWrap/>
            <w:tcMar>
              <w:top w:w="57" w:type="dxa"/>
              <w:left w:w="57" w:type="dxa"/>
              <w:bottom w:w="85" w:type="dxa"/>
              <w:right w:w="57" w:type="dxa"/>
            </w:tcMar>
            <w:hideMark/>
          </w:tcPr>
          <w:p w14:paraId="7DF678B4" w14:textId="77777777" w:rsidR="00BE5BF7" w:rsidRPr="00DC1FA0" w:rsidRDefault="00BE5BF7" w:rsidP="00BE5BF7">
            <w:pPr>
              <w:pStyle w:val="TableText"/>
              <w:rPr>
                <w:b w:val="0"/>
                <w:bCs w:val="0"/>
              </w:rPr>
            </w:pPr>
            <w:r w:rsidRPr="00DC1FA0">
              <w:rPr>
                <w:b w:val="0"/>
                <w:bCs w:val="0"/>
              </w:rPr>
              <w:t>Total phosphorus</w:t>
            </w:r>
          </w:p>
        </w:tc>
        <w:tc>
          <w:tcPr>
            <w:tcW w:w="1304" w:type="dxa"/>
            <w:noWrap/>
            <w:tcMar>
              <w:top w:w="57" w:type="dxa"/>
              <w:left w:w="57" w:type="dxa"/>
              <w:bottom w:w="85" w:type="dxa"/>
              <w:right w:w="57" w:type="dxa"/>
            </w:tcMar>
            <w:hideMark/>
          </w:tcPr>
          <w:p w14:paraId="73819DCE"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0.028</w:t>
            </w:r>
          </w:p>
        </w:tc>
        <w:tc>
          <w:tcPr>
            <w:tcW w:w="1151" w:type="dxa"/>
            <w:noWrap/>
            <w:tcMar>
              <w:top w:w="57" w:type="dxa"/>
              <w:left w:w="57" w:type="dxa"/>
              <w:bottom w:w="85" w:type="dxa"/>
              <w:right w:w="57" w:type="dxa"/>
            </w:tcMar>
            <w:hideMark/>
          </w:tcPr>
          <w:p w14:paraId="4E8FD0CF" w14:textId="77777777" w:rsidR="00BE5BF7" w:rsidRPr="00DC1FA0"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DC1FA0">
              <w:t>0.621</w:t>
            </w:r>
          </w:p>
        </w:tc>
        <w:tc>
          <w:tcPr>
            <w:tcW w:w="1282" w:type="dxa"/>
            <w:noWrap/>
            <w:tcMar>
              <w:top w:w="57" w:type="dxa"/>
              <w:left w:w="57" w:type="dxa"/>
              <w:bottom w:w="85" w:type="dxa"/>
              <w:right w:w="57" w:type="dxa"/>
            </w:tcMar>
            <w:hideMark/>
          </w:tcPr>
          <w:p w14:paraId="7E4A8178" w14:textId="0DC7FD14"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84" w:type="dxa"/>
            <w:noWrap/>
            <w:tcMar>
              <w:top w:w="57" w:type="dxa"/>
              <w:left w:w="57" w:type="dxa"/>
              <w:bottom w:w="85" w:type="dxa"/>
              <w:right w:w="57" w:type="dxa"/>
            </w:tcMar>
            <w:hideMark/>
          </w:tcPr>
          <w:p w14:paraId="0B55C47E" w14:textId="783CC619"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161" w:type="dxa"/>
            <w:noWrap/>
            <w:tcMar>
              <w:top w:w="57" w:type="dxa"/>
              <w:left w:w="57" w:type="dxa"/>
              <w:bottom w:w="85" w:type="dxa"/>
              <w:right w:w="57" w:type="dxa"/>
            </w:tcMar>
            <w:hideMark/>
          </w:tcPr>
          <w:p w14:paraId="745FDED3" w14:textId="066D7E04"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bl>
    <w:p w14:paraId="2976166E" w14:textId="097DEFAD" w:rsidR="00261502" w:rsidRDefault="00261502" w:rsidP="00BE5BF7">
      <w:pPr>
        <w:pStyle w:val="TableSourceNotes"/>
      </w:pPr>
      <w:r>
        <w:t>Values in bold were significant (p&lt;0.05).</w:t>
      </w:r>
    </w:p>
    <w:p w14:paraId="32474B1C" w14:textId="77777777" w:rsidR="00261502" w:rsidRDefault="00261502" w:rsidP="00BE5BF7">
      <w:pPr>
        <w:pStyle w:val="Heading2Numbered"/>
        <w:numPr>
          <w:ilvl w:val="0"/>
          <w:numId w:val="0"/>
        </w:numPr>
        <w:ind w:left="567" w:hanging="567"/>
      </w:pPr>
      <w:bookmarkStart w:id="58" w:name="s33"/>
      <w:bookmarkStart w:id="59" w:name="_Toc164960620"/>
      <w:r>
        <w:t>3.3</w:t>
      </w:r>
      <w:bookmarkEnd w:id="58"/>
      <w:r>
        <w:tab/>
        <w:t>Metabarcode analysis</w:t>
      </w:r>
      <w:bookmarkEnd w:id="59"/>
    </w:p>
    <w:p w14:paraId="74194025" w14:textId="77777777" w:rsidR="00261502" w:rsidRDefault="00261502" w:rsidP="00BE5BF7">
      <w:pPr>
        <w:pStyle w:val="Heading3Numbered"/>
        <w:numPr>
          <w:ilvl w:val="0"/>
          <w:numId w:val="0"/>
        </w:numPr>
        <w:ind w:left="1276" w:hanging="851"/>
      </w:pPr>
      <w:bookmarkStart w:id="60" w:name="_Toc164960621"/>
      <w:r>
        <w:t>3.3.1</w:t>
      </w:r>
      <w:r>
        <w:tab/>
      </w:r>
      <w:r w:rsidRPr="00BE5BF7">
        <w:t>16S</w:t>
      </w:r>
      <w:r>
        <w:t xml:space="preserve"> rDNA (prokaryote) metabarcode samples</w:t>
      </w:r>
      <w:bookmarkEnd w:id="60"/>
    </w:p>
    <w:p w14:paraId="07BEB685" w14:textId="4EE7498D" w:rsidR="00261502" w:rsidRDefault="00261502" w:rsidP="00261502">
      <w:pPr>
        <w:pStyle w:val="BodyText"/>
      </w:pPr>
      <w:r>
        <w:t>Analysis of the 16S rDNA metabarcode data was limited to those samples from which metagenomes were retrieved. Within the main cluster of samples, there was a clear separation of samples by aquifer type and by pre- and post-purge (</w:t>
      </w:r>
      <w:r w:rsidR="00E202FA">
        <w:fldChar w:fldCharType="begin"/>
      </w:r>
      <w:r w:rsidR="00E202FA">
        <w:instrText xml:space="preserve"> REF _Ref164638336 \h </w:instrText>
      </w:r>
      <w:r w:rsidR="00E202FA">
        <w:fldChar w:fldCharType="separate"/>
      </w:r>
      <w:r w:rsidR="00E202FA">
        <w:t xml:space="preserve">Figure </w:t>
      </w:r>
      <w:r w:rsidR="00E202FA">
        <w:rPr>
          <w:noProof/>
        </w:rPr>
        <w:t>16</w:t>
      </w:r>
      <w:r w:rsidR="00E202FA">
        <w:fldChar w:fldCharType="end"/>
      </w:r>
      <w:r>
        <w:t>). Of note in this analysis were the two outlying samples from wells 75040 and 75041-2 (fractured rock), which were much less diverse than other samples from the same aquifer (Korbel et al. 2022b). Samples from different aquifer types (p=0.001) and pre- and post-purge collections (p=0.041) were significantly different. Differences between bores (p=0.568) and the aquifer type x pre-/post-purge interaction (p=0.098) were not significant.</w:t>
      </w:r>
    </w:p>
    <w:p w14:paraId="3A6CAF29" w14:textId="22B479EA" w:rsidR="00261502" w:rsidRDefault="00024A9C" w:rsidP="00024A9C">
      <w:pPr>
        <w:pStyle w:val="BodyText"/>
        <w:spacing w:after="0"/>
      </w:pPr>
      <w:r>
        <w:rPr>
          <w:noProof/>
        </w:rPr>
        <w:drawing>
          <wp:inline distT="0" distB="0" distL="0" distR="0" wp14:anchorId="00B5DCB4" wp14:editId="4BD2489F">
            <wp:extent cx="4991100" cy="3365500"/>
            <wp:effectExtent l="0" t="0" r="0" b="0"/>
            <wp:docPr id="910474763" name="Picture 1"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4763" name="Picture 1" descr="nMDS ordination as described in the previous paragraph"/>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91100" cy="3365500"/>
                    </a:xfrm>
                    <a:prstGeom prst="rect">
                      <a:avLst/>
                    </a:prstGeom>
                  </pic:spPr>
                </pic:pic>
              </a:graphicData>
            </a:graphic>
          </wp:inline>
        </w:drawing>
      </w:r>
    </w:p>
    <w:p w14:paraId="6EAC8CED" w14:textId="1536E94C" w:rsidR="00EE5F48" w:rsidRDefault="00EE5F48" w:rsidP="00024A9C">
      <w:pPr>
        <w:pStyle w:val="Figureheading"/>
        <w:spacing w:before="0"/>
      </w:pPr>
      <w:bookmarkStart w:id="61" w:name="_Ref164638336"/>
      <w:r>
        <w:t xml:space="preserve">Figure </w:t>
      </w:r>
      <w:r>
        <w:fldChar w:fldCharType="begin"/>
      </w:r>
      <w:r>
        <w:instrText xml:space="preserve"> SEQ Figure \* ARABIC </w:instrText>
      </w:r>
      <w:r>
        <w:fldChar w:fldCharType="separate"/>
      </w:r>
      <w:r>
        <w:rPr>
          <w:noProof/>
        </w:rPr>
        <w:t>16</w:t>
      </w:r>
      <w:r>
        <w:fldChar w:fldCharType="end"/>
      </w:r>
      <w:bookmarkEnd w:id="61"/>
      <w:r w:rsidRPr="0025058D">
        <w:t>. nMDS ordination of prokaryote assemblages in groundwater based on 16S rDNA genes identified using metabarcoding</w:t>
      </w:r>
    </w:p>
    <w:p w14:paraId="6D352E88" w14:textId="77777777" w:rsidR="00261502" w:rsidRDefault="00261502" w:rsidP="00BE5BF7">
      <w:pPr>
        <w:pStyle w:val="TableSourceNotes"/>
      </w:pPr>
      <w:r>
        <w:t>Samples represent pre- and post-purge groundwater samples in sandstone and alluvial aquifers.</w:t>
      </w:r>
    </w:p>
    <w:p w14:paraId="3BAFAC75" w14:textId="11557D2C" w:rsidR="00261502" w:rsidRDefault="00261502" w:rsidP="00BE5BF7">
      <w:pPr>
        <w:pStyle w:val="BodyText"/>
        <w:spacing w:before="240"/>
      </w:pPr>
      <w:r>
        <w:t>DistLM analysis identified pH, temperature, EC, DO, water level and mean slot depth as being independently significantly correlated with 16S rDNA metabarcode assemblages (</w:t>
      </w:r>
      <w:r w:rsidR="00E202FA">
        <w:fldChar w:fldCharType="begin"/>
      </w:r>
      <w:r w:rsidR="00E202FA">
        <w:instrText xml:space="preserve"> REF _Ref164638490 \h </w:instrText>
      </w:r>
      <w:r w:rsidR="00E202FA">
        <w:fldChar w:fldCharType="separate"/>
      </w:r>
      <w:r w:rsidR="00E202FA">
        <w:t xml:space="preserve">Table </w:t>
      </w:r>
      <w:r w:rsidR="00E202FA">
        <w:rPr>
          <w:noProof/>
        </w:rPr>
        <w:t>7</w:t>
      </w:r>
      <w:r w:rsidR="00E202FA">
        <w:fldChar w:fldCharType="end"/>
      </w:r>
      <w:r>
        <w:t>). Stepwise (sequential) analysis identified pH, temperature, DOC and sulfate as variables contributing significantly to community structure, and together explaining 36.3% of the variation in 16S rDNA composition (</w:t>
      </w:r>
      <w:r w:rsidR="00E202FA">
        <w:fldChar w:fldCharType="begin"/>
      </w:r>
      <w:r w:rsidR="00E202FA">
        <w:instrText xml:space="preserve"> REF _Ref164638490 \h </w:instrText>
      </w:r>
      <w:r w:rsidR="00E202FA">
        <w:fldChar w:fldCharType="separate"/>
      </w:r>
      <w:r w:rsidR="00E202FA">
        <w:t xml:space="preserve">Table </w:t>
      </w:r>
      <w:r w:rsidR="00E202FA">
        <w:rPr>
          <w:noProof/>
        </w:rPr>
        <w:t>7</w:t>
      </w:r>
      <w:r w:rsidR="00E202FA">
        <w:fldChar w:fldCharType="end"/>
      </w:r>
      <w:r>
        <w:t>).</w:t>
      </w:r>
    </w:p>
    <w:p w14:paraId="03130862" w14:textId="06DAE83F" w:rsidR="004A09B1" w:rsidRDefault="004A09B1" w:rsidP="004A09B1">
      <w:pPr>
        <w:pStyle w:val="TABLEHEADING"/>
      </w:pPr>
      <w:bookmarkStart w:id="62" w:name="_Ref164638490"/>
      <w:r>
        <w:t xml:space="preserve">Table </w:t>
      </w:r>
      <w:r>
        <w:fldChar w:fldCharType="begin"/>
      </w:r>
      <w:r>
        <w:instrText xml:space="preserve"> SEQ Table \* ARABIC </w:instrText>
      </w:r>
      <w:r>
        <w:fldChar w:fldCharType="separate"/>
      </w:r>
      <w:r w:rsidR="00307B2F">
        <w:rPr>
          <w:noProof/>
        </w:rPr>
        <w:t>7</w:t>
      </w:r>
      <w:r>
        <w:fldChar w:fldCharType="end"/>
      </w:r>
      <w:bookmarkEnd w:id="62"/>
      <w:r w:rsidRPr="00597873">
        <w:t>. Proportion of variation (r</w:t>
      </w:r>
      <w:r w:rsidRPr="004A09B1">
        <w:rPr>
          <w:vertAlign w:val="superscript"/>
        </w:rPr>
        <w:t>2</w:t>
      </w:r>
      <w:r w:rsidRPr="00597873">
        <w:t>) in prokaryote community structure based on 16S rDNA metabarcoding explained by environmental variables individually and in stepwise selection</w:t>
      </w:r>
    </w:p>
    <w:tbl>
      <w:tblPr>
        <w:tblStyle w:val="IESCTABLE1"/>
        <w:tblW w:w="9672" w:type="dxa"/>
        <w:tblLook w:val="04A0" w:firstRow="1" w:lastRow="0" w:firstColumn="1" w:lastColumn="0" w:noHBand="0" w:noVBand="1"/>
      </w:tblPr>
      <w:tblGrid>
        <w:gridCol w:w="3397"/>
        <w:gridCol w:w="1134"/>
        <w:gridCol w:w="1134"/>
        <w:gridCol w:w="1161"/>
        <w:gridCol w:w="1391"/>
        <w:gridCol w:w="1455"/>
      </w:tblGrid>
      <w:tr w:rsidR="00261502" w:rsidRPr="00261502" w14:paraId="6D2228D1" w14:textId="77777777" w:rsidTr="00DD7F6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53F1D416" w14:textId="77777777" w:rsidR="00261502" w:rsidRPr="00BE5BF7" w:rsidRDefault="00261502" w:rsidP="00BE5BF7">
            <w:pPr>
              <w:pStyle w:val="TableHeaderRow"/>
              <w:rPr>
                <w:b/>
                <w:bCs w:val="0"/>
              </w:rPr>
            </w:pPr>
            <w:r w:rsidRPr="00BE5BF7">
              <w:rPr>
                <w:b/>
                <w:bCs w:val="0"/>
              </w:rPr>
              <w:t>Variable</w:t>
            </w:r>
          </w:p>
        </w:tc>
        <w:tc>
          <w:tcPr>
            <w:tcW w:w="1134" w:type="dxa"/>
            <w:noWrap/>
            <w:tcMar>
              <w:top w:w="57" w:type="dxa"/>
              <w:left w:w="57" w:type="dxa"/>
              <w:bottom w:w="85" w:type="dxa"/>
              <w:right w:w="57" w:type="dxa"/>
            </w:tcMar>
            <w:hideMark/>
          </w:tcPr>
          <w:p w14:paraId="0A45B426" w14:textId="77777777" w:rsid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Cs w:val="0"/>
              </w:rPr>
            </w:pPr>
            <w:r>
              <w:rPr>
                <w:b/>
              </w:rPr>
              <w:t>Individual</w:t>
            </w:r>
          </w:p>
          <w:p w14:paraId="7F62416E" w14:textId="123805DD" w:rsidR="00261502" w:rsidRPr="00261502"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61502">
              <w:rPr>
                <w:b/>
              </w:rPr>
              <w:t>r</w:t>
            </w:r>
            <w:r w:rsidRPr="00261502">
              <w:rPr>
                <w:b/>
                <w:vertAlign w:val="superscript"/>
              </w:rPr>
              <w:t>2</w:t>
            </w:r>
          </w:p>
        </w:tc>
        <w:tc>
          <w:tcPr>
            <w:tcW w:w="1134" w:type="dxa"/>
            <w:noWrap/>
            <w:tcMar>
              <w:top w:w="57" w:type="dxa"/>
              <w:left w:w="57" w:type="dxa"/>
              <w:bottom w:w="85" w:type="dxa"/>
              <w:right w:w="57" w:type="dxa"/>
            </w:tcMar>
            <w:hideMark/>
          </w:tcPr>
          <w:p w14:paraId="5D09C204" w14:textId="77777777" w:rsid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Cs w:val="0"/>
              </w:rPr>
            </w:pPr>
            <w:r>
              <w:rPr>
                <w:b/>
              </w:rPr>
              <w:t>Individual</w:t>
            </w:r>
          </w:p>
          <w:p w14:paraId="7775194F" w14:textId="52D55424" w:rsidR="00261502" w:rsidRPr="00261502"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61502">
              <w:rPr>
                <w:b/>
              </w:rPr>
              <w:t>p</w:t>
            </w:r>
          </w:p>
        </w:tc>
        <w:tc>
          <w:tcPr>
            <w:tcW w:w="1161" w:type="dxa"/>
            <w:noWrap/>
            <w:tcMar>
              <w:top w:w="57" w:type="dxa"/>
              <w:left w:w="57" w:type="dxa"/>
              <w:bottom w:w="85" w:type="dxa"/>
              <w:right w:w="57" w:type="dxa"/>
            </w:tcMar>
            <w:hideMark/>
          </w:tcPr>
          <w:p w14:paraId="215DF397" w14:textId="2C569C02" w:rsid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Cs w:val="0"/>
              </w:rPr>
            </w:pPr>
            <w:r w:rsidRPr="00261502">
              <w:rPr>
                <w:b/>
              </w:rPr>
              <w:t>Cumulative</w:t>
            </w:r>
          </w:p>
          <w:p w14:paraId="6258F1BF" w14:textId="520B94F2" w:rsidR="00261502" w:rsidRPr="00261502"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61502">
              <w:rPr>
                <w:b/>
              </w:rPr>
              <w:t>r</w:t>
            </w:r>
            <w:r w:rsidRPr="00261502">
              <w:rPr>
                <w:b/>
                <w:vertAlign w:val="superscript"/>
              </w:rPr>
              <w:t>2</w:t>
            </w:r>
          </w:p>
        </w:tc>
        <w:tc>
          <w:tcPr>
            <w:tcW w:w="1391" w:type="dxa"/>
            <w:noWrap/>
            <w:tcMar>
              <w:top w:w="57" w:type="dxa"/>
              <w:left w:w="57" w:type="dxa"/>
              <w:bottom w:w="85" w:type="dxa"/>
              <w:right w:w="57" w:type="dxa"/>
            </w:tcMar>
            <w:hideMark/>
          </w:tcPr>
          <w:p w14:paraId="0466FCA2" w14:textId="7DF67E15" w:rsid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Cs w:val="0"/>
              </w:rPr>
            </w:pPr>
            <w:r w:rsidRPr="00261502">
              <w:rPr>
                <w:b/>
              </w:rPr>
              <w:t>Cumulative</w:t>
            </w:r>
          </w:p>
          <w:p w14:paraId="093F0495" w14:textId="11ABBC64" w:rsidR="00261502" w:rsidRPr="00261502"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61502">
              <w:rPr>
                <w:b/>
              </w:rPr>
              <w:t>Cumulative r</w:t>
            </w:r>
            <w:r w:rsidRPr="00261502">
              <w:rPr>
                <w:b/>
                <w:vertAlign w:val="superscript"/>
              </w:rPr>
              <w:t>2</w:t>
            </w:r>
          </w:p>
        </w:tc>
        <w:tc>
          <w:tcPr>
            <w:tcW w:w="1455" w:type="dxa"/>
            <w:noWrap/>
            <w:tcMar>
              <w:top w:w="57" w:type="dxa"/>
              <w:left w:w="57" w:type="dxa"/>
              <w:bottom w:w="85" w:type="dxa"/>
              <w:right w:w="57" w:type="dxa"/>
            </w:tcMar>
            <w:hideMark/>
          </w:tcPr>
          <w:p w14:paraId="4AD39E32" w14:textId="77777777" w:rsidR="00016E1B"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261502">
              <w:rPr>
                <w:b/>
              </w:rPr>
              <w:t>Cumulative</w:t>
            </w:r>
          </w:p>
          <w:p w14:paraId="519F7396" w14:textId="469E87FC" w:rsidR="00261502" w:rsidRPr="00261502"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261502">
              <w:rPr>
                <w:b/>
              </w:rPr>
              <w:t>p</w:t>
            </w:r>
          </w:p>
        </w:tc>
      </w:tr>
      <w:tr w:rsidR="00261502" w:rsidRPr="00261502" w14:paraId="50F7A66E"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5284C645" w14:textId="77777777" w:rsidR="00261502" w:rsidRPr="00BE5BF7" w:rsidRDefault="00261502" w:rsidP="00BE5BF7">
            <w:pPr>
              <w:pStyle w:val="TableText"/>
              <w:rPr>
                <w:b w:val="0"/>
              </w:rPr>
            </w:pPr>
            <w:r w:rsidRPr="00BE5BF7">
              <w:rPr>
                <w:b w:val="0"/>
              </w:rPr>
              <w:t>pH</w:t>
            </w:r>
          </w:p>
        </w:tc>
        <w:tc>
          <w:tcPr>
            <w:tcW w:w="1134" w:type="dxa"/>
            <w:noWrap/>
            <w:tcMar>
              <w:top w:w="57" w:type="dxa"/>
              <w:left w:w="57" w:type="dxa"/>
              <w:bottom w:w="85" w:type="dxa"/>
              <w:right w:w="57" w:type="dxa"/>
            </w:tcMar>
            <w:hideMark/>
          </w:tcPr>
          <w:p w14:paraId="4AB737EE"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0.144</w:t>
            </w:r>
          </w:p>
        </w:tc>
        <w:tc>
          <w:tcPr>
            <w:tcW w:w="1134" w:type="dxa"/>
            <w:noWrap/>
            <w:tcMar>
              <w:top w:w="57" w:type="dxa"/>
              <w:left w:w="57" w:type="dxa"/>
              <w:bottom w:w="85" w:type="dxa"/>
              <w:right w:w="57" w:type="dxa"/>
            </w:tcMar>
            <w:hideMark/>
          </w:tcPr>
          <w:p w14:paraId="71E990C1"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0.001</w:t>
            </w:r>
          </w:p>
        </w:tc>
        <w:tc>
          <w:tcPr>
            <w:tcW w:w="1161" w:type="dxa"/>
            <w:noWrap/>
            <w:tcMar>
              <w:top w:w="57" w:type="dxa"/>
              <w:left w:w="57" w:type="dxa"/>
              <w:bottom w:w="85" w:type="dxa"/>
              <w:right w:w="57" w:type="dxa"/>
            </w:tcMar>
            <w:hideMark/>
          </w:tcPr>
          <w:p w14:paraId="28634083"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0.144</w:t>
            </w:r>
          </w:p>
        </w:tc>
        <w:tc>
          <w:tcPr>
            <w:tcW w:w="1391" w:type="dxa"/>
            <w:noWrap/>
            <w:tcMar>
              <w:top w:w="57" w:type="dxa"/>
              <w:left w:w="57" w:type="dxa"/>
              <w:bottom w:w="85" w:type="dxa"/>
              <w:right w:w="57" w:type="dxa"/>
            </w:tcMar>
            <w:hideMark/>
          </w:tcPr>
          <w:p w14:paraId="02AEB9EF"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0.144</w:t>
            </w:r>
          </w:p>
        </w:tc>
        <w:tc>
          <w:tcPr>
            <w:tcW w:w="1455" w:type="dxa"/>
            <w:noWrap/>
            <w:tcMar>
              <w:top w:w="57" w:type="dxa"/>
              <w:left w:w="57" w:type="dxa"/>
              <w:bottom w:w="85" w:type="dxa"/>
              <w:right w:w="57" w:type="dxa"/>
            </w:tcMar>
            <w:hideMark/>
          </w:tcPr>
          <w:p w14:paraId="041FBF39"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0.001</w:t>
            </w:r>
          </w:p>
        </w:tc>
      </w:tr>
      <w:tr w:rsidR="00261502" w:rsidRPr="00261502" w14:paraId="026526BF"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47B8A7B1" w14:textId="77777777" w:rsidR="00261502" w:rsidRPr="00BE5BF7" w:rsidRDefault="00261502" w:rsidP="00BE5BF7">
            <w:pPr>
              <w:pStyle w:val="TableText"/>
              <w:rPr>
                <w:b w:val="0"/>
              </w:rPr>
            </w:pPr>
            <w:r w:rsidRPr="00BE5BF7">
              <w:rPr>
                <w:b w:val="0"/>
              </w:rPr>
              <w:t>Temperature</w:t>
            </w:r>
          </w:p>
        </w:tc>
        <w:tc>
          <w:tcPr>
            <w:tcW w:w="1134" w:type="dxa"/>
            <w:noWrap/>
            <w:tcMar>
              <w:top w:w="57" w:type="dxa"/>
              <w:left w:w="57" w:type="dxa"/>
              <w:bottom w:w="85" w:type="dxa"/>
              <w:right w:w="57" w:type="dxa"/>
            </w:tcMar>
            <w:hideMark/>
          </w:tcPr>
          <w:p w14:paraId="12060C6B"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0.099</w:t>
            </w:r>
          </w:p>
        </w:tc>
        <w:tc>
          <w:tcPr>
            <w:tcW w:w="1134" w:type="dxa"/>
            <w:noWrap/>
            <w:tcMar>
              <w:top w:w="57" w:type="dxa"/>
              <w:left w:w="57" w:type="dxa"/>
              <w:bottom w:w="85" w:type="dxa"/>
              <w:right w:w="57" w:type="dxa"/>
            </w:tcMar>
            <w:hideMark/>
          </w:tcPr>
          <w:p w14:paraId="0D17138E"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0.005</w:t>
            </w:r>
          </w:p>
        </w:tc>
        <w:tc>
          <w:tcPr>
            <w:tcW w:w="1161" w:type="dxa"/>
            <w:noWrap/>
            <w:tcMar>
              <w:top w:w="57" w:type="dxa"/>
              <w:left w:w="57" w:type="dxa"/>
              <w:bottom w:w="85" w:type="dxa"/>
              <w:right w:w="57" w:type="dxa"/>
            </w:tcMar>
            <w:hideMark/>
          </w:tcPr>
          <w:p w14:paraId="4955E848"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0.102</w:t>
            </w:r>
          </w:p>
        </w:tc>
        <w:tc>
          <w:tcPr>
            <w:tcW w:w="1391" w:type="dxa"/>
            <w:noWrap/>
            <w:tcMar>
              <w:top w:w="57" w:type="dxa"/>
              <w:left w:w="57" w:type="dxa"/>
              <w:bottom w:w="85" w:type="dxa"/>
              <w:right w:w="57" w:type="dxa"/>
            </w:tcMar>
            <w:hideMark/>
          </w:tcPr>
          <w:p w14:paraId="7FBCE6BF"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0.245</w:t>
            </w:r>
          </w:p>
        </w:tc>
        <w:tc>
          <w:tcPr>
            <w:tcW w:w="1455" w:type="dxa"/>
            <w:noWrap/>
            <w:tcMar>
              <w:top w:w="57" w:type="dxa"/>
              <w:left w:w="57" w:type="dxa"/>
              <w:bottom w:w="85" w:type="dxa"/>
              <w:right w:w="57" w:type="dxa"/>
            </w:tcMar>
            <w:hideMark/>
          </w:tcPr>
          <w:p w14:paraId="0CED305D"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0.004</w:t>
            </w:r>
          </w:p>
        </w:tc>
      </w:tr>
      <w:tr w:rsidR="00261502" w:rsidRPr="00261502" w14:paraId="487A5531"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7D8C2162" w14:textId="77777777" w:rsidR="00261502" w:rsidRPr="00BE5BF7" w:rsidRDefault="00261502" w:rsidP="00BE5BF7">
            <w:pPr>
              <w:pStyle w:val="TableText"/>
              <w:rPr>
                <w:b w:val="0"/>
              </w:rPr>
            </w:pPr>
            <w:r w:rsidRPr="00BE5BF7">
              <w:rPr>
                <w:b w:val="0"/>
              </w:rPr>
              <w:t>Dissolved organic carbon </w:t>
            </w:r>
          </w:p>
        </w:tc>
        <w:tc>
          <w:tcPr>
            <w:tcW w:w="1134" w:type="dxa"/>
            <w:noWrap/>
            <w:tcMar>
              <w:top w:w="57" w:type="dxa"/>
              <w:left w:w="57" w:type="dxa"/>
              <w:bottom w:w="85" w:type="dxa"/>
              <w:right w:w="57" w:type="dxa"/>
            </w:tcMar>
            <w:hideMark/>
          </w:tcPr>
          <w:p w14:paraId="03E9AF0F"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0.063</w:t>
            </w:r>
          </w:p>
        </w:tc>
        <w:tc>
          <w:tcPr>
            <w:tcW w:w="1134" w:type="dxa"/>
            <w:noWrap/>
            <w:tcMar>
              <w:top w:w="57" w:type="dxa"/>
              <w:left w:w="57" w:type="dxa"/>
              <w:bottom w:w="85" w:type="dxa"/>
              <w:right w:w="57" w:type="dxa"/>
            </w:tcMar>
            <w:hideMark/>
          </w:tcPr>
          <w:p w14:paraId="36ED7FA2"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0.076</w:t>
            </w:r>
          </w:p>
        </w:tc>
        <w:tc>
          <w:tcPr>
            <w:tcW w:w="1161" w:type="dxa"/>
            <w:noWrap/>
            <w:tcMar>
              <w:top w:w="57" w:type="dxa"/>
              <w:left w:w="57" w:type="dxa"/>
              <w:bottom w:w="85" w:type="dxa"/>
              <w:right w:w="57" w:type="dxa"/>
            </w:tcMar>
            <w:hideMark/>
          </w:tcPr>
          <w:p w14:paraId="504631A2"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0.061</w:t>
            </w:r>
          </w:p>
        </w:tc>
        <w:tc>
          <w:tcPr>
            <w:tcW w:w="1391" w:type="dxa"/>
            <w:noWrap/>
            <w:tcMar>
              <w:top w:w="57" w:type="dxa"/>
              <w:left w:w="57" w:type="dxa"/>
              <w:bottom w:w="85" w:type="dxa"/>
              <w:right w:w="57" w:type="dxa"/>
            </w:tcMar>
            <w:hideMark/>
          </w:tcPr>
          <w:p w14:paraId="2FEAEE24"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0.306</w:t>
            </w:r>
          </w:p>
        </w:tc>
        <w:tc>
          <w:tcPr>
            <w:tcW w:w="1455" w:type="dxa"/>
            <w:noWrap/>
            <w:tcMar>
              <w:top w:w="57" w:type="dxa"/>
              <w:left w:w="57" w:type="dxa"/>
              <w:bottom w:w="85" w:type="dxa"/>
              <w:right w:w="57" w:type="dxa"/>
            </w:tcMar>
            <w:hideMark/>
          </w:tcPr>
          <w:p w14:paraId="62BEB032"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0.026</w:t>
            </w:r>
          </w:p>
        </w:tc>
      </w:tr>
      <w:tr w:rsidR="00261502" w:rsidRPr="00261502" w14:paraId="3ABDB0D8"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18230947" w14:textId="77777777" w:rsidR="00261502" w:rsidRPr="00BE5BF7" w:rsidRDefault="00261502" w:rsidP="00BE5BF7">
            <w:pPr>
              <w:pStyle w:val="TableText"/>
              <w:rPr>
                <w:b w:val="0"/>
              </w:rPr>
            </w:pPr>
            <w:r w:rsidRPr="00BE5BF7">
              <w:rPr>
                <w:b w:val="0"/>
              </w:rPr>
              <w:t>Sulfate</w:t>
            </w:r>
          </w:p>
        </w:tc>
        <w:tc>
          <w:tcPr>
            <w:tcW w:w="1134" w:type="dxa"/>
            <w:noWrap/>
            <w:tcMar>
              <w:top w:w="57" w:type="dxa"/>
              <w:left w:w="57" w:type="dxa"/>
              <w:bottom w:w="85" w:type="dxa"/>
              <w:right w:w="57" w:type="dxa"/>
            </w:tcMar>
            <w:hideMark/>
          </w:tcPr>
          <w:p w14:paraId="13279F6B"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0.078</w:t>
            </w:r>
          </w:p>
        </w:tc>
        <w:tc>
          <w:tcPr>
            <w:tcW w:w="1134" w:type="dxa"/>
            <w:noWrap/>
            <w:tcMar>
              <w:top w:w="57" w:type="dxa"/>
              <w:left w:w="57" w:type="dxa"/>
              <w:bottom w:w="85" w:type="dxa"/>
              <w:right w:w="57" w:type="dxa"/>
            </w:tcMar>
            <w:hideMark/>
          </w:tcPr>
          <w:p w14:paraId="721B8F4E"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0.068</w:t>
            </w:r>
          </w:p>
        </w:tc>
        <w:tc>
          <w:tcPr>
            <w:tcW w:w="1161" w:type="dxa"/>
            <w:noWrap/>
            <w:tcMar>
              <w:top w:w="57" w:type="dxa"/>
              <w:left w:w="57" w:type="dxa"/>
              <w:bottom w:w="85" w:type="dxa"/>
              <w:right w:w="57" w:type="dxa"/>
            </w:tcMar>
            <w:hideMark/>
          </w:tcPr>
          <w:p w14:paraId="26558F76"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0.057</w:t>
            </w:r>
          </w:p>
        </w:tc>
        <w:tc>
          <w:tcPr>
            <w:tcW w:w="1391" w:type="dxa"/>
            <w:noWrap/>
            <w:tcMar>
              <w:top w:w="57" w:type="dxa"/>
              <w:left w:w="57" w:type="dxa"/>
              <w:bottom w:w="85" w:type="dxa"/>
              <w:right w:w="57" w:type="dxa"/>
            </w:tcMar>
            <w:hideMark/>
          </w:tcPr>
          <w:p w14:paraId="3B6D598A"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0.364</w:t>
            </w:r>
          </w:p>
        </w:tc>
        <w:tc>
          <w:tcPr>
            <w:tcW w:w="1455" w:type="dxa"/>
            <w:noWrap/>
            <w:tcMar>
              <w:top w:w="57" w:type="dxa"/>
              <w:left w:w="57" w:type="dxa"/>
              <w:bottom w:w="85" w:type="dxa"/>
              <w:right w:w="57" w:type="dxa"/>
            </w:tcMar>
            <w:hideMark/>
          </w:tcPr>
          <w:p w14:paraId="6D10DB65"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0.036</w:t>
            </w:r>
          </w:p>
        </w:tc>
      </w:tr>
      <w:tr w:rsidR="00BE5BF7" w:rsidRPr="00261502" w14:paraId="351EBB6C"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1A3631C0" w14:textId="77777777" w:rsidR="00BE5BF7" w:rsidRPr="00BE5BF7" w:rsidRDefault="00BE5BF7" w:rsidP="00BE5BF7">
            <w:pPr>
              <w:pStyle w:val="TableText"/>
              <w:rPr>
                <w:b w:val="0"/>
              </w:rPr>
            </w:pPr>
            <w:r w:rsidRPr="00BE5BF7">
              <w:rPr>
                <w:b w:val="0"/>
              </w:rPr>
              <w:t>Electrical conductivity</w:t>
            </w:r>
          </w:p>
        </w:tc>
        <w:tc>
          <w:tcPr>
            <w:tcW w:w="1134" w:type="dxa"/>
            <w:noWrap/>
            <w:tcMar>
              <w:top w:w="57" w:type="dxa"/>
              <w:left w:w="57" w:type="dxa"/>
              <w:bottom w:w="85" w:type="dxa"/>
              <w:right w:w="57" w:type="dxa"/>
            </w:tcMar>
            <w:hideMark/>
          </w:tcPr>
          <w:p w14:paraId="2C1F6014"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0.096</w:t>
            </w:r>
          </w:p>
        </w:tc>
        <w:tc>
          <w:tcPr>
            <w:tcW w:w="1134" w:type="dxa"/>
            <w:noWrap/>
            <w:tcMar>
              <w:top w:w="57" w:type="dxa"/>
              <w:left w:w="57" w:type="dxa"/>
              <w:bottom w:w="85" w:type="dxa"/>
              <w:right w:w="57" w:type="dxa"/>
            </w:tcMar>
            <w:hideMark/>
          </w:tcPr>
          <w:p w14:paraId="4AB5A420"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0.010</w:t>
            </w:r>
          </w:p>
        </w:tc>
        <w:tc>
          <w:tcPr>
            <w:tcW w:w="1161" w:type="dxa"/>
            <w:noWrap/>
            <w:tcMar>
              <w:top w:w="57" w:type="dxa"/>
              <w:left w:w="57" w:type="dxa"/>
              <w:bottom w:w="85" w:type="dxa"/>
              <w:right w:w="57" w:type="dxa"/>
            </w:tcMar>
          </w:tcPr>
          <w:p w14:paraId="356636B1" w14:textId="74CDFE3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tcPr>
          <w:p w14:paraId="2D4D00B0" w14:textId="5DB908C0"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tcPr>
          <w:p w14:paraId="7E203859" w14:textId="5CD77472"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261502" w14:paraId="4C6DB492"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7708F945" w14:textId="77777777" w:rsidR="00BE5BF7" w:rsidRPr="00BE5BF7" w:rsidRDefault="00BE5BF7" w:rsidP="00BE5BF7">
            <w:pPr>
              <w:pStyle w:val="TableText"/>
              <w:rPr>
                <w:b w:val="0"/>
              </w:rPr>
            </w:pPr>
            <w:r w:rsidRPr="00BE5BF7">
              <w:rPr>
                <w:b w:val="0"/>
              </w:rPr>
              <w:t>Water level (depth to water – casing height)</w:t>
            </w:r>
          </w:p>
        </w:tc>
        <w:tc>
          <w:tcPr>
            <w:tcW w:w="1134" w:type="dxa"/>
            <w:noWrap/>
            <w:tcMar>
              <w:top w:w="57" w:type="dxa"/>
              <w:left w:w="57" w:type="dxa"/>
              <w:bottom w:w="85" w:type="dxa"/>
              <w:right w:w="57" w:type="dxa"/>
            </w:tcMar>
            <w:hideMark/>
          </w:tcPr>
          <w:p w14:paraId="2E4FC082"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0.068</w:t>
            </w:r>
          </w:p>
        </w:tc>
        <w:tc>
          <w:tcPr>
            <w:tcW w:w="1134" w:type="dxa"/>
            <w:noWrap/>
            <w:tcMar>
              <w:top w:w="57" w:type="dxa"/>
              <w:left w:w="57" w:type="dxa"/>
              <w:bottom w:w="85" w:type="dxa"/>
              <w:right w:w="57" w:type="dxa"/>
            </w:tcMar>
            <w:hideMark/>
          </w:tcPr>
          <w:p w14:paraId="4498F90B"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0.041</w:t>
            </w:r>
          </w:p>
        </w:tc>
        <w:tc>
          <w:tcPr>
            <w:tcW w:w="1161" w:type="dxa"/>
            <w:noWrap/>
            <w:tcMar>
              <w:top w:w="57" w:type="dxa"/>
              <w:left w:w="57" w:type="dxa"/>
              <w:bottom w:w="85" w:type="dxa"/>
              <w:right w:w="57" w:type="dxa"/>
            </w:tcMar>
            <w:hideMark/>
          </w:tcPr>
          <w:p w14:paraId="3B96EF37" w14:textId="1D9E1B5C"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2863F11D" w14:textId="1E9186D8"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1D25C11A" w14:textId="509B2490"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74F9C525"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27B532BC" w14:textId="77777777" w:rsidR="00BE5BF7" w:rsidRPr="00BE5BF7" w:rsidRDefault="00BE5BF7" w:rsidP="00BE5BF7">
            <w:pPr>
              <w:pStyle w:val="TableText"/>
              <w:rPr>
                <w:b w:val="0"/>
              </w:rPr>
            </w:pPr>
            <w:r w:rsidRPr="00BE5BF7">
              <w:rPr>
                <w:b w:val="0"/>
              </w:rPr>
              <w:t>Dissolved oxygen</w:t>
            </w:r>
          </w:p>
        </w:tc>
        <w:tc>
          <w:tcPr>
            <w:tcW w:w="1134" w:type="dxa"/>
            <w:noWrap/>
            <w:tcMar>
              <w:top w:w="57" w:type="dxa"/>
              <w:left w:w="57" w:type="dxa"/>
              <w:bottom w:w="85" w:type="dxa"/>
              <w:right w:w="57" w:type="dxa"/>
            </w:tcMar>
            <w:hideMark/>
          </w:tcPr>
          <w:p w14:paraId="6D682D23"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0.068</w:t>
            </w:r>
          </w:p>
        </w:tc>
        <w:tc>
          <w:tcPr>
            <w:tcW w:w="1134" w:type="dxa"/>
            <w:noWrap/>
            <w:tcMar>
              <w:top w:w="57" w:type="dxa"/>
              <w:left w:w="57" w:type="dxa"/>
              <w:bottom w:w="85" w:type="dxa"/>
              <w:right w:w="57" w:type="dxa"/>
            </w:tcMar>
            <w:hideMark/>
          </w:tcPr>
          <w:p w14:paraId="5098858F"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0.018</w:t>
            </w:r>
          </w:p>
        </w:tc>
        <w:tc>
          <w:tcPr>
            <w:tcW w:w="1161" w:type="dxa"/>
            <w:noWrap/>
            <w:tcMar>
              <w:top w:w="57" w:type="dxa"/>
              <w:left w:w="57" w:type="dxa"/>
              <w:bottom w:w="85" w:type="dxa"/>
              <w:right w:w="57" w:type="dxa"/>
            </w:tcMar>
            <w:hideMark/>
          </w:tcPr>
          <w:p w14:paraId="0648A3BB" w14:textId="558C65AC"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2BBDFC2D" w14:textId="4FEEBED2"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32800983" w14:textId="6AD67869"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261502" w14:paraId="1B10B97E"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2D0D257D" w14:textId="77777777" w:rsidR="00BE5BF7" w:rsidRPr="00BE5BF7" w:rsidRDefault="00BE5BF7" w:rsidP="00BE5BF7">
            <w:pPr>
              <w:pStyle w:val="TableText"/>
              <w:rPr>
                <w:b w:val="0"/>
              </w:rPr>
            </w:pPr>
            <w:r w:rsidRPr="00BE5BF7">
              <w:rPr>
                <w:b w:val="0"/>
              </w:rPr>
              <w:t>Mean slot depth</w:t>
            </w:r>
          </w:p>
        </w:tc>
        <w:tc>
          <w:tcPr>
            <w:tcW w:w="1134" w:type="dxa"/>
            <w:noWrap/>
            <w:tcMar>
              <w:top w:w="57" w:type="dxa"/>
              <w:left w:w="57" w:type="dxa"/>
              <w:bottom w:w="85" w:type="dxa"/>
              <w:right w:w="57" w:type="dxa"/>
            </w:tcMar>
            <w:hideMark/>
          </w:tcPr>
          <w:p w14:paraId="6C63E86D"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0.066</w:t>
            </w:r>
          </w:p>
        </w:tc>
        <w:tc>
          <w:tcPr>
            <w:tcW w:w="1134" w:type="dxa"/>
            <w:noWrap/>
            <w:tcMar>
              <w:top w:w="57" w:type="dxa"/>
              <w:left w:w="57" w:type="dxa"/>
              <w:bottom w:w="85" w:type="dxa"/>
              <w:right w:w="57" w:type="dxa"/>
            </w:tcMar>
            <w:hideMark/>
          </w:tcPr>
          <w:p w14:paraId="4FD88A65"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0.042</w:t>
            </w:r>
          </w:p>
        </w:tc>
        <w:tc>
          <w:tcPr>
            <w:tcW w:w="1161" w:type="dxa"/>
            <w:noWrap/>
            <w:tcMar>
              <w:top w:w="57" w:type="dxa"/>
              <w:left w:w="57" w:type="dxa"/>
              <w:bottom w:w="85" w:type="dxa"/>
              <w:right w:w="57" w:type="dxa"/>
            </w:tcMar>
            <w:hideMark/>
          </w:tcPr>
          <w:p w14:paraId="414214A4" w14:textId="06255BBE"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1F1EAA27" w14:textId="151B5A87"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76725416" w14:textId="40D634A7"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0605E3AE"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6BA8E705" w14:textId="77777777" w:rsidR="00BE5BF7" w:rsidRPr="00BE5BF7" w:rsidRDefault="00BE5BF7" w:rsidP="00BE5BF7">
            <w:pPr>
              <w:pStyle w:val="TableText"/>
              <w:rPr>
                <w:b w:val="0"/>
              </w:rPr>
            </w:pPr>
            <w:r w:rsidRPr="00BE5BF7">
              <w:rPr>
                <w:b w:val="0"/>
              </w:rPr>
              <w:t>Total nitrogen</w:t>
            </w:r>
          </w:p>
        </w:tc>
        <w:tc>
          <w:tcPr>
            <w:tcW w:w="1134" w:type="dxa"/>
            <w:noWrap/>
            <w:tcMar>
              <w:top w:w="57" w:type="dxa"/>
              <w:left w:w="57" w:type="dxa"/>
              <w:bottom w:w="85" w:type="dxa"/>
              <w:right w:w="57" w:type="dxa"/>
            </w:tcMar>
            <w:hideMark/>
          </w:tcPr>
          <w:p w14:paraId="49B39943"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0.053</w:t>
            </w:r>
          </w:p>
        </w:tc>
        <w:tc>
          <w:tcPr>
            <w:tcW w:w="1134" w:type="dxa"/>
            <w:noWrap/>
            <w:tcMar>
              <w:top w:w="57" w:type="dxa"/>
              <w:left w:w="57" w:type="dxa"/>
              <w:bottom w:w="85" w:type="dxa"/>
              <w:right w:w="57" w:type="dxa"/>
            </w:tcMar>
            <w:hideMark/>
          </w:tcPr>
          <w:p w14:paraId="0A0B6F24"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0.097</w:t>
            </w:r>
          </w:p>
        </w:tc>
        <w:tc>
          <w:tcPr>
            <w:tcW w:w="1161" w:type="dxa"/>
            <w:noWrap/>
            <w:tcMar>
              <w:top w:w="57" w:type="dxa"/>
              <w:left w:w="57" w:type="dxa"/>
              <w:bottom w:w="85" w:type="dxa"/>
              <w:right w:w="57" w:type="dxa"/>
            </w:tcMar>
            <w:hideMark/>
          </w:tcPr>
          <w:p w14:paraId="73B37CB6" w14:textId="623D3CD9"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47C43AA4" w14:textId="556CB78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4E0A8E67" w14:textId="74AEC2B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261502" w14:paraId="27EDB649"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2AFC5105" w14:textId="77777777" w:rsidR="00BE5BF7" w:rsidRPr="00BE5BF7" w:rsidRDefault="00BE5BF7" w:rsidP="00BE5BF7">
            <w:pPr>
              <w:pStyle w:val="TableText"/>
              <w:rPr>
                <w:b w:val="0"/>
              </w:rPr>
            </w:pPr>
            <w:r w:rsidRPr="00BE5BF7">
              <w:rPr>
                <w:b w:val="0"/>
              </w:rPr>
              <w:t>Oxidation-reduction potential</w:t>
            </w:r>
          </w:p>
        </w:tc>
        <w:tc>
          <w:tcPr>
            <w:tcW w:w="1134" w:type="dxa"/>
            <w:noWrap/>
            <w:tcMar>
              <w:top w:w="57" w:type="dxa"/>
              <w:left w:w="57" w:type="dxa"/>
              <w:bottom w:w="85" w:type="dxa"/>
              <w:right w:w="57" w:type="dxa"/>
            </w:tcMar>
            <w:hideMark/>
          </w:tcPr>
          <w:p w14:paraId="2CBCF93F"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0.038</w:t>
            </w:r>
          </w:p>
        </w:tc>
        <w:tc>
          <w:tcPr>
            <w:tcW w:w="1134" w:type="dxa"/>
            <w:noWrap/>
            <w:tcMar>
              <w:top w:w="57" w:type="dxa"/>
              <w:left w:w="57" w:type="dxa"/>
              <w:bottom w:w="85" w:type="dxa"/>
              <w:right w:w="57" w:type="dxa"/>
            </w:tcMar>
            <w:hideMark/>
          </w:tcPr>
          <w:p w14:paraId="68B2A3DA"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0.178</w:t>
            </w:r>
          </w:p>
        </w:tc>
        <w:tc>
          <w:tcPr>
            <w:tcW w:w="1161" w:type="dxa"/>
            <w:noWrap/>
            <w:tcMar>
              <w:top w:w="57" w:type="dxa"/>
              <w:left w:w="57" w:type="dxa"/>
              <w:bottom w:w="85" w:type="dxa"/>
              <w:right w:w="57" w:type="dxa"/>
            </w:tcMar>
            <w:hideMark/>
          </w:tcPr>
          <w:p w14:paraId="2844C45A" w14:textId="62542CD8"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712D8895" w14:textId="46C95849"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7ADDBECD" w14:textId="6F708400"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2E014D5E"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97" w:type="dxa"/>
            <w:noWrap/>
            <w:tcMar>
              <w:top w:w="57" w:type="dxa"/>
              <w:left w:w="57" w:type="dxa"/>
              <w:bottom w:w="85" w:type="dxa"/>
              <w:right w:w="57" w:type="dxa"/>
            </w:tcMar>
            <w:hideMark/>
          </w:tcPr>
          <w:p w14:paraId="6576D314" w14:textId="77777777" w:rsidR="00BE5BF7" w:rsidRPr="00BE5BF7" w:rsidRDefault="00BE5BF7" w:rsidP="00BE5BF7">
            <w:pPr>
              <w:pStyle w:val="TableText"/>
              <w:rPr>
                <w:b w:val="0"/>
              </w:rPr>
            </w:pPr>
            <w:r w:rsidRPr="00BE5BF7">
              <w:rPr>
                <w:b w:val="0"/>
              </w:rPr>
              <w:t>Total phosphorus</w:t>
            </w:r>
          </w:p>
        </w:tc>
        <w:tc>
          <w:tcPr>
            <w:tcW w:w="1134" w:type="dxa"/>
            <w:noWrap/>
            <w:tcMar>
              <w:top w:w="57" w:type="dxa"/>
              <w:left w:w="57" w:type="dxa"/>
              <w:bottom w:w="85" w:type="dxa"/>
              <w:right w:w="57" w:type="dxa"/>
            </w:tcMar>
            <w:hideMark/>
          </w:tcPr>
          <w:p w14:paraId="1A8C87D3"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0.034</w:t>
            </w:r>
          </w:p>
        </w:tc>
        <w:tc>
          <w:tcPr>
            <w:tcW w:w="1134" w:type="dxa"/>
            <w:noWrap/>
            <w:tcMar>
              <w:top w:w="57" w:type="dxa"/>
              <w:left w:w="57" w:type="dxa"/>
              <w:bottom w:w="85" w:type="dxa"/>
              <w:right w:w="57" w:type="dxa"/>
            </w:tcMar>
            <w:hideMark/>
          </w:tcPr>
          <w:p w14:paraId="1C43702A"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0.378</w:t>
            </w:r>
          </w:p>
        </w:tc>
        <w:tc>
          <w:tcPr>
            <w:tcW w:w="1161" w:type="dxa"/>
            <w:noWrap/>
            <w:tcMar>
              <w:top w:w="57" w:type="dxa"/>
              <w:left w:w="57" w:type="dxa"/>
              <w:bottom w:w="85" w:type="dxa"/>
              <w:right w:w="57" w:type="dxa"/>
            </w:tcMar>
            <w:hideMark/>
          </w:tcPr>
          <w:p w14:paraId="6232ABCF" w14:textId="52493668"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391" w:type="dxa"/>
            <w:noWrap/>
            <w:tcMar>
              <w:top w:w="57" w:type="dxa"/>
              <w:left w:w="57" w:type="dxa"/>
              <w:bottom w:w="85" w:type="dxa"/>
              <w:right w:w="57" w:type="dxa"/>
            </w:tcMar>
            <w:hideMark/>
          </w:tcPr>
          <w:p w14:paraId="4CF61903" w14:textId="354CC2BC"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55" w:type="dxa"/>
            <w:noWrap/>
            <w:tcMar>
              <w:top w:w="57" w:type="dxa"/>
              <w:left w:w="57" w:type="dxa"/>
              <w:bottom w:w="85" w:type="dxa"/>
              <w:right w:w="57" w:type="dxa"/>
            </w:tcMar>
            <w:hideMark/>
          </w:tcPr>
          <w:p w14:paraId="182A68C0" w14:textId="4A84E391"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bl>
    <w:p w14:paraId="3A5AE3FF" w14:textId="7D3D2266" w:rsidR="00261502" w:rsidRDefault="00261502" w:rsidP="00BE5BF7">
      <w:pPr>
        <w:pStyle w:val="TableSourceNotes"/>
      </w:pPr>
      <w:r>
        <w:t>Values in bold were significant (p&lt;0.05).</w:t>
      </w:r>
    </w:p>
    <w:p w14:paraId="4BE9908B" w14:textId="77777777" w:rsidR="00261502" w:rsidRDefault="00261502" w:rsidP="00BE5BF7">
      <w:pPr>
        <w:pStyle w:val="Heading3Numbered"/>
        <w:numPr>
          <w:ilvl w:val="0"/>
          <w:numId w:val="0"/>
        </w:numPr>
        <w:ind w:left="1276" w:hanging="851"/>
      </w:pPr>
      <w:bookmarkStart w:id="63" w:name="_Toc164960622"/>
      <w:r>
        <w:t>3.3.2</w:t>
      </w:r>
      <w:r>
        <w:tab/>
        <w:t>16S rDNA FAPROTAX</w:t>
      </w:r>
      <w:bookmarkEnd w:id="63"/>
    </w:p>
    <w:p w14:paraId="5A5AF558" w14:textId="1DB185F1" w:rsidR="00261502" w:rsidRDefault="00261502" w:rsidP="00261502">
      <w:pPr>
        <w:pStyle w:val="BodyText"/>
      </w:pPr>
      <w:r>
        <w:t>In the inferred functional assemblages derived from applying FAPROTAX to the 16S rDNA metabarcode data, there was no clear separation among samples by aquifer type and pre-/post-purge collection (</w:t>
      </w:r>
      <w:r w:rsidR="00E202FA">
        <w:fldChar w:fldCharType="begin"/>
      </w:r>
      <w:r w:rsidR="00E202FA">
        <w:instrText xml:space="preserve"> REF _Ref164638351 \h </w:instrText>
      </w:r>
      <w:r w:rsidR="00E202FA">
        <w:fldChar w:fldCharType="separate"/>
      </w:r>
      <w:r w:rsidR="00E202FA">
        <w:t xml:space="preserve">Figure </w:t>
      </w:r>
      <w:r w:rsidR="00E202FA">
        <w:rPr>
          <w:noProof/>
        </w:rPr>
        <w:t>17</w:t>
      </w:r>
      <w:r w:rsidR="00E202FA">
        <w:fldChar w:fldCharType="end"/>
      </w:r>
      <w:r>
        <w:t>). However, there was a significant difference in the functional assemblages between aquifer types (p=0.002), but not between pre- and post-purge samples (p=0.061). There was a significant difference between bores (p=0.024), but the aquifer type x pre-/post-purge interaction was not significant (p=0.449). DistLM analysis found that 38.4% of the variation in the inferred functional assemblages could be explained by electrical conductivity, mean slot depth, pH, TN and DO (</w:t>
      </w:r>
      <w:r w:rsidR="00E202FA">
        <w:fldChar w:fldCharType="begin"/>
      </w:r>
      <w:r w:rsidR="00E202FA">
        <w:instrText xml:space="preserve"> REF _Ref164638506 \h </w:instrText>
      </w:r>
      <w:r w:rsidR="00E202FA">
        <w:fldChar w:fldCharType="separate"/>
      </w:r>
      <w:r w:rsidR="00E202FA">
        <w:t xml:space="preserve">Table </w:t>
      </w:r>
      <w:r w:rsidR="00E202FA">
        <w:rPr>
          <w:noProof/>
        </w:rPr>
        <w:t>8</w:t>
      </w:r>
      <w:r w:rsidR="00E202FA">
        <w:fldChar w:fldCharType="end"/>
      </w:r>
      <w:r>
        <w:t>).</w:t>
      </w:r>
    </w:p>
    <w:p w14:paraId="6E830A6E" w14:textId="00D7C860" w:rsidR="00261502" w:rsidRDefault="00DD7F62" w:rsidP="003C5164">
      <w:pPr>
        <w:pStyle w:val="BodyText"/>
        <w:keepNext/>
        <w:spacing w:after="0"/>
      </w:pPr>
      <w:r>
        <w:rPr>
          <w:noProof/>
        </w:rPr>
        <w:drawing>
          <wp:inline distT="0" distB="0" distL="0" distR="0" wp14:anchorId="712ECC6F" wp14:editId="1BBE9B8B">
            <wp:extent cx="4533900" cy="3060700"/>
            <wp:effectExtent l="0" t="0" r="0" b="0"/>
            <wp:docPr id="1397313816" name="Picture 2"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13816" name="Picture 2" descr="nMDS ordination as described in the previous paragraph"/>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33900" cy="3060700"/>
                    </a:xfrm>
                    <a:prstGeom prst="rect">
                      <a:avLst/>
                    </a:prstGeom>
                  </pic:spPr>
                </pic:pic>
              </a:graphicData>
            </a:graphic>
          </wp:inline>
        </w:drawing>
      </w:r>
    </w:p>
    <w:p w14:paraId="0F32B724" w14:textId="5B3A2FE2" w:rsidR="00EE5F48" w:rsidRDefault="00EE5F48" w:rsidP="00DD7F62">
      <w:pPr>
        <w:pStyle w:val="Figureheading"/>
        <w:spacing w:before="0"/>
      </w:pPr>
      <w:bookmarkStart w:id="64" w:name="_Ref164638351"/>
      <w:r>
        <w:t xml:space="preserve">Figure </w:t>
      </w:r>
      <w:r>
        <w:fldChar w:fldCharType="begin"/>
      </w:r>
      <w:r>
        <w:instrText xml:space="preserve"> SEQ Figure \* ARABIC </w:instrText>
      </w:r>
      <w:r>
        <w:fldChar w:fldCharType="separate"/>
      </w:r>
      <w:r>
        <w:rPr>
          <w:noProof/>
        </w:rPr>
        <w:t>17</w:t>
      </w:r>
      <w:r>
        <w:fldChar w:fldCharType="end"/>
      </w:r>
      <w:bookmarkEnd w:id="64"/>
      <w:r w:rsidRPr="004C7FF2">
        <w:t>. nMDS ordination of prokaryote functional assemblages in groundwater based on FAPROTAX analysis of 16S rDNA genes identified using metabarcoding</w:t>
      </w:r>
    </w:p>
    <w:p w14:paraId="4DC3CB06" w14:textId="77777777" w:rsidR="00261502" w:rsidRDefault="00261502" w:rsidP="00BE5BF7">
      <w:pPr>
        <w:pStyle w:val="TableSourceNotes"/>
      </w:pPr>
      <w:r>
        <w:t>Samples represent pre- and post-purge groundwater samples in sandstone and alluvial aquifers.</w:t>
      </w:r>
    </w:p>
    <w:p w14:paraId="3D8F26D7" w14:textId="4C565B5A" w:rsidR="004A09B1" w:rsidRDefault="004A09B1" w:rsidP="00DD7F62">
      <w:pPr>
        <w:pStyle w:val="TABLEHEADING"/>
        <w:keepNext/>
      </w:pPr>
      <w:bookmarkStart w:id="65" w:name="_Ref164638506"/>
      <w:r>
        <w:t xml:space="preserve">Table </w:t>
      </w:r>
      <w:r>
        <w:fldChar w:fldCharType="begin"/>
      </w:r>
      <w:r>
        <w:instrText xml:space="preserve"> SEQ Table \* ARABIC </w:instrText>
      </w:r>
      <w:r>
        <w:fldChar w:fldCharType="separate"/>
      </w:r>
      <w:r w:rsidR="00307B2F">
        <w:rPr>
          <w:noProof/>
        </w:rPr>
        <w:t>8</w:t>
      </w:r>
      <w:r>
        <w:fldChar w:fldCharType="end"/>
      </w:r>
      <w:bookmarkEnd w:id="65"/>
      <w:r w:rsidRPr="00E36D56">
        <w:t>. Proportion of variation (r</w:t>
      </w:r>
      <w:r w:rsidRPr="004A09B1">
        <w:rPr>
          <w:vertAlign w:val="superscript"/>
        </w:rPr>
        <w:t>2</w:t>
      </w:r>
      <w:r w:rsidRPr="00E36D56">
        <w:t>) in functional prokaryote community structure based on FAPROTAX analysis of 16S rDNA explained by environmental variables individually and in stepwise selection</w:t>
      </w:r>
    </w:p>
    <w:tbl>
      <w:tblPr>
        <w:tblStyle w:val="IESCTABLE1"/>
        <w:tblW w:w="9060" w:type="dxa"/>
        <w:tblLook w:val="04A0" w:firstRow="1" w:lastRow="0" w:firstColumn="1" w:lastColumn="0" w:noHBand="0" w:noVBand="1"/>
      </w:tblPr>
      <w:tblGrid>
        <w:gridCol w:w="2572"/>
        <w:gridCol w:w="1183"/>
        <w:gridCol w:w="1167"/>
        <w:gridCol w:w="1310"/>
        <w:gridCol w:w="1418"/>
        <w:gridCol w:w="1410"/>
      </w:tblGrid>
      <w:tr w:rsidR="00BE5BF7" w:rsidRPr="00261502" w14:paraId="4155188A" w14:textId="77777777" w:rsidTr="00DD7F6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30A778AD" w14:textId="77777777" w:rsidR="00261502" w:rsidRPr="00BE5BF7" w:rsidRDefault="00261502" w:rsidP="00BE5BF7">
            <w:pPr>
              <w:pStyle w:val="TableHeaderRow"/>
              <w:rPr>
                <w:b/>
              </w:rPr>
            </w:pPr>
            <w:r w:rsidRPr="00BE5BF7">
              <w:rPr>
                <w:b/>
              </w:rPr>
              <w:t>Variable</w:t>
            </w:r>
          </w:p>
        </w:tc>
        <w:tc>
          <w:tcPr>
            <w:tcW w:w="1183" w:type="dxa"/>
            <w:noWrap/>
            <w:tcMar>
              <w:top w:w="57" w:type="dxa"/>
              <w:left w:w="57" w:type="dxa"/>
              <w:bottom w:w="85" w:type="dxa"/>
              <w:right w:w="57" w:type="dxa"/>
            </w:tcMar>
            <w:hideMark/>
          </w:tcPr>
          <w:p w14:paraId="16396115" w14:textId="02EC73FC"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Individual</w:t>
            </w:r>
          </w:p>
          <w:p w14:paraId="23CD5300" w14:textId="33B73357" w:rsidR="00261502" w:rsidRPr="00BE5BF7"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r</w:t>
            </w:r>
            <w:r w:rsidRPr="00BE5BF7">
              <w:rPr>
                <w:b/>
                <w:vertAlign w:val="superscript"/>
              </w:rPr>
              <w:t>2</w:t>
            </w:r>
          </w:p>
        </w:tc>
        <w:tc>
          <w:tcPr>
            <w:tcW w:w="1167" w:type="dxa"/>
            <w:noWrap/>
            <w:tcMar>
              <w:top w:w="57" w:type="dxa"/>
              <w:left w:w="57" w:type="dxa"/>
              <w:bottom w:w="85" w:type="dxa"/>
              <w:right w:w="57" w:type="dxa"/>
            </w:tcMar>
            <w:hideMark/>
          </w:tcPr>
          <w:p w14:paraId="538B45BB"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Individual</w:t>
            </w:r>
          </w:p>
          <w:p w14:paraId="16F5EBC9" w14:textId="77777777" w:rsidR="00261502" w:rsidRPr="00BE5BF7"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p</w:t>
            </w:r>
          </w:p>
        </w:tc>
        <w:tc>
          <w:tcPr>
            <w:tcW w:w="1310" w:type="dxa"/>
            <w:noWrap/>
            <w:tcMar>
              <w:top w:w="57" w:type="dxa"/>
              <w:left w:w="57" w:type="dxa"/>
              <w:bottom w:w="85" w:type="dxa"/>
              <w:right w:w="57" w:type="dxa"/>
            </w:tcMar>
            <w:hideMark/>
          </w:tcPr>
          <w:p w14:paraId="5DC47C19"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73634E1D" w14:textId="127641BC" w:rsidR="00261502" w:rsidRPr="00BE5BF7"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r</w:t>
            </w:r>
            <w:r w:rsidRPr="00BE5BF7">
              <w:rPr>
                <w:b/>
                <w:vertAlign w:val="superscript"/>
              </w:rPr>
              <w:t>2</w:t>
            </w:r>
          </w:p>
        </w:tc>
        <w:tc>
          <w:tcPr>
            <w:tcW w:w="1418" w:type="dxa"/>
            <w:noWrap/>
            <w:tcMar>
              <w:top w:w="57" w:type="dxa"/>
              <w:left w:w="57" w:type="dxa"/>
              <w:bottom w:w="85" w:type="dxa"/>
              <w:right w:w="57" w:type="dxa"/>
            </w:tcMar>
            <w:hideMark/>
          </w:tcPr>
          <w:p w14:paraId="43BA5CEC"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43B8B568" w14:textId="77777777" w:rsidR="00261502" w:rsidRPr="00BE5BF7"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Cumulative r</w:t>
            </w:r>
            <w:r w:rsidRPr="00BE5BF7">
              <w:rPr>
                <w:b/>
                <w:vertAlign w:val="superscript"/>
              </w:rPr>
              <w:t>2</w:t>
            </w:r>
          </w:p>
        </w:tc>
        <w:tc>
          <w:tcPr>
            <w:tcW w:w="1410" w:type="dxa"/>
            <w:noWrap/>
            <w:tcMar>
              <w:top w:w="57" w:type="dxa"/>
              <w:left w:w="57" w:type="dxa"/>
              <w:bottom w:w="85" w:type="dxa"/>
              <w:right w:w="57" w:type="dxa"/>
            </w:tcMar>
            <w:hideMark/>
          </w:tcPr>
          <w:p w14:paraId="5F8B91D0" w14:textId="77777777" w:rsidR="00BE5BF7" w:rsidRPr="00BE5BF7" w:rsidRDefault="00BE5BF7" w:rsidP="00BE5BF7">
            <w:pPr>
              <w:pStyle w:val="TableHeaderRow"/>
              <w:cnfStyle w:val="100000000000" w:firstRow="1" w:lastRow="0" w:firstColumn="0" w:lastColumn="0" w:oddVBand="0" w:evenVBand="0" w:oddHBand="0" w:evenHBand="0" w:firstRowFirstColumn="0" w:firstRowLastColumn="0" w:lastRowFirstColumn="0" w:lastRowLastColumn="0"/>
              <w:rPr>
                <w:b/>
              </w:rPr>
            </w:pPr>
            <w:r w:rsidRPr="00BE5BF7">
              <w:rPr>
                <w:b/>
              </w:rPr>
              <w:t>Cumulative</w:t>
            </w:r>
          </w:p>
          <w:p w14:paraId="20142ED3" w14:textId="77777777" w:rsidR="00261502" w:rsidRPr="00BE5BF7" w:rsidRDefault="00261502" w:rsidP="00BE5BF7">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BE5BF7">
              <w:rPr>
                <w:b/>
              </w:rPr>
              <w:t>p</w:t>
            </w:r>
          </w:p>
        </w:tc>
      </w:tr>
      <w:tr w:rsidR="00BE5BF7" w:rsidRPr="00261502" w14:paraId="06A1457B"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789B2F56" w14:textId="77777777" w:rsidR="00261502" w:rsidRPr="00BE5BF7" w:rsidRDefault="00261502" w:rsidP="00BE5BF7">
            <w:pPr>
              <w:pStyle w:val="TableText"/>
              <w:rPr>
                <w:b w:val="0"/>
              </w:rPr>
            </w:pPr>
            <w:r w:rsidRPr="00BE5BF7">
              <w:rPr>
                <w:b w:val="0"/>
              </w:rPr>
              <w:t>Electrical conductivity</w:t>
            </w:r>
          </w:p>
        </w:tc>
        <w:tc>
          <w:tcPr>
            <w:tcW w:w="1183" w:type="dxa"/>
            <w:noWrap/>
            <w:tcMar>
              <w:top w:w="57" w:type="dxa"/>
              <w:left w:w="57" w:type="dxa"/>
              <w:bottom w:w="85" w:type="dxa"/>
              <w:right w:w="57" w:type="dxa"/>
            </w:tcMar>
            <w:hideMark/>
          </w:tcPr>
          <w:p w14:paraId="7473E1D6"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0.120</w:t>
            </w:r>
          </w:p>
        </w:tc>
        <w:tc>
          <w:tcPr>
            <w:tcW w:w="1167" w:type="dxa"/>
            <w:noWrap/>
            <w:tcMar>
              <w:top w:w="57" w:type="dxa"/>
              <w:left w:w="57" w:type="dxa"/>
              <w:bottom w:w="85" w:type="dxa"/>
              <w:right w:w="57" w:type="dxa"/>
            </w:tcMar>
            <w:hideMark/>
          </w:tcPr>
          <w:p w14:paraId="1CABC8A7"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0.001</w:t>
            </w:r>
          </w:p>
        </w:tc>
        <w:tc>
          <w:tcPr>
            <w:tcW w:w="1310" w:type="dxa"/>
            <w:noWrap/>
            <w:tcMar>
              <w:top w:w="57" w:type="dxa"/>
              <w:left w:w="57" w:type="dxa"/>
              <w:bottom w:w="85" w:type="dxa"/>
              <w:right w:w="57" w:type="dxa"/>
            </w:tcMar>
            <w:hideMark/>
          </w:tcPr>
          <w:p w14:paraId="053D7687"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0.120</w:t>
            </w:r>
          </w:p>
        </w:tc>
        <w:tc>
          <w:tcPr>
            <w:tcW w:w="1418" w:type="dxa"/>
            <w:noWrap/>
            <w:tcMar>
              <w:top w:w="57" w:type="dxa"/>
              <w:left w:w="57" w:type="dxa"/>
              <w:bottom w:w="85" w:type="dxa"/>
              <w:right w:w="57" w:type="dxa"/>
            </w:tcMar>
            <w:hideMark/>
          </w:tcPr>
          <w:p w14:paraId="21F8D3F0"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0.120</w:t>
            </w:r>
          </w:p>
        </w:tc>
        <w:tc>
          <w:tcPr>
            <w:tcW w:w="1410" w:type="dxa"/>
            <w:noWrap/>
            <w:tcMar>
              <w:top w:w="57" w:type="dxa"/>
              <w:left w:w="57" w:type="dxa"/>
              <w:bottom w:w="85" w:type="dxa"/>
              <w:right w:w="57" w:type="dxa"/>
            </w:tcMar>
            <w:hideMark/>
          </w:tcPr>
          <w:p w14:paraId="61E76F2F"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0.001</w:t>
            </w:r>
          </w:p>
        </w:tc>
      </w:tr>
      <w:tr w:rsidR="00BE5BF7" w:rsidRPr="00261502" w14:paraId="26831C8E"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73F32645" w14:textId="77777777" w:rsidR="00261502" w:rsidRPr="00BE5BF7" w:rsidRDefault="00261502" w:rsidP="00BE5BF7">
            <w:pPr>
              <w:pStyle w:val="TableText"/>
              <w:rPr>
                <w:b w:val="0"/>
              </w:rPr>
            </w:pPr>
            <w:r w:rsidRPr="00BE5BF7">
              <w:rPr>
                <w:b w:val="0"/>
              </w:rPr>
              <w:t>Mean slot depth</w:t>
            </w:r>
          </w:p>
        </w:tc>
        <w:tc>
          <w:tcPr>
            <w:tcW w:w="1183" w:type="dxa"/>
            <w:noWrap/>
            <w:tcMar>
              <w:top w:w="57" w:type="dxa"/>
              <w:left w:w="57" w:type="dxa"/>
              <w:bottom w:w="85" w:type="dxa"/>
              <w:right w:w="57" w:type="dxa"/>
            </w:tcMar>
            <w:hideMark/>
          </w:tcPr>
          <w:p w14:paraId="521013CF"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0.091</w:t>
            </w:r>
          </w:p>
        </w:tc>
        <w:tc>
          <w:tcPr>
            <w:tcW w:w="1167" w:type="dxa"/>
            <w:noWrap/>
            <w:tcMar>
              <w:top w:w="57" w:type="dxa"/>
              <w:left w:w="57" w:type="dxa"/>
              <w:bottom w:w="85" w:type="dxa"/>
              <w:right w:w="57" w:type="dxa"/>
            </w:tcMar>
            <w:hideMark/>
          </w:tcPr>
          <w:p w14:paraId="4DD4D7DF"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0.003</w:t>
            </w:r>
          </w:p>
        </w:tc>
        <w:tc>
          <w:tcPr>
            <w:tcW w:w="1310" w:type="dxa"/>
            <w:noWrap/>
            <w:tcMar>
              <w:top w:w="57" w:type="dxa"/>
              <w:left w:w="57" w:type="dxa"/>
              <w:bottom w:w="85" w:type="dxa"/>
              <w:right w:w="57" w:type="dxa"/>
            </w:tcMar>
            <w:hideMark/>
          </w:tcPr>
          <w:p w14:paraId="796A6086"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0.081</w:t>
            </w:r>
          </w:p>
        </w:tc>
        <w:tc>
          <w:tcPr>
            <w:tcW w:w="1418" w:type="dxa"/>
            <w:noWrap/>
            <w:tcMar>
              <w:top w:w="57" w:type="dxa"/>
              <w:left w:w="57" w:type="dxa"/>
              <w:bottom w:w="85" w:type="dxa"/>
              <w:right w:w="57" w:type="dxa"/>
            </w:tcMar>
            <w:hideMark/>
          </w:tcPr>
          <w:p w14:paraId="0105DEB5"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0.201</w:t>
            </w:r>
          </w:p>
        </w:tc>
        <w:tc>
          <w:tcPr>
            <w:tcW w:w="1410" w:type="dxa"/>
            <w:noWrap/>
            <w:tcMar>
              <w:top w:w="57" w:type="dxa"/>
              <w:left w:w="57" w:type="dxa"/>
              <w:bottom w:w="85" w:type="dxa"/>
              <w:right w:w="57" w:type="dxa"/>
            </w:tcMar>
            <w:hideMark/>
          </w:tcPr>
          <w:p w14:paraId="593D7A21"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0.004</w:t>
            </w:r>
          </w:p>
        </w:tc>
      </w:tr>
      <w:tr w:rsidR="00BE5BF7" w:rsidRPr="00261502" w14:paraId="6A4267BC"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0EEB4D5A" w14:textId="77777777" w:rsidR="00261502" w:rsidRPr="00BE5BF7" w:rsidRDefault="00261502" w:rsidP="00BE5BF7">
            <w:pPr>
              <w:pStyle w:val="TableText"/>
              <w:rPr>
                <w:b w:val="0"/>
              </w:rPr>
            </w:pPr>
            <w:r w:rsidRPr="00BE5BF7">
              <w:rPr>
                <w:b w:val="0"/>
              </w:rPr>
              <w:t>pH</w:t>
            </w:r>
          </w:p>
        </w:tc>
        <w:tc>
          <w:tcPr>
            <w:tcW w:w="1183" w:type="dxa"/>
            <w:noWrap/>
            <w:tcMar>
              <w:top w:w="57" w:type="dxa"/>
              <w:left w:w="57" w:type="dxa"/>
              <w:bottom w:w="85" w:type="dxa"/>
              <w:right w:w="57" w:type="dxa"/>
            </w:tcMar>
            <w:hideMark/>
          </w:tcPr>
          <w:p w14:paraId="74034065"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0.111</w:t>
            </w:r>
          </w:p>
        </w:tc>
        <w:tc>
          <w:tcPr>
            <w:tcW w:w="1167" w:type="dxa"/>
            <w:noWrap/>
            <w:tcMar>
              <w:top w:w="57" w:type="dxa"/>
              <w:left w:w="57" w:type="dxa"/>
              <w:bottom w:w="85" w:type="dxa"/>
              <w:right w:w="57" w:type="dxa"/>
            </w:tcMar>
            <w:hideMark/>
          </w:tcPr>
          <w:p w14:paraId="3BCA6691"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0.002</w:t>
            </w:r>
          </w:p>
        </w:tc>
        <w:tc>
          <w:tcPr>
            <w:tcW w:w="1310" w:type="dxa"/>
            <w:noWrap/>
            <w:tcMar>
              <w:top w:w="57" w:type="dxa"/>
              <w:left w:w="57" w:type="dxa"/>
              <w:bottom w:w="85" w:type="dxa"/>
              <w:right w:w="57" w:type="dxa"/>
            </w:tcMar>
            <w:hideMark/>
          </w:tcPr>
          <w:p w14:paraId="5ECD9686"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0.073</w:t>
            </w:r>
          </w:p>
        </w:tc>
        <w:tc>
          <w:tcPr>
            <w:tcW w:w="1418" w:type="dxa"/>
            <w:noWrap/>
            <w:tcMar>
              <w:top w:w="57" w:type="dxa"/>
              <w:left w:w="57" w:type="dxa"/>
              <w:bottom w:w="85" w:type="dxa"/>
              <w:right w:w="57" w:type="dxa"/>
            </w:tcMar>
            <w:hideMark/>
          </w:tcPr>
          <w:p w14:paraId="10148852"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0.274</w:t>
            </w:r>
          </w:p>
        </w:tc>
        <w:tc>
          <w:tcPr>
            <w:tcW w:w="1410" w:type="dxa"/>
            <w:noWrap/>
            <w:tcMar>
              <w:top w:w="57" w:type="dxa"/>
              <w:left w:w="57" w:type="dxa"/>
              <w:bottom w:w="85" w:type="dxa"/>
              <w:right w:w="57" w:type="dxa"/>
            </w:tcMar>
            <w:hideMark/>
          </w:tcPr>
          <w:p w14:paraId="7EBE6C01"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0.002</w:t>
            </w:r>
          </w:p>
        </w:tc>
      </w:tr>
      <w:tr w:rsidR="00BE5BF7" w:rsidRPr="00261502" w14:paraId="4A869DFF"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10927D6D" w14:textId="77777777" w:rsidR="00261502" w:rsidRPr="00BE5BF7" w:rsidRDefault="00261502" w:rsidP="00BE5BF7">
            <w:pPr>
              <w:pStyle w:val="TableText"/>
              <w:rPr>
                <w:b w:val="0"/>
              </w:rPr>
            </w:pPr>
            <w:r w:rsidRPr="00BE5BF7">
              <w:rPr>
                <w:b w:val="0"/>
              </w:rPr>
              <w:t>Total nitrogen</w:t>
            </w:r>
          </w:p>
        </w:tc>
        <w:tc>
          <w:tcPr>
            <w:tcW w:w="1183" w:type="dxa"/>
            <w:noWrap/>
            <w:tcMar>
              <w:top w:w="57" w:type="dxa"/>
              <w:left w:w="57" w:type="dxa"/>
              <w:bottom w:w="85" w:type="dxa"/>
              <w:right w:w="57" w:type="dxa"/>
            </w:tcMar>
            <w:hideMark/>
          </w:tcPr>
          <w:p w14:paraId="5EE2882D"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0.063</w:t>
            </w:r>
          </w:p>
        </w:tc>
        <w:tc>
          <w:tcPr>
            <w:tcW w:w="1167" w:type="dxa"/>
            <w:noWrap/>
            <w:tcMar>
              <w:top w:w="57" w:type="dxa"/>
              <w:left w:w="57" w:type="dxa"/>
              <w:bottom w:w="85" w:type="dxa"/>
              <w:right w:w="57" w:type="dxa"/>
            </w:tcMar>
            <w:hideMark/>
          </w:tcPr>
          <w:p w14:paraId="338F0E6D"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0.025</w:t>
            </w:r>
          </w:p>
        </w:tc>
        <w:tc>
          <w:tcPr>
            <w:tcW w:w="1310" w:type="dxa"/>
            <w:noWrap/>
            <w:tcMar>
              <w:top w:w="57" w:type="dxa"/>
              <w:left w:w="57" w:type="dxa"/>
              <w:bottom w:w="85" w:type="dxa"/>
              <w:right w:w="57" w:type="dxa"/>
            </w:tcMar>
            <w:hideMark/>
          </w:tcPr>
          <w:p w14:paraId="12292A8A"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0.063</w:t>
            </w:r>
          </w:p>
        </w:tc>
        <w:tc>
          <w:tcPr>
            <w:tcW w:w="1418" w:type="dxa"/>
            <w:noWrap/>
            <w:tcMar>
              <w:top w:w="57" w:type="dxa"/>
              <w:left w:w="57" w:type="dxa"/>
              <w:bottom w:w="85" w:type="dxa"/>
              <w:right w:w="57" w:type="dxa"/>
            </w:tcMar>
            <w:hideMark/>
          </w:tcPr>
          <w:p w14:paraId="5051B9C9"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pPr>
            <w:r w:rsidRPr="00261502">
              <w:t>0.338</w:t>
            </w:r>
          </w:p>
        </w:tc>
        <w:tc>
          <w:tcPr>
            <w:tcW w:w="1410" w:type="dxa"/>
            <w:noWrap/>
            <w:tcMar>
              <w:top w:w="57" w:type="dxa"/>
              <w:left w:w="57" w:type="dxa"/>
              <w:bottom w:w="85" w:type="dxa"/>
              <w:right w:w="57" w:type="dxa"/>
            </w:tcMar>
            <w:hideMark/>
          </w:tcPr>
          <w:p w14:paraId="6A514310" w14:textId="77777777" w:rsidR="00261502" w:rsidRPr="00261502" w:rsidRDefault="00261502"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0.008</w:t>
            </w:r>
          </w:p>
        </w:tc>
      </w:tr>
      <w:tr w:rsidR="00BE5BF7" w:rsidRPr="00261502" w14:paraId="4DF84492"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296809AB" w14:textId="77777777" w:rsidR="00261502" w:rsidRPr="00BE5BF7" w:rsidRDefault="00261502" w:rsidP="00BE5BF7">
            <w:pPr>
              <w:pStyle w:val="TableText"/>
              <w:rPr>
                <w:b w:val="0"/>
              </w:rPr>
            </w:pPr>
            <w:r w:rsidRPr="00BE5BF7">
              <w:rPr>
                <w:b w:val="0"/>
              </w:rPr>
              <w:t>Dissolved oxygen</w:t>
            </w:r>
          </w:p>
        </w:tc>
        <w:tc>
          <w:tcPr>
            <w:tcW w:w="1183" w:type="dxa"/>
            <w:noWrap/>
            <w:tcMar>
              <w:top w:w="57" w:type="dxa"/>
              <w:left w:w="57" w:type="dxa"/>
              <w:bottom w:w="85" w:type="dxa"/>
              <w:right w:w="57" w:type="dxa"/>
            </w:tcMar>
            <w:hideMark/>
          </w:tcPr>
          <w:p w14:paraId="1747AA48"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0.111</w:t>
            </w:r>
          </w:p>
        </w:tc>
        <w:tc>
          <w:tcPr>
            <w:tcW w:w="1167" w:type="dxa"/>
            <w:noWrap/>
            <w:tcMar>
              <w:top w:w="57" w:type="dxa"/>
              <w:left w:w="57" w:type="dxa"/>
              <w:bottom w:w="85" w:type="dxa"/>
              <w:right w:w="57" w:type="dxa"/>
            </w:tcMar>
            <w:hideMark/>
          </w:tcPr>
          <w:p w14:paraId="335C58BC"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0.001</w:t>
            </w:r>
          </w:p>
        </w:tc>
        <w:tc>
          <w:tcPr>
            <w:tcW w:w="1310" w:type="dxa"/>
            <w:noWrap/>
            <w:tcMar>
              <w:top w:w="57" w:type="dxa"/>
              <w:left w:w="57" w:type="dxa"/>
              <w:bottom w:w="85" w:type="dxa"/>
              <w:right w:w="57" w:type="dxa"/>
            </w:tcMar>
            <w:hideMark/>
          </w:tcPr>
          <w:p w14:paraId="78C4F032"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0.046</w:t>
            </w:r>
          </w:p>
        </w:tc>
        <w:tc>
          <w:tcPr>
            <w:tcW w:w="1418" w:type="dxa"/>
            <w:noWrap/>
            <w:tcMar>
              <w:top w:w="57" w:type="dxa"/>
              <w:left w:w="57" w:type="dxa"/>
              <w:bottom w:w="85" w:type="dxa"/>
              <w:right w:w="57" w:type="dxa"/>
            </w:tcMar>
            <w:hideMark/>
          </w:tcPr>
          <w:p w14:paraId="363FAE71"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pPr>
            <w:r w:rsidRPr="00261502">
              <w:t>0.384</w:t>
            </w:r>
          </w:p>
        </w:tc>
        <w:tc>
          <w:tcPr>
            <w:tcW w:w="1410" w:type="dxa"/>
            <w:noWrap/>
            <w:tcMar>
              <w:top w:w="57" w:type="dxa"/>
              <w:left w:w="57" w:type="dxa"/>
              <w:bottom w:w="85" w:type="dxa"/>
              <w:right w:w="57" w:type="dxa"/>
            </w:tcMar>
            <w:hideMark/>
          </w:tcPr>
          <w:p w14:paraId="4413FDB1" w14:textId="77777777" w:rsidR="00261502" w:rsidRPr="00261502" w:rsidRDefault="00261502"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0.027</w:t>
            </w:r>
          </w:p>
        </w:tc>
      </w:tr>
      <w:tr w:rsidR="00BE5BF7" w:rsidRPr="00261502" w14:paraId="5124150D"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486B63A3" w14:textId="77777777" w:rsidR="00BE5BF7" w:rsidRPr="00BE5BF7" w:rsidRDefault="00BE5BF7" w:rsidP="00BE5BF7">
            <w:pPr>
              <w:pStyle w:val="TableText"/>
              <w:rPr>
                <w:b w:val="0"/>
              </w:rPr>
            </w:pPr>
            <w:r w:rsidRPr="00BE5BF7">
              <w:rPr>
                <w:b w:val="0"/>
              </w:rPr>
              <w:t>Sulfate</w:t>
            </w:r>
          </w:p>
        </w:tc>
        <w:tc>
          <w:tcPr>
            <w:tcW w:w="1183" w:type="dxa"/>
            <w:noWrap/>
            <w:tcMar>
              <w:top w:w="57" w:type="dxa"/>
              <w:left w:w="57" w:type="dxa"/>
              <w:bottom w:w="85" w:type="dxa"/>
              <w:right w:w="57" w:type="dxa"/>
            </w:tcMar>
            <w:hideMark/>
          </w:tcPr>
          <w:p w14:paraId="5ADA52CF"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0.077</w:t>
            </w:r>
          </w:p>
        </w:tc>
        <w:tc>
          <w:tcPr>
            <w:tcW w:w="1167" w:type="dxa"/>
            <w:noWrap/>
            <w:tcMar>
              <w:top w:w="57" w:type="dxa"/>
              <w:left w:w="57" w:type="dxa"/>
              <w:bottom w:w="85" w:type="dxa"/>
              <w:right w:w="57" w:type="dxa"/>
            </w:tcMar>
            <w:hideMark/>
          </w:tcPr>
          <w:p w14:paraId="04A7ACF0"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rPr>
                <w:b/>
              </w:rPr>
            </w:pPr>
            <w:r w:rsidRPr="00261502">
              <w:rPr>
                <w:b/>
              </w:rPr>
              <w:t>0.004</w:t>
            </w:r>
          </w:p>
        </w:tc>
        <w:tc>
          <w:tcPr>
            <w:tcW w:w="1310" w:type="dxa"/>
            <w:noWrap/>
            <w:tcMar>
              <w:top w:w="57" w:type="dxa"/>
              <w:left w:w="57" w:type="dxa"/>
              <w:bottom w:w="85" w:type="dxa"/>
              <w:right w:w="57" w:type="dxa"/>
            </w:tcMar>
            <w:hideMark/>
          </w:tcPr>
          <w:p w14:paraId="2FA22F95" w14:textId="62129850"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7C082A09" w14:textId="38C2DE91"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6041A356" w14:textId="74A37A4E"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0B47BBAB"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70486265" w14:textId="77777777" w:rsidR="00BE5BF7" w:rsidRPr="00BE5BF7" w:rsidRDefault="00BE5BF7" w:rsidP="00BE5BF7">
            <w:pPr>
              <w:pStyle w:val="TableText"/>
              <w:rPr>
                <w:b w:val="0"/>
              </w:rPr>
            </w:pPr>
            <w:r w:rsidRPr="00BE5BF7">
              <w:rPr>
                <w:b w:val="0"/>
              </w:rPr>
              <w:t>Temperature</w:t>
            </w:r>
          </w:p>
        </w:tc>
        <w:tc>
          <w:tcPr>
            <w:tcW w:w="1183" w:type="dxa"/>
            <w:noWrap/>
            <w:tcMar>
              <w:top w:w="57" w:type="dxa"/>
              <w:left w:w="57" w:type="dxa"/>
              <w:bottom w:w="85" w:type="dxa"/>
              <w:right w:w="57" w:type="dxa"/>
            </w:tcMar>
            <w:hideMark/>
          </w:tcPr>
          <w:p w14:paraId="23F3B242"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0.068</w:t>
            </w:r>
          </w:p>
        </w:tc>
        <w:tc>
          <w:tcPr>
            <w:tcW w:w="1167" w:type="dxa"/>
            <w:noWrap/>
            <w:tcMar>
              <w:top w:w="57" w:type="dxa"/>
              <w:left w:w="57" w:type="dxa"/>
              <w:bottom w:w="85" w:type="dxa"/>
              <w:right w:w="57" w:type="dxa"/>
            </w:tcMar>
            <w:hideMark/>
          </w:tcPr>
          <w:p w14:paraId="570A414D"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rPr>
                <w:b/>
              </w:rPr>
            </w:pPr>
            <w:r w:rsidRPr="00261502">
              <w:rPr>
                <w:b/>
              </w:rPr>
              <w:t>0.022</w:t>
            </w:r>
          </w:p>
        </w:tc>
        <w:tc>
          <w:tcPr>
            <w:tcW w:w="1310" w:type="dxa"/>
            <w:noWrap/>
            <w:tcMar>
              <w:top w:w="57" w:type="dxa"/>
              <w:left w:w="57" w:type="dxa"/>
              <w:bottom w:w="85" w:type="dxa"/>
              <w:right w:w="57" w:type="dxa"/>
            </w:tcMar>
            <w:hideMark/>
          </w:tcPr>
          <w:p w14:paraId="3F781112" w14:textId="7E6A2377"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7C33C12B" w14:textId="26E13007"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68868275" w14:textId="3E97E983"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261502" w14:paraId="33A7827C"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59F73795" w14:textId="77777777" w:rsidR="00BE5BF7" w:rsidRPr="00BE5BF7" w:rsidRDefault="00BE5BF7" w:rsidP="00BE5BF7">
            <w:pPr>
              <w:pStyle w:val="TableText"/>
              <w:rPr>
                <w:b w:val="0"/>
              </w:rPr>
            </w:pPr>
            <w:r w:rsidRPr="00BE5BF7">
              <w:rPr>
                <w:b w:val="0"/>
              </w:rPr>
              <w:t xml:space="preserve">Water level </w:t>
            </w:r>
          </w:p>
        </w:tc>
        <w:tc>
          <w:tcPr>
            <w:tcW w:w="1183" w:type="dxa"/>
            <w:noWrap/>
            <w:tcMar>
              <w:top w:w="57" w:type="dxa"/>
              <w:left w:w="57" w:type="dxa"/>
              <w:bottom w:w="85" w:type="dxa"/>
              <w:right w:w="57" w:type="dxa"/>
            </w:tcMar>
            <w:hideMark/>
          </w:tcPr>
          <w:p w14:paraId="7C1C2C43"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0.056</w:t>
            </w:r>
          </w:p>
        </w:tc>
        <w:tc>
          <w:tcPr>
            <w:tcW w:w="1167" w:type="dxa"/>
            <w:noWrap/>
            <w:tcMar>
              <w:top w:w="57" w:type="dxa"/>
              <w:left w:w="57" w:type="dxa"/>
              <w:bottom w:w="85" w:type="dxa"/>
              <w:right w:w="57" w:type="dxa"/>
            </w:tcMar>
            <w:hideMark/>
          </w:tcPr>
          <w:p w14:paraId="5FDAFE13"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0.052</w:t>
            </w:r>
          </w:p>
        </w:tc>
        <w:tc>
          <w:tcPr>
            <w:tcW w:w="1310" w:type="dxa"/>
            <w:noWrap/>
            <w:tcMar>
              <w:top w:w="57" w:type="dxa"/>
              <w:left w:w="57" w:type="dxa"/>
              <w:bottom w:w="85" w:type="dxa"/>
              <w:right w:w="57" w:type="dxa"/>
            </w:tcMar>
            <w:hideMark/>
          </w:tcPr>
          <w:p w14:paraId="6F5202C7" w14:textId="48DF9221"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3841915E" w14:textId="27FC3DB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46728D67" w14:textId="64E62513"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5C0F4196"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3C458F43" w14:textId="77777777" w:rsidR="00BE5BF7" w:rsidRPr="00BE5BF7" w:rsidRDefault="00BE5BF7" w:rsidP="00BE5BF7">
            <w:pPr>
              <w:pStyle w:val="TableText"/>
              <w:rPr>
                <w:b w:val="0"/>
              </w:rPr>
            </w:pPr>
            <w:r w:rsidRPr="00BE5BF7">
              <w:rPr>
                <w:b w:val="0"/>
              </w:rPr>
              <w:t>Total phosphorus</w:t>
            </w:r>
          </w:p>
        </w:tc>
        <w:tc>
          <w:tcPr>
            <w:tcW w:w="1183" w:type="dxa"/>
            <w:noWrap/>
            <w:tcMar>
              <w:top w:w="57" w:type="dxa"/>
              <w:left w:w="57" w:type="dxa"/>
              <w:bottom w:w="85" w:type="dxa"/>
              <w:right w:w="57" w:type="dxa"/>
            </w:tcMar>
            <w:hideMark/>
          </w:tcPr>
          <w:p w14:paraId="5395CA5E"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0.053</w:t>
            </w:r>
          </w:p>
        </w:tc>
        <w:tc>
          <w:tcPr>
            <w:tcW w:w="1167" w:type="dxa"/>
            <w:noWrap/>
            <w:tcMar>
              <w:top w:w="57" w:type="dxa"/>
              <w:left w:w="57" w:type="dxa"/>
              <w:bottom w:w="85" w:type="dxa"/>
              <w:right w:w="57" w:type="dxa"/>
            </w:tcMar>
            <w:hideMark/>
          </w:tcPr>
          <w:p w14:paraId="34814780"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0.070</w:t>
            </w:r>
          </w:p>
        </w:tc>
        <w:tc>
          <w:tcPr>
            <w:tcW w:w="1310" w:type="dxa"/>
            <w:noWrap/>
            <w:tcMar>
              <w:top w:w="57" w:type="dxa"/>
              <w:left w:w="57" w:type="dxa"/>
              <w:bottom w:w="85" w:type="dxa"/>
              <w:right w:w="57" w:type="dxa"/>
            </w:tcMar>
            <w:hideMark/>
          </w:tcPr>
          <w:p w14:paraId="5EA0BAB0" w14:textId="43F5C63E"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5726CCD3" w14:textId="12D909D3"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068CA128" w14:textId="6C29259D"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r w:rsidR="00BE5BF7" w:rsidRPr="00261502" w14:paraId="20E02B80" w14:textId="77777777" w:rsidTr="00DD7F6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50541153" w14:textId="77777777" w:rsidR="00BE5BF7" w:rsidRPr="00BE5BF7" w:rsidRDefault="00BE5BF7" w:rsidP="00BE5BF7">
            <w:pPr>
              <w:pStyle w:val="TableText"/>
              <w:rPr>
                <w:b w:val="0"/>
              </w:rPr>
            </w:pPr>
            <w:r w:rsidRPr="00BE5BF7">
              <w:rPr>
                <w:b w:val="0"/>
              </w:rPr>
              <w:t>Oxidation-reduction potential</w:t>
            </w:r>
          </w:p>
        </w:tc>
        <w:tc>
          <w:tcPr>
            <w:tcW w:w="1183" w:type="dxa"/>
            <w:noWrap/>
            <w:tcMar>
              <w:top w:w="57" w:type="dxa"/>
              <w:left w:w="57" w:type="dxa"/>
              <w:bottom w:w="85" w:type="dxa"/>
              <w:right w:w="57" w:type="dxa"/>
            </w:tcMar>
            <w:hideMark/>
          </w:tcPr>
          <w:p w14:paraId="44298454"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0.041</w:t>
            </w:r>
          </w:p>
        </w:tc>
        <w:tc>
          <w:tcPr>
            <w:tcW w:w="1167" w:type="dxa"/>
            <w:noWrap/>
            <w:tcMar>
              <w:top w:w="57" w:type="dxa"/>
              <w:left w:w="57" w:type="dxa"/>
              <w:bottom w:w="85" w:type="dxa"/>
              <w:right w:w="57" w:type="dxa"/>
            </w:tcMar>
            <w:hideMark/>
          </w:tcPr>
          <w:p w14:paraId="07C668EE" w14:textId="77777777" w:rsidR="00BE5BF7" w:rsidRPr="00261502" w:rsidRDefault="00BE5BF7" w:rsidP="00BE5BF7">
            <w:pPr>
              <w:pStyle w:val="TableText"/>
              <w:cnfStyle w:val="000000010000" w:firstRow="0" w:lastRow="0" w:firstColumn="0" w:lastColumn="0" w:oddVBand="0" w:evenVBand="0" w:oddHBand="0" w:evenHBand="1" w:firstRowFirstColumn="0" w:firstRowLastColumn="0" w:lastRowFirstColumn="0" w:lastRowLastColumn="0"/>
            </w:pPr>
            <w:r w:rsidRPr="00261502">
              <w:t>0.225</w:t>
            </w:r>
          </w:p>
        </w:tc>
        <w:tc>
          <w:tcPr>
            <w:tcW w:w="1310" w:type="dxa"/>
            <w:noWrap/>
            <w:tcMar>
              <w:top w:w="57" w:type="dxa"/>
              <w:left w:w="57" w:type="dxa"/>
              <w:bottom w:w="85" w:type="dxa"/>
              <w:right w:w="57" w:type="dxa"/>
            </w:tcMar>
            <w:hideMark/>
          </w:tcPr>
          <w:p w14:paraId="61B420D7" w14:textId="46C31296"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565CC2A7" w14:textId="2B5AA3CB"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3FA465BF" w14:textId="0194DE77" w:rsidR="00BE5BF7" w:rsidRPr="00BE5BF7" w:rsidRDefault="00BE5BF7" w:rsidP="00BE5BF7">
            <w:pPr>
              <w:pStyle w:val="TableText"/>
              <w:cnfStyle w:val="000000010000" w:firstRow="0" w:lastRow="0" w:firstColumn="0" w:lastColumn="0" w:oddVBand="0" w:evenVBand="0" w:oddHBand="0" w:evenHBand="1" w:firstRowFirstColumn="0" w:firstRowLastColumn="0" w:lastRowFirstColumn="0" w:lastRowLastColumn="0"/>
              <w:rPr>
                <w:color w:val="EBEEF5"/>
              </w:rPr>
            </w:pPr>
            <w:r w:rsidRPr="00BE5BF7">
              <w:rPr>
                <w:color w:val="EBEEF5"/>
              </w:rPr>
              <w:t>-</w:t>
            </w:r>
          </w:p>
        </w:tc>
      </w:tr>
      <w:tr w:rsidR="00BE5BF7" w:rsidRPr="00261502" w14:paraId="1C68E5BB" w14:textId="77777777" w:rsidTr="00DD7F6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72" w:type="dxa"/>
            <w:noWrap/>
            <w:tcMar>
              <w:top w:w="57" w:type="dxa"/>
              <w:left w:w="57" w:type="dxa"/>
              <w:bottom w:w="85" w:type="dxa"/>
              <w:right w:w="57" w:type="dxa"/>
            </w:tcMar>
            <w:hideMark/>
          </w:tcPr>
          <w:p w14:paraId="52F1A28B" w14:textId="77777777" w:rsidR="00BE5BF7" w:rsidRPr="00BE5BF7" w:rsidRDefault="00BE5BF7" w:rsidP="00BE5BF7">
            <w:pPr>
              <w:pStyle w:val="TableText"/>
              <w:rPr>
                <w:b w:val="0"/>
              </w:rPr>
            </w:pPr>
            <w:r w:rsidRPr="00BE5BF7">
              <w:rPr>
                <w:b w:val="0"/>
              </w:rPr>
              <w:t>Dissolved organic carbon</w:t>
            </w:r>
          </w:p>
        </w:tc>
        <w:tc>
          <w:tcPr>
            <w:tcW w:w="1183" w:type="dxa"/>
            <w:noWrap/>
            <w:tcMar>
              <w:top w:w="57" w:type="dxa"/>
              <w:left w:w="57" w:type="dxa"/>
              <w:bottom w:w="85" w:type="dxa"/>
              <w:right w:w="57" w:type="dxa"/>
            </w:tcMar>
            <w:hideMark/>
          </w:tcPr>
          <w:p w14:paraId="1AF58E8F"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0.035</w:t>
            </w:r>
          </w:p>
        </w:tc>
        <w:tc>
          <w:tcPr>
            <w:tcW w:w="1167" w:type="dxa"/>
            <w:noWrap/>
            <w:tcMar>
              <w:top w:w="57" w:type="dxa"/>
              <w:left w:w="57" w:type="dxa"/>
              <w:bottom w:w="85" w:type="dxa"/>
              <w:right w:w="57" w:type="dxa"/>
            </w:tcMar>
            <w:hideMark/>
          </w:tcPr>
          <w:p w14:paraId="596AB22E" w14:textId="77777777" w:rsidR="00BE5BF7" w:rsidRPr="00261502" w:rsidRDefault="00BE5BF7" w:rsidP="00BE5BF7">
            <w:pPr>
              <w:pStyle w:val="TableText"/>
              <w:cnfStyle w:val="000000100000" w:firstRow="0" w:lastRow="0" w:firstColumn="0" w:lastColumn="0" w:oddVBand="0" w:evenVBand="0" w:oddHBand="1" w:evenHBand="0" w:firstRowFirstColumn="0" w:firstRowLastColumn="0" w:lastRowFirstColumn="0" w:lastRowLastColumn="0"/>
            </w:pPr>
            <w:r w:rsidRPr="00261502">
              <w:t>0.358</w:t>
            </w:r>
          </w:p>
        </w:tc>
        <w:tc>
          <w:tcPr>
            <w:tcW w:w="1310" w:type="dxa"/>
            <w:noWrap/>
            <w:tcMar>
              <w:top w:w="57" w:type="dxa"/>
              <w:left w:w="57" w:type="dxa"/>
              <w:bottom w:w="85" w:type="dxa"/>
              <w:right w:w="57" w:type="dxa"/>
            </w:tcMar>
            <w:hideMark/>
          </w:tcPr>
          <w:p w14:paraId="6D426B52" w14:textId="44ACEB12"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8" w:type="dxa"/>
            <w:noWrap/>
            <w:tcMar>
              <w:top w:w="57" w:type="dxa"/>
              <w:left w:w="57" w:type="dxa"/>
              <w:bottom w:w="85" w:type="dxa"/>
              <w:right w:w="57" w:type="dxa"/>
            </w:tcMar>
            <w:hideMark/>
          </w:tcPr>
          <w:p w14:paraId="281C161C" w14:textId="4F4A68CE"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c>
          <w:tcPr>
            <w:tcW w:w="1410" w:type="dxa"/>
            <w:noWrap/>
            <w:tcMar>
              <w:top w:w="57" w:type="dxa"/>
              <w:left w:w="57" w:type="dxa"/>
              <w:bottom w:w="85" w:type="dxa"/>
              <w:right w:w="57" w:type="dxa"/>
            </w:tcMar>
            <w:hideMark/>
          </w:tcPr>
          <w:p w14:paraId="58890A9C" w14:textId="47273A65" w:rsidR="00BE5BF7" w:rsidRPr="00BE5BF7" w:rsidRDefault="00BE5BF7" w:rsidP="00BE5BF7">
            <w:pPr>
              <w:pStyle w:val="TableText"/>
              <w:cnfStyle w:val="000000100000" w:firstRow="0" w:lastRow="0" w:firstColumn="0" w:lastColumn="0" w:oddVBand="0" w:evenVBand="0" w:oddHBand="1" w:evenHBand="0" w:firstRowFirstColumn="0" w:firstRowLastColumn="0" w:lastRowFirstColumn="0" w:lastRowLastColumn="0"/>
              <w:rPr>
                <w:color w:val="EBEEF5"/>
              </w:rPr>
            </w:pPr>
            <w:r w:rsidRPr="00BE5BF7">
              <w:rPr>
                <w:color w:val="EBEEF5"/>
              </w:rPr>
              <w:t>-</w:t>
            </w:r>
          </w:p>
        </w:tc>
      </w:tr>
    </w:tbl>
    <w:p w14:paraId="6F1923A9" w14:textId="326186A8" w:rsidR="00261502" w:rsidRDefault="00261502" w:rsidP="00BE5BF7">
      <w:pPr>
        <w:pStyle w:val="TableSourceNotes"/>
      </w:pPr>
      <w:r>
        <w:t>Values in bold were significant (p&lt;0.05).</w:t>
      </w:r>
    </w:p>
    <w:p w14:paraId="327A043B" w14:textId="77777777" w:rsidR="00261502" w:rsidRDefault="00261502" w:rsidP="00BE5BF7">
      <w:pPr>
        <w:pStyle w:val="Heading3Numbered"/>
        <w:numPr>
          <w:ilvl w:val="0"/>
          <w:numId w:val="0"/>
        </w:numPr>
        <w:ind w:left="1276" w:hanging="851"/>
      </w:pPr>
      <w:bookmarkStart w:id="66" w:name="_Toc164960623"/>
      <w:r>
        <w:t>3.3.3</w:t>
      </w:r>
      <w:r>
        <w:tab/>
        <w:t>18S rDNA metabarcode</w:t>
      </w:r>
      <w:bookmarkEnd w:id="66"/>
    </w:p>
    <w:p w14:paraId="0E010C40" w14:textId="0BA2AAD8" w:rsidR="00261502" w:rsidRDefault="00261502" w:rsidP="00261502">
      <w:pPr>
        <w:pStyle w:val="BodyText"/>
      </w:pPr>
      <w:r>
        <w:t>There was a clear separation in 18S metabarcode assemblages by aquifer type, and between pre- and post-purge samples within each aquifer type (</w:t>
      </w:r>
      <w:r w:rsidR="00E202FA">
        <w:fldChar w:fldCharType="begin"/>
      </w:r>
      <w:r w:rsidR="00E202FA">
        <w:instrText xml:space="preserve"> REF _Ref164638364 \h </w:instrText>
      </w:r>
      <w:r w:rsidR="00E202FA">
        <w:fldChar w:fldCharType="separate"/>
      </w:r>
      <w:r w:rsidR="00E202FA">
        <w:t xml:space="preserve">Figure </w:t>
      </w:r>
      <w:r w:rsidR="00E202FA">
        <w:rPr>
          <w:noProof/>
        </w:rPr>
        <w:t>18</w:t>
      </w:r>
      <w:r w:rsidR="00E202FA">
        <w:fldChar w:fldCharType="end"/>
      </w:r>
      <w:r>
        <w:t>). As seen for the simulated 18S rDNA metabarcode data (</w:t>
      </w:r>
      <w:r w:rsidR="00E202FA">
        <w:fldChar w:fldCharType="begin"/>
      </w:r>
      <w:r w:rsidR="00E202FA">
        <w:instrText xml:space="preserve"> REF _Ref164638323 \h </w:instrText>
      </w:r>
      <w:r w:rsidR="00E202FA">
        <w:fldChar w:fldCharType="separate"/>
      </w:r>
      <w:r w:rsidR="00E202FA">
        <w:t xml:space="preserve">Figure </w:t>
      </w:r>
      <w:r w:rsidR="00E202FA">
        <w:rPr>
          <w:noProof/>
        </w:rPr>
        <w:t>15</w:t>
      </w:r>
      <w:r w:rsidR="00E202FA">
        <w:fldChar w:fldCharType="end"/>
      </w:r>
      <w:r>
        <w:t>), the differences between aquifer types (p=0.001) and between pre- and post-purge samples (p=0.035) were significant. There was also a significant difference between bores (p=0.007); however, the catchment x pre-/post-purge interaction was not significant (p=0.219). In this analysis, the samples from bore 30303 grouped most closely with other samples from the alluvial aquifer. When examined collectively, only two environmental variables, pH and DO, were significantly correlated with 18S rDNA composition, cumulatively explaining 16.8% of the total variation in the eukaryote data (</w:t>
      </w:r>
      <w:r w:rsidR="00E202FA">
        <w:fldChar w:fldCharType="begin"/>
      </w:r>
      <w:r w:rsidR="00E202FA">
        <w:instrText xml:space="preserve"> REF _Ref164638517 \h </w:instrText>
      </w:r>
      <w:r w:rsidR="00E202FA">
        <w:fldChar w:fldCharType="separate"/>
      </w:r>
      <w:r w:rsidR="00E202FA">
        <w:t xml:space="preserve">Table </w:t>
      </w:r>
      <w:r w:rsidR="00E202FA">
        <w:rPr>
          <w:noProof/>
        </w:rPr>
        <w:t>9</w:t>
      </w:r>
      <w:r w:rsidR="00E202FA">
        <w:fldChar w:fldCharType="end"/>
      </w:r>
      <w:r>
        <w:t>).</w:t>
      </w:r>
    </w:p>
    <w:p w14:paraId="593FAB4C" w14:textId="2F22E695" w:rsidR="00261502" w:rsidRDefault="00DC030B" w:rsidP="00DC030B">
      <w:pPr>
        <w:pStyle w:val="BodyText"/>
        <w:spacing w:after="0"/>
      </w:pPr>
      <w:r>
        <w:rPr>
          <w:noProof/>
        </w:rPr>
        <w:drawing>
          <wp:inline distT="0" distB="0" distL="0" distR="0" wp14:anchorId="68F4A6FC" wp14:editId="06F9B82D">
            <wp:extent cx="4724400" cy="3187700"/>
            <wp:effectExtent l="0" t="0" r="0" b="0"/>
            <wp:docPr id="12400482" name="Picture 3" descr="nMDS ordination as described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482" name="Picture 3" descr="nMDS ordination as described in the previous paragraph"/>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24400" cy="3187700"/>
                    </a:xfrm>
                    <a:prstGeom prst="rect">
                      <a:avLst/>
                    </a:prstGeom>
                  </pic:spPr>
                </pic:pic>
              </a:graphicData>
            </a:graphic>
          </wp:inline>
        </w:drawing>
      </w:r>
    </w:p>
    <w:p w14:paraId="64886E48" w14:textId="1F4D73D2" w:rsidR="00EE5F48" w:rsidRPr="00EE5F48" w:rsidRDefault="00EE5F48" w:rsidP="00DC030B">
      <w:pPr>
        <w:pStyle w:val="Figureheading"/>
        <w:spacing w:before="0"/>
      </w:pPr>
      <w:bookmarkStart w:id="67" w:name="_Ref164638364"/>
      <w:r>
        <w:t xml:space="preserve">Figure </w:t>
      </w:r>
      <w:r>
        <w:fldChar w:fldCharType="begin"/>
      </w:r>
      <w:r>
        <w:instrText xml:space="preserve"> SEQ Figure \* ARABIC </w:instrText>
      </w:r>
      <w:r>
        <w:fldChar w:fldCharType="separate"/>
      </w:r>
      <w:r>
        <w:rPr>
          <w:noProof/>
        </w:rPr>
        <w:t>18</w:t>
      </w:r>
      <w:r>
        <w:fldChar w:fldCharType="end"/>
      </w:r>
      <w:bookmarkEnd w:id="67"/>
      <w:r w:rsidRPr="007F684D">
        <w:t>. nMDS ordination of eukaryote assemblages in groundwater based on 18S rDNA genes identified using metabarcoding</w:t>
      </w:r>
    </w:p>
    <w:p w14:paraId="3473023F" w14:textId="77777777" w:rsidR="00261502" w:rsidRDefault="00261502" w:rsidP="0072765B">
      <w:pPr>
        <w:pStyle w:val="TableSourceNotes"/>
      </w:pPr>
      <w:r w:rsidRPr="0072765B">
        <w:t>Samples</w:t>
      </w:r>
      <w:r>
        <w:t xml:space="preserve"> represent pre- and post-purge groundwater samples in sandstone and alluvial aquifers.</w:t>
      </w:r>
    </w:p>
    <w:p w14:paraId="611FD3CC" w14:textId="04E5DD45" w:rsidR="004A09B1" w:rsidRDefault="004A09B1" w:rsidP="004A09B1">
      <w:pPr>
        <w:pStyle w:val="TABLEHEADING"/>
        <w:keepNext/>
      </w:pPr>
      <w:bookmarkStart w:id="68" w:name="_Ref164638517"/>
      <w:r>
        <w:t xml:space="preserve">Table </w:t>
      </w:r>
      <w:r>
        <w:fldChar w:fldCharType="begin"/>
      </w:r>
      <w:r>
        <w:instrText xml:space="preserve"> SEQ Table \* ARABIC </w:instrText>
      </w:r>
      <w:r>
        <w:fldChar w:fldCharType="separate"/>
      </w:r>
      <w:r w:rsidR="00307B2F">
        <w:rPr>
          <w:noProof/>
        </w:rPr>
        <w:t>9</w:t>
      </w:r>
      <w:r>
        <w:fldChar w:fldCharType="end"/>
      </w:r>
      <w:bookmarkEnd w:id="68"/>
      <w:r w:rsidRPr="003A5982">
        <w:t>. Proportion of variation (r</w:t>
      </w:r>
      <w:r w:rsidRPr="004A09B1">
        <w:rPr>
          <w:vertAlign w:val="superscript"/>
        </w:rPr>
        <w:t>2</w:t>
      </w:r>
      <w:r w:rsidRPr="003A5982">
        <w:t>) in eukaryote community structure based on 18S rDNA metabarcodes explained by individual environmental variables individually and in stepwise selection</w:t>
      </w:r>
    </w:p>
    <w:tbl>
      <w:tblPr>
        <w:tblStyle w:val="IESCTABLE1"/>
        <w:tblW w:w="9060" w:type="dxa"/>
        <w:tblLook w:val="04A0" w:firstRow="1" w:lastRow="0" w:firstColumn="1" w:lastColumn="0" w:noHBand="0" w:noVBand="1"/>
      </w:tblPr>
      <w:tblGrid>
        <w:gridCol w:w="2779"/>
        <w:gridCol w:w="1162"/>
        <w:gridCol w:w="1150"/>
        <w:gridCol w:w="1282"/>
        <w:gridCol w:w="1526"/>
        <w:gridCol w:w="1161"/>
      </w:tblGrid>
      <w:tr w:rsidR="0072765B" w:rsidRPr="00261502" w14:paraId="17C8EC48" w14:textId="77777777" w:rsidTr="00DC030B">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7E34E126" w14:textId="354689DC" w:rsidR="0072765B" w:rsidRPr="0072765B" w:rsidRDefault="0072765B" w:rsidP="0072765B">
            <w:pPr>
              <w:pStyle w:val="TableHeaderRow"/>
              <w:rPr>
                <w:b/>
              </w:rPr>
            </w:pPr>
            <w:r w:rsidRPr="0072765B">
              <w:rPr>
                <w:b/>
              </w:rPr>
              <w:t>Variable</w:t>
            </w:r>
          </w:p>
        </w:tc>
        <w:tc>
          <w:tcPr>
            <w:tcW w:w="1162" w:type="dxa"/>
            <w:noWrap/>
            <w:tcMar>
              <w:top w:w="57" w:type="dxa"/>
              <w:left w:w="57" w:type="dxa"/>
              <w:bottom w:w="85" w:type="dxa"/>
              <w:right w:w="57" w:type="dxa"/>
            </w:tcMar>
            <w:hideMark/>
          </w:tcPr>
          <w:p w14:paraId="62B5528A" w14:textId="77777777" w:rsidR="0072765B" w:rsidRPr="0072765B" w:rsidRDefault="0072765B" w:rsidP="0072765B">
            <w:pPr>
              <w:pStyle w:val="TableHeaderRow"/>
              <w:cnfStyle w:val="100000000000" w:firstRow="1" w:lastRow="0" w:firstColumn="0" w:lastColumn="0" w:oddVBand="0" w:evenVBand="0" w:oddHBand="0" w:evenHBand="0" w:firstRowFirstColumn="0" w:firstRowLastColumn="0" w:lastRowFirstColumn="0" w:lastRowLastColumn="0"/>
              <w:rPr>
                <w:b/>
              </w:rPr>
            </w:pPr>
            <w:r w:rsidRPr="0072765B">
              <w:rPr>
                <w:b/>
              </w:rPr>
              <w:t>Individual</w:t>
            </w:r>
          </w:p>
          <w:p w14:paraId="4DAE6AF6" w14:textId="612C7496" w:rsidR="0072765B" w:rsidRPr="0072765B" w:rsidRDefault="0072765B" w:rsidP="0072765B">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72765B">
              <w:rPr>
                <w:b/>
              </w:rPr>
              <w:t>r</w:t>
            </w:r>
            <w:r w:rsidRPr="0072765B">
              <w:rPr>
                <w:b/>
                <w:vertAlign w:val="superscript"/>
              </w:rPr>
              <w:t>2</w:t>
            </w:r>
          </w:p>
        </w:tc>
        <w:tc>
          <w:tcPr>
            <w:tcW w:w="1150" w:type="dxa"/>
            <w:noWrap/>
            <w:tcMar>
              <w:top w:w="57" w:type="dxa"/>
              <w:left w:w="57" w:type="dxa"/>
              <w:bottom w:w="85" w:type="dxa"/>
              <w:right w:w="57" w:type="dxa"/>
            </w:tcMar>
            <w:hideMark/>
          </w:tcPr>
          <w:p w14:paraId="62FFD7DD" w14:textId="77777777" w:rsidR="0072765B" w:rsidRPr="0072765B" w:rsidRDefault="0072765B" w:rsidP="0072765B">
            <w:pPr>
              <w:pStyle w:val="TableHeaderRow"/>
              <w:cnfStyle w:val="100000000000" w:firstRow="1" w:lastRow="0" w:firstColumn="0" w:lastColumn="0" w:oddVBand="0" w:evenVBand="0" w:oddHBand="0" w:evenHBand="0" w:firstRowFirstColumn="0" w:firstRowLastColumn="0" w:lastRowFirstColumn="0" w:lastRowLastColumn="0"/>
              <w:rPr>
                <w:b/>
              </w:rPr>
            </w:pPr>
            <w:r w:rsidRPr="0072765B">
              <w:rPr>
                <w:b/>
              </w:rPr>
              <w:t>Individual</w:t>
            </w:r>
          </w:p>
          <w:p w14:paraId="374A3875" w14:textId="0C091B25" w:rsidR="0072765B" w:rsidRPr="0072765B" w:rsidRDefault="0072765B" w:rsidP="0072765B">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72765B">
              <w:rPr>
                <w:b/>
              </w:rPr>
              <w:t>p</w:t>
            </w:r>
          </w:p>
        </w:tc>
        <w:tc>
          <w:tcPr>
            <w:tcW w:w="1282" w:type="dxa"/>
            <w:noWrap/>
            <w:tcMar>
              <w:top w:w="57" w:type="dxa"/>
              <w:left w:w="57" w:type="dxa"/>
              <w:bottom w:w="85" w:type="dxa"/>
              <w:right w:w="57" w:type="dxa"/>
            </w:tcMar>
            <w:hideMark/>
          </w:tcPr>
          <w:p w14:paraId="7A193F82" w14:textId="77777777" w:rsidR="0072765B" w:rsidRPr="0072765B" w:rsidRDefault="0072765B" w:rsidP="0072765B">
            <w:pPr>
              <w:pStyle w:val="TableHeaderRow"/>
              <w:cnfStyle w:val="100000000000" w:firstRow="1" w:lastRow="0" w:firstColumn="0" w:lastColumn="0" w:oddVBand="0" w:evenVBand="0" w:oddHBand="0" w:evenHBand="0" w:firstRowFirstColumn="0" w:firstRowLastColumn="0" w:lastRowFirstColumn="0" w:lastRowLastColumn="0"/>
              <w:rPr>
                <w:b/>
              </w:rPr>
            </w:pPr>
            <w:r w:rsidRPr="0072765B">
              <w:rPr>
                <w:b/>
              </w:rPr>
              <w:t>Cumulative</w:t>
            </w:r>
          </w:p>
          <w:p w14:paraId="3564B938" w14:textId="35A66A32" w:rsidR="0072765B" w:rsidRPr="0072765B" w:rsidRDefault="0072765B" w:rsidP="0072765B">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72765B">
              <w:rPr>
                <w:b/>
              </w:rPr>
              <w:t>r</w:t>
            </w:r>
            <w:r w:rsidRPr="0072765B">
              <w:rPr>
                <w:b/>
                <w:vertAlign w:val="superscript"/>
              </w:rPr>
              <w:t>2</w:t>
            </w:r>
          </w:p>
        </w:tc>
        <w:tc>
          <w:tcPr>
            <w:tcW w:w="1526" w:type="dxa"/>
            <w:noWrap/>
            <w:tcMar>
              <w:top w:w="57" w:type="dxa"/>
              <w:left w:w="57" w:type="dxa"/>
              <w:bottom w:w="85" w:type="dxa"/>
              <w:right w:w="57" w:type="dxa"/>
            </w:tcMar>
            <w:hideMark/>
          </w:tcPr>
          <w:p w14:paraId="046CD814" w14:textId="77777777" w:rsidR="0072765B" w:rsidRPr="0072765B" w:rsidRDefault="0072765B" w:rsidP="0072765B">
            <w:pPr>
              <w:pStyle w:val="TableHeaderRow"/>
              <w:cnfStyle w:val="100000000000" w:firstRow="1" w:lastRow="0" w:firstColumn="0" w:lastColumn="0" w:oddVBand="0" w:evenVBand="0" w:oddHBand="0" w:evenHBand="0" w:firstRowFirstColumn="0" w:firstRowLastColumn="0" w:lastRowFirstColumn="0" w:lastRowLastColumn="0"/>
              <w:rPr>
                <w:b/>
              </w:rPr>
            </w:pPr>
            <w:r w:rsidRPr="0072765B">
              <w:rPr>
                <w:b/>
              </w:rPr>
              <w:t>Cumulative</w:t>
            </w:r>
          </w:p>
          <w:p w14:paraId="74227594" w14:textId="5EAA3395" w:rsidR="0072765B" w:rsidRPr="0072765B" w:rsidRDefault="0072765B" w:rsidP="0072765B">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72765B">
              <w:rPr>
                <w:b/>
              </w:rPr>
              <w:t>Cumulative r</w:t>
            </w:r>
            <w:r w:rsidRPr="0072765B">
              <w:rPr>
                <w:b/>
                <w:vertAlign w:val="superscript"/>
              </w:rPr>
              <w:t>2</w:t>
            </w:r>
          </w:p>
        </w:tc>
        <w:tc>
          <w:tcPr>
            <w:tcW w:w="1161" w:type="dxa"/>
            <w:noWrap/>
            <w:tcMar>
              <w:top w:w="57" w:type="dxa"/>
              <w:left w:w="57" w:type="dxa"/>
              <w:bottom w:w="85" w:type="dxa"/>
              <w:right w:w="57" w:type="dxa"/>
            </w:tcMar>
            <w:hideMark/>
          </w:tcPr>
          <w:p w14:paraId="39353127" w14:textId="77777777" w:rsidR="0072765B" w:rsidRPr="0072765B" w:rsidRDefault="0072765B" w:rsidP="0072765B">
            <w:pPr>
              <w:pStyle w:val="TableHeaderRow"/>
              <w:cnfStyle w:val="100000000000" w:firstRow="1" w:lastRow="0" w:firstColumn="0" w:lastColumn="0" w:oddVBand="0" w:evenVBand="0" w:oddHBand="0" w:evenHBand="0" w:firstRowFirstColumn="0" w:firstRowLastColumn="0" w:lastRowFirstColumn="0" w:lastRowLastColumn="0"/>
              <w:rPr>
                <w:b/>
              </w:rPr>
            </w:pPr>
            <w:r w:rsidRPr="0072765B">
              <w:rPr>
                <w:b/>
              </w:rPr>
              <w:t>Cumulative</w:t>
            </w:r>
          </w:p>
          <w:p w14:paraId="69059F9B" w14:textId="48AB793D" w:rsidR="0072765B" w:rsidRPr="0072765B" w:rsidRDefault="0072765B" w:rsidP="0072765B">
            <w:pPr>
              <w:pStyle w:val="TableHeaderRow"/>
              <w:spacing w:before="240"/>
              <w:cnfStyle w:val="100000000000" w:firstRow="1" w:lastRow="0" w:firstColumn="0" w:lastColumn="0" w:oddVBand="0" w:evenVBand="0" w:oddHBand="0" w:evenHBand="0" w:firstRowFirstColumn="0" w:firstRowLastColumn="0" w:lastRowFirstColumn="0" w:lastRowLastColumn="0"/>
              <w:rPr>
                <w:b/>
              </w:rPr>
            </w:pPr>
            <w:r w:rsidRPr="0072765B">
              <w:rPr>
                <w:b/>
              </w:rPr>
              <w:t>p</w:t>
            </w:r>
          </w:p>
        </w:tc>
      </w:tr>
      <w:tr w:rsidR="0072765B" w:rsidRPr="00261502" w14:paraId="0E5973BC"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121D3A02" w14:textId="77777777" w:rsidR="00261502" w:rsidRPr="00261502" w:rsidRDefault="00261502" w:rsidP="00DC030B">
            <w:pPr>
              <w:pStyle w:val="TableText"/>
            </w:pPr>
            <w:r w:rsidRPr="00261502">
              <w:t>pH</w:t>
            </w:r>
          </w:p>
        </w:tc>
        <w:tc>
          <w:tcPr>
            <w:tcW w:w="1162" w:type="dxa"/>
            <w:noWrap/>
            <w:tcMar>
              <w:top w:w="57" w:type="dxa"/>
              <w:left w:w="57" w:type="dxa"/>
              <w:bottom w:w="85" w:type="dxa"/>
              <w:right w:w="57" w:type="dxa"/>
            </w:tcMar>
            <w:hideMark/>
          </w:tcPr>
          <w:p w14:paraId="06472CE1" w14:textId="77777777" w:rsidR="00261502" w:rsidRPr="00261502" w:rsidRDefault="00261502" w:rsidP="00DC030B">
            <w:pPr>
              <w:pStyle w:val="TableText"/>
              <w:cnfStyle w:val="000000100000" w:firstRow="0" w:lastRow="0" w:firstColumn="0" w:lastColumn="0" w:oddVBand="0" w:evenVBand="0" w:oddHBand="1" w:evenHBand="0" w:firstRowFirstColumn="0" w:firstRowLastColumn="0" w:lastRowFirstColumn="0" w:lastRowLastColumn="0"/>
            </w:pPr>
            <w:r w:rsidRPr="00261502">
              <w:t>0.107</w:t>
            </w:r>
          </w:p>
        </w:tc>
        <w:tc>
          <w:tcPr>
            <w:tcW w:w="1150" w:type="dxa"/>
            <w:noWrap/>
            <w:tcMar>
              <w:top w:w="57" w:type="dxa"/>
              <w:left w:w="57" w:type="dxa"/>
              <w:bottom w:w="85" w:type="dxa"/>
              <w:right w:w="57" w:type="dxa"/>
            </w:tcMar>
            <w:hideMark/>
          </w:tcPr>
          <w:p w14:paraId="73917885" w14:textId="77777777" w:rsidR="00261502" w:rsidRPr="00261502" w:rsidRDefault="00261502" w:rsidP="00DC030B">
            <w:pPr>
              <w:pStyle w:val="TableText"/>
              <w:cnfStyle w:val="000000100000" w:firstRow="0" w:lastRow="0" w:firstColumn="0" w:lastColumn="0" w:oddVBand="0" w:evenVBand="0" w:oddHBand="1" w:evenHBand="0" w:firstRowFirstColumn="0" w:firstRowLastColumn="0" w:lastRowFirstColumn="0" w:lastRowLastColumn="0"/>
              <w:rPr>
                <w:b/>
                <w:bCs/>
              </w:rPr>
            </w:pPr>
            <w:r w:rsidRPr="00261502">
              <w:rPr>
                <w:b/>
                <w:bCs/>
              </w:rPr>
              <w:t>0.001</w:t>
            </w:r>
          </w:p>
        </w:tc>
        <w:tc>
          <w:tcPr>
            <w:tcW w:w="1282" w:type="dxa"/>
            <w:noWrap/>
            <w:tcMar>
              <w:top w:w="57" w:type="dxa"/>
              <w:left w:w="57" w:type="dxa"/>
              <w:bottom w:w="85" w:type="dxa"/>
              <w:right w:w="57" w:type="dxa"/>
            </w:tcMar>
            <w:hideMark/>
          </w:tcPr>
          <w:p w14:paraId="2EC97CC8" w14:textId="77777777" w:rsidR="00261502" w:rsidRPr="00261502" w:rsidRDefault="00261502" w:rsidP="00DC030B">
            <w:pPr>
              <w:pStyle w:val="TableText"/>
              <w:cnfStyle w:val="000000100000" w:firstRow="0" w:lastRow="0" w:firstColumn="0" w:lastColumn="0" w:oddVBand="0" w:evenVBand="0" w:oddHBand="1" w:evenHBand="0" w:firstRowFirstColumn="0" w:firstRowLastColumn="0" w:lastRowFirstColumn="0" w:lastRowLastColumn="0"/>
            </w:pPr>
            <w:r w:rsidRPr="00261502">
              <w:t>0.107</w:t>
            </w:r>
          </w:p>
        </w:tc>
        <w:tc>
          <w:tcPr>
            <w:tcW w:w="1526" w:type="dxa"/>
            <w:noWrap/>
            <w:tcMar>
              <w:top w:w="57" w:type="dxa"/>
              <w:left w:w="57" w:type="dxa"/>
              <w:bottom w:w="85" w:type="dxa"/>
              <w:right w:w="57" w:type="dxa"/>
            </w:tcMar>
            <w:hideMark/>
          </w:tcPr>
          <w:p w14:paraId="02C4BEE1" w14:textId="77777777" w:rsidR="00261502" w:rsidRPr="00261502" w:rsidRDefault="00261502" w:rsidP="00DC030B">
            <w:pPr>
              <w:pStyle w:val="TableText"/>
              <w:cnfStyle w:val="000000100000" w:firstRow="0" w:lastRow="0" w:firstColumn="0" w:lastColumn="0" w:oddVBand="0" w:evenVBand="0" w:oddHBand="1" w:evenHBand="0" w:firstRowFirstColumn="0" w:firstRowLastColumn="0" w:lastRowFirstColumn="0" w:lastRowLastColumn="0"/>
            </w:pPr>
            <w:r w:rsidRPr="00261502">
              <w:t>0.107</w:t>
            </w:r>
          </w:p>
        </w:tc>
        <w:tc>
          <w:tcPr>
            <w:tcW w:w="1161" w:type="dxa"/>
            <w:noWrap/>
            <w:tcMar>
              <w:top w:w="57" w:type="dxa"/>
              <w:left w:w="57" w:type="dxa"/>
              <w:bottom w:w="85" w:type="dxa"/>
              <w:right w:w="57" w:type="dxa"/>
            </w:tcMar>
            <w:hideMark/>
          </w:tcPr>
          <w:p w14:paraId="50DB7662" w14:textId="77777777" w:rsidR="00261502" w:rsidRPr="00261502" w:rsidRDefault="00261502" w:rsidP="00DC030B">
            <w:pPr>
              <w:pStyle w:val="TableText"/>
              <w:cnfStyle w:val="000000100000" w:firstRow="0" w:lastRow="0" w:firstColumn="0" w:lastColumn="0" w:oddVBand="0" w:evenVBand="0" w:oddHBand="1" w:evenHBand="0" w:firstRowFirstColumn="0" w:firstRowLastColumn="0" w:lastRowFirstColumn="0" w:lastRowLastColumn="0"/>
              <w:rPr>
                <w:b/>
                <w:bCs/>
              </w:rPr>
            </w:pPr>
            <w:r w:rsidRPr="00261502">
              <w:rPr>
                <w:b/>
                <w:bCs/>
              </w:rPr>
              <w:t>0.001</w:t>
            </w:r>
          </w:p>
        </w:tc>
      </w:tr>
      <w:tr w:rsidR="0072765B" w:rsidRPr="00261502" w14:paraId="1F9EBF7C" w14:textId="77777777" w:rsidTr="00DC030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18B9AD85" w14:textId="77777777" w:rsidR="00261502" w:rsidRPr="00261502" w:rsidRDefault="00261502" w:rsidP="00DC030B">
            <w:pPr>
              <w:pStyle w:val="TableText"/>
            </w:pPr>
            <w:r w:rsidRPr="00261502">
              <w:t>Dissolved oxygen</w:t>
            </w:r>
          </w:p>
        </w:tc>
        <w:tc>
          <w:tcPr>
            <w:tcW w:w="1162" w:type="dxa"/>
            <w:noWrap/>
            <w:tcMar>
              <w:top w:w="57" w:type="dxa"/>
              <w:left w:w="57" w:type="dxa"/>
              <w:bottom w:w="85" w:type="dxa"/>
              <w:right w:w="57" w:type="dxa"/>
            </w:tcMar>
            <w:hideMark/>
          </w:tcPr>
          <w:p w14:paraId="26427FF7" w14:textId="77777777" w:rsidR="00261502" w:rsidRPr="00261502" w:rsidRDefault="00261502" w:rsidP="00DC030B">
            <w:pPr>
              <w:pStyle w:val="TableText"/>
              <w:cnfStyle w:val="000000010000" w:firstRow="0" w:lastRow="0" w:firstColumn="0" w:lastColumn="0" w:oddVBand="0" w:evenVBand="0" w:oddHBand="0" w:evenHBand="1" w:firstRowFirstColumn="0" w:firstRowLastColumn="0" w:lastRowFirstColumn="0" w:lastRowLastColumn="0"/>
            </w:pPr>
            <w:r w:rsidRPr="00261502">
              <w:t>0.082</w:t>
            </w:r>
          </w:p>
        </w:tc>
        <w:tc>
          <w:tcPr>
            <w:tcW w:w="1150" w:type="dxa"/>
            <w:noWrap/>
            <w:tcMar>
              <w:top w:w="57" w:type="dxa"/>
              <w:left w:w="57" w:type="dxa"/>
              <w:bottom w:w="85" w:type="dxa"/>
              <w:right w:w="57" w:type="dxa"/>
            </w:tcMar>
            <w:hideMark/>
          </w:tcPr>
          <w:p w14:paraId="6033E67E" w14:textId="77777777" w:rsidR="00261502" w:rsidRPr="00261502" w:rsidRDefault="00261502" w:rsidP="00DC030B">
            <w:pPr>
              <w:pStyle w:val="TableText"/>
              <w:cnfStyle w:val="000000010000" w:firstRow="0" w:lastRow="0" w:firstColumn="0" w:lastColumn="0" w:oddVBand="0" w:evenVBand="0" w:oddHBand="0" w:evenHBand="1" w:firstRowFirstColumn="0" w:firstRowLastColumn="0" w:lastRowFirstColumn="0" w:lastRowLastColumn="0"/>
              <w:rPr>
                <w:b/>
                <w:bCs/>
              </w:rPr>
            </w:pPr>
            <w:r w:rsidRPr="00261502">
              <w:rPr>
                <w:b/>
                <w:bCs/>
              </w:rPr>
              <w:t>0.006</w:t>
            </w:r>
          </w:p>
        </w:tc>
        <w:tc>
          <w:tcPr>
            <w:tcW w:w="1282" w:type="dxa"/>
            <w:noWrap/>
            <w:tcMar>
              <w:top w:w="57" w:type="dxa"/>
              <w:left w:w="57" w:type="dxa"/>
              <w:bottom w:w="85" w:type="dxa"/>
              <w:right w:w="57" w:type="dxa"/>
            </w:tcMar>
            <w:hideMark/>
          </w:tcPr>
          <w:p w14:paraId="421E5FB7" w14:textId="77777777" w:rsidR="00261502" w:rsidRPr="00261502" w:rsidRDefault="00261502" w:rsidP="00DC030B">
            <w:pPr>
              <w:pStyle w:val="TableText"/>
              <w:cnfStyle w:val="000000010000" w:firstRow="0" w:lastRow="0" w:firstColumn="0" w:lastColumn="0" w:oddVBand="0" w:evenVBand="0" w:oddHBand="0" w:evenHBand="1" w:firstRowFirstColumn="0" w:firstRowLastColumn="0" w:lastRowFirstColumn="0" w:lastRowLastColumn="0"/>
            </w:pPr>
            <w:r w:rsidRPr="00261502">
              <w:t>0.061</w:t>
            </w:r>
          </w:p>
        </w:tc>
        <w:tc>
          <w:tcPr>
            <w:tcW w:w="1526" w:type="dxa"/>
            <w:noWrap/>
            <w:tcMar>
              <w:top w:w="57" w:type="dxa"/>
              <w:left w:w="57" w:type="dxa"/>
              <w:bottom w:w="85" w:type="dxa"/>
              <w:right w:w="57" w:type="dxa"/>
            </w:tcMar>
            <w:hideMark/>
          </w:tcPr>
          <w:p w14:paraId="224AD78F" w14:textId="77777777" w:rsidR="00261502" w:rsidRPr="00261502" w:rsidRDefault="00261502" w:rsidP="00DC030B">
            <w:pPr>
              <w:pStyle w:val="TableText"/>
              <w:cnfStyle w:val="000000010000" w:firstRow="0" w:lastRow="0" w:firstColumn="0" w:lastColumn="0" w:oddVBand="0" w:evenVBand="0" w:oddHBand="0" w:evenHBand="1" w:firstRowFirstColumn="0" w:firstRowLastColumn="0" w:lastRowFirstColumn="0" w:lastRowLastColumn="0"/>
            </w:pPr>
            <w:r w:rsidRPr="00261502">
              <w:t>0.168</w:t>
            </w:r>
          </w:p>
        </w:tc>
        <w:tc>
          <w:tcPr>
            <w:tcW w:w="1161" w:type="dxa"/>
            <w:noWrap/>
            <w:tcMar>
              <w:top w:w="57" w:type="dxa"/>
              <w:left w:w="57" w:type="dxa"/>
              <w:bottom w:w="85" w:type="dxa"/>
              <w:right w:w="57" w:type="dxa"/>
            </w:tcMar>
            <w:hideMark/>
          </w:tcPr>
          <w:p w14:paraId="2C3C47E4" w14:textId="77777777" w:rsidR="00261502" w:rsidRPr="00261502" w:rsidRDefault="00261502" w:rsidP="00DC030B">
            <w:pPr>
              <w:pStyle w:val="TableText"/>
              <w:cnfStyle w:val="000000010000" w:firstRow="0" w:lastRow="0" w:firstColumn="0" w:lastColumn="0" w:oddVBand="0" w:evenVBand="0" w:oddHBand="0" w:evenHBand="1" w:firstRowFirstColumn="0" w:firstRowLastColumn="0" w:lastRowFirstColumn="0" w:lastRowLastColumn="0"/>
              <w:rPr>
                <w:b/>
                <w:bCs/>
              </w:rPr>
            </w:pPr>
            <w:r w:rsidRPr="00261502">
              <w:rPr>
                <w:b/>
                <w:bCs/>
              </w:rPr>
              <w:t>0.021</w:t>
            </w:r>
          </w:p>
        </w:tc>
      </w:tr>
      <w:tr w:rsidR="0072765B" w:rsidRPr="00261502" w14:paraId="45997DEF"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2824C0BB" w14:textId="77777777" w:rsidR="0072765B" w:rsidRPr="00261502" w:rsidRDefault="0072765B" w:rsidP="00DC030B">
            <w:pPr>
              <w:pStyle w:val="TableText"/>
            </w:pPr>
            <w:r w:rsidRPr="00261502">
              <w:t>Electrical conductivity</w:t>
            </w:r>
          </w:p>
        </w:tc>
        <w:tc>
          <w:tcPr>
            <w:tcW w:w="1162" w:type="dxa"/>
            <w:noWrap/>
            <w:tcMar>
              <w:top w:w="57" w:type="dxa"/>
              <w:left w:w="57" w:type="dxa"/>
              <w:bottom w:w="85" w:type="dxa"/>
              <w:right w:w="57" w:type="dxa"/>
            </w:tcMar>
            <w:hideMark/>
          </w:tcPr>
          <w:p w14:paraId="250280C1"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0.086</w:t>
            </w:r>
          </w:p>
        </w:tc>
        <w:tc>
          <w:tcPr>
            <w:tcW w:w="1150" w:type="dxa"/>
            <w:noWrap/>
            <w:tcMar>
              <w:top w:w="57" w:type="dxa"/>
              <w:left w:w="57" w:type="dxa"/>
              <w:bottom w:w="85" w:type="dxa"/>
              <w:right w:w="57" w:type="dxa"/>
            </w:tcMar>
            <w:hideMark/>
          </w:tcPr>
          <w:p w14:paraId="6C123624"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rPr>
                <w:b/>
                <w:bCs/>
              </w:rPr>
            </w:pPr>
            <w:r w:rsidRPr="00261502">
              <w:rPr>
                <w:b/>
                <w:bCs/>
              </w:rPr>
              <w:t>0.006</w:t>
            </w:r>
          </w:p>
        </w:tc>
        <w:tc>
          <w:tcPr>
            <w:tcW w:w="1282" w:type="dxa"/>
            <w:noWrap/>
            <w:tcMar>
              <w:top w:w="57" w:type="dxa"/>
              <w:left w:w="57" w:type="dxa"/>
              <w:bottom w:w="85" w:type="dxa"/>
              <w:right w:w="57" w:type="dxa"/>
            </w:tcMar>
            <w:hideMark/>
          </w:tcPr>
          <w:p w14:paraId="11B3EE9A" w14:textId="0A4FB5CB"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3ED55699" w14:textId="6CD14038"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1967FE75" w14:textId="4BE45B07"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r>
      <w:tr w:rsidR="0072765B" w:rsidRPr="00261502" w14:paraId="49D5D226" w14:textId="77777777" w:rsidTr="00DC030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2C8112D7" w14:textId="77777777" w:rsidR="0072765B" w:rsidRPr="00261502" w:rsidRDefault="0072765B" w:rsidP="00DC030B">
            <w:pPr>
              <w:pStyle w:val="TableText"/>
            </w:pPr>
            <w:r w:rsidRPr="00261502">
              <w:t>Sulfate</w:t>
            </w:r>
          </w:p>
        </w:tc>
        <w:tc>
          <w:tcPr>
            <w:tcW w:w="1162" w:type="dxa"/>
            <w:noWrap/>
            <w:tcMar>
              <w:top w:w="57" w:type="dxa"/>
              <w:left w:w="57" w:type="dxa"/>
              <w:bottom w:w="85" w:type="dxa"/>
              <w:right w:w="57" w:type="dxa"/>
            </w:tcMar>
            <w:hideMark/>
          </w:tcPr>
          <w:p w14:paraId="6EBC93DA"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0.069</w:t>
            </w:r>
          </w:p>
        </w:tc>
        <w:tc>
          <w:tcPr>
            <w:tcW w:w="1150" w:type="dxa"/>
            <w:noWrap/>
            <w:tcMar>
              <w:top w:w="57" w:type="dxa"/>
              <w:left w:w="57" w:type="dxa"/>
              <w:bottom w:w="85" w:type="dxa"/>
              <w:right w:w="57" w:type="dxa"/>
            </w:tcMar>
            <w:hideMark/>
          </w:tcPr>
          <w:p w14:paraId="5380F28D"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rPr>
                <w:b/>
                <w:bCs/>
              </w:rPr>
            </w:pPr>
            <w:r w:rsidRPr="00261502">
              <w:rPr>
                <w:b/>
                <w:bCs/>
              </w:rPr>
              <w:t>0.028</w:t>
            </w:r>
          </w:p>
        </w:tc>
        <w:tc>
          <w:tcPr>
            <w:tcW w:w="1282" w:type="dxa"/>
            <w:noWrap/>
            <w:tcMar>
              <w:top w:w="57" w:type="dxa"/>
              <w:left w:w="57" w:type="dxa"/>
              <w:bottom w:w="85" w:type="dxa"/>
              <w:right w:w="57" w:type="dxa"/>
            </w:tcMar>
            <w:hideMark/>
          </w:tcPr>
          <w:p w14:paraId="14E5FBB1" w14:textId="2EFDE069"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55F5816D" w14:textId="329987C6"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4673216B" w14:textId="1284FC47"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r>
      <w:tr w:rsidR="0072765B" w:rsidRPr="00261502" w14:paraId="576F6E41"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tcPr>
          <w:p w14:paraId="2AEBD233" w14:textId="77777777" w:rsidR="0072765B" w:rsidRPr="00261502" w:rsidRDefault="0072765B" w:rsidP="00DC030B">
            <w:pPr>
              <w:pStyle w:val="TableText"/>
            </w:pPr>
            <w:r w:rsidRPr="00261502">
              <w:t>Oxidation-reduction potential</w:t>
            </w:r>
          </w:p>
        </w:tc>
        <w:tc>
          <w:tcPr>
            <w:tcW w:w="1162" w:type="dxa"/>
            <w:noWrap/>
            <w:tcMar>
              <w:top w:w="57" w:type="dxa"/>
              <w:left w:w="57" w:type="dxa"/>
              <w:bottom w:w="85" w:type="dxa"/>
              <w:right w:w="57" w:type="dxa"/>
            </w:tcMar>
          </w:tcPr>
          <w:p w14:paraId="33EBB290"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0.055</w:t>
            </w:r>
          </w:p>
        </w:tc>
        <w:tc>
          <w:tcPr>
            <w:tcW w:w="1150" w:type="dxa"/>
            <w:noWrap/>
            <w:tcMar>
              <w:top w:w="57" w:type="dxa"/>
              <w:left w:w="57" w:type="dxa"/>
              <w:bottom w:w="85" w:type="dxa"/>
              <w:right w:w="57" w:type="dxa"/>
            </w:tcMar>
          </w:tcPr>
          <w:p w14:paraId="742E1574"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0.146</w:t>
            </w:r>
          </w:p>
        </w:tc>
        <w:tc>
          <w:tcPr>
            <w:tcW w:w="1282" w:type="dxa"/>
            <w:noWrap/>
            <w:tcMar>
              <w:top w:w="57" w:type="dxa"/>
              <w:left w:w="57" w:type="dxa"/>
              <w:bottom w:w="85" w:type="dxa"/>
              <w:right w:w="57" w:type="dxa"/>
            </w:tcMar>
          </w:tcPr>
          <w:p w14:paraId="26F9E67F" w14:textId="5C96EC0E"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tcPr>
          <w:p w14:paraId="5C0C6A6E" w14:textId="46FA9244"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tcPr>
          <w:p w14:paraId="635BE50F" w14:textId="12CEF661"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r>
      <w:tr w:rsidR="0072765B" w:rsidRPr="00261502" w14:paraId="1A625692" w14:textId="77777777" w:rsidTr="00DC030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68E58C7A" w14:textId="77777777" w:rsidR="0072765B" w:rsidRPr="00261502" w:rsidRDefault="0072765B" w:rsidP="00DC030B">
            <w:pPr>
              <w:pStyle w:val="TableText"/>
            </w:pPr>
            <w:r w:rsidRPr="00261502">
              <w:t>Total nitrogen</w:t>
            </w:r>
          </w:p>
        </w:tc>
        <w:tc>
          <w:tcPr>
            <w:tcW w:w="1162" w:type="dxa"/>
            <w:noWrap/>
            <w:tcMar>
              <w:top w:w="57" w:type="dxa"/>
              <w:left w:w="57" w:type="dxa"/>
              <w:bottom w:w="85" w:type="dxa"/>
              <w:right w:w="57" w:type="dxa"/>
            </w:tcMar>
            <w:hideMark/>
          </w:tcPr>
          <w:p w14:paraId="494B0E7E"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0.042</w:t>
            </w:r>
          </w:p>
        </w:tc>
        <w:tc>
          <w:tcPr>
            <w:tcW w:w="1150" w:type="dxa"/>
            <w:noWrap/>
            <w:tcMar>
              <w:top w:w="57" w:type="dxa"/>
              <w:left w:w="57" w:type="dxa"/>
              <w:bottom w:w="85" w:type="dxa"/>
              <w:right w:w="57" w:type="dxa"/>
            </w:tcMar>
            <w:hideMark/>
          </w:tcPr>
          <w:p w14:paraId="5F77E05F"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0.173</w:t>
            </w:r>
          </w:p>
        </w:tc>
        <w:tc>
          <w:tcPr>
            <w:tcW w:w="1282" w:type="dxa"/>
            <w:noWrap/>
            <w:tcMar>
              <w:top w:w="57" w:type="dxa"/>
              <w:left w:w="57" w:type="dxa"/>
              <w:bottom w:w="85" w:type="dxa"/>
              <w:right w:w="57" w:type="dxa"/>
            </w:tcMar>
            <w:hideMark/>
          </w:tcPr>
          <w:p w14:paraId="14E78C3C" w14:textId="24EAB75B"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11FB869B" w14:textId="15CA24A8"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7967B39C" w14:textId="28CE9EC3"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r>
      <w:tr w:rsidR="0072765B" w:rsidRPr="00261502" w14:paraId="76EBC98A"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499FCBEC" w14:textId="77777777" w:rsidR="0072765B" w:rsidRPr="00261502" w:rsidRDefault="0072765B" w:rsidP="00DC030B">
            <w:pPr>
              <w:pStyle w:val="TableText"/>
            </w:pPr>
            <w:r w:rsidRPr="00261502">
              <w:t>Total phosphorus</w:t>
            </w:r>
          </w:p>
        </w:tc>
        <w:tc>
          <w:tcPr>
            <w:tcW w:w="1162" w:type="dxa"/>
            <w:noWrap/>
            <w:tcMar>
              <w:top w:w="57" w:type="dxa"/>
              <w:left w:w="57" w:type="dxa"/>
              <w:bottom w:w="85" w:type="dxa"/>
              <w:right w:w="57" w:type="dxa"/>
            </w:tcMar>
            <w:hideMark/>
          </w:tcPr>
          <w:p w14:paraId="125EEF02"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0.037</w:t>
            </w:r>
          </w:p>
        </w:tc>
        <w:tc>
          <w:tcPr>
            <w:tcW w:w="1150" w:type="dxa"/>
            <w:noWrap/>
            <w:tcMar>
              <w:top w:w="57" w:type="dxa"/>
              <w:left w:w="57" w:type="dxa"/>
              <w:bottom w:w="85" w:type="dxa"/>
              <w:right w:w="57" w:type="dxa"/>
            </w:tcMar>
            <w:hideMark/>
          </w:tcPr>
          <w:p w14:paraId="5F03E422"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0.281</w:t>
            </w:r>
          </w:p>
        </w:tc>
        <w:tc>
          <w:tcPr>
            <w:tcW w:w="1282" w:type="dxa"/>
            <w:noWrap/>
            <w:tcMar>
              <w:top w:w="57" w:type="dxa"/>
              <w:left w:w="57" w:type="dxa"/>
              <w:bottom w:w="85" w:type="dxa"/>
              <w:right w:w="57" w:type="dxa"/>
            </w:tcMar>
            <w:hideMark/>
          </w:tcPr>
          <w:p w14:paraId="3353E656" w14:textId="5B88ED42"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34B83FFE" w14:textId="06ECEE5E"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1B7BC972" w14:textId="19AD692C"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r>
      <w:tr w:rsidR="0072765B" w:rsidRPr="00261502" w14:paraId="54443F91" w14:textId="77777777" w:rsidTr="00DC030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4E9FBD00" w14:textId="77777777" w:rsidR="0072765B" w:rsidRPr="00261502" w:rsidRDefault="0072765B" w:rsidP="00DC030B">
            <w:pPr>
              <w:pStyle w:val="TableText"/>
            </w:pPr>
            <w:r w:rsidRPr="00261502">
              <w:t xml:space="preserve">Water level </w:t>
            </w:r>
          </w:p>
        </w:tc>
        <w:tc>
          <w:tcPr>
            <w:tcW w:w="1162" w:type="dxa"/>
            <w:noWrap/>
            <w:tcMar>
              <w:top w:w="57" w:type="dxa"/>
              <w:left w:w="57" w:type="dxa"/>
              <w:bottom w:w="85" w:type="dxa"/>
              <w:right w:w="57" w:type="dxa"/>
            </w:tcMar>
            <w:hideMark/>
          </w:tcPr>
          <w:p w14:paraId="61228B3B"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0.028</w:t>
            </w:r>
          </w:p>
        </w:tc>
        <w:tc>
          <w:tcPr>
            <w:tcW w:w="1150" w:type="dxa"/>
            <w:noWrap/>
            <w:tcMar>
              <w:top w:w="57" w:type="dxa"/>
              <w:left w:w="57" w:type="dxa"/>
              <w:bottom w:w="85" w:type="dxa"/>
              <w:right w:w="57" w:type="dxa"/>
            </w:tcMar>
            <w:hideMark/>
          </w:tcPr>
          <w:p w14:paraId="0544354C"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0.556</w:t>
            </w:r>
          </w:p>
        </w:tc>
        <w:tc>
          <w:tcPr>
            <w:tcW w:w="1282" w:type="dxa"/>
            <w:noWrap/>
            <w:tcMar>
              <w:top w:w="57" w:type="dxa"/>
              <w:left w:w="57" w:type="dxa"/>
              <w:bottom w:w="85" w:type="dxa"/>
              <w:right w:w="57" w:type="dxa"/>
            </w:tcMar>
            <w:hideMark/>
          </w:tcPr>
          <w:p w14:paraId="24BD5670" w14:textId="2F02D698"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0EA9D883" w14:textId="4A813B81"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24E3DA8E" w14:textId="2CA877A8"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r>
      <w:tr w:rsidR="0072765B" w:rsidRPr="00261502" w14:paraId="518FA7B9"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5947908A" w14:textId="77777777" w:rsidR="0072765B" w:rsidRPr="00261502" w:rsidRDefault="0072765B" w:rsidP="00DC030B">
            <w:pPr>
              <w:pStyle w:val="TableText"/>
            </w:pPr>
            <w:r w:rsidRPr="00261502">
              <w:t>Mean slot depth</w:t>
            </w:r>
          </w:p>
        </w:tc>
        <w:tc>
          <w:tcPr>
            <w:tcW w:w="1162" w:type="dxa"/>
            <w:noWrap/>
            <w:tcMar>
              <w:top w:w="57" w:type="dxa"/>
              <w:left w:w="57" w:type="dxa"/>
              <w:bottom w:w="85" w:type="dxa"/>
              <w:right w:w="57" w:type="dxa"/>
            </w:tcMar>
            <w:hideMark/>
          </w:tcPr>
          <w:p w14:paraId="2980E96F"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0.027</w:t>
            </w:r>
          </w:p>
        </w:tc>
        <w:tc>
          <w:tcPr>
            <w:tcW w:w="1150" w:type="dxa"/>
            <w:noWrap/>
            <w:tcMar>
              <w:top w:w="57" w:type="dxa"/>
              <w:left w:w="57" w:type="dxa"/>
              <w:bottom w:w="85" w:type="dxa"/>
              <w:right w:w="57" w:type="dxa"/>
            </w:tcMar>
            <w:hideMark/>
          </w:tcPr>
          <w:p w14:paraId="5187FEFF"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0.595</w:t>
            </w:r>
          </w:p>
        </w:tc>
        <w:tc>
          <w:tcPr>
            <w:tcW w:w="1282" w:type="dxa"/>
            <w:noWrap/>
            <w:tcMar>
              <w:top w:w="57" w:type="dxa"/>
              <w:left w:w="57" w:type="dxa"/>
              <w:bottom w:w="85" w:type="dxa"/>
              <w:right w:w="57" w:type="dxa"/>
            </w:tcMar>
            <w:hideMark/>
          </w:tcPr>
          <w:p w14:paraId="694E54E6" w14:textId="1AEF41FD"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7D1BFAB4" w14:textId="5AD495E9"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356DD4F6" w14:textId="5603241F"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r>
      <w:tr w:rsidR="0072765B" w:rsidRPr="00261502" w14:paraId="411443BF" w14:textId="77777777" w:rsidTr="00DC030B">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0F22538E" w14:textId="77777777" w:rsidR="0072765B" w:rsidRPr="00261502" w:rsidRDefault="0072765B" w:rsidP="00DC030B">
            <w:pPr>
              <w:pStyle w:val="TableText"/>
            </w:pPr>
            <w:r w:rsidRPr="00261502">
              <w:t>Dissolved organic carbon</w:t>
            </w:r>
          </w:p>
        </w:tc>
        <w:tc>
          <w:tcPr>
            <w:tcW w:w="1162" w:type="dxa"/>
            <w:noWrap/>
            <w:tcMar>
              <w:top w:w="57" w:type="dxa"/>
              <w:left w:w="57" w:type="dxa"/>
              <w:bottom w:w="85" w:type="dxa"/>
              <w:right w:w="57" w:type="dxa"/>
            </w:tcMar>
            <w:hideMark/>
          </w:tcPr>
          <w:p w14:paraId="32EC1EEA"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0.025</w:t>
            </w:r>
          </w:p>
        </w:tc>
        <w:tc>
          <w:tcPr>
            <w:tcW w:w="1150" w:type="dxa"/>
            <w:noWrap/>
            <w:tcMar>
              <w:top w:w="57" w:type="dxa"/>
              <w:left w:w="57" w:type="dxa"/>
              <w:bottom w:w="85" w:type="dxa"/>
              <w:right w:w="57" w:type="dxa"/>
            </w:tcMar>
            <w:hideMark/>
          </w:tcPr>
          <w:p w14:paraId="276AD6EB" w14:textId="77777777" w:rsidR="0072765B" w:rsidRPr="00261502" w:rsidRDefault="0072765B" w:rsidP="00DC030B">
            <w:pPr>
              <w:pStyle w:val="TableText"/>
              <w:cnfStyle w:val="000000010000" w:firstRow="0" w:lastRow="0" w:firstColumn="0" w:lastColumn="0" w:oddVBand="0" w:evenVBand="0" w:oddHBand="0" w:evenHBand="1" w:firstRowFirstColumn="0" w:firstRowLastColumn="0" w:lastRowFirstColumn="0" w:lastRowLastColumn="0"/>
            </w:pPr>
            <w:r w:rsidRPr="00261502">
              <w:t>0.586</w:t>
            </w:r>
          </w:p>
        </w:tc>
        <w:tc>
          <w:tcPr>
            <w:tcW w:w="1282" w:type="dxa"/>
            <w:noWrap/>
            <w:tcMar>
              <w:top w:w="57" w:type="dxa"/>
              <w:left w:w="57" w:type="dxa"/>
              <w:bottom w:w="85" w:type="dxa"/>
              <w:right w:w="57" w:type="dxa"/>
            </w:tcMar>
            <w:hideMark/>
          </w:tcPr>
          <w:p w14:paraId="48C3BC07" w14:textId="67C3464C"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18113D66" w14:textId="2887E184"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686D3843" w14:textId="518DAD06" w:rsidR="0072765B" w:rsidRPr="0072765B" w:rsidRDefault="0072765B" w:rsidP="00DC030B">
            <w:pPr>
              <w:pStyle w:val="TableText"/>
              <w:cnfStyle w:val="000000010000" w:firstRow="0" w:lastRow="0" w:firstColumn="0" w:lastColumn="0" w:oddVBand="0" w:evenVBand="0" w:oddHBand="0" w:evenHBand="1" w:firstRowFirstColumn="0" w:firstRowLastColumn="0" w:lastRowFirstColumn="0" w:lastRowLastColumn="0"/>
              <w:rPr>
                <w:color w:val="EBEEF5"/>
              </w:rPr>
            </w:pPr>
            <w:r w:rsidRPr="0072765B">
              <w:rPr>
                <w:color w:val="EBEEF5"/>
              </w:rPr>
              <w:t>-</w:t>
            </w:r>
          </w:p>
        </w:tc>
      </w:tr>
      <w:tr w:rsidR="0072765B" w:rsidRPr="00261502" w14:paraId="015D684A" w14:textId="77777777" w:rsidTr="00DC030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779" w:type="dxa"/>
            <w:noWrap/>
            <w:tcMar>
              <w:top w:w="57" w:type="dxa"/>
              <w:left w:w="57" w:type="dxa"/>
              <w:bottom w:w="85" w:type="dxa"/>
              <w:right w:w="57" w:type="dxa"/>
            </w:tcMar>
            <w:hideMark/>
          </w:tcPr>
          <w:p w14:paraId="4177D552" w14:textId="77777777" w:rsidR="0072765B" w:rsidRPr="00261502" w:rsidRDefault="0072765B" w:rsidP="00DC030B">
            <w:pPr>
              <w:pStyle w:val="TableText"/>
            </w:pPr>
            <w:r w:rsidRPr="00261502">
              <w:t>Temperature</w:t>
            </w:r>
          </w:p>
        </w:tc>
        <w:tc>
          <w:tcPr>
            <w:tcW w:w="1162" w:type="dxa"/>
            <w:noWrap/>
            <w:tcMar>
              <w:top w:w="57" w:type="dxa"/>
              <w:left w:w="57" w:type="dxa"/>
              <w:bottom w:w="85" w:type="dxa"/>
              <w:right w:w="57" w:type="dxa"/>
            </w:tcMar>
            <w:hideMark/>
          </w:tcPr>
          <w:p w14:paraId="2D3F89F3"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0.021</w:t>
            </w:r>
          </w:p>
        </w:tc>
        <w:tc>
          <w:tcPr>
            <w:tcW w:w="1150" w:type="dxa"/>
            <w:noWrap/>
            <w:tcMar>
              <w:top w:w="57" w:type="dxa"/>
              <w:left w:w="57" w:type="dxa"/>
              <w:bottom w:w="85" w:type="dxa"/>
              <w:right w:w="57" w:type="dxa"/>
            </w:tcMar>
            <w:hideMark/>
          </w:tcPr>
          <w:p w14:paraId="799BFCFA" w14:textId="77777777" w:rsidR="0072765B" w:rsidRPr="00261502" w:rsidRDefault="0072765B" w:rsidP="00DC030B">
            <w:pPr>
              <w:pStyle w:val="TableText"/>
              <w:cnfStyle w:val="000000100000" w:firstRow="0" w:lastRow="0" w:firstColumn="0" w:lastColumn="0" w:oddVBand="0" w:evenVBand="0" w:oddHBand="1" w:evenHBand="0" w:firstRowFirstColumn="0" w:firstRowLastColumn="0" w:lastRowFirstColumn="0" w:lastRowLastColumn="0"/>
            </w:pPr>
            <w:r w:rsidRPr="00261502">
              <w:t>0.795</w:t>
            </w:r>
          </w:p>
        </w:tc>
        <w:tc>
          <w:tcPr>
            <w:tcW w:w="1282" w:type="dxa"/>
            <w:noWrap/>
            <w:tcMar>
              <w:top w:w="57" w:type="dxa"/>
              <w:left w:w="57" w:type="dxa"/>
              <w:bottom w:w="85" w:type="dxa"/>
              <w:right w:w="57" w:type="dxa"/>
            </w:tcMar>
            <w:hideMark/>
          </w:tcPr>
          <w:p w14:paraId="7044EA85" w14:textId="496CC513"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526" w:type="dxa"/>
            <w:noWrap/>
            <w:tcMar>
              <w:top w:w="57" w:type="dxa"/>
              <w:left w:w="57" w:type="dxa"/>
              <w:bottom w:w="85" w:type="dxa"/>
              <w:right w:w="57" w:type="dxa"/>
            </w:tcMar>
            <w:hideMark/>
          </w:tcPr>
          <w:p w14:paraId="1EE5D925" w14:textId="7FE33E92"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c>
          <w:tcPr>
            <w:tcW w:w="1161" w:type="dxa"/>
            <w:noWrap/>
            <w:tcMar>
              <w:top w:w="57" w:type="dxa"/>
              <w:left w:w="57" w:type="dxa"/>
              <w:bottom w:w="85" w:type="dxa"/>
              <w:right w:w="57" w:type="dxa"/>
            </w:tcMar>
            <w:hideMark/>
          </w:tcPr>
          <w:p w14:paraId="72C81869" w14:textId="4333B15F" w:rsidR="0072765B" w:rsidRPr="0072765B" w:rsidRDefault="0072765B" w:rsidP="00DC030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72765B">
              <w:rPr>
                <w:color w:val="EBEEF5"/>
              </w:rPr>
              <w:t>-</w:t>
            </w:r>
          </w:p>
        </w:tc>
      </w:tr>
    </w:tbl>
    <w:p w14:paraId="35DEEFC4" w14:textId="77777777" w:rsidR="00261502" w:rsidRDefault="00261502" w:rsidP="0072765B">
      <w:pPr>
        <w:pStyle w:val="TableSourceNotes"/>
      </w:pPr>
      <w:r>
        <w:t>Values in bold were significant (p&lt;0.05).</w:t>
      </w:r>
    </w:p>
    <w:p w14:paraId="71F02CD0" w14:textId="77777777" w:rsidR="00261502" w:rsidRDefault="00261502" w:rsidP="0072765B">
      <w:pPr>
        <w:pStyle w:val="Heading2Numbered"/>
        <w:numPr>
          <w:ilvl w:val="0"/>
          <w:numId w:val="0"/>
        </w:numPr>
        <w:ind w:left="567" w:hanging="567"/>
      </w:pPr>
      <w:bookmarkStart w:id="69" w:name="_Toc164960624"/>
      <w:r>
        <w:t>3.4</w:t>
      </w:r>
      <w:r>
        <w:tab/>
        <w:t>Comparison of metagenome and metabarcode data</w:t>
      </w:r>
      <w:bookmarkEnd w:id="69"/>
    </w:p>
    <w:p w14:paraId="25F40CB8" w14:textId="647F431E" w:rsidR="00261502" w:rsidRDefault="00261502" w:rsidP="00261502">
      <w:pPr>
        <w:pStyle w:val="BodyText"/>
      </w:pPr>
      <w:r>
        <w:t>The analyses of the functional metagenomes, described in detail in the previous section, showed, overall, similar trends to the metabarcoding results here and in the Stage 1 and Stage 2 reports (Korbel et al. 2022a; Korbel et al. 2023). Ordinations typically showed separation of samples among catchment types, and all metagenome and metabarcoding datasets differed significantly between aquifer types (</w:t>
      </w:r>
      <w:r w:rsidR="00E202FA">
        <w:fldChar w:fldCharType="begin"/>
      </w:r>
      <w:r w:rsidR="00E202FA">
        <w:instrText xml:space="preserve"> REF _Ref164638527 \h </w:instrText>
      </w:r>
      <w:r w:rsidR="00E202FA">
        <w:fldChar w:fldCharType="separate"/>
      </w:r>
      <w:r w:rsidR="00E202FA">
        <w:t xml:space="preserve">Table </w:t>
      </w:r>
      <w:r w:rsidR="00E202FA">
        <w:rPr>
          <w:noProof/>
        </w:rPr>
        <w:t>10</w:t>
      </w:r>
      <w:r w:rsidR="00E202FA">
        <w:fldChar w:fldCharType="end"/>
      </w:r>
      <w:r>
        <w:t>). Although not always evident in the nMDS ordinations, all metagenome datasets and all but the 16S rDNA FAPROTAX (based on metabarcoding) differed significantly between pre- and post-purge samples (</w:t>
      </w:r>
      <w:r w:rsidR="00E202FA">
        <w:fldChar w:fldCharType="begin"/>
      </w:r>
      <w:r w:rsidR="00E202FA">
        <w:instrText xml:space="preserve"> REF _Ref164638527 \h </w:instrText>
      </w:r>
      <w:r w:rsidR="00E202FA">
        <w:fldChar w:fldCharType="separate"/>
      </w:r>
      <w:r w:rsidR="00E202FA">
        <w:t xml:space="preserve">Table </w:t>
      </w:r>
      <w:r w:rsidR="00E202FA">
        <w:rPr>
          <w:noProof/>
        </w:rPr>
        <w:t>10</w:t>
      </w:r>
      <w:r w:rsidR="00E202FA">
        <w:fldChar w:fldCharType="end"/>
      </w:r>
      <w:r>
        <w:t>). None of the functional genome datasets differed between bores (</w:t>
      </w:r>
      <w:r w:rsidR="00E202FA">
        <w:fldChar w:fldCharType="begin"/>
      </w:r>
      <w:r w:rsidR="00E202FA">
        <w:instrText xml:space="preserve"> REF _Ref164638527 \h </w:instrText>
      </w:r>
      <w:r w:rsidR="00E202FA">
        <w:fldChar w:fldCharType="separate"/>
      </w:r>
      <w:r w:rsidR="00E202FA">
        <w:t xml:space="preserve">Table </w:t>
      </w:r>
      <w:r w:rsidR="00E202FA">
        <w:rPr>
          <w:noProof/>
        </w:rPr>
        <w:t>10</w:t>
      </w:r>
      <w:r w:rsidR="00E202FA">
        <w:fldChar w:fldCharType="end"/>
      </w:r>
      <w:r>
        <w:t>). In contrast, the taxonomic assemblages based on 16S rDNA or 18S rDNA metagenome sequences differed between bores, which was generally consistent with the metabarcoding data, except for the 16S rDNA metabarcodes, in which the difference between bores was not significant (p=0.568). These findings suggest that metagenome data reflect differences in environmental conditions as successfully as metabarcoding. The lack of significant differences between bores in the functional metagenomes compared to the taxonomic assessments may reflect differences in composition between bores, which might be expected given the high degree of endemism at small spatial scales that is common in groundwater organisms (Hahn and Matzke 2005; Hancock and Boulton 2008), but shows potentially a similarity among bores in terms of their function, despite different taxa undertaking those functions in different bores.</w:t>
      </w:r>
    </w:p>
    <w:p w14:paraId="098026F6" w14:textId="29EAC002" w:rsidR="004A09B1" w:rsidRDefault="004A09B1" w:rsidP="00130B8A">
      <w:pPr>
        <w:pStyle w:val="TABLEHEADING"/>
        <w:keepNext/>
        <w:spacing w:line="240" w:lineRule="auto"/>
      </w:pPr>
      <w:bookmarkStart w:id="70" w:name="_Ref164638527"/>
      <w:r>
        <w:t xml:space="preserve">Table </w:t>
      </w:r>
      <w:r>
        <w:fldChar w:fldCharType="begin"/>
      </w:r>
      <w:r>
        <w:instrText xml:space="preserve"> SEQ Table \* ARABIC </w:instrText>
      </w:r>
      <w:r>
        <w:fldChar w:fldCharType="separate"/>
      </w:r>
      <w:r w:rsidR="00307B2F">
        <w:rPr>
          <w:noProof/>
        </w:rPr>
        <w:t>10</w:t>
      </w:r>
      <w:r>
        <w:fldChar w:fldCharType="end"/>
      </w:r>
      <w:bookmarkEnd w:id="70"/>
      <w:r w:rsidRPr="00BD420A">
        <w:t>. Summary of statistically significant differences (p&lt;0.05) between main effects and their interaction in assemblages derived from functional and taxonomic metagenome (MG) analysis and metabarcoding (MB)</w:t>
      </w:r>
    </w:p>
    <w:tbl>
      <w:tblPr>
        <w:tblStyle w:val="IESCTABLE1"/>
        <w:tblW w:w="0" w:type="auto"/>
        <w:tblLayout w:type="fixed"/>
        <w:tblCellMar>
          <w:left w:w="28" w:type="dxa"/>
        </w:tblCellMar>
        <w:tblLook w:val="04A0" w:firstRow="1" w:lastRow="0" w:firstColumn="1" w:lastColumn="0" w:noHBand="0" w:noVBand="1"/>
      </w:tblPr>
      <w:tblGrid>
        <w:gridCol w:w="1555"/>
        <w:gridCol w:w="794"/>
        <w:gridCol w:w="794"/>
        <w:gridCol w:w="794"/>
        <w:gridCol w:w="794"/>
        <w:gridCol w:w="834"/>
        <w:gridCol w:w="794"/>
        <w:gridCol w:w="964"/>
        <w:gridCol w:w="794"/>
        <w:gridCol w:w="794"/>
      </w:tblGrid>
      <w:tr w:rsidR="001D38CB" w:rsidRPr="00261502" w14:paraId="304DA1B6" w14:textId="77777777" w:rsidTr="003E4EE5">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555" w:type="dxa"/>
            <w:noWrap/>
            <w:tcMar>
              <w:top w:w="57" w:type="dxa"/>
              <w:left w:w="57" w:type="dxa"/>
              <w:bottom w:w="85" w:type="dxa"/>
              <w:right w:w="57" w:type="dxa"/>
            </w:tcMar>
          </w:tcPr>
          <w:p w14:paraId="45EB9B45" w14:textId="77777777" w:rsidR="00261502" w:rsidRPr="0072765B" w:rsidRDefault="00261502" w:rsidP="00130B8A">
            <w:pPr>
              <w:pStyle w:val="TableHeaderRow"/>
              <w:keepNext/>
              <w:keepLines/>
              <w:rPr>
                <w:b/>
                <w:sz w:val="18"/>
                <w:szCs w:val="18"/>
              </w:rPr>
            </w:pPr>
            <w:r w:rsidRPr="0072765B">
              <w:rPr>
                <w:b/>
                <w:sz w:val="18"/>
                <w:szCs w:val="18"/>
              </w:rPr>
              <w:t>Factors</w:t>
            </w:r>
          </w:p>
        </w:tc>
        <w:tc>
          <w:tcPr>
            <w:tcW w:w="794" w:type="dxa"/>
            <w:noWrap/>
            <w:tcMar>
              <w:top w:w="57" w:type="dxa"/>
              <w:left w:w="57" w:type="dxa"/>
              <w:bottom w:w="85" w:type="dxa"/>
              <w:right w:w="57" w:type="dxa"/>
            </w:tcMar>
          </w:tcPr>
          <w:p w14:paraId="7AB06E5E" w14:textId="0FD74493"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All genes</w:t>
            </w:r>
          </w:p>
        </w:tc>
        <w:tc>
          <w:tcPr>
            <w:tcW w:w="794" w:type="dxa"/>
            <w:noWrap/>
            <w:tcMar>
              <w:top w:w="57" w:type="dxa"/>
              <w:left w:w="57" w:type="dxa"/>
              <w:bottom w:w="85" w:type="dxa"/>
              <w:right w:w="57" w:type="dxa"/>
            </w:tcMar>
          </w:tcPr>
          <w:p w14:paraId="5D871737" w14:textId="77777777"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GO</w:t>
            </w:r>
          </w:p>
        </w:tc>
        <w:tc>
          <w:tcPr>
            <w:tcW w:w="794" w:type="dxa"/>
            <w:noWrap/>
            <w:tcMar>
              <w:top w:w="57" w:type="dxa"/>
              <w:left w:w="57" w:type="dxa"/>
              <w:bottom w:w="85" w:type="dxa"/>
              <w:right w:w="57" w:type="dxa"/>
            </w:tcMar>
          </w:tcPr>
          <w:p w14:paraId="2292779E" w14:textId="4B914A3F" w:rsidR="00261502" w:rsidRPr="0072765B" w:rsidRDefault="0072765B"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Pr>
                <w:b/>
                <w:sz w:val="18"/>
                <w:szCs w:val="18"/>
              </w:rPr>
              <w:t>C</w:t>
            </w:r>
            <w:r w:rsidR="00261502" w:rsidRPr="0072765B">
              <w:rPr>
                <w:b/>
                <w:sz w:val="18"/>
                <w:szCs w:val="18"/>
              </w:rPr>
              <w:t>OG</w:t>
            </w:r>
          </w:p>
        </w:tc>
        <w:tc>
          <w:tcPr>
            <w:tcW w:w="794" w:type="dxa"/>
            <w:noWrap/>
            <w:tcMar>
              <w:top w:w="57" w:type="dxa"/>
              <w:left w:w="57" w:type="dxa"/>
              <w:bottom w:w="85" w:type="dxa"/>
              <w:right w:w="57" w:type="dxa"/>
            </w:tcMar>
          </w:tcPr>
          <w:p w14:paraId="6803ABAF" w14:textId="77777777"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EC</w:t>
            </w:r>
          </w:p>
        </w:tc>
        <w:tc>
          <w:tcPr>
            <w:tcW w:w="834" w:type="dxa"/>
            <w:noWrap/>
            <w:tcMar>
              <w:top w:w="57" w:type="dxa"/>
              <w:left w:w="57" w:type="dxa"/>
              <w:bottom w:w="85" w:type="dxa"/>
              <w:right w:w="57" w:type="dxa"/>
            </w:tcMar>
          </w:tcPr>
          <w:p w14:paraId="6FDE36C2" w14:textId="77777777"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16S MG</w:t>
            </w:r>
          </w:p>
        </w:tc>
        <w:tc>
          <w:tcPr>
            <w:tcW w:w="794" w:type="dxa"/>
            <w:noWrap/>
            <w:tcMar>
              <w:top w:w="57" w:type="dxa"/>
              <w:left w:w="57" w:type="dxa"/>
              <w:bottom w:w="85" w:type="dxa"/>
              <w:right w:w="57" w:type="dxa"/>
            </w:tcMar>
          </w:tcPr>
          <w:p w14:paraId="3AE796AE" w14:textId="6E6161EA"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16S MB</w:t>
            </w:r>
          </w:p>
        </w:tc>
        <w:tc>
          <w:tcPr>
            <w:tcW w:w="964" w:type="dxa"/>
            <w:noWrap/>
            <w:tcMar>
              <w:top w:w="57" w:type="dxa"/>
              <w:left w:w="57" w:type="dxa"/>
              <w:bottom w:w="85" w:type="dxa"/>
              <w:right w:w="57" w:type="dxa"/>
            </w:tcMar>
          </w:tcPr>
          <w:p w14:paraId="618C61C2" w14:textId="49D59F55"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16S MB FAPROTAX</w:t>
            </w:r>
          </w:p>
        </w:tc>
        <w:tc>
          <w:tcPr>
            <w:tcW w:w="794" w:type="dxa"/>
            <w:noWrap/>
            <w:tcMar>
              <w:top w:w="57" w:type="dxa"/>
              <w:left w:w="57" w:type="dxa"/>
              <w:bottom w:w="85" w:type="dxa"/>
              <w:right w:w="57" w:type="dxa"/>
            </w:tcMar>
          </w:tcPr>
          <w:p w14:paraId="618F336E" w14:textId="03FE90FC"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18S MG</w:t>
            </w:r>
          </w:p>
        </w:tc>
        <w:tc>
          <w:tcPr>
            <w:tcW w:w="794" w:type="dxa"/>
            <w:noWrap/>
            <w:tcMar>
              <w:top w:w="57" w:type="dxa"/>
              <w:left w:w="57" w:type="dxa"/>
              <w:bottom w:w="85" w:type="dxa"/>
              <w:right w:w="57" w:type="dxa"/>
            </w:tcMar>
          </w:tcPr>
          <w:p w14:paraId="4DB4E8A3" w14:textId="02FA91E9" w:rsidR="00261502" w:rsidRPr="0072765B"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sz w:val="18"/>
                <w:szCs w:val="18"/>
              </w:rPr>
            </w:pPr>
            <w:r w:rsidRPr="0072765B">
              <w:rPr>
                <w:b/>
                <w:sz w:val="18"/>
                <w:szCs w:val="18"/>
              </w:rPr>
              <w:t>18S MB</w:t>
            </w:r>
          </w:p>
        </w:tc>
      </w:tr>
      <w:tr w:rsidR="001D38CB" w:rsidRPr="00261502" w14:paraId="0B024549" w14:textId="77777777" w:rsidTr="003E4E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Mar>
              <w:top w:w="57" w:type="dxa"/>
              <w:left w:w="57" w:type="dxa"/>
              <w:bottom w:w="85" w:type="dxa"/>
              <w:right w:w="57" w:type="dxa"/>
            </w:tcMar>
          </w:tcPr>
          <w:p w14:paraId="2D419D8F" w14:textId="77777777" w:rsidR="0072765B" w:rsidRPr="0072765B" w:rsidRDefault="0072765B" w:rsidP="00130B8A">
            <w:pPr>
              <w:pStyle w:val="TableText"/>
              <w:keepNext/>
              <w:keepLines/>
              <w:rPr>
                <w:b w:val="0"/>
              </w:rPr>
            </w:pPr>
            <w:r w:rsidRPr="0072765B">
              <w:rPr>
                <w:b w:val="0"/>
              </w:rPr>
              <w:t xml:space="preserve">Aquifer type </w:t>
            </w:r>
          </w:p>
        </w:tc>
        <w:tc>
          <w:tcPr>
            <w:tcW w:w="794" w:type="dxa"/>
            <w:noWrap/>
            <w:tcMar>
              <w:top w:w="57" w:type="dxa"/>
              <w:left w:w="57" w:type="dxa"/>
              <w:bottom w:w="85" w:type="dxa"/>
              <w:right w:w="57" w:type="dxa"/>
            </w:tcMar>
          </w:tcPr>
          <w:p w14:paraId="494633A4" w14:textId="5FD39485"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2537F95D" w14:textId="337E7024"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6F663601" w14:textId="7B203461"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3F32C0AB" w14:textId="477ACCBC"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834" w:type="dxa"/>
            <w:noWrap/>
            <w:tcMar>
              <w:top w:w="57" w:type="dxa"/>
              <w:left w:w="57" w:type="dxa"/>
              <w:bottom w:w="85" w:type="dxa"/>
              <w:right w:w="57" w:type="dxa"/>
            </w:tcMar>
          </w:tcPr>
          <w:p w14:paraId="19164726" w14:textId="0A9E9901"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06B44D48" w14:textId="6C43D75E"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964" w:type="dxa"/>
            <w:noWrap/>
            <w:tcMar>
              <w:top w:w="57" w:type="dxa"/>
              <w:left w:w="57" w:type="dxa"/>
              <w:bottom w:w="85" w:type="dxa"/>
              <w:right w:w="57" w:type="dxa"/>
            </w:tcMar>
          </w:tcPr>
          <w:p w14:paraId="4E0579C7" w14:textId="793CC684"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431DB118" w14:textId="1A7D31AC"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651FAB7A" w14:textId="75A5C807"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r>
      <w:tr w:rsidR="001D38CB" w:rsidRPr="00261502" w14:paraId="35ADF1BA" w14:textId="77777777" w:rsidTr="003E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Mar>
              <w:top w:w="57" w:type="dxa"/>
              <w:left w:w="57" w:type="dxa"/>
              <w:bottom w:w="85" w:type="dxa"/>
              <w:right w:w="57" w:type="dxa"/>
            </w:tcMar>
          </w:tcPr>
          <w:p w14:paraId="7128AC73" w14:textId="77777777" w:rsidR="0072765B" w:rsidRPr="0072765B" w:rsidRDefault="0072765B" w:rsidP="00130B8A">
            <w:pPr>
              <w:pStyle w:val="TableText"/>
              <w:keepNext/>
              <w:keepLines/>
              <w:rPr>
                <w:b w:val="0"/>
              </w:rPr>
            </w:pPr>
            <w:r w:rsidRPr="0072765B">
              <w:rPr>
                <w:b w:val="0"/>
              </w:rPr>
              <w:t>Pre-/post-purge</w:t>
            </w:r>
          </w:p>
        </w:tc>
        <w:tc>
          <w:tcPr>
            <w:tcW w:w="794" w:type="dxa"/>
            <w:noWrap/>
            <w:tcMar>
              <w:top w:w="57" w:type="dxa"/>
              <w:left w:w="57" w:type="dxa"/>
              <w:bottom w:w="85" w:type="dxa"/>
              <w:right w:w="57" w:type="dxa"/>
            </w:tcMar>
          </w:tcPr>
          <w:p w14:paraId="406CBB0D" w14:textId="018D2D2C"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2650C48E" w14:textId="55D7F792"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03914578" w14:textId="40A00B83"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7722C3D0" w14:textId="6110B55C"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834" w:type="dxa"/>
            <w:noWrap/>
            <w:tcMar>
              <w:top w:w="57" w:type="dxa"/>
              <w:left w:w="57" w:type="dxa"/>
              <w:bottom w:w="85" w:type="dxa"/>
              <w:right w:w="57" w:type="dxa"/>
            </w:tcMar>
          </w:tcPr>
          <w:p w14:paraId="0BBEFDC0" w14:textId="7EE8EDAE"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3919538A" w14:textId="344C2CA2"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964" w:type="dxa"/>
            <w:noWrap/>
            <w:tcMar>
              <w:top w:w="57" w:type="dxa"/>
              <w:left w:w="57" w:type="dxa"/>
              <w:bottom w:w="85" w:type="dxa"/>
              <w:right w:w="57" w:type="dxa"/>
            </w:tcMar>
          </w:tcPr>
          <w:p w14:paraId="1BA6B618" w14:textId="1B9D193E"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65A46BD7" w14:textId="06F613E4"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6FCA0EFD" w14:textId="406611F9" w:rsidR="0072765B" w:rsidRPr="00261502" w:rsidRDefault="0072765B"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r>
      <w:tr w:rsidR="001D38CB" w:rsidRPr="00261502" w14:paraId="6355B8F5" w14:textId="77777777" w:rsidTr="003E4EE5">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555" w:type="dxa"/>
            <w:noWrap/>
            <w:tcMar>
              <w:top w:w="57" w:type="dxa"/>
              <w:left w:w="57" w:type="dxa"/>
              <w:bottom w:w="85" w:type="dxa"/>
              <w:right w:w="57" w:type="dxa"/>
            </w:tcMar>
          </w:tcPr>
          <w:p w14:paraId="6D1F431C" w14:textId="77777777" w:rsidR="0072765B" w:rsidRPr="0072765B" w:rsidRDefault="0072765B" w:rsidP="00130B8A">
            <w:pPr>
              <w:pStyle w:val="TableText"/>
              <w:keepNext/>
              <w:keepLines/>
              <w:rPr>
                <w:b w:val="0"/>
              </w:rPr>
            </w:pPr>
            <w:r w:rsidRPr="0072765B">
              <w:rPr>
                <w:b w:val="0"/>
              </w:rPr>
              <w:t>Bores (nested within aquifer type)</w:t>
            </w:r>
          </w:p>
        </w:tc>
        <w:tc>
          <w:tcPr>
            <w:tcW w:w="794" w:type="dxa"/>
            <w:noWrap/>
            <w:tcMar>
              <w:top w:w="57" w:type="dxa"/>
              <w:left w:w="57" w:type="dxa"/>
              <w:bottom w:w="85" w:type="dxa"/>
              <w:right w:w="57" w:type="dxa"/>
            </w:tcMar>
          </w:tcPr>
          <w:p w14:paraId="635E8181" w14:textId="08FB87C0"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3B9B2720" w14:textId="19AEFD78"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4A38DABB" w14:textId="24A9D631"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022C0530" w14:textId="43AE5F91"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834" w:type="dxa"/>
            <w:noWrap/>
            <w:tcMar>
              <w:top w:w="57" w:type="dxa"/>
              <w:left w:w="57" w:type="dxa"/>
              <w:bottom w:w="85" w:type="dxa"/>
              <w:right w:w="57" w:type="dxa"/>
            </w:tcMar>
          </w:tcPr>
          <w:p w14:paraId="6DCFC053" w14:textId="57A8CC29"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561231B4" w14:textId="6C00CC46"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964" w:type="dxa"/>
            <w:noWrap/>
            <w:tcMar>
              <w:top w:w="57" w:type="dxa"/>
              <w:left w:w="57" w:type="dxa"/>
              <w:bottom w:w="85" w:type="dxa"/>
              <w:right w:w="57" w:type="dxa"/>
            </w:tcMar>
          </w:tcPr>
          <w:p w14:paraId="1309B969" w14:textId="02AC303E"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771A9DA6" w14:textId="3EBBC389"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531EE576" w14:textId="48EAE063" w:rsidR="0072765B" w:rsidRPr="00261502" w:rsidRDefault="0072765B"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145BC5">
              <w:rPr>
                <w:rFonts w:ascii="Wingdings 2" w:eastAsia="Wingdings 2" w:hAnsi="Wingdings 2" w:cs="Wingdings 2"/>
              </w:rPr>
              <w:t></w:t>
            </w:r>
          </w:p>
        </w:tc>
      </w:tr>
      <w:tr w:rsidR="001D38CB" w:rsidRPr="00261502" w14:paraId="793E1C56" w14:textId="77777777" w:rsidTr="003E4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noWrap/>
            <w:tcMar>
              <w:top w:w="57" w:type="dxa"/>
              <w:left w:w="57" w:type="dxa"/>
              <w:bottom w:w="85" w:type="dxa"/>
              <w:right w:w="57" w:type="dxa"/>
            </w:tcMar>
          </w:tcPr>
          <w:p w14:paraId="6AA567B7" w14:textId="77777777" w:rsidR="0072765B" w:rsidRPr="0072765B" w:rsidRDefault="0072765B" w:rsidP="0072765B">
            <w:pPr>
              <w:pStyle w:val="TableText"/>
              <w:rPr>
                <w:b w:val="0"/>
              </w:rPr>
            </w:pPr>
            <w:r w:rsidRPr="0072765B">
              <w:rPr>
                <w:b w:val="0"/>
              </w:rPr>
              <w:t>Aquifer type x pre-/post-purge</w:t>
            </w:r>
          </w:p>
        </w:tc>
        <w:tc>
          <w:tcPr>
            <w:tcW w:w="794" w:type="dxa"/>
            <w:noWrap/>
            <w:tcMar>
              <w:top w:w="57" w:type="dxa"/>
              <w:left w:w="57" w:type="dxa"/>
              <w:bottom w:w="85" w:type="dxa"/>
              <w:right w:w="57" w:type="dxa"/>
            </w:tcMar>
          </w:tcPr>
          <w:p w14:paraId="6688DA14" w14:textId="565D5642"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2B23221C" w14:textId="3784ED18"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7DE054C6" w14:textId="6D6D497B"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22213082" w14:textId="30B267D3"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834" w:type="dxa"/>
            <w:noWrap/>
            <w:tcMar>
              <w:top w:w="57" w:type="dxa"/>
              <w:left w:w="57" w:type="dxa"/>
              <w:bottom w:w="85" w:type="dxa"/>
              <w:right w:w="57" w:type="dxa"/>
            </w:tcMar>
          </w:tcPr>
          <w:p w14:paraId="6E4EB960" w14:textId="5FFB8185"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5D2A8305" w14:textId="20B0BB0E"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964" w:type="dxa"/>
            <w:noWrap/>
            <w:tcMar>
              <w:top w:w="57" w:type="dxa"/>
              <w:left w:w="57" w:type="dxa"/>
              <w:bottom w:w="85" w:type="dxa"/>
              <w:right w:w="57" w:type="dxa"/>
            </w:tcMar>
          </w:tcPr>
          <w:p w14:paraId="42F14D47" w14:textId="4D542132"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3E2E7D4D" w14:textId="6C19546F"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c>
          <w:tcPr>
            <w:tcW w:w="794" w:type="dxa"/>
            <w:noWrap/>
            <w:tcMar>
              <w:top w:w="57" w:type="dxa"/>
              <w:left w:w="57" w:type="dxa"/>
              <w:bottom w:w="85" w:type="dxa"/>
              <w:right w:w="57" w:type="dxa"/>
            </w:tcMar>
          </w:tcPr>
          <w:p w14:paraId="1889CB04" w14:textId="17795601" w:rsidR="0072765B" w:rsidRPr="00261502" w:rsidRDefault="0072765B" w:rsidP="0072765B">
            <w:pPr>
              <w:pStyle w:val="TableText"/>
              <w:cnfStyle w:val="000000010000" w:firstRow="0" w:lastRow="0" w:firstColumn="0" w:lastColumn="0" w:oddVBand="0" w:evenVBand="0" w:oddHBand="0" w:evenHBand="1" w:firstRowFirstColumn="0" w:firstRowLastColumn="0" w:lastRowFirstColumn="0" w:lastRowLastColumn="0"/>
            </w:pPr>
            <w:r w:rsidRPr="00145BC5">
              <w:rPr>
                <w:rFonts w:ascii="Wingdings 2" w:eastAsia="Wingdings 2" w:hAnsi="Wingdings 2" w:cs="Wingdings 2"/>
              </w:rPr>
              <w:t></w:t>
            </w:r>
          </w:p>
        </w:tc>
      </w:tr>
    </w:tbl>
    <w:p w14:paraId="069A9E30" w14:textId="77777777" w:rsidR="00261502" w:rsidRDefault="00261502" w:rsidP="0072765B">
      <w:pPr>
        <w:pStyle w:val="TableSourceNotes"/>
      </w:pPr>
      <w:r>
        <w:t>COG = Cluster of Orthologous Genes database, EC = Enzyme Commission database, GO = Gene Ontology database, 16S = 16S rDNA gene, 18S = 18S rDNA gene, MG = derived from metagenome, MB = derived from metabarcoding. FAPROTAX refers to functional assignment (Louca et al. 2016).</w:t>
      </w:r>
    </w:p>
    <w:p w14:paraId="74B35720" w14:textId="6EE767CF" w:rsidR="00261502" w:rsidRDefault="00261502" w:rsidP="00261502">
      <w:pPr>
        <w:pStyle w:val="BodyText"/>
      </w:pPr>
      <w:r>
        <w:t>Consistent with the similar responses to PERMANOVA, functional metagenome datasets had a high degree of similarity, and relationships among samples were highly correlated (r&gt;0.98) between datasets (</w:t>
      </w:r>
      <w:r w:rsidR="00E202FA">
        <w:fldChar w:fldCharType="begin"/>
      </w:r>
      <w:r w:rsidR="00E202FA">
        <w:instrText xml:space="preserve"> REF _Ref164638549 \h </w:instrText>
      </w:r>
      <w:r w:rsidR="00E202FA">
        <w:fldChar w:fldCharType="separate"/>
      </w:r>
      <w:r w:rsidR="00E202FA">
        <w:t xml:space="preserve">Table </w:t>
      </w:r>
      <w:r w:rsidR="00E202FA">
        <w:rPr>
          <w:noProof/>
        </w:rPr>
        <w:t>11</w:t>
      </w:r>
      <w:r w:rsidR="00E202FA">
        <w:fldChar w:fldCharType="end"/>
      </w:r>
      <w:r>
        <w:t>), which is not surprising given the overlap among the individual databases, as well as the data compiled across those databases. Functional and taxonomic metagenome assemblages were less strongly correlated between datasets (</w:t>
      </w:r>
      <w:r w:rsidR="00E202FA">
        <w:fldChar w:fldCharType="begin"/>
      </w:r>
      <w:r w:rsidR="00E202FA">
        <w:instrText xml:space="preserve"> REF _Ref164638549 \h </w:instrText>
      </w:r>
      <w:r w:rsidR="00E202FA">
        <w:fldChar w:fldCharType="separate"/>
      </w:r>
      <w:r w:rsidR="00E202FA">
        <w:t xml:space="preserve">Table </w:t>
      </w:r>
      <w:r w:rsidR="00E202FA">
        <w:rPr>
          <w:noProof/>
        </w:rPr>
        <w:t>11</w:t>
      </w:r>
      <w:r w:rsidR="00E202FA">
        <w:fldChar w:fldCharType="end"/>
      </w:r>
      <w:r>
        <w:t>) but were generally significantly correlated (p=0.001), except for COG and 18S rDNA (p=0.201). However, this is not surprising because COG functions are based on proteins from Bacteria and Archaea and do not include eukaryotes (Galperin et al. 2021). The microbial (16S rDNA) metagenome data were more strongly correlated with the functional metagenome data than were the eukaryote (18S rDNA) data, because functional processes are driven by microbial genes and because the prokaryote biomass is likely to be greater than the eukaryote biomass in these samples (Hose et al. 2022).</w:t>
      </w:r>
    </w:p>
    <w:p w14:paraId="7CAC4113" w14:textId="312BAA6C" w:rsidR="004A09B1" w:rsidRDefault="004A09B1" w:rsidP="00130B8A">
      <w:pPr>
        <w:pStyle w:val="TABLEHEADING"/>
        <w:keepNext/>
        <w:spacing w:line="240" w:lineRule="auto"/>
      </w:pPr>
      <w:bookmarkStart w:id="71" w:name="_Ref164638549"/>
      <w:r>
        <w:t xml:space="preserve">Table </w:t>
      </w:r>
      <w:r>
        <w:fldChar w:fldCharType="begin"/>
      </w:r>
      <w:r>
        <w:instrText xml:space="preserve"> SEQ Table \* ARABIC </w:instrText>
      </w:r>
      <w:r>
        <w:fldChar w:fldCharType="separate"/>
      </w:r>
      <w:r w:rsidR="00307B2F">
        <w:rPr>
          <w:noProof/>
        </w:rPr>
        <w:t>11</w:t>
      </w:r>
      <w:r>
        <w:fldChar w:fldCharType="end"/>
      </w:r>
      <w:bookmarkEnd w:id="71"/>
      <w:r w:rsidRPr="00634ADB">
        <w:t>. Spearman rank correlation of Bray-Curtis similarities among samples characterised using 16S metabarcoding and 16S metagenome data</w:t>
      </w:r>
    </w:p>
    <w:tbl>
      <w:tblPr>
        <w:tblStyle w:val="IESCTABLE1"/>
        <w:tblW w:w="4318" w:type="pct"/>
        <w:tblLayout w:type="fixed"/>
        <w:tblLook w:val="04A0" w:firstRow="1" w:lastRow="0" w:firstColumn="1" w:lastColumn="0" w:noHBand="0" w:noVBand="1"/>
      </w:tblPr>
      <w:tblGrid>
        <w:gridCol w:w="1465"/>
        <w:gridCol w:w="1375"/>
        <w:gridCol w:w="1246"/>
        <w:gridCol w:w="1246"/>
        <w:gridCol w:w="1246"/>
        <w:gridCol w:w="1246"/>
      </w:tblGrid>
      <w:tr w:rsidR="00261502" w:rsidRPr="00261502" w14:paraId="68CA7B72" w14:textId="77777777" w:rsidTr="003E4E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noWrap/>
            <w:tcMar>
              <w:top w:w="57" w:type="dxa"/>
              <w:left w:w="57" w:type="dxa"/>
              <w:bottom w:w="85" w:type="dxa"/>
              <w:right w:w="57" w:type="dxa"/>
            </w:tcMar>
            <w:hideMark/>
          </w:tcPr>
          <w:p w14:paraId="388C9B3D" w14:textId="57F47051" w:rsidR="00261502" w:rsidRPr="001D38CB" w:rsidRDefault="001D38CB" w:rsidP="00130B8A">
            <w:pPr>
              <w:pStyle w:val="TableHeaderRow"/>
              <w:keepNext/>
              <w:rPr>
                <w:b/>
              </w:rPr>
            </w:pPr>
            <w:r w:rsidRPr="001D38CB">
              <w:rPr>
                <w:b/>
                <w:color w:val="00569F"/>
              </w:rPr>
              <w:t>-</w:t>
            </w:r>
          </w:p>
        </w:tc>
        <w:tc>
          <w:tcPr>
            <w:tcW w:w="879" w:type="pct"/>
            <w:noWrap/>
            <w:tcMar>
              <w:top w:w="57" w:type="dxa"/>
              <w:left w:w="57" w:type="dxa"/>
              <w:bottom w:w="85" w:type="dxa"/>
              <w:right w:w="57" w:type="dxa"/>
            </w:tcMar>
            <w:hideMark/>
          </w:tcPr>
          <w:p w14:paraId="052C430A"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COG</w:t>
            </w:r>
          </w:p>
        </w:tc>
        <w:tc>
          <w:tcPr>
            <w:tcW w:w="796" w:type="pct"/>
            <w:noWrap/>
            <w:tcMar>
              <w:top w:w="57" w:type="dxa"/>
              <w:left w:w="57" w:type="dxa"/>
              <w:bottom w:w="85" w:type="dxa"/>
              <w:right w:w="57" w:type="dxa"/>
            </w:tcMar>
            <w:hideMark/>
          </w:tcPr>
          <w:p w14:paraId="0E147BE0"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EC</w:t>
            </w:r>
          </w:p>
        </w:tc>
        <w:tc>
          <w:tcPr>
            <w:tcW w:w="796" w:type="pct"/>
            <w:noWrap/>
            <w:tcMar>
              <w:top w:w="57" w:type="dxa"/>
              <w:left w:w="57" w:type="dxa"/>
              <w:bottom w:w="85" w:type="dxa"/>
              <w:right w:w="57" w:type="dxa"/>
            </w:tcMar>
            <w:hideMark/>
          </w:tcPr>
          <w:p w14:paraId="42E0FE6A"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GO</w:t>
            </w:r>
          </w:p>
        </w:tc>
        <w:tc>
          <w:tcPr>
            <w:tcW w:w="796" w:type="pct"/>
            <w:tcMar>
              <w:top w:w="57" w:type="dxa"/>
              <w:left w:w="57" w:type="dxa"/>
              <w:bottom w:w="85" w:type="dxa"/>
              <w:right w:w="57" w:type="dxa"/>
            </w:tcMar>
          </w:tcPr>
          <w:p w14:paraId="4C8D11A2"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16S MG</w:t>
            </w:r>
          </w:p>
        </w:tc>
        <w:tc>
          <w:tcPr>
            <w:tcW w:w="796" w:type="pct"/>
            <w:noWrap/>
            <w:tcMar>
              <w:top w:w="57" w:type="dxa"/>
              <w:left w:w="57" w:type="dxa"/>
              <w:bottom w:w="85" w:type="dxa"/>
              <w:right w:w="57" w:type="dxa"/>
            </w:tcMar>
            <w:hideMark/>
          </w:tcPr>
          <w:p w14:paraId="5AEA479F"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18S MG</w:t>
            </w:r>
          </w:p>
        </w:tc>
      </w:tr>
      <w:tr w:rsidR="00261502" w:rsidRPr="00261502" w14:paraId="0917431F" w14:textId="77777777" w:rsidTr="003E4EE5">
        <w:trPr>
          <w:cnfStyle w:val="000000100000" w:firstRow="0" w:lastRow="0" w:firstColumn="0" w:lastColumn="0" w:oddVBand="0" w:evenVBand="0" w:oddHBand="1" w:evenHBand="0" w:firstRowFirstColumn="0" w:firstRowLastColumn="0" w:lastRowFirstColumn="0" w:lastRowLastColumn="0"/>
          <w:cantSplit/>
          <w:trHeight w:hRule="exact" w:val="680"/>
        </w:trPr>
        <w:tc>
          <w:tcPr>
            <w:cnfStyle w:val="001000000000" w:firstRow="0" w:lastRow="0" w:firstColumn="1" w:lastColumn="0" w:oddVBand="0" w:evenVBand="0" w:oddHBand="0" w:evenHBand="0" w:firstRowFirstColumn="0" w:firstRowLastColumn="0" w:lastRowFirstColumn="0" w:lastRowLastColumn="0"/>
            <w:tcW w:w="936" w:type="pct"/>
            <w:shd w:val="clear" w:color="auto" w:fill="00569F"/>
            <w:noWrap/>
            <w:tcMar>
              <w:top w:w="57" w:type="dxa"/>
              <w:left w:w="57" w:type="dxa"/>
              <w:bottom w:w="57" w:type="dxa"/>
              <w:right w:w="57" w:type="dxa"/>
            </w:tcMar>
          </w:tcPr>
          <w:p w14:paraId="3AEEB8B4" w14:textId="77777777" w:rsidR="00261502" w:rsidRPr="001D38CB" w:rsidRDefault="00261502" w:rsidP="00130B8A">
            <w:pPr>
              <w:pStyle w:val="TableText"/>
              <w:keepNext/>
              <w:rPr>
                <w:color w:val="EBEEF5"/>
              </w:rPr>
            </w:pPr>
            <w:r w:rsidRPr="001D38CB">
              <w:rPr>
                <w:color w:val="EBEEF5"/>
              </w:rPr>
              <w:t>All genes</w:t>
            </w:r>
          </w:p>
        </w:tc>
        <w:tc>
          <w:tcPr>
            <w:tcW w:w="879" w:type="pct"/>
            <w:noWrap/>
            <w:tcMar>
              <w:top w:w="57" w:type="dxa"/>
              <w:left w:w="57" w:type="dxa"/>
              <w:bottom w:w="57" w:type="dxa"/>
              <w:right w:w="57" w:type="dxa"/>
            </w:tcMar>
          </w:tcPr>
          <w:p w14:paraId="7330A7A1"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r=0.983, p=0.001</w:t>
            </w:r>
          </w:p>
        </w:tc>
        <w:tc>
          <w:tcPr>
            <w:tcW w:w="796" w:type="pct"/>
            <w:noWrap/>
            <w:tcMar>
              <w:top w:w="57" w:type="dxa"/>
              <w:left w:w="57" w:type="dxa"/>
              <w:bottom w:w="57" w:type="dxa"/>
              <w:right w:w="57" w:type="dxa"/>
            </w:tcMar>
          </w:tcPr>
          <w:p w14:paraId="2C9BCE51"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r=0.984, p=0.001</w:t>
            </w:r>
          </w:p>
        </w:tc>
        <w:tc>
          <w:tcPr>
            <w:tcW w:w="796" w:type="pct"/>
            <w:noWrap/>
            <w:tcMar>
              <w:top w:w="57" w:type="dxa"/>
              <w:left w:w="57" w:type="dxa"/>
              <w:bottom w:w="57" w:type="dxa"/>
              <w:right w:w="57" w:type="dxa"/>
            </w:tcMar>
          </w:tcPr>
          <w:p w14:paraId="7046B272"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r=0.987, p=0.001</w:t>
            </w:r>
          </w:p>
        </w:tc>
        <w:tc>
          <w:tcPr>
            <w:tcW w:w="796" w:type="pct"/>
            <w:noWrap/>
            <w:tcMar>
              <w:top w:w="57" w:type="dxa"/>
              <w:left w:w="57" w:type="dxa"/>
              <w:bottom w:w="57" w:type="dxa"/>
              <w:right w:w="57" w:type="dxa"/>
            </w:tcMar>
          </w:tcPr>
          <w:p w14:paraId="6338A205"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r=0.675, p=0.001</w:t>
            </w:r>
          </w:p>
        </w:tc>
        <w:tc>
          <w:tcPr>
            <w:tcW w:w="796" w:type="pct"/>
            <w:noWrap/>
            <w:tcMar>
              <w:top w:w="57" w:type="dxa"/>
              <w:left w:w="57" w:type="dxa"/>
              <w:bottom w:w="57" w:type="dxa"/>
              <w:right w:w="57" w:type="dxa"/>
            </w:tcMar>
          </w:tcPr>
          <w:p w14:paraId="0EAC7528" w14:textId="77777777" w:rsidR="00261502" w:rsidRPr="00261502" w:rsidRDefault="00261502" w:rsidP="00130B8A">
            <w:pPr>
              <w:pStyle w:val="BodyText"/>
              <w:keepNext/>
              <w:spacing w:line="240" w:lineRule="auto"/>
              <w:cnfStyle w:val="000000100000" w:firstRow="0" w:lastRow="0" w:firstColumn="0" w:lastColumn="0" w:oddVBand="0" w:evenVBand="0" w:oddHBand="1" w:evenHBand="0" w:firstRowFirstColumn="0" w:firstRowLastColumn="0" w:lastRowFirstColumn="0" w:lastRowLastColumn="0"/>
            </w:pPr>
            <w:r w:rsidRPr="00261502">
              <w:t>r=0.353, p=0.001</w:t>
            </w:r>
          </w:p>
        </w:tc>
      </w:tr>
      <w:tr w:rsidR="00261502" w:rsidRPr="00261502" w14:paraId="1EBF350A" w14:textId="77777777" w:rsidTr="003E4EE5">
        <w:trPr>
          <w:cnfStyle w:val="000000010000" w:firstRow="0" w:lastRow="0" w:firstColumn="0" w:lastColumn="0" w:oddVBand="0" w:evenVBand="0" w:oddHBand="0" w:evenHBand="1" w:firstRowFirstColumn="0" w:firstRowLastColumn="0" w:lastRowFirstColumn="0" w:lastRowLastColumn="0"/>
          <w:cantSplit/>
          <w:trHeight w:hRule="exact" w:val="680"/>
        </w:trPr>
        <w:tc>
          <w:tcPr>
            <w:cnfStyle w:val="001000000000" w:firstRow="0" w:lastRow="0" w:firstColumn="1" w:lastColumn="0" w:oddVBand="0" w:evenVBand="0" w:oddHBand="0" w:evenHBand="0" w:firstRowFirstColumn="0" w:firstRowLastColumn="0" w:lastRowFirstColumn="0" w:lastRowLastColumn="0"/>
            <w:tcW w:w="936" w:type="pct"/>
            <w:shd w:val="clear" w:color="auto" w:fill="00569F"/>
            <w:noWrap/>
            <w:tcMar>
              <w:top w:w="57" w:type="dxa"/>
              <w:left w:w="57" w:type="dxa"/>
              <w:bottom w:w="85" w:type="dxa"/>
              <w:right w:w="57" w:type="dxa"/>
            </w:tcMar>
            <w:hideMark/>
          </w:tcPr>
          <w:p w14:paraId="5C76A998" w14:textId="77777777" w:rsidR="00261502" w:rsidRPr="001D38CB" w:rsidRDefault="00261502" w:rsidP="00130B8A">
            <w:pPr>
              <w:pStyle w:val="TableText"/>
              <w:keepNext/>
              <w:rPr>
                <w:color w:val="EBEEF5"/>
              </w:rPr>
            </w:pPr>
            <w:r w:rsidRPr="001D38CB">
              <w:rPr>
                <w:color w:val="EBEEF5"/>
              </w:rPr>
              <w:t>COG</w:t>
            </w:r>
          </w:p>
        </w:tc>
        <w:tc>
          <w:tcPr>
            <w:tcW w:w="879" w:type="pct"/>
            <w:noWrap/>
            <w:tcMar>
              <w:top w:w="57" w:type="dxa"/>
              <w:left w:w="57" w:type="dxa"/>
              <w:bottom w:w="85" w:type="dxa"/>
              <w:right w:w="57" w:type="dxa"/>
            </w:tcMar>
            <w:hideMark/>
          </w:tcPr>
          <w:p w14:paraId="4F5501F0" w14:textId="6E2EA190" w:rsidR="00261502" w:rsidRPr="001D38CB"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0B38263D"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r=0.983, p=0.001</w:t>
            </w:r>
          </w:p>
        </w:tc>
        <w:tc>
          <w:tcPr>
            <w:tcW w:w="796" w:type="pct"/>
            <w:noWrap/>
            <w:tcMar>
              <w:top w:w="57" w:type="dxa"/>
              <w:left w:w="57" w:type="dxa"/>
              <w:bottom w:w="85" w:type="dxa"/>
              <w:right w:w="57" w:type="dxa"/>
            </w:tcMar>
            <w:hideMark/>
          </w:tcPr>
          <w:p w14:paraId="041FA1AB"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r=0.986, p=0.001</w:t>
            </w:r>
          </w:p>
        </w:tc>
        <w:tc>
          <w:tcPr>
            <w:tcW w:w="796" w:type="pct"/>
            <w:tcMar>
              <w:top w:w="57" w:type="dxa"/>
              <w:left w:w="57" w:type="dxa"/>
              <w:bottom w:w="85" w:type="dxa"/>
              <w:right w:w="57" w:type="dxa"/>
            </w:tcMar>
          </w:tcPr>
          <w:p w14:paraId="4C89D6BE"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r=0.652, p=0.001</w:t>
            </w:r>
          </w:p>
        </w:tc>
        <w:tc>
          <w:tcPr>
            <w:tcW w:w="796" w:type="pct"/>
            <w:noWrap/>
            <w:tcMar>
              <w:top w:w="57" w:type="dxa"/>
              <w:left w:w="57" w:type="dxa"/>
              <w:bottom w:w="85" w:type="dxa"/>
              <w:right w:w="57" w:type="dxa"/>
            </w:tcMar>
            <w:hideMark/>
          </w:tcPr>
          <w:p w14:paraId="5F0004A6" w14:textId="77777777" w:rsidR="00261502" w:rsidRPr="00261502" w:rsidRDefault="00261502" w:rsidP="00130B8A">
            <w:pPr>
              <w:pStyle w:val="BodyText"/>
              <w:keepNext/>
              <w:spacing w:line="240" w:lineRule="auto"/>
              <w:cnfStyle w:val="000000010000" w:firstRow="0" w:lastRow="0" w:firstColumn="0" w:lastColumn="0" w:oddVBand="0" w:evenVBand="0" w:oddHBand="0" w:evenHBand="1" w:firstRowFirstColumn="0" w:firstRowLastColumn="0" w:lastRowFirstColumn="0" w:lastRowLastColumn="0"/>
            </w:pPr>
            <w:r w:rsidRPr="00261502">
              <w:t>r=0.079, p=0.201</w:t>
            </w:r>
          </w:p>
        </w:tc>
      </w:tr>
      <w:tr w:rsidR="001D38CB" w:rsidRPr="00261502" w14:paraId="57FE865E" w14:textId="77777777" w:rsidTr="003E4EE5">
        <w:trPr>
          <w:cnfStyle w:val="000000100000" w:firstRow="0" w:lastRow="0" w:firstColumn="0" w:lastColumn="0" w:oddVBand="0" w:evenVBand="0" w:oddHBand="1" w:evenHBand="0" w:firstRowFirstColumn="0" w:firstRowLastColumn="0" w:lastRowFirstColumn="0" w:lastRowLastColumn="0"/>
          <w:cantSplit/>
          <w:trHeight w:hRule="exact" w:val="680"/>
        </w:trPr>
        <w:tc>
          <w:tcPr>
            <w:cnfStyle w:val="001000000000" w:firstRow="0" w:lastRow="0" w:firstColumn="1" w:lastColumn="0" w:oddVBand="0" w:evenVBand="0" w:oddHBand="0" w:evenHBand="0" w:firstRowFirstColumn="0" w:firstRowLastColumn="0" w:lastRowFirstColumn="0" w:lastRowLastColumn="0"/>
            <w:tcW w:w="936" w:type="pct"/>
            <w:shd w:val="clear" w:color="auto" w:fill="00569F"/>
            <w:noWrap/>
            <w:tcMar>
              <w:top w:w="57" w:type="dxa"/>
              <w:left w:w="57" w:type="dxa"/>
              <w:bottom w:w="85" w:type="dxa"/>
              <w:right w:w="57" w:type="dxa"/>
            </w:tcMar>
            <w:hideMark/>
          </w:tcPr>
          <w:p w14:paraId="28628738" w14:textId="77777777" w:rsidR="001D38CB" w:rsidRPr="001D38CB" w:rsidRDefault="001D38CB" w:rsidP="00130B8A">
            <w:pPr>
              <w:pStyle w:val="TableText"/>
              <w:keepNext/>
              <w:rPr>
                <w:color w:val="EBEEF5"/>
              </w:rPr>
            </w:pPr>
            <w:r w:rsidRPr="001D38CB">
              <w:rPr>
                <w:color w:val="EBEEF5"/>
              </w:rPr>
              <w:t>EC</w:t>
            </w:r>
          </w:p>
        </w:tc>
        <w:tc>
          <w:tcPr>
            <w:tcW w:w="879" w:type="pct"/>
            <w:noWrap/>
            <w:tcMar>
              <w:top w:w="57" w:type="dxa"/>
              <w:left w:w="57" w:type="dxa"/>
              <w:bottom w:w="85" w:type="dxa"/>
              <w:right w:w="57" w:type="dxa"/>
            </w:tcMar>
            <w:hideMark/>
          </w:tcPr>
          <w:p w14:paraId="66EA26DD" w14:textId="003548B0" w:rsidR="001D38CB" w:rsidRPr="001D38CB" w:rsidRDefault="001D38CB" w:rsidP="00130B8A">
            <w:pPr>
              <w:pStyle w:val="TableText"/>
              <w:keepN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3FE1DCFA" w14:textId="3F6B46F8" w:rsidR="001D38CB" w:rsidRPr="00261502" w:rsidRDefault="001D38CB" w:rsidP="00130B8A">
            <w:pPr>
              <w:pStyle w:val="TableText"/>
              <w:keepNext/>
              <w:cnfStyle w:val="000000100000" w:firstRow="0" w:lastRow="0" w:firstColumn="0" w:lastColumn="0" w:oddVBand="0" w:evenVBand="0" w:oddHBand="1" w:evenHBand="0" w:firstRowFirstColumn="0" w:firstRowLastColumn="0" w:lastRowFirstColumn="0" w:lastRowLastColumn="0"/>
            </w:pPr>
            <w:r w:rsidRPr="001D38CB">
              <w:rPr>
                <w:color w:val="EBEEF5"/>
              </w:rPr>
              <w:t>-</w:t>
            </w:r>
          </w:p>
        </w:tc>
        <w:tc>
          <w:tcPr>
            <w:tcW w:w="796" w:type="pct"/>
            <w:noWrap/>
            <w:tcMar>
              <w:top w:w="57" w:type="dxa"/>
              <w:left w:w="57" w:type="dxa"/>
              <w:bottom w:w="85" w:type="dxa"/>
              <w:right w:w="57" w:type="dxa"/>
            </w:tcMar>
            <w:hideMark/>
          </w:tcPr>
          <w:p w14:paraId="56E743DA" w14:textId="77777777" w:rsidR="001D38CB" w:rsidRPr="00261502" w:rsidRDefault="001D38CB"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r=0.994, p=0.001</w:t>
            </w:r>
          </w:p>
        </w:tc>
        <w:tc>
          <w:tcPr>
            <w:tcW w:w="796" w:type="pct"/>
            <w:tcMar>
              <w:top w:w="57" w:type="dxa"/>
              <w:left w:w="57" w:type="dxa"/>
              <w:bottom w:w="85" w:type="dxa"/>
              <w:right w:w="57" w:type="dxa"/>
            </w:tcMar>
          </w:tcPr>
          <w:p w14:paraId="0122E4A8" w14:textId="77777777" w:rsidR="001D38CB" w:rsidRPr="00261502" w:rsidRDefault="001D38CB"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r=0.642, p=0.001</w:t>
            </w:r>
          </w:p>
        </w:tc>
        <w:tc>
          <w:tcPr>
            <w:tcW w:w="796" w:type="pct"/>
            <w:noWrap/>
            <w:tcMar>
              <w:top w:w="57" w:type="dxa"/>
              <w:left w:w="57" w:type="dxa"/>
              <w:bottom w:w="85" w:type="dxa"/>
              <w:right w:w="57" w:type="dxa"/>
            </w:tcMar>
            <w:hideMark/>
          </w:tcPr>
          <w:p w14:paraId="32AAA812" w14:textId="77777777" w:rsidR="001D38CB" w:rsidRPr="00261502" w:rsidRDefault="001D38CB" w:rsidP="00130B8A">
            <w:pPr>
              <w:pStyle w:val="BodyText"/>
              <w:keepNext/>
              <w:spacing w:line="240" w:lineRule="auto"/>
              <w:cnfStyle w:val="000000100000" w:firstRow="0" w:lastRow="0" w:firstColumn="0" w:lastColumn="0" w:oddVBand="0" w:evenVBand="0" w:oddHBand="1" w:evenHBand="0" w:firstRowFirstColumn="0" w:firstRowLastColumn="0" w:lastRowFirstColumn="0" w:lastRowLastColumn="0"/>
            </w:pPr>
            <w:r w:rsidRPr="00261502">
              <w:t>r=0.335, p=0.001</w:t>
            </w:r>
          </w:p>
        </w:tc>
      </w:tr>
      <w:tr w:rsidR="001D38CB" w:rsidRPr="00261502" w14:paraId="7CD16D51" w14:textId="77777777" w:rsidTr="003E4EE5">
        <w:trPr>
          <w:cnfStyle w:val="000000010000" w:firstRow="0" w:lastRow="0" w:firstColumn="0" w:lastColumn="0" w:oddVBand="0" w:evenVBand="0" w:oddHBand="0" w:evenHBand="1" w:firstRowFirstColumn="0" w:firstRowLastColumn="0" w:lastRowFirstColumn="0" w:lastRowLastColumn="0"/>
          <w:cantSplit/>
          <w:trHeight w:hRule="exact" w:val="680"/>
        </w:trPr>
        <w:tc>
          <w:tcPr>
            <w:cnfStyle w:val="001000000000" w:firstRow="0" w:lastRow="0" w:firstColumn="1" w:lastColumn="0" w:oddVBand="0" w:evenVBand="0" w:oddHBand="0" w:evenHBand="0" w:firstRowFirstColumn="0" w:firstRowLastColumn="0" w:lastRowFirstColumn="0" w:lastRowLastColumn="0"/>
            <w:tcW w:w="936" w:type="pct"/>
            <w:shd w:val="clear" w:color="auto" w:fill="00569F"/>
            <w:noWrap/>
            <w:tcMar>
              <w:top w:w="57" w:type="dxa"/>
              <w:left w:w="57" w:type="dxa"/>
              <w:bottom w:w="85" w:type="dxa"/>
              <w:right w:w="57" w:type="dxa"/>
            </w:tcMar>
            <w:hideMark/>
          </w:tcPr>
          <w:p w14:paraId="5A75A298" w14:textId="77777777" w:rsidR="001D38CB" w:rsidRPr="001D38CB" w:rsidRDefault="001D38CB" w:rsidP="00130B8A">
            <w:pPr>
              <w:pStyle w:val="TableText"/>
              <w:keepNext/>
              <w:rPr>
                <w:color w:val="EBEEF5"/>
              </w:rPr>
            </w:pPr>
            <w:r w:rsidRPr="001D38CB">
              <w:rPr>
                <w:color w:val="EBEEF5"/>
              </w:rPr>
              <w:t>GO</w:t>
            </w:r>
          </w:p>
        </w:tc>
        <w:tc>
          <w:tcPr>
            <w:tcW w:w="879" w:type="pct"/>
            <w:noWrap/>
            <w:tcMar>
              <w:top w:w="57" w:type="dxa"/>
              <w:left w:w="57" w:type="dxa"/>
              <w:bottom w:w="85" w:type="dxa"/>
              <w:right w:w="57" w:type="dxa"/>
            </w:tcMar>
            <w:hideMark/>
          </w:tcPr>
          <w:p w14:paraId="6DEB8CAA" w14:textId="17323905" w:rsidR="001D38CB" w:rsidRPr="001D38CB"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008041BC" w14:textId="118E5D68" w:rsidR="001D38CB" w:rsidRPr="001D38CB"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53667308" w14:textId="40900B71" w:rsidR="001D38CB" w:rsidRPr="001D38CB"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rPr>
                <w:color w:val="EBEEF5"/>
              </w:rPr>
            </w:pPr>
            <w:r w:rsidRPr="001D38CB">
              <w:rPr>
                <w:color w:val="EBEEF5"/>
              </w:rPr>
              <w:t>-</w:t>
            </w:r>
          </w:p>
        </w:tc>
        <w:tc>
          <w:tcPr>
            <w:tcW w:w="796" w:type="pct"/>
            <w:tcMar>
              <w:top w:w="57" w:type="dxa"/>
              <w:left w:w="57" w:type="dxa"/>
              <w:bottom w:w="85" w:type="dxa"/>
              <w:right w:w="57" w:type="dxa"/>
            </w:tcMar>
          </w:tcPr>
          <w:p w14:paraId="1C57DA6B" w14:textId="77777777" w:rsidR="001D38CB" w:rsidRPr="00261502"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r=0.656, p=0.001</w:t>
            </w:r>
          </w:p>
        </w:tc>
        <w:tc>
          <w:tcPr>
            <w:tcW w:w="796" w:type="pct"/>
            <w:noWrap/>
            <w:tcMar>
              <w:top w:w="57" w:type="dxa"/>
              <w:left w:w="57" w:type="dxa"/>
              <w:bottom w:w="85" w:type="dxa"/>
              <w:right w:w="57" w:type="dxa"/>
            </w:tcMar>
            <w:hideMark/>
          </w:tcPr>
          <w:p w14:paraId="7162F803" w14:textId="77777777" w:rsidR="001D38CB" w:rsidRPr="00261502" w:rsidRDefault="001D38CB" w:rsidP="00130B8A">
            <w:pPr>
              <w:pStyle w:val="BodyText"/>
              <w:keepNext/>
              <w:spacing w:line="240" w:lineRule="auto"/>
              <w:cnfStyle w:val="000000010000" w:firstRow="0" w:lastRow="0" w:firstColumn="0" w:lastColumn="0" w:oddVBand="0" w:evenVBand="0" w:oddHBand="0" w:evenHBand="1" w:firstRowFirstColumn="0" w:firstRowLastColumn="0" w:lastRowFirstColumn="0" w:lastRowLastColumn="0"/>
            </w:pPr>
            <w:r w:rsidRPr="00261502">
              <w:t>r=0.343, p=0.001</w:t>
            </w:r>
          </w:p>
        </w:tc>
      </w:tr>
      <w:tr w:rsidR="001D38CB" w:rsidRPr="00261502" w14:paraId="64999173" w14:textId="77777777" w:rsidTr="003E4EE5">
        <w:trPr>
          <w:cnfStyle w:val="000000100000" w:firstRow="0" w:lastRow="0" w:firstColumn="0" w:lastColumn="0" w:oddVBand="0" w:evenVBand="0" w:oddHBand="1" w:evenHBand="0" w:firstRowFirstColumn="0" w:firstRowLastColumn="0" w:lastRowFirstColumn="0" w:lastRowLastColumn="0"/>
          <w:cantSplit/>
          <w:trHeight w:hRule="exact" w:val="680"/>
        </w:trPr>
        <w:tc>
          <w:tcPr>
            <w:cnfStyle w:val="001000000000" w:firstRow="0" w:lastRow="0" w:firstColumn="1" w:lastColumn="0" w:oddVBand="0" w:evenVBand="0" w:oddHBand="0" w:evenHBand="0" w:firstRowFirstColumn="0" w:firstRowLastColumn="0" w:lastRowFirstColumn="0" w:lastRowLastColumn="0"/>
            <w:tcW w:w="936" w:type="pct"/>
            <w:shd w:val="clear" w:color="auto" w:fill="00569F"/>
            <w:noWrap/>
            <w:tcMar>
              <w:top w:w="57" w:type="dxa"/>
              <w:left w:w="57" w:type="dxa"/>
              <w:bottom w:w="85" w:type="dxa"/>
              <w:right w:w="57" w:type="dxa"/>
            </w:tcMar>
            <w:hideMark/>
          </w:tcPr>
          <w:p w14:paraId="095BC1BA" w14:textId="77777777" w:rsidR="001D38CB" w:rsidRPr="001D38CB" w:rsidRDefault="001D38CB" w:rsidP="001D38CB">
            <w:pPr>
              <w:pStyle w:val="TableText"/>
              <w:rPr>
                <w:color w:val="EBEEF5"/>
              </w:rPr>
            </w:pPr>
            <w:r w:rsidRPr="001D38CB">
              <w:rPr>
                <w:color w:val="EBEEF5"/>
              </w:rPr>
              <w:t>16S</w:t>
            </w:r>
          </w:p>
        </w:tc>
        <w:tc>
          <w:tcPr>
            <w:tcW w:w="879" w:type="pct"/>
            <w:noWrap/>
            <w:tcMar>
              <w:top w:w="57" w:type="dxa"/>
              <w:left w:w="57" w:type="dxa"/>
              <w:bottom w:w="85" w:type="dxa"/>
              <w:right w:w="57" w:type="dxa"/>
            </w:tcMar>
            <w:hideMark/>
          </w:tcPr>
          <w:p w14:paraId="2023B571" w14:textId="7CC22751" w:rsidR="001D38CB" w:rsidRPr="001D38CB" w:rsidRDefault="001D38CB" w:rsidP="001D38C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14F484B9" w14:textId="1DA212EF" w:rsidR="001D38CB" w:rsidRPr="001D38CB" w:rsidRDefault="001D38CB" w:rsidP="001D38C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03946A6D" w14:textId="7113C231" w:rsidR="001D38CB" w:rsidRPr="001D38CB" w:rsidRDefault="001D38CB" w:rsidP="001D38C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c>
          <w:tcPr>
            <w:tcW w:w="796" w:type="pct"/>
            <w:tcMar>
              <w:top w:w="57" w:type="dxa"/>
              <w:left w:w="57" w:type="dxa"/>
              <w:bottom w:w="85" w:type="dxa"/>
              <w:right w:w="57" w:type="dxa"/>
            </w:tcMar>
          </w:tcPr>
          <w:p w14:paraId="6FC39A6E" w14:textId="1E0DD155" w:rsidR="001D38CB" w:rsidRPr="001D38CB" w:rsidRDefault="001D38CB" w:rsidP="001D38CB">
            <w:pPr>
              <w:pStyle w:val="TableT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c>
          <w:tcPr>
            <w:tcW w:w="796" w:type="pct"/>
            <w:noWrap/>
            <w:tcMar>
              <w:top w:w="57" w:type="dxa"/>
              <w:left w:w="57" w:type="dxa"/>
              <w:bottom w:w="85" w:type="dxa"/>
              <w:right w:w="57" w:type="dxa"/>
            </w:tcMar>
            <w:hideMark/>
          </w:tcPr>
          <w:p w14:paraId="3E086F10" w14:textId="77777777" w:rsidR="001D38CB" w:rsidRPr="00261502" w:rsidRDefault="001D38CB" w:rsidP="001D38CB">
            <w:pPr>
              <w:pStyle w:val="BodyText"/>
              <w:cnfStyle w:val="000000100000" w:firstRow="0" w:lastRow="0" w:firstColumn="0" w:lastColumn="0" w:oddVBand="0" w:evenVBand="0" w:oddHBand="1" w:evenHBand="0" w:firstRowFirstColumn="0" w:firstRowLastColumn="0" w:lastRowFirstColumn="0" w:lastRowLastColumn="0"/>
            </w:pPr>
            <w:r w:rsidRPr="00261502">
              <w:t>r=0.538, p=0.001</w:t>
            </w:r>
          </w:p>
        </w:tc>
      </w:tr>
    </w:tbl>
    <w:p w14:paraId="0FF6B11F" w14:textId="77777777" w:rsidR="00261502" w:rsidRDefault="00261502" w:rsidP="001D38CB">
      <w:pPr>
        <w:pStyle w:val="TableSourceNotes"/>
      </w:pPr>
      <w:r>
        <w:t>COG = Cluster of Orthologous Genes database, EC = Enzyme Commission database, GO = Gene Ontology database, 16S = 16S rDNA gene, 18S = 18S rDNA gene, MG = derived from metagenome.</w:t>
      </w:r>
    </w:p>
    <w:p w14:paraId="54C99879" w14:textId="291C5995" w:rsidR="00016E1B" w:rsidRDefault="00261502" w:rsidP="001D38CB">
      <w:pPr>
        <w:pStyle w:val="BodyText"/>
        <w:spacing w:before="240"/>
      </w:pPr>
      <w:r>
        <w:t>The functional metagenome datasets were significantly correlated with the 16S rDNA and FAPROTAX metabarcode data (</w:t>
      </w:r>
      <w:r w:rsidR="00E202FA">
        <w:fldChar w:fldCharType="begin"/>
      </w:r>
      <w:r w:rsidR="00E202FA">
        <w:instrText xml:space="preserve"> REF _Ref164638570 \h </w:instrText>
      </w:r>
      <w:r w:rsidR="00E202FA">
        <w:fldChar w:fldCharType="separate"/>
      </w:r>
      <w:r w:rsidR="00E202FA">
        <w:t xml:space="preserve">Table </w:t>
      </w:r>
      <w:r w:rsidR="00E202FA">
        <w:rPr>
          <w:noProof/>
        </w:rPr>
        <w:t>12</w:t>
      </w:r>
      <w:r w:rsidR="00E202FA">
        <w:fldChar w:fldCharType="end"/>
      </w:r>
      <w:r>
        <w:t>, r&gt;0.20, p&lt;0.045), but not with the 18S rDNA metabarcode data (</w:t>
      </w:r>
      <w:r w:rsidR="00E202FA">
        <w:fldChar w:fldCharType="begin"/>
      </w:r>
      <w:r w:rsidR="00E202FA">
        <w:instrText xml:space="preserve"> REF _Ref164638570 \h </w:instrText>
      </w:r>
      <w:r w:rsidR="00E202FA">
        <w:fldChar w:fldCharType="separate"/>
      </w:r>
      <w:r w:rsidR="00E202FA">
        <w:t xml:space="preserve">Table </w:t>
      </w:r>
      <w:r w:rsidR="00E202FA">
        <w:rPr>
          <w:noProof/>
        </w:rPr>
        <w:t>12</w:t>
      </w:r>
      <w:r w:rsidR="00E202FA">
        <w:fldChar w:fldCharType="end"/>
      </w:r>
      <w:r>
        <w:t>, r&lt;0.004, p&gt;0.46). As for the metagenome data, the lack of correlation between the 18S rDNA (eukaryote) metabarcode data and the functional metagenome data is not surprising because the metagenomes are focused on prokaryote functions. Importantly, there was a significant (p≤0.002) correlation between the 16S rDNA and 18S rDNA metagenome datasets and the respective 16S rDNA and 18S rDNA metabarcode assemblages (</w:t>
      </w:r>
      <w:r w:rsidR="00E202FA">
        <w:fldChar w:fldCharType="begin"/>
      </w:r>
      <w:r w:rsidR="00E202FA">
        <w:instrText xml:space="preserve"> REF _Ref164638570 \h </w:instrText>
      </w:r>
      <w:r w:rsidR="00E202FA">
        <w:fldChar w:fldCharType="separate"/>
      </w:r>
      <w:r w:rsidR="00E202FA">
        <w:t xml:space="preserve">Table </w:t>
      </w:r>
      <w:r w:rsidR="00E202FA">
        <w:rPr>
          <w:noProof/>
        </w:rPr>
        <w:t>12</w:t>
      </w:r>
      <w:r w:rsidR="00E202FA">
        <w:fldChar w:fldCharType="end"/>
      </w:r>
      <w:r>
        <w:t>).</w:t>
      </w:r>
    </w:p>
    <w:p w14:paraId="3A82853D" w14:textId="512D7DE5" w:rsidR="00261502" w:rsidRDefault="00261502" w:rsidP="00261502">
      <w:pPr>
        <w:pStyle w:val="BodyText"/>
      </w:pPr>
      <w:r>
        <w:t>Functional and taxonomic metagenome assemblages were less strongly correlated between datasets (</w:t>
      </w:r>
      <w:r w:rsidR="00E202FA">
        <w:fldChar w:fldCharType="begin"/>
      </w:r>
      <w:r w:rsidR="00E202FA">
        <w:instrText xml:space="preserve"> REF _Ref164638549 \h </w:instrText>
      </w:r>
      <w:r w:rsidR="00E202FA">
        <w:fldChar w:fldCharType="separate"/>
      </w:r>
      <w:r w:rsidR="00E202FA">
        <w:t xml:space="preserve">Table </w:t>
      </w:r>
      <w:r w:rsidR="00E202FA">
        <w:rPr>
          <w:noProof/>
        </w:rPr>
        <w:t>11</w:t>
      </w:r>
      <w:r w:rsidR="00E202FA">
        <w:fldChar w:fldCharType="end"/>
      </w:r>
      <w:r>
        <w:t>) but were generally significantly correlated (p=0.001), except for COG and 18S rDNA (p=0.201). However, this is not surprising because eukaryote communities are not linked to the functions associated with COG. The microbial (16S rDNA) metagenome data were more strongly correlated with the functional metagenome data than were the eukaryote (18S rDNA) data, because functional processes are driven by microbial genes, and because the prokaryote biomass is likely to be greater than the eukaryote biomass in these samples (Hose et al. 2022).</w:t>
      </w:r>
    </w:p>
    <w:p w14:paraId="07B6B74A" w14:textId="4BB72950" w:rsidR="004A09B1" w:rsidRPr="004A09B1" w:rsidRDefault="004A09B1" w:rsidP="00130B8A">
      <w:pPr>
        <w:pStyle w:val="TABLEHEADING"/>
        <w:keepNext/>
        <w:spacing w:line="240" w:lineRule="auto"/>
      </w:pPr>
      <w:bookmarkStart w:id="72" w:name="_Ref164638570"/>
      <w:r>
        <w:t xml:space="preserve">Table </w:t>
      </w:r>
      <w:r>
        <w:fldChar w:fldCharType="begin"/>
      </w:r>
      <w:r>
        <w:instrText xml:space="preserve"> SEQ Table \* ARABIC </w:instrText>
      </w:r>
      <w:r>
        <w:fldChar w:fldCharType="separate"/>
      </w:r>
      <w:r w:rsidR="00307B2F">
        <w:rPr>
          <w:noProof/>
        </w:rPr>
        <w:t>12</w:t>
      </w:r>
      <w:r>
        <w:fldChar w:fldCharType="end"/>
      </w:r>
      <w:bookmarkEnd w:id="72"/>
      <w:r w:rsidRPr="004962F3">
        <w:t>. Spearman rank correlation of Bray-Curtis similarities among samples characterised using metabarcoding and functional metagenomics approaches</w:t>
      </w:r>
    </w:p>
    <w:tbl>
      <w:tblPr>
        <w:tblStyle w:val="IESCTABLE1"/>
        <w:tblW w:w="9360" w:type="dxa"/>
        <w:tblLayout w:type="fixed"/>
        <w:tblLook w:val="04A0" w:firstRow="1" w:lastRow="0" w:firstColumn="1" w:lastColumn="0" w:noHBand="0" w:noVBand="1"/>
      </w:tblPr>
      <w:tblGrid>
        <w:gridCol w:w="1696"/>
        <w:gridCol w:w="1277"/>
        <w:gridCol w:w="1277"/>
        <w:gridCol w:w="1278"/>
        <w:gridCol w:w="1277"/>
        <w:gridCol w:w="1277"/>
        <w:gridCol w:w="1278"/>
      </w:tblGrid>
      <w:tr w:rsidR="00261502" w:rsidRPr="00261502" w14:paraId="0374076E" w14:textId="77777777" w:rsidTr="003D6F6D">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1696" w:type="dxa"/>
            <w:noWrap/>
            <w:tcMar>
              <w:top w:w="57" w:type="dxa"/>
              <w:left w:w="57" w:type="dxa"/>
              <w:bottom w:w="85" w:type="dxa"/>
              <w:right w:w="57" w:type="dxa"/>
            </w:tcMar>
            <w:hideMark/>
          </w:tcPr>
          <w:p w14:paraId="189E81C6" w14:textId="7C43287C" w:rsidR="00261502" w:rsidRPr="001D38CB" w:rsidRDefault="001D38CB" w:rsidP="00130B8A">
            <w:pPr>
              <w:pStyle w:val="TableHeaderRow"/>
              <w:keepNext/>
              <w:rPr>
                <w:b/>
              </w:rPr>
            </w:pPr>
            <w:r w:rsidRPr="001D38CB">
              <w:rPr>
                <w:b/>
                <w:color w:val="00569F"/>
              </w:rPr>
              <w:t>-</w:t>
            </w:r>
          </w:p>
        </w:tc>
        <w:tc>
          <w:tcPr>
            <w:tcW w:w="1277" w:type="dxa"/>
            <w:noWrap/>
            <w:tcMar>
              <w:top w:w="57" w:type="dxa"/>
              <w:left w:w="57" w:type="dxa"/>
              <w:bottom w:w="85" w:type="dxa"/>
              <w:right w:w="57" w:type="dxa"/>
            </w:tcMar>
            <w:hideMark/>
          </w:tcPr>
          <w:p w14:paraId="13E5488C"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All genes</w:t>
            </w:r>
          </w:p>
        </w:tc>
        <w:tc>
          <w:tcPr>
            <w:tcW w:w="1277" w:type="dxa"/>
            <w:noWrap/>
            <w:tcMar>
              <w:top w:w="57" w:type="dxa"/>
              <w:left w:w="57" w:type="dxa"/>
              <w:bottom w:w="85" w:type="dxa"/>
              <w:right w:w="57" w:type="dxa"/>
            </w:tcMar>
            <w:hideMark/>
          </w:tcPr>
          <w:p w14:paraId="5E1CDE80"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COG</w:t>
            </w:r>
          </w:p>
        </w:tc>
        <w:tc>
          <w:tcPr>
            <w:tcW w:w="1278" w:type="dxa"/>
            <w:noWrap/>
            <w:tcMar>
              <w:top w:w="57" w:type="dxa"/>
              <w:left w:w="57" w:type="dxa"/>
              <w:bottom w:w="85" w:type="dxa"/>
              <w:right w:w="57" w:type="dxa"/>
            </w:tcMar>
            <w:hideMark/>
          </w:tcPr>
          <w:p w14:paraId="1490C4D2"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EC</w:t>
            </w:r>
          </w:p>
        </w:tc>
        <w:tc>
          <w:tcPr>
            <w:tcW w:w="1277" w:type="dxa"/>
            <w:noWrap/>
            <w:tcMar>
              <w:top w:w="57" w:type="dxa"/>
              <w:left w:w="57" w:type="dxa"/>
              <w:bottom w:w="85" w:type="dxa"/>
              <w:right w:w="57" w:type="dxa"/>
            </w:tcMar>
            <w:hideMark/>
          </w:tcPr>
          <w:p w14:paraId="10DB6A7C"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GO</w:t>
            </w:r>
          </w:p>
        </w:tc>
        <w:tc>
          <w:tcPr>
            <w:tcW w:w="1277" w:type="dxa"/>
            <w:noWrap/>
            <w:tcMar>
              <w:top w:w="57" w:type="dxa"/>
              <w:left w:w="57" w:type="dxa"/>
              <w:bottom w:w="85" w:type="dxa"/>
              <w:right w:w="57" w:type="dxa"/>
            </w:tcMar>
            <w:hideMark/>
          </w:tcPr>
          <w:p w14:paraId="4C90C162"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16S MG</w:t>
            </w:r>
          </w:p>
        </w:tc>
        <w:tc>
          <w:tcPr>
            <w:tcW w:w="1278" w:type="dxa"/>
            <w:noWrap/>
            <w:tcMar>
              <w:top w:w="57" w:type="dxa"/>
              <w:left w:w="57" w:type="dxa"/>
              <w:bottom w:w="85" w:type="dxa"/>
              <w:right w:w="57" w:type="dxa"/>
            </w:tcMar>
            <w:hideMark/>
          </w:tcPr>
          <w:p w14:paraId="68579821" w14:textId="77777777" w:rsidR="00261502" w:rsidRPr="001D38CB" w:rsidRDefault="00261502" w:rsidP="00130B8A">
            <w:pPr>
              <w:pStyle w:val="TableHeaderRow"/>
              <w:keepNext/>
              <w:cnfStyle w:val="100000000000" w:firstRow="1" w:lastRow="0" w:firstColumn="0" w:lastColumn="0" w:oddVBand="0" w:evenVBand="0" w:oddHBand="0" w:evenHBand="0" w:firstRowFirstColumn="0" w:firstRowLastColumn="0" w:lastRowFirstColumn="0" w:lastRowLastColumn="0"/>
              <w:rPr>
                <w:b/>
              </w:rPr>
            </w:pPr>
            <w:r w:rsidRPr="001D38CB">
              <w:rPr>
                <w:b/>
              </w:rPr>
              <w:t>18S MG</w:t>
            </w:r>
          </w:p>
        </w:tc>
      </w:tr>
      <w:tr w:rsidR="00261502" w:rsidRPr="00261502" w14:paraId="0F5B230D" w14:textId="77777777" w:rsidTr="003D6F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tcMar>
              <w:top w:w="57" w:type="dxa"/>
              <w:left w:w="57" w:type="dxa"/>
              <w:bottom w:w="85" w:type="dxa"/>
              <w:right w:w="57" w:type="dxa"/>
            </w:tcMar>
            <w:hideMark/>
          </w:tcPr>
          <w:p w14:paraId="154DA77C" w14:textId="77777777" w:rsidR="00261502" w:rsidRPr="00261502" w:rsidRDefault="00261502" w:rsidP="00130B8A">
            <w:pPr>
              <w:pStyle w:val="TableText"/>
              <w:keepNext/>
            </w:pPr>
            <w:r w:rsidRPr="00261502">
              <w:t>16S rDNA metabarcode</w:t>
            </w:r>
          </w:p>
        </w:tc>
        <w:tc>
          <w:tcPr>
            <w:tcW w:w="1277" w:type="dxa"/>
            <w:noWrap/>
            <w:tcMar>
              <w:top w:w="57" w:type="dxa"/>
              <w:left w:w="57" w:type="dxa"/>
              <w:bottom w:w="85" w:type="dxa"/>
              <w:right w:w="57" w:type="dxa"/>
            </w:tcMar>
            <w:hideMark/>
          </w:tcPr>
          <w:p w14:paraId="5F1EED14"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r=0.209, p=0.040</w:t>
            </w:r>
          </w:p>
        </w:tc>
        <w:tc>
          <w:tcPr>
            <w:tcW w:w="1277" w:type="dxa"/>
            <w:noWrap/>
            <w:tcMar>
              <w:top w:w="57" w:type="dxa"/>
              <w:left w:w="57" w:type="dxa"/>
              <w:bottom w:w="85" w:type="dxa"/>
              <w:right w:w="57" w:type="dxa"/>
            </w:tcMar>
            <w:hideMark/>
          </w:tcPr>
          <w:p w14:paraId="4079F879"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r=0.235, p=0.019</w:t>
            </w:r>
          </w:p>
        </w:tc>
        <w:tc>
          <w:tcPr>
            <w:tcW w:w="1278" w:type="dxa"/>
            <w:noWrap/>
            <w:tcMar>
              <w:top w:w="57" w:type="dxa"/>
              <w:left w:w="57" w:type="dxa"/>
              <w:bottom w:w="85" w:type="dxa"/>
              <w:right w:w="57" w:type="dxa"/>
            </w:tcMar>
            <w:hideMark/>
          </w:tcPr>
          <w:p w14:paraId="223E1C7D"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r=0.210, p=0.045</w:t>
            </w:r>
          </w:p>
        </w:tc>
        <w:tc>
          <w:tcPr>
            <w:tcW w:w="1277" w:type="dxa"/>
            <w:noWrap/>
            <w:tcMar>
              <w:top w:w="57" w:type="dxa"/>
              <w:left w:w="57" w:type="dxa"/>
              <w:bottom w:w="85" w:type="dxa"/>
              <w:right w:w="57" w:type="dxa"/>
            </w:tcMar>
            <w:hideMark/>
          </w:tcPr>
          <w:p w14:paraId="43D7BBC8"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r=0.217, p=0.035</w:t>
            </w:r>
          </w:p>
        </w:tc>
        <w:tc>
          <w:tcPr>
            <w:tcW w:w="1277" w:type="dxa"/>
            <w:noWrap/>
            <w:tcMar>
              <w:top w:w="57" w:type="dxa"/>
              <w:left w:w="57" w:type="dxa"/>
              <w:bottom w:w="85" w:type="dxa"/>
              <w:right w:w="57" w:type="dxa"/>
            </w:tcMar>
            <w:hideMark/>
          </w:tcPr>
          <w:p w14:paraId="464BAF5D" w14:textId="77777777" w:rsidR="00261502" w:rsidRPr="00261502" w:rsidRDefault="00261502" w:rsidP="00130B8A">
            <w:pPr>
              <w:pStyle w:val="TableText"/>
              <w:keepNext/>
              <w:cnfStyle w:val="000000100000" w:firstRow="0" w:lastRow="0" w:firstColumn="0" w:lastColumn="0" w:oddVBand="0" w:evenVBand="0" w:oddHBand="1" w:evenHBand="0" w:firstRowFirstColumn="0" w:firstRowLastColumn="0" w:lastRowFirstColumn="0" w:lastRowLastColumn="0"/>
            </w:pPr>
            <w:r w:rsidRPr="00261502">
              <w:t>r=0.478, p=0.001</w:t>
            </w:r>
          </w:p>
        </w:tc>
        <w:tc>
          <w:tcPr>
            <w:tcW w:w="1278" w:type="dxa"/>
            <w:noWrap/>
            <w:tcMar>
              <w:top w:w="57" w:type="dxa"/>
              <w:left w:w="57" w:type="dxa"/>
              <w:bottom w:w="85" w:type="dxa"/>
              <w:right w:w="57" w:type="dxa"/>
            </w:tcMar>
          </w:tcPr>
          <w:p w14:paraId="6093561B" w14:textId="29AF1FCC" w:rsidR="00261502" w:rsidRPr="001D38CB" w:rsidRDefault="001D38CB" w:rsidP="00130B8A">
            <w:pPr>
              <w:pStyle w:val="TableText"/>
              <w:keepNext/>
              <w:cnfStyle w:val="000000100000" w:firstRow="0" w:lastRow="0" w:firstColumn="0" w:lastColumn="0" w:oddVBand="0" w:evenVBand="0" w:oddHBand="1" w:evenHBand="0" w:firstRowFirstColumn="0" w:firstRowLastColumn="0" w:lastRowFirstColumn="0" w:lastRowLastColumn="0"/>
              <w:rPr>
                <w:color w:val="EBEEF5"/>
              </w:rPr>
            </w:pPr>
            <w:r w:rsidRPr="001D38CB">
              <w:rPr>
                <w:color w:val="EBEEF5"/>
              </w:rPr>
              <w:t>-</w:t>
            </w:r>
          </w:p>
        </w:tc>
      </w:tr>
      <w:tr w:rsidR="00261502" w:rsidRPr="00261502" w14:paraId="383F1171" w14:textId="77777777" w:rsidTr="003D6F6D">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tcMar>
              <w:top w:w="57" w:type="dxa"/>
              <w:left w:w="57" w:type="dxa"/>
              <w:bottom w:w="85" w:type="dxa"/>
              <w:right w:w="57" w:type="dxa"/>
            </w:tcMar>
            <w:hideMark/>
          </w:tcPr>
          <w:p w14:paraId="365C6A03" w14:textId="77777777" w:rsidR="00261502" w:rsidRPr="00261502" w:rsidRDefault="00261502" w:rsidP="00130B8A">
            <w:pPr>
              <w:pStyle w:val="TableText"/>
              <w:keepNext/>
            </w:pPr>
            <w:r w:rsidRPr="00261502">
              <w:t>16S rDNA FAPROTAX</w:t>
            </w:r>
          </w:p>
        </w:tc>
        <w:tc>
          <w:tcPr>
            <w:tcW w:w="1277" w:type="dxa"/>
            <w:noWrap/>
            <w:tcMar>
              <w:top w:w="57" w:type="dxa"/>
              <w:left w:w="57" w:type="dxa"/>
              <w:bottom w:w="85" w:type="dxa"/>
              <w:right w:w="57" w:type="dxa"/>
            </w:tcMar>
            <w:hideMark/>
          </w:tcPr>
          <w:p w14:paraId="125BC916"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r=0.514, p=0.001</w:t>
            </w:r>
          </w:p>
        </w:tc>
        <w:tc>
          <w:tcPr>
            <w:tcW w:w="1277" w:type="dxa"/>
            <w:noWrap/>
            <w:tcMar>
              <w:top w:w="57" w:type="dxa"/>
              <w:left w:w="57" w:type="dxa"/>
              <w:bottom w:w="85" w:type="dxa"/>
              <w:right w:w="57" w:type="dxa"/>
            </w:tcMar>
            <w:hideMark/>
          </w:tcPr>
          <w:p w14:paraId="663E1C38"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r=0.529, p=0.001</w:t>
            </w:r>
          </w:p>
        </w:tc>
        <w:tc>
          <w:tcPr>
            <w:tcW w:w="1278" w:type="dxa"/>
            <w:noWrap/>
            <w:tcMar>
              <w:top w:w="57" w:type="dxa"/>
              <w:left w:w="57" w:type="dxa"/>
              <w:bottom w:w="85" w:type="dxa"/>
              <w:right w:w="57" w:type="dxa"/>
            </w:tcMar>
            <w:hideMark/>
          </w:tcPr>
          <w:p w14:paraId="77CD7844"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r=0.524, p=0.001</w:t>
            </w:r>
          </w:p>
        </w:tc>
        <w:tc>
          <w:tcPr>
            <w:tcW w:w="1277" w:type="dxa"/>
            <w:noWrap/>
            <w:tcMar>
              <w:top w:w="57" w:type="dxa"/>
              <w:left w:w="57" w:type="dxa"/>
              <w:bottom w:w="85" w:type="dxa"/>
              <w:right w:w="57" w:type="dxa"/>
            </w:tcMar>
            <w:hideMark/>
          </w:tcPr>
          <w:p w14:paraId="208BC66F"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r=0.531, p=0.001</w:t>
            </w:r>
          </w:p>
        </w:tc>
        <w:tc>
          <w:tcPr>
            <w:tcW w:w="1277" w:type="dxa"/>
            <w:noWrap/>
            <w:tcMar>
              <w:top w:w="57" w:type="dxa"/>
              <w:left w:w="57" w:type="dxa"/>
              <w:bottom w:w="85" w:type="dxa"/>
              <w:right w:w="57" w:type="dxa"/>
            </w:tcMar>
            <w:hideMark/>
          </w:tcPr>
          <w:p w14:paraId="2D486239" w14:textId="77777777" w:rsidR="00261502" w:rsidRPr="00261502" w:rsidRDefault="00261502" w:rsidP="00130B8A">
            <w:pPr>
              <w:pStyle w:val="TableText"/>
              <w:keepNext/>
              <w:cnfStyle w:val="000000010000" w:firstRow="0" w:lastRow="0" w:firstColumn="0" w:lastColumn="0" w:oddVBand="0" w:evenVBand="0" w:oddHBand="0" w:evenHBand="1" w:firstRowFirstColumn="0" w:firstRowLastColumn="0" w:lastRowFirstColumn="0" w:lastRowLastColumn="0"/>
            </w:pPr>
            <w:r w:rsidRPr="00261502">
              <w:t>r=0.560, p=0.001</w:t>
            </w:r>
          </w:p>
        </w:tc>
        <w:tc>
          <w:tcPr>
            <w:tcW w:w="1278" w:type="dxa"/>
            <w:noWrap/>
            <w:tcMar>
              <w:top w:w="57" w:type="dxa"/>
              <w:left w:w="57" w:type="dxa"/>
              <w:bottom w:w="85" w:type="dxa"/>
              <w:right w:w="57" w:type="dxa"/>
            </w:tcMar>
          </w:tcPr>
          <w:p w14:paraId="4CECECA3" w14:textId="63069ADD" w:rsidR="00261502" w:rsidRPr="001D38CB" w:rsidRDefault="001D38CB" w:rsidP="00130B8A">
            <w:pPr>
              <w:pStyle w:val="TableText"/>
              <w:keepNext/>
              <w:cnfStyle w:val="000000010000" w:firstRow="0" w:lastRow="0" w:firstColumn="0" w:lastColumn="0" w:oddVBand="0" w:evenVBand="0" w:oddHBand="0" w:evenHBand="1" w:firstRowFirstColumn="0" w:firstRowLastColumn="0" w:lastRowFirstColumn="0" w:lastRowLastColumn="0"/>
              <w:rPr>
                <w:color w:val="EBEEF5"/>
              </w:rPr>
            </w:pPr>
            <w:r w:rsidRPr="001D38CB">
              <w:rPr>
                <w:color w:val="EBEEF5"/>
              </w:rPr>
              <w:t>-</w:t>
            </w:r>
          </w:p>
        </w:tc>
      </w:tr>
      <w:tr w:rsidR="00261502" w:rsidRPr="00261502" w14:paraId="7FC9D969" w14:textId="77777777" w:rsidTr="003D6F6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696" w:type="dxa"/>
            <w:noWrap/>
            <w:tcMar>
              <w:top w:w="57" w:type="dxa"/>
              <w:left w:w="57" w:type="dxa"/>
              <w:bottom w:w="85" w:type="dxa"/>
              <w:right w:w="57" w:type="dxa"/>
            </w:tcMar>
            <w:hideMark/>
          </w:tcPr>
          <w:p w14:paraId="668CE8ED" w14:textId="77777777" w:rsidR="00261502" w:rsidRPr="00261502" w:rsidRDefault="00261502" w:rsidP="001D38CB">
            <w:pPr>
              <w:pStyle w:val="TableText"/>
            </w:pPr>
            <w:r w:rsidRPr="00261502">
              <w:t>18S rDNA metabarcode</w:t>
            </w:r>
          </w:p>
        </w:tc>
        <w:tc>
          <w:tcPr>
            <w:tcW w:w="1277" w:type="dxa"/>
            <w:noWrap/>
            <w:tcMar>
              <w:top w:w="57" w:type="dxa"/>
              <w:left w:w="57" w:type="dxa"/>
              <w:bottom w:w="85" w:type="dxa"/>
              <w:right w:w="57" w:type="dxa"/>
            </w:tcMar>
            <w:hideMark/>
          </w:tcPr>
          <w:p w14:paraId="46D0B3E0" w14:textId="77777777" w:rsidR="00261502" w:rsidRPr="00261502" w:rsidRDefault="00261502" w:rsidP="001D38CB">
            <w:pPr>
              <w:pStyle w:val="TableText"/>
              <w:cnfStyle w:val="000000100000" w:firstRow="0" w:lastRow="0" w:firstColumn="0" w:lastColumn="0" w:oddVBand="0" w:evenVBand="0" w:oddHBand="1" w:evenHBand="0" w:firstRowFirstColumn="0" w:firstRowLastColumn="0" w:lastRowFirstColumn="0" w:lastRowLastColumn="0"/>
            </w:pPr>
            <w:r w:rsidRPr="00261502">
              <w:t>r=0.003, p=0.467</w:t>
            </w:r>
          </w:p>
        </w:tc>
        <w:tc>
          <w:tcPr>
            <w:tcW w:w="1277" w:type="dxa"/>
            <w:noWrap/>
            <w:tcMar>
              <w:top w:w="57" w:type="dxa"/>
              <w:left w:w="57" w:type="dxa"/>
              <w:bottom w:w="85" w:type="dxa"/>
              <w:right w:w="57" w:type="dxa"/>
            </w:tcMar>
            <w:hideMark/>
          </w:tcPr>
          <w:p w14:paraId="4F9161CE" w14:textId="77777777" w:rsidR="00261502" w:rsidRPr="00261502" w:rsidRDefault="00261502" w:rsidP="001D38CB">
            <w:pPr>
              <w:pStyle w:val="TableText"/>
              <w:cnfStyle w:val="000000100000" w:firstRow="0" w:lastRow="0" w:firstColumn="0" w:lastColumn="0" w:oddVBand="0" w:evenVBand="0" w:oddHBand="1" w:evenHBand="0" w:firstRowFirstColumn="0" w:firstRowLastColumn="0" w:lastRowFirstColumn="0" w:lastRowLastColumn="0"/>
            </w:pPr>
            <w:r w:rsidRPr="00261502">
              <w:t>r=0.001, p=0.504</w:t>
            </w:r>
          </w:p>
        </w:tc>
        <w:tc>
          <w:tcPr>
            <w:tcW w:w="1278" w:type="dxa"/>
            <w:noWrap/>
            <w:tcMar>
              <w:top w:w="57" w:type="dxa"/>
              <w:left w:w="57" w:type="dxa"/>
              <w:bottom w:w="85" w:type="dxa"/>
              <w:right w:w="57" w:type="dxa"/>
            </w:tcMar>
            <w:hideMark/>
          </w:tcPr>
          <w:p w14:paraId="1761F5FA" w14:textId="77777777" w:rsidR="00261502" w:rsidRPr="00261502" w:rsidRDefault="00261502" w:rsidP="001D38CB">
            <w:pPr>
              <w:pStyle w:val="TableText"/>
              <w:cnfStyle w:val="000000100000" w:firstRow="0" w:lastRow="0" w:firstColumn="0" w:lastColumn="0" w:oddVBand="0" w:evenVBand="0" w:oddHBand="1" w:evenHBand="0" w:firstRowFirstColumn="0" w:firstRowLastColumn="0" w:lastRowFirstColumn="0" w:lastRowLastColumn="0"/>
            </w:pPr>
            <w:r w:rsidRPr="00261502">
              <w:t>r=-0.012, p=0.522</w:t>
            </w:r>
          </w:p>
        </w:tc>
        <w:tc>
          <w:tcPr>
            <w:tcW w:w="1277" w:type="dxa"/>
            <w:noWrap/>
            <w:tcMar>
              <w:top w:w="57" w:type="dxa"/>
              <w:left w:w="57" w:type="dxa"/>
              <w:bottom w:w="85" w:type="dxa"/>
              <w:right w:w="57" w:type="dxa"/>
            </w:tcMar>
            <w:hideMark/>
          </w:tcPr>
          <w:p w14:paraId="24263F01" w14:textId="77777777" w:rsidR="00261502" w:rsidRPr="00261502" w:rsidRDefault="00261502" w:rsidP="001D38CB">
            <w:pPr>
              <w:pStyle w:val="TableText"/>
              <w:cnfStyle w:val="000000100000" w:firstRow="0" w:lastRow="0" w:firstColumn="0" w:lastColumn="0" w:oddVBand="0" w:evenVBand="0" w:oddHBand="1" w:evenHBand="0" w:firstRowFirstColumn="0" w:firstRowLastColumn="0" w:lastRowFirstColumn="0" w:lastRowLastColumn="0"/>
            </w:pPr>
            <w:r w:rsidRPr="00261502">
              <w:t>r=0.002, p=0.489</w:t>
            </w:r>
          </w:p>
        </w:tc>
        <w:tc>
          <w:tcPr>
            <w:tcW w:w="1277" w:type="dxa"/>
            <w:noWrap/>
            <w:tcMar>
              <w:top w:w="57" w:type="dxa"/>
              <w:left w:w="57" w:type="dxa"/>
              <w:bottom w:w="85" w:type="dxa"/>
              <w:right w:w="57" w:type="dxa"/>
            </w:tcMar>
            <w:hideMark/>
          </w:tcPr>
          <w:p w14:paraId="6A4BD244" w14:textId="0F700686" w:rsidR="00261502" w:rsidRPr="00261502" w:rsidRDefault="001D38CB" w:rsidP="001D38CB">
            <w:pPr>
              <w:pStyle w:val="TableText"/>
              <w:cnfStyle w:val="000000100000" w:firstRow="0" w:lastRow="0" w:firstColumn="0" w:lastColumn="0" w:oddVBand="0" w:evenVBand="0" w:oddHBand="1" w:evenHBand="0" w:firstRowFirstColumn="0" w:firstRowLastColumn="0" w:lastRowFirstColumn="0" w:lastRowLastColumn="0"/>
            </w:pPr>
            <w:r w:rsidRPr="001D38CB">
              <w:rPr>
                <w:color w:val="EBEEF5"/>
              </w:rPr>
              <w:t>-</w:t>
            </w:r>
          </w:p>
        </w:tc>
        <w:tc>
          <w:tcPr>
            <w:tcW w:w="1278" w:type="dxa"/>
            <w:noWrap/>
            <w:tcMar>
              <w:top w:w="57" w:type="dxa"/>
              <w:left w:w="57" w:type="dxa"/>
              <w:bottom w:w="85" w:type="dxa"/>
              <w:right w:w="57" w:type="dxa"/>
            </w:tcMar>
            <w:hideMark/>
          </w:tcPr>
          <w:p w14:paraId="79CE70C9" w14:textId="77777777" w:rsidR="00261502" w:rsidRPr="00261502" w:rsidRDefault="00261502" w:rsidP="001D38CB">
            <w:pPr>
              <w:pStyle w:val="TableText"/>
              <w:cnfStyle w:val="000000100000" w:firstRow="0" w:lastRow="0" w:firstColumn="0" w:lastColumn="0" w:oddVBand="0" w:evenVBand="0" w:oddHBand="1" w:evenHBand="0" w:firstRowFirstColumn="0" w:firstRowLastColumn="0" w:lastRowFirstColumn="0" w:lastRowLastColumn="0"/>
            </w:pPr>
            <w:r w:rsidRPr="00261502">
              <w:t>r=0.306, p=0.002</w:t>
            </w:r>
          </w:p>
        </w:tc>
      </w:tr>
    </w:tbl>
    <w:p w14:paraId="17285D78" w14:textId="77777777" w:rsidR="00261502" w:rsidRDefault="00261502" w:rsidP="00307B2F">
      <w:pPr>
        <w:pStyle w:val="TableSourceNotes"/>
      </w:pPr>
      <w:r w:rsidRPr="00307B2F">
        <w:t>COG</w:t>
      </w:r>
      <w:r>
        <w:t xml:space="preserve"> = Cluster of Orthologous Genes database, EC = Enzyme Committee database, GO = Gene Ontology database, 16S = 16S rDNA gene, 18S = 18S rDNA gene, MG = derived from metagenome.</w:t>
      </w:r>
    </w:p>
    <w:p w14:paraId="029673F4" w14:textId="0BE10E14" w:rsidR="00261502" w:rsidRDefault="00261502" w:rsidP="00307B2F">
      <w:pPr>
        <w:pStyle w:val="BodyText"/>
        <w:spacing w:before="240"/>
      </w:pPr>
      <w:r>
        <w:t>DistLM analyses across all variants of the metagenome data and the 16S rDNA metabarcode data identified a similar suite of variables as contributing most to explaining variation in the assemblage composition across samples (</w:t>
      </w:r>
      <w:r w:rsidR="00E202FA">
        <w:fldChar w:fldCharType="begin"/>
      </w:r>
      <w:r w:rsidR="00E202FA">
        <w:instrText xml:space="preserve"> REF _Ref164638606 \h </w:instrText>
      </w:r>
      <w:r w:rsidR="00E202FA">
        <w:fldChar w:fldCharType="separate"/>
      </w:r>
      <w:r w:rsidR="00E202FA">
        <w:t>Table </w:t>
      </w:r>
      <w:r w:rsidR="00E202FA">
        <w:rPr>
          <w:noProof/>
        </w:rPr>
        <w:t>13</w:t>
      </w:r>
      <w:r w:rsidR="00E202FA">
        <w:fldChar w:fldCharType="end"/>
      </w:r>
      <w:r>
        <w:t>). Functional assemblages from all genes and from the EC and GO databases were influenced by temperature, pH, and TN and DO concentrations. Variables that best explained variation in COG functions were similar but included DOC and sulfate. The different response of COG compared to the other functional assemblages is consistent with other analyses above. The 16S rDNA assemblages from metabarcoding and metagenome analyses responded to a similar suite of variables (</w:t>
      </w:r>
      <w:r w:rsidR="00E202FA">
        <w:fldChar w:fldCharType="begin"/>
      </w:r>
      <w:r w:rsidR="00E202FA">
        <w:instrText xml:space="preserve"> REF _Ref164638606 \h </w:instrText>
      </w:r>
      <w:r w:rsidR="00E202FA">
        <w:fldChar w:fldCharType="separate"/>
      </w:r>
      <w:r w:rsidR="00E202FA">
        <w:t>Table </w:t>
      </w:r>
      <w:r w:rsidR="00E202FA">
        <w:rPr>
          <w:noProof/>
        </w:rPr>
        <w:t>13</w:t>
      </w:r>
      <w:r w:rsidR="00E202FA">
        <w:fldChar w:fldCharType="end"/>
      </w:r>
      <w:r>
        <w:t>), with sulfate, DOC concentration, pH and temperature all explaining a significant portion of the variation in the prokaryote assemblages. The 16S rDNA metabarcode assemblages were also correlated with TN concentrations, which were significantly correlated with the 16S metagenome data alone (</w:t>
      </w:r>
      <w:r w:rsidR="00E202FA">
        <w:fldChar w:fldCharType="begin"/>
      </w:r>
      <w:r w:rsidR="00E202FA">
        <w:instrText xml:space="preserve"> REF _Ref164638606 \h </w:instrText>
      </w:r>
      <w:r w:rsidR="00E202FA">
        <w:fldChar w:fldCharType="separate"/>
      </w:r>
      <w:r w:rsidR="00E202FA">
        <w:t>Table </w:t>
      </w:r>
      <w:r w:rsidR="00E202FA">
        <w:rPr>
          <w:noProof/>
        </w:rPr>
        <w:t>13</w:t>
      </w:r>
      <w:r w:rsidR="00E202FA">
        <w:fldChar w:fldCharType="end"/>
      </w:r>
      <w:r>
        <w:t>) but were not included in the final stepwise model.</w:t>
      </w:r>
    </w:p>
    <w:p w14:paraId="6816D907" w14:textId="1F3112FC" w:rsidR="00307B2F" w:rsidRDefault="00307B2F" w:rsidP="00130B8A">
      <w:pPr>
        <w:pStyle w:val="TABLEHEADING"/>
        <w:keepNext/>
        <w:spacing w:line="240" w:lineRule="auto"/>
      </w:pPr>
      <w:bookmarkStart w:id="73" w:name="_Ref164638606"/>
      <w:r>
        <w:t xml:space="preserve">Table </w:t>
      </w:r>
      <w:r>
        <w:fldChar w:fldCharType="begin"/>
      </w:r>
      <w:r>
        <w:instrText xml:space="preserve"> SEQ Table \* ARABIC </w:instrText>
      </w:r>
      <w:r>
        <w:fldChar w:fldCharType="separate"/>
      </w:r>
      <w:r>
        <w:rPr>
          <w:noProof/>
        </w:rPr>
        <w:t>13</w:t>
      </w:r>
      <w:r>
        <w:fldChar w:fldCharType="end"/>
      </w:r>
      <w:bookmarkEnd w:id="73"/>
      <w:r w:rsidRPr="00EA2C6D">
        <w:t>. Summary of significant environmental variables identified by stepwise DistLM analysis for each dataset</w:t>
      </w:r>
    </w:p>
    <w:tbl>
      <w:tblPr>
        <w:tblStyle w:val="IESCTABLE1"/>
        <w:tblW w:w="5000" w:type="pct"/>
        <w:tblLayout w:type="fixed"/>
        <w:tblLook w:val="04A0" w:firstRow="1" w:lastRow="0" w:firstColumn="1" w:lastColumn="0" w:noHBand="0" w:noVBand="1"/>
      </w:tblPr>
      <w:tblGrid>
        <w:gridCol w:w="847"/>
        <w:gridCol w:w="758"/>
        <w:gridCol w:w="931"/>
        <w:gridCol w:w="931"/>
        <w:gridCol w:w="933"/>
        <w:gridCol w:w="931"/>
        <w:gridCol w:w="931"/>
        <w:gridCol w:w="1247"/>
        <w:gridCol w:w="708"/>
        <w:gridCol w:w="843"/>
      </w:tblGrid>
      <w:tr w:rsidR="0010618E" w:rsidRPr="00261502" w14:paraId="5A917658" w14:textId="77777777" w:rsidTr="003D6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noWrap/>
            <w:tcMar>
              <w:top w:w="57" w:type="dxa"/>
              <w:left w:w="57" w:type="dxa"/>
              <w:bottom w:w="85" w:type="dxa"/>
              <w:right w:w="57" w:type="dxa"/>
            </w:tcMar>
          </w:tcPr>
          <w:p w14:paraId="1F1E9722" w14:textId="77777777" w:rsidR="00261502" w:rsidRPr="0010618E" w:rsidRDefault="00261502" w:rsidP="00130B8A">
            <w:pPr>
              <w:pStyle w:val="TableHeaderRow"/>
              <w:keepNext/>
              <w:keepLines/>
              <w:rPr>
                <w:b/>
                <w:bCs w:val="0"/>
              </w:rPr>
            </w:pPr>
            <w:r w:rsidRPr="0010618E">
              <w:rPr>
                <w:b/>
                <w:bCs w:val="0"/>
              </w:rPr>
              <w:t>Order</w:t>
            </w:r>
          </w:p>
        </w:tc>
        <w:tc>
          <w:tcPr>
            <w:tcW w:w="418" w:type="pct"/>
            <w:noWrap/>
            <w:tcMar>
              <w:top w:w="57" w:type="dxa"/>
              <w:left w:w="57" w:type="dxa"/>
              <w:bottom w:w="85" w:type="dxa"/>
              <w:right w:w="57" w:type="dxa"/>
            </w:tcMar>
          </w:tcPr>
          <w:p w14:paraId="7398C313"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All genes</w:t>
            </w:r>
          </w:p>
        </w:tc>
        <w:tc>
          <w:tcPr>
            <w:tcW w:w="514" w:type="pct"/>
            <w:noWrap/>
            <w:tcMar>
              <w:top w:w="57" w:type="dxa"/>
              <w:left w:w="57" w:type="dxa"/>
              <w:bottom w:w="85" w:type="dxa"/>
              <w:right w:w="57" w:type="dxa"/>
            </w:tcMar>
          </w:tcPr>
          <w:p w14:paraId="468093EE"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COG</w:t>
            </w:r>
          </w:p>
        </w:tc>
        <w:tc>
          <w:tcPr>
            <w:tcW w:w="514" w:type="pct"/>
            <w:noWrap/>
            <w:tcMar>
              <w:top w:w="57" w:type="dxa"/>
              <w:left w:w="57" w:type="dxa"/>
              <w:bottom w:w="85" w:type="dxa"/>
              <w:right w:w="57" w:type="dxa"/>
            </w:tcMar>
          </w:tcPr>
          <w:p w14:paraId="4DB7FE2E"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EC</w:t>
            </w:r>
          </w:p>
        </w:tc>
        <w:tc>
          <w:tcPr>
            <w:tcW w:w="515" w:type="pct"/>
            <w:noWrap/>
            <w:tcMar>
              <w:top w:w="57" w:type="dxa"/>
              <w:left w:w="57" w:type="dxa"/>
              <w:bottom w:w="85" w:type="dxa"/>
              <w:right w:w="57" w:type="dxa"/>
            </w:tcMar>
          </w:tcPr>
          <w:p w14:paraId="269F1A0E"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GO</w:t>
            </w:r>
          </w:p>
        </w:tc>
        <w:tc>
          <w:tcPr>
            <w:tcW w:w="514" w:type="pct"/>
            <w:noWrap/>
            <w:tcMar>
              <w:top w:w="57" w:type="dxa"/>
              <w:left w:w="57" w:type="dxa"/>
              <w:bottom w:w="85" w:type="dxa"/>
              <w:right w:w="57" w:type="dxa"/>
            </w:tcMar>
          </w:tcPr>
          <w:p w14:paraId="40B761C7"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16S MG</w:t>
            </w:r>
          </w:p>
        </w:tc>
        <w:tc>
          <w:tcPr>
            <w:tcW w:w="514" w:type="pct"/>
            <w:noWrap/>
            <w:tcMar>
              <w:top w:w="57" w:type="dxa"/>
              <w:left w:w="57" w:type="dxa"/>
              <w:bottom w:w="85" w:type="dxa"/>
              <w:right w:w="57" w:type="dxa"/>
            </w:tcMar>
          </w:tcPr>
          <w:p w14:paraId="562EEF33"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16S MB</w:t>
            </w:r>
          </w:p>
        </w:tc>
        <w:tc>
          <w:tcPr>
            <w:tcW w:w="688" w:type="pct"/>
            <w:noWrap/>
            <w:tcMar>
              <w:top w:w="57" w:type="dxa"/>
              <w:left w:w="57" w:type="dxa"/>
              <w:bottom w:w="85" w:type="dxa"/>
              <w:right w:w="57" w:type="dxa"/>
            </w:tcMar>
          </w:tcPr>
          <w:p w14:paraId="619B648C"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16S MB FAPROTAX</w:t>
            </w:r>
          </w:p>
        </w:tc>
        <w:tc>
          <w:tcPr>
            <w:tcW w:w="391" w:type="pct"/>
            <w:noWrap/>
            <w:tcMar>
              <w:top w:w="57" w:type="dxa"/>
              <w:left w:w="57" w:type="dxa"/>
              <w:bottom w:w="85" w:type="dxa"/>
              <w:right w:w="57" w:type="dxa"/>
            </w:tcMar>
          </w:tcPr>
          <w:p w14:paraId="216D33B7"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18S MG</w:t>
            </w:r>
          </w:p>
        </w:tc>
        <w:tc>
          <w:tcPr>
            <w:tcW w:w="465" w:type="pct"/>
            <w:noWrap/>
            <w:tcMar>
              <w:top w:w="57" w:type="dxa"/>
              <w:left w:w="57" w:type="dxa"/>
              <w:bottom w:w="85" w:type="dxa"/>
              <w:right w:w="57" w:type="dxa"/>
            </w:tcMar>
          </w:tcPr>
          <w:p w14:paraId="7565B9AF" w14:textId="77777777" w:rsidR="00261502" w:rsidRPr="0010618E" w:rsidRDefault="00261502" w:rsidP="00130B8A">
            <w:pPr>
              <w:pStyle w:val="TableHeaderRow"/>
              <w:keepNext/>
              <w:keepLines/>
              <w:cnfStyle w:val="100000000000" w:firstRow="1" w:lastRow="0" w:firstColumn="0" w:lastColumn="0" w:oddVBand="0" w:evenVBand="0" w:oddHBand="0" w:evenHBand="0" w:firstRowFirstColumn="0" w:firstRowLastColumn="0" w:lastRowFirstColumn="0" w:lastRowLastColumn="0"/>
              <w:rPr>
                <w:b/>
                <w:bCs w:val="0"/>
              </w:rPr>
            </w:pPr>
            <w:r w:rsidRPr="0010618E">
              <w:rPr>
                <w:b/>
                <w:bCs w:val="0"/>
              </w:rPr>
              <w:t>18S MB</w:t>
            </w:r>
          </w:p>
        </w:tc>
      </w:tr>
      <w:tr w:rsidR="00261502" w:rsidRPr="00261502" w14:paraId="3E948028" w14:textId="77777777" w:rsidTr="003D6F6D">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67" w:type="pct"/>
            <w:noWrap/>
            <w:tcMar>
              <w:top w:w="57" w:type="dxa"/>
              <w:left w:w="57" w:type="dxa"/>
              <w:bottom w:w="85" w:type="dxa"/>
              <w:right w:w="57" w:type="dxa"/>
            </w:tcMar>
          </w:tcPr>
          <w:p w14:paraId="1975ECE8" w14:textId="77777777" w:rsidR="00261502" w:rsidRPr="00261502" w:rsidRDefault="00261502" w:rsidP="00130B8A">
            <w:pPr>
              <w:pStyle w:val="TableText"/>
              <w:keepNext/>
              <w:keepLines/>
            </w:pPr>
            <w:r w:rsidRPr="00261502">
              <w:t>1</w:t>
            </w:r>
          </w:p>
        </w:tc>
        <w:tc>
          <w:tcPr>
            <w:tcW w:w="418" w:type="pct"/>
            <w:noWrap/>
            <w:tcMar>
              <w:top w:w="57" w:type="dxa"/>
              <w:left w:w="57" w:type="dxa"/>
              <w:bottom w:w="85" w:type="dxa"/>
              <w:right w:w="57" w:type="dxa"/>
            </w:tcMar>
          </w:tcPr>
          <w:p w14:paraId="5C0E3913"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Temp</w:t>
            </w:r>
          </w:p>
        </w:tc>
        <w:tc>
          <w:tcPr>
            <w:tcW w:w="514" w:type="pct"/>
            <w:noWrap/>
            <w:tcMar>
              <w:top w:w="57" w:type="dxa"/>
              <w:left w:w="57" w:type="dxa"/>
              <w:bottom w:w="85" w:type="dxa"/>
              <w:right w:w="57" w:type="dxa"/>
            </w:tcMar>
          </w:tcPr>
          <w:p w14:paraId="28B081F8"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Sulfate</w:t>
            </w:r>
          </w:p>
        </w:tc>
        <w:tc>
          <w:tcPr>
            <w:tcW w:w="514" w:type="pct"/>
            <w:noWrap/>
            <w:tcMar>
              <w:top w:w="57" w:type="dxa"/>
              <w:left w:w="57" w:type="dxa"/>
              <w:bottom w:w="85" w:type="dxa"/>
              <w:right w:w="57" w:type="dxa"/>
            </w:tcMar>
          </w:tcPr>
          <w:p w14:paraId="1676C86F"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Total N</w:t>
            </w:r>
          </w:p>
        </w:tc>
        <w:tc>
          <w:tcPr>
            <w:tcW w:w="515" w:type="pct"/>
            <w:noWrap/>
            <w:tcMar>
              <w:top w:w="57" w:type="dxa"/>
              <w:left w:w="57" w:type="dxa"/>
              <w:bottom w:w="85" w:type="dxa"/>
              <w:right w:w="57" w:type="dxa"/>
            </w:tcMar>
          </w:tcPr>
          <w:p w14:paraId="65F40CC9"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Total N</w:t>
            </w:r>
          </w:p>
        </w:tc>
        <w:tc>
          <w:tcPr>
            <w:tcW w:w="514" w:type="pct"/>
            <w:noWrap/>
            <w:tcMar>
              <w:top w:w="57" w:type="dxa"/>
              <w:left w:w="57" w:type="dxa"/>
              <w:bottom w:w="85" w:type="dxa"/>
              <w:right w:w="57" w:type="dxa"/>
            </w:tcMar>
          </w:tcPr>
          <w:p w14:paraId="5E9B5947"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Sulfate</w:t>
            </w:r>
          </w:p>
        </w:tc>
        <w:tc>
          <w:tcPr>
            <w:tcW w:w="514" w:type="pct"/>
            <w:noWrap/>
            <w:tcMar>
              <w:top w:w="57" w:type="dxa"/>
              <w:left w:w="57" w:type="dxa"/>
              <w:bottom w:w="85" w:type="dxa"/>
              <w:right w:w="57" w:type="dxa"/>
            </w:tcMar>
          </w:tcPr>
          <w:p w14:paraId="08BCE5F8"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c>
          <w:tcPr>
            <w:tcW w:w="688" w:type="pct"/>
            <w:noWrap/>
            <w:tcMar>
              <w:top w:w="57" w:type="dxa"/>
              <w:left w:w="57" w:type="dxa"/>
              <w:bottom w:w="85" w:type="dxa"/>
              <w:right w:w="57" w:type="dxa"/>
            </w:tcMar>
          </w:tcPr>
          <w:p w14:paraId="51CF0128"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EC</w:t>
            </w:r>
          </w:p>
        </w:tc>
        <w:tc>
          <w:tcPr>
            <w:tcW w:w="391" w:type="pct"/>
            <w:noWrap/>
            <w:tcMar>
              <w:top w:w="57" w:type="dxa"/>
              <w:left w:w="57" w:type="dxa"/>
              <w:bottom w:w="85" w:type="dxa"/>
              <w:right w:w="57" w:type="dxa"/>
            </w:tcMar>
          </w:tcPr>
          <w:p w14:paraId="0D6C3FDD"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EC</w:t>
            </w:r>
          </w:p>
        </w:tc>
        <w:tc>
          <w:tcPr>
            <w:tcW w:w="465" w:type="pct"/>
            <w:noWrap/>
            <w:tcMar>
              <w:top w:w="57" w:type="dxa"/>
              <w:left w:w="57" w:type="dxa"/>
              <w:bottom w:w="85" w:type="dxa"/>
              <w:right w:w="57" w:type="dxa"/>
            </w:tcMar>
          </w:tcPr>
          <w:p w14:paraId="0CDABD15"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r>
      <w:tr w:rsidR="00261502" w:rsidRPr="00261502" w14:paraId="2C9F9F6D" w14:textId="77777777" w:rsidTr="003D6F6D">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467" w:type="pct"/>
            <w:noWrap/>
            <w:tcMar>
              <w:top w:w="57" w:type="dxa"/>
              <w:left w:w="57" w:type="dxa"/>
              <w:bottom w:w="85" w:type="dxa"/>
              <w:right w:w="57" w:type="dxa"/>
            </w:tcMar>
          </w:tcPr>
          <w:p w14:paraId="62055AD7" w14:textId="77777777" w:rsidR="00261502" w:rsidRPr="00261502" w:rsidRDefault="00261502" w:rsidP="00130B8A">
            <w:pPr>
              <w:pStyle w:val="TableText"/>
              <w:keepNext/>
              <w:keepLines/>
            </w:pPr>
            <w:r w:rsidRPr="00261502">
              <w:t>2</w:t>
            </w:r>
          </w:p>
        </w:tc>
        <w:tc>
          <w:tcPr>
            <w:tcW w:w="418" w:type="pct"/>
            <w:noWrap/>
            <w:tcMar>
              <w:top w:w="57" w:type="dxa"/>
              <w:left w:w="57" w:type="dxa"/>
              <w:bottom w:w="85" w:type="dxa"/>
              <w:right w:w="57" w:type="dxa"/>
            </w:tcMar>
          </w:tcPr>
          <w:p w14:paraId="027AE1EB"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pH</w:t>
            </w:r>
          </w:p>
        </w:tc>
        <w:tc>
          <w:tcPr>
            <w:tcW w:w="514" w:type="pct"/>
            <w:noWrap/>
            <w:tcMar>
              <w:top w:w="57" w:type="dxa"/>
              <w:left w:w="57" w:type="dxa"/>
              <w:bottom w:w="85" w:type="dxa"/>
              <w:right w:w="57" w:type="dxa"/>
            </w:tcMar>
          </w:tcPr>
          <w:p w14:paraId="3F39B8DB"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pH</w:t>
            </w:r>
          </w:p>
        </w:tc>
        <w:tc>
          <w:tcPr>
            <w:tcW w:w="514" w:type="pct"/>
            <w:noWrap/>
            <w:tcMar>
              <w:top w:w="57" w:type="dxa"/>
              <w:left w:w="57" w:type="dxa"/>
              <w:bottom w:w="85" w:type="dxa"/>
              <w:right w:w="57" w:type="dxa"/>
            </w:tcMar>
          </w:tcPr>
          <w:p w14:paraId="24758427"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Temp</w:t>
            </w:r>
          </w:p>
        </w:tc>
        <w:tc>
          <w:tcPr>
            <w:tcW w:w="515" w:type="pct"/>
            <w:noWrap/>
            <w:tcMar>
              <w:top w:w="57" w:type="dxa"/>
              <w:left w:w="57" w:type="dxa"/>
              <w:bottom w:w="85" w:type="dxa"/>
              <w:right w:w="57" w:type="dxa"/>
            </w:tcMar>
          </w:tcPr>
          <w:p w14:paraId="4B5B8770"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Temp</w:t>
            </w:r>
          </w:p>
        </w:tc>
        <w:tc>
          <w:tcPr>
            <w:tcW w:w="514" w:type="pct"/>
            <w:noWrap/>
            <w:tcMar>
              <w:top w:w="57" w:type="dxa"/>
              <w:left w:w="57" w:type="dxa"/>
              <w:bottom w:w="85" w:type="dxa"/>
              <w:right w:w="57" w:type="dxa"/>
            </w:tcMar>
          </w:tcPr>
          <w:p w14:paraId="1167A12B"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DOC</w:t>
            </w:r>
          </w:p>
        </w:tc>
        <w:tc>
          <w:tcPr>
            <w:tcW w:w="514" w:type="pct"/>
            <w:noWrap/>
            <w:tcMar>
              <w:top w:w="57" w:type="dxa"/>
              <w:left w:w="57" w:type="dxa"/>
              <w:bottom w:w="85" w:type="dxa"/>
              <w:right w:w="57" w:type="dxa"/>
            </w:tcMar>
          </w:tcPr>
          <w:p w14:paraId="4F9E9B0E"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Temp</w:t>
            </w:r>
          </w:p>
        </w:tc>
        <w:tc>
          <w:tcPr>
            <w:tcW w:w="688" w:type="pct"/>
            <w:noWrap/>
            <w:tcMar>
              <w:top w:w="57" w:type="dxa"/>
              <w:left w:w="57" w:type="dxa"/>
              <w:bottom w:w="85" w:type="dxa"/>
              <w:right w:w="57" w:type="dxa"/>
            </w:tcMar>
          </w:tcPr>
          <w:p w14:paraId="12AF36EA"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Depth</w:t>
            </w:r>
          </w:p>
        </w:tc>
        <w:tc>
          <w:tcPr>
            <w:tcW w:w="391" w:type="pct"/>
            <w:noWrap/>
            <w:tcMar>
              <w:top w:w="57" w:type="dxa"/>
              <w:left w:w="57" w:type="dxa"/>
              <w:bottom w:w="85" w:type="dxa"/>
              <w:right w:w="57" w:type="dxa"/>
            </w:tcMar>
          </w:tcPr>
          <w:p w14:paraId="66DA65C7"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Total N</w:t>
            </w:r>
          </w:p>
        </w:tc>
        <w:tc>
          <w:tcPr>
            <w:tcW w:w="465" w:type="pct"/>
            <w:noWrap/>
            <w:tcMar>
              <w:top w:w="57" w:type="dxa"/>
              <w:left w:w="57" w:type="dxa"/>
              <w:bottom w:w="85" w:type="dxa"/>
              <w:right w:w="57" w:type="dxa"/>
            </w:tcMar>
          </w:tcPr>
          <w:p w14:paraId="637F7B07"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w:t>
            </w:r>
          </w:p>
        </w:tc>
      </w:tr>
      <w:tr w:rsidR="00261502" w:rsidRPr="00261502" w14:paraId="5B36006C" w14:textId="77777777" w:rsidTr="003D6F6D">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467" w:type="pct"/>
            <w:noWrap/>
            <w:tcMar>
              <w:top w:w="57" w:type="dxa"/>
              <w:left w:w="57" w:type="dxa"/>
              <w:bottom w:w="85" w:type="dxa"/>
              <w:right w:w="57" w:type="dxa"/>
            </w:tcMar>
          </w:tcPr>
          <w:p w14:paraId="02B3D0F3" w14:textId="77777777" w:rsidR="00261502" w:rsidRPr="00261502" w:rsidRDefault="00261502" w:rsidP="00130B8A">
            <w:pPr>
              <w:pStyle w:val="TableText"/>
              <w:keepNext/>
              <w:keepLines/>
            </w:pPr>
            <w:r w:rsidRPr="00261502">
              <w:t>3</w:t>
            </w:r>
          </w:p>
        </w:tc>
        <w:tc>
          <w:tcPr>
            <w:tcW w:w="418" w:type="pct"/>
            <w:noWrap/>
            <w:tcMar>
              <w:top w:w="57" w:type="dxa"/>
              <w:left w:w="57" w:type="dxa"/>
              <w:bottom w:w="85" w:type="dxa"/>
              <w:right w:w="57" w:type="dxa"/>
            </w:tcMar>
          </w:tcPr>
          <w:p w14:paraId="47639E2B"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Total N</w:t>
            </w:r>
          </w:p>
        </w:tc>
        <w:tc>
          <w:tcPr>
            <w:tcW w:w="514" w:type="pct"/>
            <w:noWrap/>
            <w:tcMar>
              <w:top w:w="57" w:type="dxa"/>
              <w:left w:w="57" w:type="dxa"/>
              <w:bottom w:w="85" w:type="dxa"/>
              <w:right w:w="57" w:type="dxa"/>
            </w:tcMar>
          </w:tcPr>
          <w:p w14:paraId="53B7B1B0"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DOC</w:t>
            </w:r>
          </w:p>
        </w:tc>
        <w:tc>
          <w:tcPr>
            <w:tcW w:w="514" w:type="pct"/>
            <w:noWrap/>
            <w:tcMar>
              <w:top w:w="57" w:type="dxa"/>
              <w:left w:w="57" w:type="dxa"/>
              <w:bottom w:w="85" w:type="dxa"/>
              <w:right w:w="57" w:type="dxa"/>
            </w:tcMar>
          </w:tcPr>
          <w:p w14:paraId="49288427"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c>
          <w:tcPr>
            <w:tcW w:w="515" w:type="pct"/>
            <w:noWrap/>
            <w:tcMar>
              <w:top w:w="57" w:type="dxa"/>
              <w:left w:w="57" w:type="dxa"/>
              <w:bottom w:w="85" w:type="dxa"/>
              <w:right w:w="57" w:type="dxa"/>
            </w:tcMar>
          </w:tcPr>
          <w:p w14:paraId="3262B67E"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c>
          <w:tcPr>
            <w:tcW w:w="514" w:type="pct"/>
            <w:noWrap/>
            <w:tcMar>
              <w:top w:w="57" w:type="dxa"/>
              <w:left w:w="57" w:type="dxa"/>
              <w:bottom w:w="85" w:type="dxa"/>
              <w:right w:w="57" w:type="dxa"/>
            </w:tcMar>
          </w:tcPr>
          <w:p w14:paraId="0FFFCFF3"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c>
          <w:tcPr>
            <w:tcW w:w="514" w:type="pct"/>
            <w:noWrap/>
            <w:tcMar>
              <w:top w:w="57" w:type="dxa"/>
              <w:left w:w="57" w:type="dxa"/>
              <w:bottom w:w="85" w:type="dxa"/>
              <w:right w:w="57" w:type="dxa"/>
            </w:tcMar>
          </w:tcPr>
          <w:p w14:paraId="63D95E63"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DOC</w:t>
            </w:r>
          </w:p>
        </w:tc>
        <w:tc>
          <w:tcPr>
            <w:tcW w:w="688" w:type="pct"/>
            <w:noWrap/>
            <w:tcMar>
              <w:top w:w="57" w:type="dxa"/>
              <w:left w:w="57" w:type="dxa"/>
              <w:bottom w:w="85" w:type="dxa"/>
              <w:right w:w="57" w:type="dxa"/>
            </w:tcMar>
          </w:tcPr>
          <w:p w14:paraId="2506F640"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pH</w:t>
            </w:r>
          </w:p>
        </w:tc>
        <w:tc>
          <w:tcPr>
            <w:tcW w:w="391" w:type="pct"/>
            <w:noWrap/>
            <w:tcMar>
              <w:top w:w="57" w:type="dxa"/>
              <w:left w:w="57" w:type="dxa"/>
              <w:bottom w:w="85" w:type="dxa"/>
              <w:right w:w="57" w:type="dxa"/>
            </w:tcMar>
          </w:tcPr>
          <w:p w14:paraId="1721B983"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Depth</w:t>
            </w:r>
          </w:p>
        </w:tc>
        <w:tc>
          <w:tcPr>
            <w:tcW w:w="465" w:type="pct"/>
            <w:noWrap/>
            <w:tcMar>
              <w:top w:w="57" w:type="dxa"/>
              <w:left w:w="57" w:type="dxa"/>
              <w:bottom w:w="85" w:type="dxa"/>
              <w:right w:w="57" w:type="dxa"/>
            </w:tcMar>
          </w:tcPr>
          <w:p w14:paraId="03D69C47" w14:textId="77777777" w:rsidR="00261502" w:rsidRPr="00261502" w:rsidRDefault="00261502" w:rsidP="00130B8A">
            <w:pPr>
              <w:pStyle w:val="TableText"/>
              <w:keepNext/>
              <w:keepLines/>
              <w:cnfStyle w:val="000000100000" w:firstRow="0" w:lastRow="0" w:firstColumn="0" w:lastColumn="0" w:oddVBand="0" w:evenVBand="0" w:oddHBand="1" w:evenHBand="0" w:firstRowFirstColumn="0" w:firstRowLastColumn="0" w:lastRowFirstColumn="0" w:lastRowLastColumn="0"/>
            </w:pPr>
          </w:p>
        </w:tc>
      </w:tr>
      <w:tr w:rsidR="00261502" w:rsidRPr="00261502" w14:paraId="520A60A3" w14:textId="77777777" w:rsidTr="003D6F6D">
        <w:trPr>
          <w:cnfStyle w:val="000000010000" w:firstRow="0" w:lastRow="0" w:firstColumn="0" w:lastColumn="0" w:oddVBand="0" w:evenVBand="0" w:oddHBand="0" w:evenHBand="1"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467" w:type="pct"/>
            <w:noWrap/>
            <w:tcMar>
              <w:top w:w="57" w:type="dxa"/>
              <w:left w:w="57" w:type="dxa"/>
              <w:bottom w:w="85" w:type="dxa"/>
              <w:right w:w="57" w:type="dxa"/>
            </w:tcMar>
          </w:tcPr>
          <w:p w14:paraId="41BB04A7" w14:textId="77777777" w:rsidR="00261502" w:rsidRPr="00261502" w:rsidRDefault="00261502" w:rsidP="00130B8A">
            <w:pPr>
              <w:pStyle w:val="TableText"/>
              <w:keepNext/>
              <w:keepLines/>
            </w:pPr>
            <w:r w:rsidRPr="00261502">
              <w:t>4</w:t>
            </w:r>
          </w:p>
        </w:tc>
        <w:tc>
          <w:tcPr>
            <w:tcW w:w="418" w:type="pct"/>
            <w:noWrap/>
            <w:tcMar>
              <w:top w:w="57" w:type="dxa"/>
              <w:left w:w="57" w:type="dxa"/>
              <w:bottom w:w="85" w:type="dxa"/>
              <w:right w:w="57" w:type="dxa"/>
            </w:tcMar>
          </w:tcPr>
          <w:p w14:paraId="3EAE5734"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w:t>
            </w:r>
          </w:p>
        </w:tc>
        <w:tc>
          <w:tcPr>
            <w:tcW w:w="514" w:type="pct"/>
            <w:noWrap/>
            <w:tcMar>
              <w:top w:w="57" w:type="dxa"/>
              <w:left w:w="57" w:type="dxa"/>
              <w:bottom w:w="85" w:type="dxa"/>
              <w:right w:w="57" w:type="dxa"/>
            </w:tcMar>
          </w:tcPr>
          <w:p w14:paraId="41544C3E"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Temp</w:t>
            </w:r>
          </w:p>
        </w:tc>
        <w:tc>
          <w:tcPr>
            <w:tcW w:w="514" w:type="pct"/>
            <w:noWrap/>
            <w:tcMar>
              <w:top w:w="57" w:type="dxa"/>
              <w:left w:w="57" w:type="dxa"/>
              <w:bottom w:w="85" w:type="dxa"/>
              <w:right w:w="57" w:type="dxa"/>
            </w:tcMar>
          </w:tcPr>
          <w:p w14:paraId="59FDC502"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w:t>
            </w:r>
          </w:p>
        </w:tc>
        <w:tc>
          <w:tcPr>
            <w:tcW w:w="515" w:type="pct"/>
            <w:noWrap/>
            <w:tcMar>
              <w:top w:w="57" w:type="dxa"/>
              <w:left w:w="57" w:type="dxa"/>
              <w:bottom w:w="85" w:type="dxa"/>
              <w:right w:w="57" w:type="dxa"/>
            </w:tcMar>
          </w:tcPr>
          <w:p w14:paraId="777BB970"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w:t>
            </w:r>
          </w:p>
        </w:tc>
        <w:tc>
          <w:tcPr>
            <w:tcW w:w="514" w:type="pct"/>
            <w:noWrap/>
            <w:tcMar>
              <w:top w:w="57" w:type="dxa"/>
              <w:left w:w="57" w:type="dxa"/>
              <w:bottom w:w="85" w:type="dxa"/>
              <w:right w:w="57" w:type="dxa"/>
            </w:tcMar>
          </w:tcPr>
          <w:p w14:paraId="6085E41D"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Temp</w:t>
            </w:r>
          </w:p>
        </w:tc>
        <w:tc>
          <w:tcPr>
            <w:tcW w:w="514" w:type="pct"/>
            <w:noWrap/>
            <w:tcMar>
              <w:top w:w="57" w:type="dxa"/>
              <w:left w:w="57" w:type="dxa"/>
              <w:bottom w:w="85" w:type="dxa"/>
              <w:right w:w="57" w:type="dxa"/>
            </w:tcMar>
          </w:tcPr>
          <w:p w14:paraId="0B8D1211"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Sulfate</w:t>
            </w:r>
          </w:p>
        </w:tc>
        <w:tc>
          <w:tcPr>
            <w:tcW w:w="688" w:type="pct"/>
            <w:noWrap/>
            <w:tcMar>
              <w:top w:w="57" w:type="dxa"/>
              <w:left w:w="57" w:type="dxa"/>
              <w:bottom w:w="85" w:type="dxa"/>
              <w:right w:w="57" w:type="dxa"/>
            </w:tcMar>
          </w:tcPr>
          <w:p w14:paraId="3DFACE5F"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Total N</w:t>
            </w:r>
          </w:p>
        </w:tc>
        <w:tc>
          <w:tcPr>
            <w:tcW w:w="391" w:type="pct"/>
            <w:noWrap/>
            <w:tcMar>
              <w:top w:w="57" w:type="dxa"/>
              <w:left w:w="57" w:type="dxa"/>
              <w:bottom w:w="85" w:type="dxa"/>
              <w:right w:w="57" w:type="dxa"/>
            </w:tcMar>
          </w:tcPr>
          <w:p w14:paraId="59CBF531"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DO</w:t>
            </w:r>
          </w:p>
        </w:tc>
        <w:tc>
          <w:tcPr>
            <w:tcW w:w="465" w:type="pct"/>
            <w:noWrap/>
            <w:tcMar>
              <w:top w:w="57" w:type="dxa"/>
              <w:left w:w="57" w:type="dxa"/>
              <w:bottom w:w="85" w:type="dxa"/>
              <w:right w:w="57" w:type="dxa"/>
            </w:tcMar>
          </w:tcPr>
          <w:p w14:paraId="008A3B1C" w14:textId="77777777" w:rsidR="00261502" w:rsidRPr="00261502" w:rsidRDefault="00261502" w:rsidP="00130B8A">
            <w:pPr>
              <w:pStyle w:val="TableText"/>
              <w:keepNext/>
              <w:keepLines/>
              <w:cnfStyle w:val="000000010000" w:firstRow="0" w:lastRow="0" w:firstColumn="0" w:lastColumn="0" w:oddVBand="0" w:evenVBand="0" w:oddHBand="0" w:evenHBand="1" w:firstRowFirstColumn="0" w:firstRowLastColumn="0" w:lastRowFirstColumn="0" w:lastRowLastColumn="0"/>
            </w:pPr>
          </w:p>
        </w:tc>
      </w:tr>
    </w:tbl>
    <w:p w14:paraId="31B4D8FB" w14:textId="77777777" w:rsidR="00261502" w:rsidRDefault="00261502" w:rsidP="0010618E">
      <w:pPr>
        <w:pStyle w:val="TableSourceNotes"/>
      </w:pPr>
      <w:r>
        <w:t>EC = electrical conductivity, DO = dissolved oxygen, temp = temperature, DOC = dissolved organic carbon, depth = mean slot depth, TN = total nitrogen, COG = Cluster of Orthologous Genes database, EC = Enzyme Commission database, GO = Gene Ontology database, 16S = 16S rDNA gene, 18S = 18S rDNA gene, MG = derived from metagenome, MB = derived from metabarcoding.</w:t>
      </w:r>
    </w:p>
    <w:p w14:paraId="01F4F120" w14:textId="4F66A561" w:rsidR="00261502" w:rsidRDefault="00261502" w:rsidP="0010618E">
      <w:pPr>
        <w:pStyle w:val="TableSourceNotes"/>
      </w:pPr>
      <w:r>
        <w:t xml:space="preserve">Full details of DistLM analyses are provided in sections </w:t>
      </w:r>
      <w:r w:rsidR="00F03027">
        <w:fldChar w:fldCharType="begin"/>
      </w:r>
      <w:r w:rsidR="00F03027">
        <w:instrText xml:space="preserve"> REF s32 \h </w:instrText>
      </w:r>
      <w:r w:rsidR="00F03027">
        <w:fldChar w:fldCharType="separate"/>
      </w:r>
      <w:r w:rsidR="00F03027">
        <w:t>3.2</w:t>
      </w:r>
      <w:r w:rsidR="00F03027">
        <w:fldChar w:fldCharType="end"/>
      </w:r>
      <w:r>
        <w:t xml:space="preserve"> and </w:t>
      </w:r>
      <w:r w:rsidR="00F03027">
        <w:fldChar w:fldCharType="begin"/>
      </w:r>
      <w:r w:rsidR="00F03027">
        <w:instrText xml:space="preserve"> REF s33 \h </w:instrText>
      </w:r>
      <w:r w:rsidR="00F03027">
        <w:fldChar w:fldCharType="separate"/>
      </w:r>
      <w:r w:rsidR="00F03027">
        <w:t>3.3</w:t>
      </w:r>
      <w:r w:rsidR="00F03027">
        <w:fldChar w:fldCharType="end"/>
      </w:r>
      <w:r>
        <w:t xml:space="preserve"> of this report.</w:t>
      </w:r>
    </w:p>
    <w:p w14:paraId="2CD3073B" w14:textId="77777777" w:rsidR="00261502" w:rsidRDefault="00261502" w:rsidP="0010618E">
      <w:pPr>
        <w:pStyle w:val="BodyText"/>
        <w:spacing w:before="240"/>
      </w:pPr>
      <w:r>
        <w:t>RELATE analysis, which correlates the similarity among the 18S rDNA simulated metabarcode data compiled using Kelpie 2.0 with that among the 18S rDNA metabarcode samples based on presence/absence of OTUs, was significant (r=0.306, p=0.004), indicating that there was a significant rank correlation between the two matrices. Comparisons of similarities based on relative abundance data also indicated a significant correlation among similarities between samples (r=0.621, p=0.001). The suite of variables that best explained variation in the 16S rDNA FAPROTAX data (i.e., primarily EC and depth) was different to those that best explained other functional and 16S rDNA datasets. However, FAPROTAX infers function based on taxonomy, in contrast to the metagenomics approaches, which are based on the presence of genes with known function. Interestingly, there was not a strong congruence between the variables that best explained the differences in the 18S rDNA metabarcode and metagenome assemblages. However, it is important to note that in all of these DistLM analyses, there were no strong environmental gradients across the samples. This was because sampling sites within an aquifer type were chosen to be similar and, given the clear differences in each dataset by aquifer type, the DistLM outcomes typically identified those variables that reflect aquifer types.</w:t>
      </w:r>
    </w:p>
    <w:p w14:paraId="36C93B87" w14:textId="77777777" w:rsidR="00261502" w:rsidRDefault="00261502" w:rsidP="00261502">
      <w:pPr>
        <w:pStyle w:val="BodyText"/>
      </w:pPr>
      <w:r>
        <w:t xml:space="preserve">Results from this study show that metabarcode and metagenome data, overall, perform similarly in their ability to discriminate microbial assemblages from different aquifers and in response to environmental conditions. We have focused on community and functional composition, rather than diversity </w:t>
      </w:r>
      <w:r w:rsidRPr="0010618E">
        <w:rPr>
          <w:i/>
          <w:iCs/>
        </w:rPr>
        <w:t>per se</w:t>
      </w:r>
      <w:r>
        <w:t>, and note that metabarcoding and metagenome approaches may differ (e.g., Becker and Pushkareva 2023) or not (e.g., Rubiola et al. 2022) in their ability to characterise microbial diversity. Metagenome data have the advantage of providing functional and taxonomic information (such as using Kelpie (Greenfield et al. 2019)), but doing so requires additional, specialist bioinformatics support.</w:t>
      </w:r>
    </w:p>
    <w:p w14:paraId="60FD7365" w14:textId="77777777" w:rsidR="00261502" w:rsidRDefault="00261502" w:rsidP="00261502">
      <w:pPr>
        <w:pStyle w:val="BodyText"/>
      </w:pPr>
      <w:r>
        <w:t>This study has shown differences in the metagenomes of pre- and post-purge samples. Metagenomes were characterised for relatively few post-purge samples, which is likely due to a low mass of DNA in those samples. This is consistent with the findings of Stages 1 and 2 of this project, which reported that post-purge groundwater samples contain lower concentrations of DNA compared to pre-purge samples and differ in their microbial composition (Korbel et al. 2022a; Korbel et al. 2023) and metagenomes, as shown here. Post-purge sampling is essential to characterise aquifer communities; based on this, further development of the sampling approaches used in this study is needed to increase DNA yield and ensure that sufficient high-quality DNA is available for analysis. Given the relatively high cost of metagenome sequencing, it is prudent that all possible steps are taken to maximise the likelihood of successful sequencing.</w:t>
      </w:r>
    </w:p>
    <w:p w14:paraId="7640E339" w14:textId="1B4B5D11" w:rsidR="00130B8A" w:rsidRDefault="00261502" w:rsidP="00261502">
      <w:pPr>
        <w:pStyle w:val="BodyText"/>
      </w:pPr>
      <w:r>
        <w:t>Compared to metabarcoding, metagenome analysis provides similar depth of information on the taxonomic composition of the groundwater microbial communities and provides potentially greater depth of information on the function and composition of the communities but comes at greater cost and complexity. Indicative costs of sequencing the metagenomes of 60 samples (of which 34 were successfully sequenced) was $20,000. In comparison, metabarcode preparation and sequencing of the same 60 samples cost in the order of $8,000 (for 16S rDNA only). These indicative costs of analysis may be greater if using a commercial analytical service. The depth of information provided by metagenome analysis is valuable for assessing environmental impact and, where possible, this is an ideal means to assess groundwater microbial assemblages. However, metabarcoding still provides a detailed characterisation of the microbial assemblage, is able to show changes in assemblages over space and time and can be used to infer functional changes based on that taxonomy, either using tools such as FAPROTAX (Louca et al. 2016) or the abundance of specific taxa (e.g., Korbel et al. 2022b). At present, the knowledge gained from metagenomes that is of specific benefit to routine biomonitoring does not outweigh the greater cost over metabarcoding analysis. Indeed, metabarcoding is likely to be sufficient for groundwater monitoring for the foreseeable future, but as cost decreases and access to metagenome analysis increases, metagenome analysis will likely become the gold standard.</w:t>
      </w:r>
    </w:p>
    <w:p w14:paraId="353E091A" w14:textId="77777777" w:rsidR="00130B8A" w:rsidRDefault="00130B8A">
      <w:pPr>
        <w:rPr>
          <w:rFonts w:ascii="Garamond" w:hAnsi="Garamond" w:cs="Calibri"/>
          <w:color w:val="000000"/>
          <w:sz w:val="20"/>
          <w:szCs w:val="20"/>
          <w:lang w:val="en-US"/>
        </w:rPr>
      </w:pPr>
      <w:r>
        <w:br w:type="page"/>
      </w:r>
    </w:p>
    <w:p w14:paraId="4F0C05E7" w14:textId="77777777" w:rsidR="00261502" w:rsidRDefault="00261502" w:rsidP="00261502">
      <w:pPr>
        <w:pStyle w:val="BodyText"/>
      </w:pPr>
    </w:p>
    <w:p w14:paraId="3259F360" w14:textId="77777777" w:rsidR="00261502" w:rsidRDefault="00261502" w:rsidP="0010618E">
      <w:pPr>
        <w:pStyle w:val="Box1Heading"/>
      </w:pPr>
      <w:r>
        <w:t>Our results for metagenome analysis indicate that …</w:t>
      </w:r>
    </w:p>
    <w:p w14:paraId="3FDA727B" w14:textId="77777777" w:rsidR="00261502" w:rsidRDefault="00261502" w:rsidP="0010618E">
      <w:pPr>
        <w:pStyle w:val="Box1Text"/>
      </w:pPr>
      <w:r>
        <w:t>This approach requires a large volume of DNA that was difficult to obtain from post-purge samples.</w:t>
      </w:r>
    </w:p>
    <w:p w14:paraId="3A66B2E6" w14:textId="77777777" w:rsidR="00261502" w:rsidRDefault="00261502" w:rsidP="0010618E">
      <w:pPr>
        <w:pStyle w:val="Box1Text"/>
      </w:pPr>
      <w:r>
        <w:t>Pre-purge samples typically had higher DNA volumes, making them more amenable to metagenome analysis. However, pre-purge samples represent the community specifically associated with the environment provided by the bore and may not represent the community in the aquifer (see Stage 1 and 2 reports)</w:t>
      </w:r>
    </w:p>
    <w:p w14:paraId="604E3256" w14:textId="77777777" w:rsidR="00016E1B" w:rsidRDefault="00261502" w:rsidP="0010618E">
      <w:pPr>
        <w:pStyle w:val="Box1Text"/>
      </w:pPr>
      <w:r>
        <w:t>Analysis of 16S and 18S metabarcode sequences from the metagenome data using Kelpie (software) indicated similar patterns of differences among samples from different aquifer types and pre- and post-purge samples to those from the respective metabarcode analysis.</w:t>
      </w:r>
    </w:p>
    <w:p w14:paraId="799DB789" w14:textId="54EB41F5" w:rsidR="00261502" w:rsidRDefault="00261502" w:rsidP="0010618E">
      <w:pPr>
        <w:pStyle w:val="Box1Text"/>
      </w:pPr>
      <w:r>
        <w:t>Results from this study show that metabarcode and metagenome data, overall, perform similarly in their ability to discriminate microbial assemblages from different aquifers and in response to environmental conditions.</w:t>
      </w:r>
    </w:p>
    <w:p w14:paraId="3296F93B" w14:textId="77777777" w:rsidR="00261502" w:rsidRDefault="00261502" w:rsidP="0010618E">
      <w:pPr>
        <w:pStyle w:val="Box1Text"/>
      </w:pPr>
      <w:r>
        <w:t>Metagenome analysis provides greater depth of information on community composition and function than does metabarcoding.</w:t>
      </w:r>
    </w:p>
    <w:p w14:paraId="64E42D04" w14:textId="218995C6" w:rsidR="00261502" w:rsidRDefault="00261502" w:rsidP="0010618E">
      <w:pPr>
        <w:pStyle w:val="Box1Text"/>
      </w:pPr>
      <w:r>
        <w:t>Metabarcoding is less expensive than metagenome analysis and is likely to be sufficient for groundwater monitoring until the costs of metagenome analyses decline.</w:t>
      </w:r>
    </w:p>
    <w:p w14:paraId="56E9C438" w14:textId="61197DCC" w:rsidR="00261502" w:rsidRDefault="00261502">
      <w:pPr>
        <w:rPr>
          <w:rFonts w:ascii="Garamond" w:hAnsi="Garamond" w:cs="Calibri"/>
          <w:color w:val="000000"/>
          <w:sz w:val="20"/>
          <w:szCs w:val="20"/>
          <w:lang w:val="en-US"/>
        </w:rPr>
      </w:pPr>
      <w:r>
        <w:br w:type="page"/>
      </w:r>
    </w:p>
    <w:p w14:paraId="209FD177" w14:textId="21BE6DDE" w:rsidR="00261502" w:rsidRDefault="00261502" w:rsidP="00261502">
      <w:pPr>
        <w:pStyle w:val="Heading1Numbered"/>
      </w:pPr>
      <w:bookmarkStart w:id="74" w:name="_Toc164960625"/>
      <w:r>
        <w:t>Summary and recommendations</w:t>
      </w:r>
      <w:bookmarkEnd w:id="74"/>
    </w:p>
    <w:p w14:paraId="20FA8E2C" w14:textId="5508DD3B" w:rsidR="00261502" w:rsidRDefault="00261502" w:rsidP="00261502">
      <w:pPr>
        <w:pStyle w:val="BodyText"/>
      </w:pPr>
      <w:r>
        <w:t xml:space="preserve">The aims of this report were to investigate the differences between metabarcoding and metagenome analysis of eDNA within groundwater, and comment on their pros and cons. In this section we provide a summary of outcomes and recommendations based on the four core research questions (Section </w:t>
      </w:r>
      <w:r w:rsidR="00F03027">
        <w:fldChar w:fldCharType="begin"/>
      </w:r>
      <w:r w:rsidR="00F03027">
        <w:instrText xml:space="preserve"> REF s131 \h </w:instrText>
      </w:r>
      <w:r w:rsidR="00F03027">
        <w:fldChar w:fldCharType="separate"/>
      </w:r>
      <w:r w:rsidR="00F03027">
        <w:t>1.3.1</w:t>
      </w:r>
      <w:r w:rsidR="00F03027">
        <w:fldChar w:fldCharType="end"/>
      </w:r>
      <w:r>
        <w:t>).</w:t>
      </w:r>
    </w:p>
    <w:p w14:paraId="6FB7D4E8" w14:textId="77777777" w:rsidR="00016E1B" w:rsidRDefault="00261502" w:rsidP="00261502">
      <w:pPr>
        <w:pStyle w:val="BodyText"/>
        <w:rPr>
          <w:i/>
          <w:iCs/>
        </w:rPr>
      </w:pPr>
      <w:r w:rsidRPr="0010618E">
        <w:rPr>
          <w:i/>
          <w:iCs/>
        </w:rPr>
        <w:t>Are there differences in the taxonomic and functional composition of biotic assemblages in alluvial and sandstone aquifers as characterised by metagenomics and metabarcoding?</w:t>
      </w:r>
    </w:p>
    <w:p w14:paraId="294C1E2F" w14:textId="77777777" w:rsidR="00016E1B" w:rsidRDefault="00261502" w:rsidP="0010618E">
      <w:pPr>
        <w:pStyle w:val="Bullet1"/>
      </w:pPr>
      <w:r>
        <w:t>Both metagenomics and metabarcode analysis identified differences in the functional and composition structure of microbial assemblages between sandstone and alluvial aquifers.</w:t>
      </w:r>
    </w:p>
    <w:p w14:paraId="62CCEB7A" w14:textId="77777777" w:rsidR="00016E1B" w:rsidRDefault="00261502" w:rsidP="00261502">
      <w:pPr>
        <w:pStyle w:val="BodyText"/>
        <w:rPr>
          <w:i/>
          <w:iCs/>
        </w:rPr>
      </w:pPr>
      <w:r w:rsidRPr="0010618E">
        <w:rPr>
          <w:i/>
          <w:iCs/>
        </w:rPr>
        <w:t>Are there associations between water quality parameters and microbial function and composition in both aquifers?</w:t>
      </w:r>
    </w:p>
    <w:p w14:paraId="470E0557" w14:textId="77777777" w:rsidR="00016E1B" w:rsidRDefault="00261502" w:rsidP="0010618E">
      <w:pPr>
        <w:pStyle w:val="Bullet1"/>
      </w:pPr>
      <w:r>
        <w:t>The taxonomic structure and function of microbial communities were associated with water quality and environmental conditions. Communities characterised using metagenome and metabarcoding analyses responded to a similar suite of water quality variables.</w:t>
      </w:r>
    </w:p>
    <w:p w14:paraId="1295D305" w14:textId="6A728966" w:rsidR="00261502" w:rsidRPr="0010618E" w:rsidRDefault="00261502" w:rsidP="00261502">
      <w:pPr>
        <w:pStyle w:val="BodyText"/>
        <w:rPr>
          <w:i/>
          <w:iCs/>
        </w:rPr>
      </w:pPr>
      <w:r w:rsidRPr="0010618E">
        <w:rPr>
          <w:i/>
          <w:iCs/>
        </w:rPr>
        <w:t>Can spiking be used to enable quantitative comparisons of eDNA data?</w:t>
      </w:r>
    </w:p>
    <w:p w14:paraId="18CD1221" w14:textId="2934166D" w:rsidR="00261502" w:rsidRDefault="00261502" w:rsidP="0010618E">
      <w:pPr>
        <w:pStyle w:val="Bullet1"/>
      </w:pPr>
      <w:r>
        <w:t>The use of spikes to quantify abundance of taxa in eDNA samples is technically challenging, is time-consuming, and introduces additional uncertainties into the quantitation.</w:t>
      </w:r>
    </w:p>
    <w:p w14:paraId="0E3D2F05" w14:textId="7F87ADDE" w:rsidR="00261502" w:rsidRDefault="00261502" w:rsidP="0010618E">
      <w:pPr>
        <w:pStyle w:val="Bullet1"/>
      </w:pPr>
      <w:r>
        <w:t>Spikes added to samples prior to PCR require a large amount of work to estimate suitable concentration so as to not ‘swamp’ the sample DNA.</w:t>
      </w:r>
    </w:p>
    <w:p w14:paraId="5C417AAD" w14:textId="38626539" w:rsidR="00261502" w:rsidRDefault="00261502" w:rsidP="0010618E">
      <w:pPr>
        <w:pStyle w:val="Bullet1"/>
      </w:pPr>
      <w:r>
        <w:t>There is no clear evidence that spiking aids the ability to quantify abundances or improve analyses based on relative abundance of microbes within environmental samples.</w:t>
      </w:r>
    </w:p>
    <w:p w14:paraId="09BF3FB6" w14:textId="77777777" w:rsidR="00261502" w:rsidRPr="0010618E" w:rsidRDefault="00261502" w:rsidP="00261502">
      <w:pPr>
        <w:pStyle w:val="BodyText"/>
        <w:rPr>
          <w:i/>
          <w:iCs/>
        </w:rPr>
      </w:pPr>
      <w:r w:rsidRPr="0010618E">
        <w:rPr>
          <w:i/>
          <w:iCs/>
        </w:rPr>
        <w:t>Is it feasible for consultants to collect and process groundwater samples for either shotgun sequencing or metabarcoding approaches to assess potential impacts of coal mining and CSG development on microbial composition and activity?</w:t>
      </w:r>
    </w:p>
    <w:p w14:paraId="08FBE3A4" w14:textId="6069B1DF" w:rsidR="00261502" w:rsidRDefault="00261502" w:rsidP="0010618E">
      <w:pPr>
        <w:pStyle w:val="Bullet1"/>
      </w:pPr>
      <w:r>
        <w:t>Metagenome analysis indicated:</w:t>
      </w:r>
    </w:p>
    <w:p w14:paraId="4258B8BC" w14:textId="23BCFE5C" w:rsidR="00261502" w:rsidRDefault="00261502" w:rsidP="0010618E">
      <w:pPr>
        <w:pStyle w:val="Bullet2"/>
      </w:pPr>
      <w:r>
        <w:t>biological community differences between pre-purge and post-purge samples in terms of functional genes and taxonomic composition</w:t>
      </w:r>
    </w:p>
    <w:p w14:paraId="60B3D9F0" w14:textId="7D9546E7" w:rsidR="00261502" w:rsidRDefault="00261502" w:rsidP="0010618E">
      <w:pPr>
        <w:pStyle w:val="Bullet2"/>
      </w:pPr>
      <w:r>
        <w:t>biological community differences between aquifer types in terms of functional genes and taxonomic composition and in response to environmental conditions.</w:t>
      </w:r>
    </w:p>
    <w:p w14:paraId="6EBCBDA0" w14:textId="129D5680" w:rsidR="00261502" w:rsidRDefault="00261502" w:rsidP="0010618E">
      <w:pPr>
        <w:pStyle w:val="Bullet1"/>
      </w:pPr>
      <w:r>
        <w:t>Compared to metabarcoding, metagenome analysis:</w:t>
      </w:r>
    </w:p>
    <w:p w14:paraId="59C3A37A" w14:textId="243E8872" w:rsidR="00261502" w:rsidRDefault="00261502" w:rsidP="0010618E">
      <w:pPr>
        <w:pStyle w:val="Bullet2"/>
      </w:pPr>
      <w:r>
        <w:t>provides a similar depth of information on the taxonomic composition of the groundwater microbial communities</w:t>
      </w:r>
    </w:p>
    <w:p w14:paraId="41635F01" w14:textId="7D3C126E" w:rsidR="00261502" w:rsidRDefault="00261502" w:rsidP="0010618E">
      <w:pPr>
        <w:pStyle w:val="Bullet2"/>
      </w:pPr>
      <w:r>
        <w:t>provides a similar analysis of microbial responses to environmental conditions</w:t>
      </w:r>
    </w:p>
    <w:p w14:paraId="1C40817B" w14:textId="6F3DFB18" w:rsidR="00261502" w:rsidRDefault="00261502" w:rsidP="0010618E">
      <w:pPr>
        <w:pStyle w:val="Bullet2"/>
      </w:pPr>
      <w:r>
        <w:t>provides greater detail and depth of information on the functions of microbial assemblages</w:t>
      </w:r>
    </w:p>
    <w:p w14:paraId="71B41689" w14:textId="42650113" w:rsidR="00261502" w:rsidRDefault="00261502" w:rsidP="0010618E">
      <w:pPr>
        <w:pStyle w:val="Bullet2"/>
      </w:pPr>
      <w:r>
        <w:t>currently costs more than 2.5 times the cost of metabarcoding analysis.</w:t>
      </w:r>
    </w:p>
    <w:p w14:paraId="2AE73FB5" w14:textId="77777777" w:rsidR="00016E1B" w:rsidRDefault="00261502" w:rsidP="0010618E">
      <w:pPr>
        <w:pStyle w:val="Bullet1"/>
      </w:pPr>
      <w:r>
        <w:t>Currently metabarcoding is sufficient for the analysis of microbes and stygofauna for the purpose of monitoring; however, it is likely that as metagenome analyses improve and costs reduce, metagenome analysis may be more accessible for routine monitoring of groundwater in the future.</w:t>
      </w:r>
    </w:p>
    <w:p w14:paraId="2A7C5BF1" w14:textId="7FEFBB09" w:rsidR="0010618E" w:rsidRDefault="0010618E" w:rsidP="00EE5F48">
      <w:pPr>
        <w:pStyle w:val="BodyText"/>
      </w:pPr>
      <w:r>
        <w:br w:type="page"/>
      </w:r>
    </w:p>
    <w:p w14:paraId="4597994C" w14:textId="4A75F672" w:rsidR="00261502" w:rsidRDefault="00261502" w:rsidP="0010618E">
      <w:pPr>
        <w:pStyle w:val="Heading1"/>
      </w:pPr>
      <w:bookmarkStart w:id="75" w:name="_Toc164960626"/>
      <w:r>
        <w:t>Acknowledgments</w:t>
      </w:r>
      <w:bookmarkEnd w:id="75"/>
    </w:p>
    <w:p w14:paraId="4F0663AB" w14:textId="77777777" w:rsidR="00016E1B" w:rsidRDefault="00261502" w:rsidP="00261502">
      <w:pPr>
        <w:pStyle w:val="BodyText"/>
      </w:pPr>
      <w:r>
        <w:t>Sample collection and analysis was undertaken by Grant Hose (Macquarie University (MU)), Kathryn Korbel (MU), Kitty McKnight (MU), Tess Nelson (MU), Zac Whetters (MU) and Harry Anderson (MU). This report was prepared by Grant Hose, Kathryn Korbel and Kitty McKnight. All bioinformatics analyses were performed by Paul Greenfield (CSIRO). Anthony Chariton provided guidance on molecular methods.</w:t>
      </w:r>
    </w:p>
    <w:p w14:paraId="43525350" w14:textId="78E7205F" w:rsidR="00261502" w:rsidRDefault="00261502" w:rsidP="00261502">
      <w:pPr>
        <w:pStyle w:val="BodyText"/>
      </w:pPr>
      <w:r>
        <w:t>We acknowledge the people of Darkinjung, Dharug and Dharawal Nations as the traditional owners and custodians of the lands on which this work was undertaken. We pay respects to all Elders past and present and to the Indigenous leaders of tomorrow.</w:t>
      </w:r>
    </w:p>
    <w:p w14:paraId="75F28972" w14:textId="77777777" w:rsidR="0010618E" w:rsidRDefault="0010618E" w:rsidP="00EE5F48">
      <w:pPr>
        <w:pStyle w:val="BodyText"/>
      </w:pPr>
      <w:r>
        <w:br w:type="page"/>
      </w:r>
    </w:p>
    <w:p w14:paraId="4852ECAB" w14:textId="4A4C8E0E" w:rsidR="00261502" w:rsidRDefault="00261502" w:rsidP="0010618E">
      <w:pPr>
        <w:pStyle w:val="Heading1"/>
      </w:pPr>
      <w:bookmarkStart w:id="76" w:name="_Toc164960627"/>
      <w:r>
        <w:t>Reference list</w:t>
      </w:r>
      <w:bookmarkEnd w:id="76"/>
    </w:p>
    <w:p w14:paraId="304E3656" w14:textId="77777777" w:rsidR="00261502" w:rsidRDefault="00261502" w:rsidP="0010618E">
      <w:pPr>
        <w:pStyle w:val="References"/>
      </w:pPr>
      <w:r>
        <w:t xml:space="preserve">Abrego N, Roslin T, Huotari T, Ji Y, Schmidt NM, Wang J, Yu DW and Ovaskainen O 2021. Accounting for species interactions is necessary for predicting how arctic arthropod communities respond to climate change. </w:t>
      </w:r>
      <w:r w:rsidRPr="0010618E">
        <w:rPr>
          <w:i/>
          <w:iCs/>
        </w:rPr>
        <w:t>Ecography</w:t>
      </w:r>
      <w:r>
        <w:t>, 44, 885–896.</w:t>
      </w:r>
    </w:p>
    <w:p w14:paraId="43874F64" w14:textId="77777777" w:rsidR="00261502" w:rsidRDefault="00261502" w:rsidP="0010618E">
      <w:pPr>
        <w:pStyle w:val="References"/>
      </w:pPr>
      <w:r>
        <w:t xml:space="preserve">Aird D, Ross MG, Chen W-S, Danielsson M, Fennell T, Russ C, Jaffe DB, Nusbaum C and Gnirke A 2011. Analyzing and minimizing PCR amplification bias in Illumina sequencing libraries. </w:t>
      </w:r>
      <w:r w:rsidRPr="0010618E">
        <w:rPr>
          <w:i/>
          <w:iCs/>
        </w:rPr>
        <w:t>Genome Biology</w:t>
      </w:r>
      <w:r>
        <w:t>, 12, R18.</w:t>
      </w:r>
    </w:p>
    <w:p w14:paraId="516CBA4F" w14:textId="77777777" w:rsidR="00016E1B" w:rsidRDefault="00261502" w:rsidP="0010618E">
      <w:pPr>
        <w:pStyle w:val="References"/>
      </w:pPr>
      <w:r>
        <w:t xml:space="preserve">Anderson MJ 2001. A new method for non-parametric multivariate analysis of variance. </w:t>
      </w:r>
      <w:r w:rsidRPr="0010618E">
        <w:rPr>
          <w:i/>
          <w:iCs/>
        </w:rPr>
        <w:t>Austral Ecology</w:t>
      </w:r>
      <w:r>
        <w:t>, 26, 32–46.</w:t>
      </w:r>
    </w:p>
    <w:p w14:paraId="19AC99FE" w14:textId="316BFD9F" w:rsidR="00016E1B" w:rsidRDefault="00261502" w:rsidP="0010618E">
      <w:pPr>
        <w:pStyle w:val="References"/>
      </w:pPr>
      <w:r>
        <w:t xml:space="preserve">Anderson MJ, Gorley RN and Clarke KR 2008. </w:t>
      </w:r>
      <w:r w:rsidRPr="0010618E">
        <w:rPr>
          <w:i/>
          <w:iCs/>
        </w:rPr>
        <w:t>PERMANOVA+ for PRIMER: guide to software and statistical methods</w:t>
      </w:r>
      <w:r>
        <w:t>. PRIMER-E, Plymouth.</w:t>
      </w:r>
    </w:p>
    <w:p w14:paraId="45416A2D" w14:textId="77777777" w:rsidR="00016E1B" w:rsidRDefault="00261502" w:rsidP="0010618E">
      <w:pPr>
        <w:pStyle w:val="References"/>
      </w:pPr>
      <w:r>
        <w:t xml:space="preserve">Apprill A, McNally S, Parsons R and Weber L 2015. Minor revision to V4 region SSU rRNA 806R gene primer greatly increases detection of SAR11 bacterioplankton. </w:t>
      </w:r>
      <w:r w:rsidRPr="00634ADC">
        <w:rPr>
          <w:i/>
          <w:iCs/>
        </w:rPr>
        <w:t>Aquatic Microbial Ecology</w:t>
      </w:r>
      <w:r>
        <w:t>, 75, 129–137.</w:t>
      </w:r>
    </w:p>
    <w:p w14:paraId="1297E048" w14:textId="0D9C6E55" w:rsidR="00261502" w:rsidRDefault="00261502" w:rsidP="0010618E">
      <w:pPr>
        <w:pStyle w:val="References"/>
      </w:pPr>
      <w:r>
        <w:t xml:space="preserve">Arkin AP, Cottingham RW, Henry CS, Harris NL, Stevens RL, Maslov S, Dehal P, Ware D, Perez F, Canon S, Sneddon MW, Henderson ML, Riehl WJ, Murphy-Olson D, Chan SY, Kamimura RT, Kumari S, Drake MM, Brettin TS, Glass EM, Chivian D, Gunter D, Weston DJ, Allen BH, Baumohl J, Best AA, Bowen B, Brenner SE, Bun CC, Chandonia J-M, Chia J-M, Colasanti R, Conrad N, Davis JJ, Davison BH, Dejongh M, Devoid S, Dietrich E, Dubchak I, Edirisinghe JN, Fang G, Faria JP, Frybarger PM, Gerlach W, Gerstein M, Greiner A, Gurtowski J, Haun HL, He F, Jain R, Joachimiak MP, Keegan KP, Kondo S, Kumar V, Land ML, Meyer F, Mills M, Novichkov PS, Oh T, Olsen GJ, Olson R, Parrello B, Pasternak S, Pearson E, Poon SS, Price GA, Ramakrishnan S, Ranjan P, Ronald PC, Schatz MC, Seaver SMD, Shukla M, Sutormin RA, Syed MH, Thomason J, Tintle NL, Wang D, Xia F, Yoo H, Yoo S and Yu D 2018. KBase: United States Department of Energy Systems Biology Knowledgebase. </w:t>
      </w:r>
      <w:r w:rsidRPr="00634ADC">
        <w:rPr>
          <w:i/>
          <w:iCs/>
        </w:rPr>
        <w:t>Nature Biotechnology</w:t>
      </w:r>
      <w:r>
        <w:t>, 36, 566–569.</w:t>
      </w:r>
    </w:p>
    <w:p w14:paraId="6783EE1D" w14:textId="77777777" w:rsidR="00261502" w:rsidRDefault="00261502" w:rsidP="0010618E">
      <w:pPr>
        <w:pStyle w:val="References"/>
      </w:pPr>
      <w:r>
        <w:t xml:space="preserve">Aßhauer KP, Wemheuer B, Daniel R and Meinicke P 2015. Tax4Fun: predicting functional profiles from metagenomic 16S rRNA data. </w:t>
      </w:r>
      <w:r w:rsidRPr="00634ADC">
        <w:rPr>
          <w:i/>
          <w:iCs/>
        </w:rPr>
        <w:t>Bioinformatics</w:t>
      </w:r>
      <w:r>
        <w:t>, 31, 2882–2884</w:t>
      </w:r>
    </w:p>
    <w:p w14:paraId="4B52C512" w14:textId="77777777" w:rsidR="00261502" w:rsidRDefault="00261502" w:rsidP="0010618E">
      <w:pPr>
        <w:pStyle w:val="References"/>
      </w:pPr>
      <w:r>
        <w:t xml:space="preserve">Baily A, Rock L, Watson C and Fenton O 2011. Spatial and temporal variations in groundwater nitrate at an intensive dairy farm in south-east Ireland: insights from stable isotope data. </w:t>
      </w:r>
      <w:r w:rsidRPr="00634ADC">
        <w:rPr>
          <w:i/>
          <w:iCs/>
        </w:rPr>
        <w:t>Agricultural Ecosystems and Environments</w:t>
      </w:r>
      <w:r>
        <w:t>, 144, 308–318.</w:t>
      </w:r>
    </w:p>
    <w:p w14:paraId="1BAB31C0" w14:textId="77777777" w:rsidR="00016E1B" w:rsidRDefault="00261502" w:rsidP="0010618E">
      <w:pPr>
        <w:pStyle w:val="References"/>
      </w:pPr>
      <w:r>
        <w:t xml:space="preserve">Bankevich A, Nurk S, Antipov D, Gurevich AA, Dvorkin M, Kulikov AS, Lesin VM, Nikolenko SI, Pham S, Prjibelski AD, Pyshkin AV, Sirotkin AV, Vyahhi N, Tesler G, Alekseyev MA and Pevzner PA 2019. SPAdes: a new genome assembly algorithm and its applications to single-cell sequencing. </w:t>
      </w:r>
      <w:r w:rsidRPr="00634ADC">
        <w:rPr>
          <w:i/>
          <w:iCs/>
        </w:rPr>
        <w:t>Journal of Computational Biology</w:t>
      </w:r>
      <w:r>
        <w:t>, 19, 455–477.</w:t>
      </w:r>
    </w:p>
    <w:p w14:paraId="7B020C5F" w14:textId="79931C22" w:rsidR="00261502" w:rsidRDefault="00261502" w:rsidP="0010618E">
      <w:pPr>
        <w:pStyle w:val="References"/>
      </w:pPr>
      <w:r>
        <w:t xml:space="preserve">Becker B and Pushkareva E 2023. Metagenomics provides a deeper assessment of the diversity of bacterial communities in polar soils than metabarcoding. </w:t>
      </w:r>
      <w:r w:rsidRPr="00634ADC">
        <w:rPr>
          <w:i/>
          <w:iCs/>
        </w:rPr>
        <w:t>Genes</w:t>
      </w:r>
      <w:r>
        <w:t>, 14, 812.</w:t>
      </w:r>
    </w:p>
    <w:p w14:paraId="4DD263CF" w14:textId="77777777" w:rsidR="00016E1B" w:rsidRDefault="00261502" w:rsidP="0010618E">
      <w:pPr>
        <w:pStyle w:val="References"/>
      </w:pPr>
      <w:r>
        <w:t xml:space="preserve">Cameron ES, Schmidt PJ, Tremblay BJ, Emelko MB and Müller KM 2021. Enhancing diversity analysis by repeatedly rarefying next generation sequencing data describing microbial communities. </w:t>
      </w:r>
      <w:r w:rsidRPr="00634ADC">
        <w:rPr>
          <w:i/>
          <w:iCs/>
        </w:rPr>
        <w:t>Scientific Reports</w:t>
      </w:r>
      <w:r>
        <w:t>, 11, 22302.</w:t>
      </w:r>
    </w:p>
    <w:p w14:paraId="07309B7A" w14:textId="11A04DB9" w:rsidR="00261502" w:rsidRDefault="00261502" w:rsidP="0010618E">
      <w:pPr>
        <w:pStyle w:val="References"/>
      </w:pPr>
      <w:r>
        <w:t xml:space="preserve">Carraro L, Mächler E, Wüthrich R and Altermatt F 2020. Environmental DNA allows upscaling spatial patterns of biodiversity in freshwater ecosystems. </w:t>
      </w:r>
      <w:r w:rsidRPr="00634ADC">
        <w:rPr>
          <w:i/>
          <w:iCs/>
        </w:rPr>
        <w:t>Nature Communications</w:t>
      </w:r>
      <w:r>
        <w:t>, 11, 3585.</w:t>
      </w:r>
    </w:p>
    <w:p w14:paraId="6EC94EEA" w14:textId="77777777" w:rsidR="00261502" w:rsidRDefault="00261502" w:rsidP="0010618E">
      <w:pPr>
        <w:pStyle w:val="References"/>
      </w:pPr>
      <w:r>
        <w:t xml:space="preserve">Carraro L, Stauffer JB and Altermatt F 2021. How to design optimal eDNA sampling strategies for biomonitoring in river networks 2021. </w:t>
      </w:r>
      <w:r w:rsidRPr="00634ADC">
        <w:rPr>
          <w:i/>
          <w:iCs/>
        </w:rPr>
        <w:t>Environmental DNA</w:t>
      </w:r>
      <w:r>
        <w:t>, 3, 157–172.</w:t>
      </w:r>
    </w:p>
    <w:p w14:paraId="3BE55EAB" w14:textId="77777777" w:rsidR="00261502" w:rsidRDefault="00261502" w:rsidP="0010618E">
      <w:pPr>
        <w:pStyle w:val="References"/>
      </w:pPr>
      <w:r>
        <w:t xml:space="preserve">Chaffron S, Rehrauer H, Pernthaler J and von Mering C 2010. A global network of coexisting microbes from environmental and whole-genome sequence data. </w:t>
      </w:r>
      <w:r w:rsidRPr="00634ADC">
        <w:rPr>
          <w:i/>
          <w:iCs/>
        </w:rPr>
        <w:t>Genome Research</w:t>
      </w:r>
      <w:r>
        <w:t>, 20, 947–959.</w:t>
      </w:r>
    </w:p>
    <w:p w14:paraId="48C93F02" w14:textId="77777777" w:rsidR="00016E1B" w:rsidRDefault="00261502" w:rsidP="0010618E">
      <w:pPr>
        <w:pStyle w:val="References"/>
      </w:pPr>
      <w:r>
        <w:t xml:space="preserve">Chariton AA, Stephenson S, Morgan MJ, Steven ADL, Colloff MJ, Court LN and Hardy CM 2015. Metabarcoding of benthic eukaryote communities predicts the ecological condition of estuaries. </w:t>
      </w:r>
      <w:r w:rsidRPr="00634ADC">
        <w:rPr>
          <w:i/>
          <w:iCs/>
        </w:rPr>
        <w:t>Environmental Pollution</w:t>
      </w:r>
      <w:r>
        <w:t>, 203, 165¬–174.</w:t>
      </w:r>
    </w:p>
    <w:p w14:paraId="2E172C9C" w14:textId="1B4BDF7B" w:rsidR="00261502" w:rsidRDefault="00261502" w:rsidP="0010618E">
      <w:pPr>
        <w:pStyle w:val="References"/>
      </w:pPr>
      <w:r>
        <w:t xml:space="preserve">Clarke KR and Ainsworth M 1993. A method of linking multivariate community structure to environmental variables. </w:t>
      </w:r>
      <w:r w:rsidRPr="00634ADC">
        <w:rPr>
          <w:i/>
          <w:iCs/>
        </w:rPr>
        <w:t>Marine Ecology Progress Series</w:t>
      </w:r>
      <w:r>
        <w:t>, 92, 205–219.</w:t>
      </w:r>
    </w:p>
    <w:p w14:paraId="4A17226E" w14:textId="77777777" w:rsidR="00261502" w:rsidRDefault="00261502" w:rsidP="0010618E">
      <w:pPr>
        <w:pStyle w:val="References"/>
      </w:pPr>
      <w:r>
        <w:t xml:space="preserve">Clarke KR and Green RH 1988. Statistical design and analysis for a ‘biological effects’ study. </w:t>
      </w:r>
      <w:r w:rsidRPr="00634ADC">
        <w:rPr>
          <w:i/>
          <w:iCs/>
        </w:rPr>
        <w:t>Marine Ecology Progress Series</w:t>
      </w:r>
      <w:r>
        <w:t>, 46, 213–226.</w:t>
      </w:r>
    </w:p>
    <w:p w14:paraId="7490B3EB" w14:textId="77777777" w:rsidR="00261502" w:rsidRDefault="00261502" w:rsidP="0010618E">
      <w:pPr>
        <w:pStyle w:val="References"/>
      </w:pPr>
      <w:r>
        <w:t xml:space="preserve">Deagle BE, Clarke LJ, Kitchener JA, Polanowski AM and Davidson AT 2018. Genetic monitoring of open ocean biodiversity: an evaluation of DNA metabarcoding for processing continuous plankton recorder samples. </w:t>
      </w:r>
      <w:r w:rsidRPr="00634ADC">
        <w:rPr>
          <w:i/>
          <w:iCs/>
        </w:rPr>
        <w:t>Molecular Ecology Resources</w:t>
      </w:r>
      <w:r>
        <w:t>, 18, 391–406.</w:t>
      </w:r>
    </w:p>
    <w:p w14:paraId="6E533607" w14:textId="77777777" w:rsidR="00261502" w:rsidRDefault="00261502" w:rsidP="0010618E">
      <w:pPr>
        <w:pStyle w:val="References"/>
      </w:pPr>
      <w:r>
        <w:t xml:space="preserve">Deagle BE, Thomas AC, McInnes JC, Clarke LJ, Vesterinen EJ, Clare EL, Kartzinel TR and Eveson JP 2019. Counting with DNA in metabarcoding studies: how should we convert sequence reads to dietary data? </w:t>
      </w:r>
      <w:r w:rsidRPr="00634ADC">
        <w:rPr>
          <w:i/>
          <w:iCs/>
        </w:rPr>
        <w:t>Molecular Ecology</w:t>
      </w:r>
      <w:r>
        <w:t>, 28, 391–406.</w:t>
      </w:r>
    </w:p>
    <w:p w14:paraId="094CADE5" w14:textId="77777777" w:rsidR="00261502" w:rsidRDefault="00261502" w:rsidP="0010618E">
      <w:pPr>
        <w:pStyle w:val="References"/>
      </w:pPr>
      <w:r>
        <w:t xml:space="preserve">Deiner K, Bik HM, Mächler E, Seymour M, Lacoursière-Roussel A, Altermatt F, Creer S, Bista I, Lodge DM, de Vere N, Pfrender ME and Bernatchez L 2017. Environmental DNA metabarcoding: transforming how we survey animal and plant communities. </w:t>
      </w:r>
      <w:r w:rsidRPr="00634ADC">
        <w:rPr>
          <w:i/>
          <w:iCs/>
        </w:rPr>
        <w:t>Molecular Ecology</w:t>
      </w:r>
      <w:r>
        <w:t>, 26, 5872–5895.</w:t>
      </w:r>
    </w:p>
    <w:p w14:paraId="1FADB359" w14:textId="77777777" w:rsidR="00016E1B" w:rsidRDefault="00261502" w:rsidP="0010618E">
      <w:pPr>
        <w:pStyle w:val="References"/>
      </w:pPr>
      <w:r>
        <w:t xml:space="preserve">Galperin MY, Wolf YI, Makarova KS, Alvarez RV, Landsman D and Koonin EV 2021. COG database update: focus on microbial diversity, model organisms, and widespread pathogens. </w:t>
      </w:r>
      <w:r w:rsidRPr="00634ADC">
        <w:rPr>
          <w:i/>
          <w:iCs/>
        </w:rPr>
        <w:t>Nucleic Acids Research</w:t>
      </w:r>
      <w:r>
        <w:t>, 49, D274–D281.</w:t>
      </w:r>
    </w:p>
    <w:p w14:paraId="7426DF1D" w14:textId="6B831AF2" w:rsidR="00261502" w:rsidRDefault="00261502" w:rsidP="0010618E">
      <w:pPr>
        <w:pStyle w:val="References"/>
      </w:pPr>
      <w:r>
        <w:t>Garrido</w:t>
      </w:r>
      <w:r>
        <w:rPr>
          <w:rFonts w:ascii="Cambria Math" w:hAnsi="Cambria Math" w:cs="Cambria Math"/>
        </w:rPr>
        <w:t>‐</w:t>
      </w:r>
      <w:r>
        <w:t>Sanz L, Senar MÀ and Piñol J 2022. Relative species abundance estimation in artificial mixtures of insects using mito</w:t>
      </w:r>
      <w:r>
        <w:rPr>
          <w:rFonts w:ascii="Cambria Math" w:hAnsi="Cambria Math" w:cs="Cambria Math"/>
        </w:rPr>
        <w:t>‐</w:t>
      </w:r>
      <w:r>
        <w:t xml:space="preserve">metagenomics and a correction factor for the mitochondrial DNA copy number. </w:t>
      </w:r>
      <w:r w:rsidRPr="00634ADC">
        <w:rPr>
          <w:i/>
          <w:iCs/>
        </w:rPr>
        <w:t>Molecular Ecology Resources</w:t>
      </w:r>
      <w:r>
        <w:t>, 22, 153–167.</w:t>
      </w:r>
    </w:p>
    <w:p w14:paraId="124A5BBE" w14:textId="77777777" w:rsidR="00261502" w:rsidRDefault="00261502" w:rsidP="0010618E">
      <w:pPr>
        <w:pStyle w:val="References"/>
      </w:pPr>
      <w:r>
        <w:t xml:space="preserve">Greenfield P, Tran-Dinh N and Midgley D 2019. Kelpie: generating full-length ‘amplicons’ from whole-metagenome datasets. </w:t>
      </w:r>
      <w:r w:rsidRPr="00634ADC">
        <w:rPr>
          <w:i/>
          <w:iCs/>
        </w:rPr>
        <w:t>PeerJ</w:t>
      </w:r>
      <w:r>
        <w:t>, 6, e6174.</w:t>
      </w:r>
    </w:p>
    <w:p w14:paraId="49AE3368" w14:textId="77777777" w:rsidR="00261502" w:rsidRDefault="00261502" w:rsidP="0010618E">
      <w:pPr>
        <w:pStyle w:val="References"/>
      </w:pPr>
      <w:r>
        <w:t xml:space="preserve">Griebler C, Avramov M and Hose G 2019. Groundwater ecosystems and their services – current status and potential risks. In Schröter M, Bonn A, Klotz S, Seppelt R and Baessler C (eds), </w:t>
      </w:r>
      <w:r w:rsidRPr="00634ADC">
        <w:rPr>
          <w:i/>
          <w:iCs/>
        </w:rPr>
        <w:t>Atlas of ecosystem services – drivers, risks, and societal responses</w:t>
      </w:r>
      <w:r>
        <w:t>. Springer, Cham, 197–203.</w:t>
      </w:r>
    </w:p>
    <w:p w14:paraId="3AF6FD24" w14:textId="77777777" w:rsidR="00261502" w:rsidRDefault="00261502" w:rsidP="0010618E">
      <w:pPr>
        <w:pStyle w:val="References"/>
      </w:pPr>
      <w:r>
        <w:t xml:space="preserve">Griebler C and Lueders T 2009. Microbial biodiversity in groundwater ecosystems. </w:t>
      </w:r>
      <w:r w:rsidRPr="00634ADC">
        <w:rPr>
          <w:i/>
          <w:iCs/>
        </w:rPr>
        <w:t>Freshwater Biology</w:t>
      </w:r>
      <w:r>
        <w:t>, 54, 649–677.</w:t>
      </w:r>
    </w:p>
    <w:p w14:paraId="7AE16279" w14:textId="77777777" w:rsidR="00016E1B" w:rsidRDefault="00261502" w:rsidP="0010618E">
      <w:pPr>
        <w:pStyle w:val="References"/>
      </w:pPr>
      <w:r>
        <w:t xml:space="preserve">Hahn HJ and Matzke D 2005. A comparison of stygofauna communities inside and outside groundwater bores. </w:t>
      </w:r>
      <w:r w:rsidRPr="00634ADC">
        <w:rPr>
          <w:i/>
          <w:iCs/>
        </w:rPr>
        <w:t>Limnologica</w:t>
      </w:r>
      <w:r>
        <w:t>, 35, 31–44.</w:t>
      </w:r>
    </w:p>
    <w:p w14:paraId="0EECEE9E" w14:textId="77777777" w:rsidR="00016E1B" w:rsidRDefault="00261502" w:rsidP="0010618E">
      <w:pPr>
        <w:pStyle w:val="References"/>
      </w:pPr>
      <w:r>
        <w:t xml:space="preserve">Hancock PJ and Boulton AJ 2008. Stygofauna biodiversity and endemism in four alluvial aquifers in eastern Australia. </w:t>
      </w:r>
      <w:r w:rsidRPr="00634ADC">
        <w:rPr>
          <w:i/>
          <w:iCs/>
        </w:rPr>
        <w:t>Invertebrate Systematics</w:t>
      </w:r>
      <w:r>
        <w:t>, 22, 117–126.</w:t>
      </w:r>
    </w:p>
    <w:p w14:paraId="45A88659" w14:textId="338BA2AF" w:rsidR="00261502" w:rsidRDefault="00261502" w:rsidP="0010618E">
      <w:pPr>
        <w:pStyle w:val="References"/>
      </w:pPr>
      <w:r>
        <w:t xml:space="preserve">Hardy CM, Krul ES, Hartley DM and Oliver RL 2010. Carbon source accounting for fish using combined DNA and stable isotope analyses in a regulated lowland river weir pool. </w:t>
      </w:r>
      <w:r w:rsidRPr="00634ADC">
        <w:rPr>
          <w:i/>
          <w:iCs/>
        </w:rPr>
        <w:t>Molecular Ecology</w:t>
      </w:r>
      <w:r>
        <w:t>, 19, 197–212.</w:t>
      </w:r>
    </w:p>
    <w:p w14:paraId="6D36D09B" w14:textId="77777777" w:rsidR="00261502" w:rsidRDefault="00261502" w:rsidP="0010618E">
      <w:pPr>
        <w:pStyle w:val="References"/>
      </w:pPr>
      <w:r>
        <w:t xml:space="preserve">Hemme CL, Tu Q, Shi Z, Qin Y, Gao W, Deng Y, Nostrand JDV, Wu L, He Z, Chain PSG, Tringe SG, Fields MW, Rubin EM, Tiedje JM, Hazen TC, Arkin AP and Zhou J 2015. Comparative metagenomics reveals impact of contaminants on groundwater microbiomes. </w:t>
      </w:r>
      <w:r w:rsidRPr="00634ADC">
        <w:rPr>
          <w:i/>
          <w:iCs/>
        </w:rPr>
        <w:t>Frontiers in Microbiology</w:t>
      </w:r>
      <w:r>
        <w:t>, 6, 1205.</w:t>
      </w:r>
    </w:p>
    <w:p w14:paraId="119ED55B" w14:textId="77777777" w:rsidR="00016E1B" w:rsidRDefault="00261502" w:rsidP="0010618E">
      <w:pPr>
        <w:pStyle w:val="References"/>
      </w:pPr>
      <w:r>
        <w:t xml:space="preserve">Hose GC, Chariton A, Daam M, Di Lorenzo T, Galassi DMP, Halse SA, Reboleira ASPS, Robertson AL, Schmidt SI, Korbel K 2022. Invertebrate traits, diversity and the vulnerability of groundwater ecosystems. </w:t>
      </w:r>
      <w:r w:rsidRPr="00634ADC">
        <w:rPr>
          <w:i/>
          <w:iCs/>
        </w:rPr>
        <w:t>Functional Ecology</w:t>
      </w:r>
      <w:r>
        <w:t>. 36, 2200-2214.</w:t>
      </w:r>
    </w:p>
    <w:p w14:paraId="3EFA9B49" w14:textId="328ACB1D" w:rsidR="00261502" w:rsidRDefault="00261502" w:rsidP="0010618E">
      <w:pPr>
        <w:pStyle w:val="References"/>
      </w:pPr>
      <w:r>
        <w:t xml:space="preserve">Hose GC, Sreekanth J, Barron O and Pollino C 2015. </w:t>
      </w:r>
      <w:r w:rsidRPr="00634ADC">
        <w:rPr>
          <w:i/>
          <w:iCs/>
        </w:rPr>
        <w:t>Stygofauna in Australian groundwater systems: extent of knowledge</w:t>
      </w:r>
      <w:r>
        <w:t>. Report to Australian Coal Association Research Program. Macquarie University and CSIRO.</w:t>
      </w:r>
    </w:p>
    <w:p w14:paraId="2F241DB5" w14:textId="77777777" w:rsidR="00261502" w:rsidRDefault="00261502" w:rsidP="0010618E">
      <w:pPr>
        <w:pStyle w:val="References"/>
      </w:pPr>
      <w:r>
        <w:t xml:space="preserve">Hugerth LW and Andersson AF 2017 Analysing microbial community composition through amplicon sequencing: from sampling to hypothesis testing. </w:t>
      </w:r>
      <w:r w:rsidRPr="00634ADC">
        <w:rPr>
          <w:i/>
          <w:iCs/>
        </w:rPr>
        <w:t>Frontiers in Microbiology</w:t>
      </w:r>
      <w:r>
        <w:t>, 8, 1561.</w:t>
      </w:r>
    </w:p>
    <w:p w14:paraId="5F953E24" w14:textId="77777777" w:rsidR="00016E1B" w:rsidRDefault="00261502" w:rsidP="0010618E">
      <w:pPr>
        <w:pStyle w:val="References"/>
      </w:pPr>
      <w:r>
        <w:t xml:space="preserve">Ji Y, Huotari T, Roslin T, Schmidt NM, Wang J, Yu DW and Ovaskainen O 2020. SPIKEPIPE: a metagenomic pipeline for the accurate quantification of eukaryotic species occurrences and intraspecific abundance change using DNA barcodes or mitogenomes. </w:t>
      </w:r>
      <w:r w:rsidRPr="00634ADC">
        <w:rPr>
          <w:i/>
          <w:iCs/>
        </w:rPr>
        <w:t>Molecular Ecology Resources</w:t>
      </w:r>
      <w:r>
        <w:t>, 20, 256–267</w:t>
      </w:r>
    </w:p>
    <w:p w14:paraId="337D5FC5" w14:textId="156BB1EB" w:rsidR="00261502" w:rsidRDefault="00261502" w:rsidP="0010618E">
      <w:pPr>
        <w:pStyle w:val="References"/>
      </w:pPr>
      <w:r>
        <w:t xml:space="preserve">Kanagawa T 2003. Bias and artifacts in multitemplate polymerase chain reactions (PCR). </w:t>
      </w:r>
      <w:r w:rsidRPr="00634ADC">
        <w:rPr>
          <w:i/>
          <w:iCs/>
        </w:rPr>
        <w:t>Journal of Bioscience and Bioengineering</w:t>
      </w:r>
      <w:r>
        <w:t>, 96, 317–323.</w:t>
      </w:r>
    </w:p>
    <w:p w14:paraId="233A5A12" w14:textId="77777777" w:rsidR="00016E1B" w:rsidRDefault="00261502" w:rsidP="0010618E">
      <w:pPr>
        <w:pStyle w:val="References"/>
      </w:pPr>
      <w:r>
        <w:t xml:space="preserve">Korbel K, Chariton A, Stephenson S, Greenfield P and Hose GC 2017. Wells provide a distorted view of life in the aquifer: implications for sampling, monitoring and assessment of groundwater ecosystems. </w:t>
      </w:r>
      <w:r w:rsidRPr="00634ADC">
        <w:rPr>
          <w:i/>
          <w:iCs/>
        </w:rPr>
        <w:t>Scientific Reports</w:t>
      </w:r>
      <w:r>
        <w:t>, 7, 40702.</w:t>
      </w:r>
    </w:p>
    <w:p w14:paraId="1CF1D236" w14:textId="7B7DC6A3" w:rsidR="00261502" w:rsidRDefault="00261502" w:rsidP="0010618E">
      <w:pPr>
        <w:pStyle w:val="References"/>
      </w:pPr>
      <w:r>
        <w:t xml:space="preserve">Korbel K, McKnight K, Greenfield P, Angel B, Adams M, Chariton A and Hose G 2022a. </w:t>
      </w:r>
      <w:r w:rsidRPr="00634ADC">
        <w:rPr>
          <w:i/>
          <w:iCs/>
        </w:rPr>
        <w:t>Bioassessment of groundwater ecosystems. I. Sampling methods and analysis of eDNA for microbes and stygofauna in shallow alluvial aquifers</w:t>
      </w:r>
      <w:r>
        <w:t>. Report prepared for the Independent Expert Scientific Committee on Coal Seam Gas and Large Coal Mining Development through the Department of Climate Change, Energy, the Environment and Water, Commonwealth of Australia.</w:t>
      </w:r>
    </w:p>
    <w:p w14:paraId="041A27D4" w14:textId="77777777" w:rsidR="00261502" w:rsidRDefault="00261502" w:rsidP="0010618E">
      <w:pPr>
        <w:pStyle w:val="References"/>
      </w:pPr>
      <w:r>
        <w:t xml:space="preserve">Korbel K, McKnight K, Greenfield P, Angel B, Adams M, Chariton A and Hose GC 2023. </w:t>
      </w:r>
      <w:r w:rsidRPr="00634ADC">
        <w:rPr>
          <w:i/>
          <w:iCs/>
        </w:rPr>
        <w:t>Bioassessment of groundwater ecosystems. II. Sampling methods and analysis of eDNA for microbes and stygofauna in shallow sandstone aquifers</w:t>
      </w:r>
      <w:r>
        <w:t>. Report prepared for the Independent Expert Scientific Committee on Coal Seam Gas and Large Coal Mining Development through the Department of Climate Change, Energy, the Environment and Water, Commonwealth of Australia.</w:t>
      </w:r>
    </w:p>
    <w:p w14:paraId="7A76AB0E" w14:textId="77777777" w:rsidR="00261502" w:rsidRDefault="00261502" w:rsidP="0010618E">
      <w:pPr>
        <w:pStyle w:val="References"/>
      </w:pPr>
      <w:r>
        <w:t xml:space="preserve">Korbel KL and Hose GC 2017. The Weighted Groundwater Health Index: improving the monitoring and management of groundwater resources. </w:t>
      </w:r>
      <w:r w:rsidRPr="00634ADC">
        <w:rPr>
          <w:i/>
          <w:iCs/>
        </w:rPr>
        <w:t>Ecological Indicators</w:t>
      </w:r>
      <w:r>
        <w:t>, 75, 64–181.</w:t>
      </w:r>
    </w:p>
    <w:p w14:paraId="358D3D62" w14:textId="77777777" w:rsidR="00261502" w:rsidRDefault="00261502" w:rsidP="0010618E">
      <w:pPr>
        <w:pStyle w:val="References"/>
      </w:pPr>
      <w:r>
        <w:t xml:space="preserve">Korbel KL, Greenfield P and Hose GC 2022b. Agricultural practices linked to shifts in groundwater microbial structure and denitrifying bacteria. </w:t>
      </w:r>
      <w:r w:rsidRPr="00634ADC">
        <w:rPr>
          <w:i/>
          <w:iCs/>
        </w:rPr>
        <w:t>Science of the Total Environment</w:t>
      </w:r>
      <w:r>
        <w:t>, 807, 150870</w:t>
      </w:r>
    </w:p>
    <w:p w14:paraId="1F08C0BA" w14:textId="77777777" w:rsidR="00016E1B" w:rsidRDefault="00261502" w:rsidP="0010618E">
      <w:pPr>
        <w:pStyle w:val="References"/>
      </w:pPr>
      <w:r>
        <w:t xml:space="preserve">Korbel KL, Hancock PJ, Serov P, Lim RP and Hose GC 2013. Groundwater ecosystems vary with land use across a mixed agricultural landscape. </w:t>
      </w:r>
      <w:r w:rsidRPr="00634ADC">
        <w:rPr>
          <w:i/>
          <w:iCs/>
        </w:rPr>
        <w:t>Journal of Environmental Quality</w:t>
      </w:r>
      <w:r>
        <w:t>, 42, 380–390.</w:t>
      </w:r>
    </w:p>
    <w:p w14:paraId="60316169" w14:textId="109E2BF3" w:rsidR="00261502" w:rsidRDefault="00261502" w:rsidP="0010618E">
      <w:pPr>
        <w:pStyle w:val="References"/>
      </w:pPr>
      <w:r>
        <w:t xml:space="preserve">Korbel KL, Rutlidge H, Hose GC, Eberhard SM and Andersen MS 2022c. Dynamics of microbiotic patterns reveal surface water groundwater interactions in intermittent and perennial streams. </w:t>
      </w:r>
      <w:r w:rsidRPr="00634ADC">
        <w:rPr>
          <w:i/>
          <w:iCs/>
        </w:rPr>
        <w:t>Science of the Total Environment</w:t>
      </w:r>
      <w:r>
        <w:t>, 811, 152380.</w:t>
      </w:r>
    </w:p>
    <w:p w14:paraId="6172DCB9" w14:textId="77777777" w:rsidR="00261502" w:rsidRDefault="00261502" w:rsidP="0010618E">
      <w:pPr>
        <w:pStyle w:val="References"/>
      </w:pPr>
      <w:r>
        <w:t xml:space="preserve">Krehenwinkel H, Wolf M, Lim JY, Rominger AJ, Simison WB and Gillespie RG 2017. Estimating and mitigating amplification bias in qualitative and quantitative arthropod metabarcoding. </w:t>
      </w:r>
      <w:r w:rsidRPr="00634ADC">
        <w:rPr>
          <w:i/>
          <w:iCs/>
        </w:rPr>
        <w:t>Scientific Reports</w:t>
      </w:r>
      <w:r>
        <w:t>, 7, 17668.</w:t>
      </w:r>
    </w:p>
    <w:p w14:paraId="0E8A8E69" w14:textId="77777777" w:rsidR="00261502" w:rsidRDefault="00261502" w:rsidP="0010618E">
      <w:pPr>
        <w:pStyle w:val="References"/>
      </w:pPr>
      <w:r>
        <w:t xml:space="preserve">Krueger F, Andrews SR and Osborne CS 2011. Large scale loss of data in low-diversity Illumina sequencing libraries can be recovered by deferred cluster calling. </w:t>
      </w:r>
      <w:r w:rsidRPr="00634ADC">
        <w:rPr>
          <w:i/>
          <w:iCs/>
        </w:rPr>
        <w:t>PLoS One</w:t>
      </w:r>
      <w:r>
        <w:t>, 6, e16607.</w:t>
      </w:r>
    </w:p>
    <w:p w14:paraId="74860684" w14:textId="6EEC6F99" w:rsidR="00261502" w:rsidRDefault="00261502" w:rsidP="0010618E">
      <w:pPr>
        <w:pStyle w:val="References"/>
      </w:pPr>
      <w:r>
        <w:t xml:space="preserve">Langille MGI, Zaneveld J, Caporaso JG, Mcdonald D, Knights D, Reyes JA, Clemente JC, Burkepile DE, Vega Thurber RL, Knight R, Beiko RG and Huttenhower C 2013. Predictive functional profiling of microbial communities using 16S rRNA marker gene sequences. </w:t>
      </w:r>
      <w:r w:rsidRPr="00634ADC">
        <w:rPr>
          <w:i/>
          <w:iCs/>
        </w:rPr>
        <w:t>Nature Biotechnology</w:t>
      </w:r>
      <w:r>
        <w:t>, 31, 814–821.</w:t>
      </w:r>
    </w:p>
    <w:p w14:paraId="54B4F4E1" w14:textId="77777777" w:rsidR="00261502" w:rsidRDefault="00261502" w:rsidP="0010618E">
      <w:pPr>
        <w:pStyle w:val="References"/>
      </w:pPr>
      <w:r>
        <w:t xml:space="preserve">Lear G, Dickie I, Banks JC, Boyer S, Buckley HL, Buckley TR, Cruickshank R, Dopheide, A, Handley KM, Hermans S, Kamke J, Lee CK, MacDiarmid R, Morales SE, Orlovich DA, Smissen R, Wood J and Holdaway R 2018. Methods for the extraction, storage, amplification and sequencing of DNA from environmental samples. </w:t>
      </w:r>
      <w:r w:rsidRPr="00634ADC">
        <w:rPr>
          <w:i/>
          <w:iCs/>
        </w:rPr>
        <w:t>New Zealand Journal of Ecology</w:t>
      </w:r>
      <w:r>
        <w:t>, 42, 10A–50A.</w:t>
      </w:r>
    </w:p>
    <w:p w14:paraId="149E299E" w14:textId="77777777" w:rsidR="00016E1B" w:rsidRDefault="00261502" w:rsidP="0010618E">
      <w:pPr>
        <w:pStyle w:val="References"/>
      </w:pPr>
      <w:r>
        <w:t xml:space="preserve">Legendre P and Legendre L 2012. </w:t>
      </w:r>
      <w:r w:rsidRPr="00634ADC">
        <w:rPr>
          <w:i/>
          <w:iCs/>
        </w:rPr>
        <w:t>Numerical ecology</w:t>
      </w:r>
      <w:r>
        <w:t>. 3rd Edition. Elsevier, Amsterdam.</w:t>
      </w:r>
    </w:p>
    <w:p w14:paraId="0ED05224" w14:textId="2DD662EF" w:rsidR="00261502" w:rsidRDefault="00261502" w:rsidP="0010618E">
      <w:pPr>
        <w:pStyle w:val="References"/>
      </w:pPr>
      <w:r>
        <w:t xml:space="preserve">Louca S, Parfrey LW and Doebeli M 2016. Decoupling function and taxonomy in the global ocean microbiome. </w:t>
      </w:r>
      <w:r w:rsidRPr="00634ADC">
        <w:rPr>
          <w:i/>
          <w:iCs/>
        </w:rPr>
        <w:t>Science</w:t>
      </w:r>
      <w:r>
        <w:t>, 353, 1272–1277.</w:t>
      </w:r>
    </w:p>
    <w:p w14:paraId="6A54A5D2" w14:textId="77777777" w:rsidR="00016E1B" w:rsidRDefault="00261502" w:rsidP="0010618E">
      <w:pPr>
        <w:pStyle w:val="References"/>
      </w:pPr>
      <w:r>
        <w:t xml:space="preserve">Luo M, Ji Y, Warton D and Yu DW 2023. Extracting abundance information from DNA-based data. </w:t>
      </w:r>
      <w:r w:rsidRPr="00634ADC">
        <w:rPr>
          <w:i/>
          <w:iCs/>
        </w:rPr>
        <w:t>Molecular Ecology Resources</w:t>
      </w:r>
      <w:r>
        <w:t>, 23, 174–189.</w:t>
      </w:r>
    </w:p>
    <w:p w14:paraId="3F6D1015" w14:textId="12AF4E1F" w:rsidR="00261502" w:rsidRDefault="00261502" w:rsidP="0010618E">
      <w:pPr>
        <w:pStyle w:val="References"/>
      </w:pPr>
      <w:r>
        <w:t xml:space="preserve">Mallona I, Weiss J and Egea-Cortines M 2011. pcrEfficiency: a Web tool for PCR amplification efficiency prediction. </w:t>
      </w:r>
      <w:r w:rsidRPr="00634ADC">
        <w:rPr>
          <w:i/>
          <w:iCs/>
        </w:rPr>
        <w:t>BMC Bioinformatics</w:t>
      </w:r>
      <w:r>
        <w:t>, 12404.</w:t>
      </w:r>
    </w:p>
    <w:p w14:paraId="249B0F48" w14:textId="77777777" w:rsidR="00016E1B" w:rsidRDefault="00261502" w:rsidP="0010618E">
      <w:pPr>
        <w:pStyle w:val="References"/>
      </w:pPr>
      <w:r>
        <w:t xml:space="preserve">McLaren MR, Willis AD and Callahan BJ 2019. Consistent and correctable bias in metagenomic sequencing experiments. </w:t>
      </w:r>
      <w:r w:rsidRPr="00634ADC">
        <w:rPr>
          <w:i/>
          <w:iCs/>
        </w:rPr>
        <w:t>Elife</w:t>
      </w:r>
      <w:r>
        <w:t>, 8, e46923.</w:t>
      </w:r>
    </w:p>
    <w:p w14:paraId="5B20E516" w14:textId="77777777" w:rsidR="00016E1B" w:rsidRDefault="00261502" w:rsidP="0010618E">
      <w:pPr>
        <w:pStyle w:val="References"/>
      </w:pPr>
      <w:r>
        <w:t xml:space="preserve">McMurdie PJ and Holmes S 2014. Waste not, want not: why rarefying microbiome data is inadmissible. </w:t>
      </w:r>
      <w:r w:rsidRPr="00634ADC">
        <w:rPr>
          <w:i/>
          <w:iCs/>
        </w:rPr>
        <w:t>PLoS Computational Biology</w:t>
      </w:r>
      <w:r>
        <w:t>, 10, e1003531.</w:t>
      </w:r>
    </w:p>
    <w:p w14:paraId="099D5653" w14:textId="77777777" w:rsidR="00016E1B" w:rsidRDefault="00261502" w:rsidP="0010618E">
      <w:pPr>
        <w:pStyle w:val="References"/>
      </w:pPr>
      <w:r>
        <w:t xml:space="preserve">Nichols RV, Vollmers C, Newsom LA, Wang Y, Heintzman PD, Leighton M, Green RE and Shapiro B 2018. Minimizing polymerase biases in metabarcoding. </w:t>
      </w:r>
      <w:r w:rsidRPr="00634ADC">
        <w:rPr>
          <w:i/>
          <w:iCs/>
        </w:rPr>
        <w:t>Molecular Ecology Resources</w:t>
      </w:r>
      <w:r>
        <w:t>, 18, 927–939.</w:t>
      </w:r>
    </w:p>
    <w:p w14:paraId="31481105" w14:textId="18016C1D" w:rsidR="00261502" w:rsidRDefault="00261502" w:rsidP="0010618E">
      <w:pPr>
        <w:pStyle w:val="References"/>
      </w:pPr>
      <w:r>
        <w:t xml:space="preserve">Parada AE, Needham DM and Fuhrman JA 2016. Every base matters: assessing small subunit rRNA primers for marine microbiomes with mock communities, time series and global field samples. </w:t>
      </w:r>
      <w:r w:rsidRPr="00634ADC">
        <w:rPr>
          <w:i/>
          <w:iCs/>
        </w:rPr>
        <w:t>Environmental Microbiology</w:t>
      </w:r>
      <w:r>
        <w:t>, 18, 1403–1414.</w:t>
      </w:r>
    </w:p>
    <w:p w14:paraId="34C1B220" w14:textId="77777777" w:rsidR="00261502" w:rsidRDefault="00261502" w:rsidP="0010618E">
      <w:pPr>
        <w:pStyle w:val="References"/>
      </w:pPr>
      <w:r>
        <w:t xml:space="preserve">Pavlovska M, Prekrasna I, Parnikoza I and Dykyi E 2021. Soil sample preservation strategy affects the microbial community structure. </w:t>
      </w:r>
      <w:r w:rsidRPr="00634ADC">
        <w:rPr>
          <w:i/>
          <w:iCs/>
        </w:rPr>
        <w:t>Microbes and Environments</w:t>
      </w:r>
      <w:r>
        <w:t>, 36, ME20134.</w:t>
      </w:r>
    </w:p>
    <w:p w14:paraId="05DB5024" w14:textId="77777777" w:rsidR="00261502" w:rsidRDefault="00261502" w:rsidP="0010618E">
      <w:pPr>
        <w:pStyle w:val="References"/>
      </w:pPr>
      <w:r>
        <w:t>Peel N, Dicks LV, Clark MD, Heavens D, Percival</w:t>
      </w:r>
      <w:r>
        <w:rPr>
          <w:rFonts w:ascii="Cambria Math" w:hAnsi="Cambria Math" w:cs="Cambria Math"/>
        </w:rPr>
        <w:t>‐</w:t>
      </w:r>
      <w:r>
        <w:t>Alwyn L, Cooper C, Davies RG, Leggett RM and Yu DW 2019. Semi</w:t>
      </w:r>
      <w:r>
        <w:rPr>
          <w:rFonts w:ascii="Cambria Math" w:hAnsi="Cambria Math" w:cs="Cambria Math"/>
        </w:rPr>
        <w:t>‐</w:t>
      </w:r>
      <w:r>
        <w:t xml:space="preserve">quantitative characterisation of mixed pollen samples using MinION sequencing and Reverse Metagenomics (RevMet). </w:t>
      </w:r>
      <w:r w:rsidRPr="00634ADC">
        <w:rPr>
          <w:i/>
          <w:iCs/>
        </w:rPr>
        <w:t>Methods in Ecology and Evolution</w:t>
      </w:r>
      <w:r>
        <w:t>, 10, 1690–1701.</w:t>
      </w:r>
    </w:p>
    <w:p w14:paraId="10424F59" w14:textId="77777777" w:rsidR="00016E1B" w:rsidRDefault="00261502" w:rsidP="0010618E">
      <w:pPr>
        <w:pStyle w:val="References"/>
      </w:pPr>
      <w:r>
        <w:t xml:space="preserve">Pollock J, Glendinning L, Wisedchanwet T and Watson M 2018. The madness of microbiome: attempting to find consensus ‘best practice’ for 16S microbiome studies. </w:t>
      </w:r>
      <w:r w:rsidRPr="00634ADC">
        <w:rPr>
          <w:i/>
          <w:iCs/>
        </w:rPr>
        <w:t>Applied and Environmental Microbiology</w:t>
      </w:r>
      <w:r>
        <w:t>, 84, e02627-17.</w:t>
      </w:r>
    </w:p>
    <w:p w14:paraId="7D95FD9F" w14:textId="77777777" w:rsidR="00016E1B" w:rsidRDefault="00261502" w:rsidP="0010618E">
      <w:pPr>
        <w:pStyle w:val="References"/>
      </w:pPr>
      <w:r>
        <w:t xml:space="preserve">Prjibelski A, Antipov D, Meleshko D, Lapidus A and Korobeynikov A 2020. Using SPAdes de novo assembler. </w:t>
      </w:r>
      <w:r w:rsidRPr="00634ADC">
        <w:rPr>
          <w:i/>
          <w:iCs/>
        </w:rPr>
        <w:t>Current Protocols in Bioinformatics</w:t>
      </w:r>
      <w:r>
        <w:t>, 70, e102.</w:t>
      </w:r>
    </w:p>
    <w:p w14:paraId="7A4E92BF" w14:textId="5AEAD263" w:rsidR="00261502" w:rsidRDefault="00261502" w:rsidP="0010618E">
      <w:pPr>
        <w:pStyle w:val="References"/>
      </w:pPr>
      <w:r>
        <w:t>Rojahn J, Pearce L, Gleeson DM, Duncan RP, Gilligan DM and Bylemans J 2021. Semi</w:t>
      </w:r>
      <w:r>
        <w:rPr>
          <w:rFonts w:ascii="Cambria Math" w:hAnsi="Cambria Math" w:cs="Cambria Math"/>
        </w:rPr>
        <w:t>‐</w:t>
      </w:r>
      <w:r>
        <w:t xml:space="preserve">quantitative characterisation of mixed pollen samples using MinION sequencing and Reverse Metagenomics. </w:t>
      </w:r>
      <w:r w:rsidRPr="00634ADC">
        <w:rPr>
          <w:i/>
          <w:iCs/>
        </w:rPr>
        <w:t>Methods in Ecology and Evolution</w:t>
      </w:r>
      <w:r>
        <w:t>, 10, 1690–1701.</w:t>
      </w:r>
    </w:p>
    <w:p w14:paraId="3360A22C" w14:textId="77777777" w:rsidR="00261502" w:rsidRDefault="00261502" w:rsidP="0010618E">
      <w:pPr>
        <w:pStyle w:val="References"/>
      </w:pPr>
      <w:r>
        <w:t xml:space="preserve">Ross MG, Russ C, Costello M, Hollinger A, Lennon NJ, Hegarty R, Nusbaum C and Jaffe DB 2013. Characterizing and measuring bias in sequence data. </w:t>
      </w:r>
      <w:r w:rsidRPr="00634ADC">
        <w:rPr>
          <w:i/>
          <w:iCs/>
        </w:rPr>
        <w:t>Genome Biology</w:t>
      </w:r>
      <w:r>
        <w:t>, 14, R51.</w:t>
      </w:r>
    </w:p>
    <w:p w14:paraId="08BBDE1E" w14:textId="77777777" w:rsidR="00016E1B" w:rsidRDefault="00261502" w:rsidP="0010618E">
      <w:pPr>
        <w:pStyle w:val="References"/>
      </w:pPr>
      <w:r>
        <w:t xml:space="preserve">Rubiola S, Macori G, Civera T, Fanning S, Mitchell M and Chiesa F 2022. Comparison between full-length 16S rRNA metabarcoding and whole metagenome sequencing suggests the use of either is suitable for large-scale microbiome studies. </w:t>
      </w:r>
      <w:r w:rsidRPr="00634ADC">
        <w:rPr>
          <w:i/>
          <w:iCs/>
        </w:rPr>
        <w:t>Foodborne Pathogens and Disease</w:t>
      </w:r>
      <w:r>
        <w:t>, 19, 495–504.</w:t>
      </w:r>
    </w:p>
    <w:p w14:paraId="5F5C3C41" w14:textId="7E2FBEE9" w:rsidR="00261502" w:rsidRDefault="00261502" w:rsidP="0010618E">
      <w:pPr>
        <w:pStyle w:val="References"/>
      </w:pPr>
      <w:r>
        <w:t xml:space="preserve">Ruppert KM, Kline RJ and Rahman MS 2019. Past, present, and future perspectives of environmental DNA (eDNA) metabarcoding: a systematic review in methods, monitoring, and applications of global eDNA. </w:t>
      </w:r>
      <w:r w:rsidRPr="00634ADC">
        <w:rPr>
          <w:i/>
          <w:iCs/>
        </w:rPr>
        <w:t>Global Ecology and Conservation</w:t>
      </w:r>
      <w:r>
        <w:t>, 17, e00547.</w:t>
      </w:r>
    </w:p>
    <w:p w14:paraId="70807F79" w14:textId="77777777" w:rsidR="00261502" w:rsidRDefault="00261502" w:rsidP="0010618E">
      <w:pPr>
        <w:pStyle w:val="References"/>
      </w:pPr>
      <w:r>
        <w:t xml:space="preserve">Saccò M, Guzik MT, van der Heyde M, Nevill P, Cooper SJB, Austin AD, Coates PJ, Allentoft ME and White NE 2022. eDNA in subterranean ecosystems: applications, technical aspects, and future prospects. </w:t>
      </w:r>
      <w:r w:rsidRPr="00634ADC">
        <w:rPr>
          <w:i/>
          <w:iCs/>
        </w:rPr>
        <w:t>Science of the Total Environment</w:t>
      </w:r>
      <w:r>
        <w:t>, 820, 153223.</w:t>
      </w:r>
    </w:p>
    <w:p w14:paraId="0CA73A73" w14:textId="77777777" w:rsidR="00261502" w:rsidRDefault="00261502" w:rsidP="0010618E">
      <w:pPr>
        <w:pStyle w:val="References"/>
      </w:pPr>
      <w:r>
        <w:t xml:space="preserve">Sang S, Zhang X, Dai H, Hu BX, Ou H and Sun L 2018. Diversity and predictive metabolic pathways of the prokaryotic microbial community along a groundwater salinity gradient of the Pearl River Delta, China. </w:t>
      </w:r>
      <w:r w:rsidRPr="00634ADC">
        <w:rPr>
          <w:i/>
          <w:iCs/>
        </w:rPr>
        <w:t>Scientific Reports</w:t>
      </w:r>
      <w:r>
        <w:t>, 8, 17317.</w:t>
      </w:r>
    </w:p>
    <w:p w14:paraId="0679FA10" w14:textId="77777777" w:rsidR="00261502" w:rsidRDefault="00261502" w:rsidP="0010618E">
      <w:pPr>
        <w:pStyle w:val="References"/>
      </w:pPr>
      <w:r>
        <w:t xml:space="preserve">Seemann T 2014. Prokka: rapid prokaryotic genome annotation. </w:t>
      </w:r>
      <w:r w:rsidRPr="00634ADC">
        <w:rPr>
          <w:i/>
          <w:iCs/>
        </w:rPr>
        <w:t>Bioinformatics</w:t>
      </w:r>
      <w:r>
        <w:t>, 30, 2068-9.</w:t>
      </w:r>
    </w:p>
    <w:p w14:paraId="107AF8B4" w14:textId="77777777" w:rsidR="00261502" w:rsidRDefault="00261502" w:rsidP="0010618E">
      <w:pPr>
        <w:pStyle w:val="References"/>
      </w:pPr>
      <w:r>
        <w:t xml:space="preserve">Smets W, Leff JW, Bradford MA, McCulley RL, Lebeer S and Fierer N 2016. A method for simultaneous measurement of soil bacterial abundances and community composition via 16S rRNA gene sequencing. </w:t>
      </w:r>
      <w:r w:rsidRPr="00634ADC">
        <w:rPr>
          <w:i/>
          <w:iCs/>
        </w:rPr>
        <w:t>Soil Biology and Biochemistry</w:t>
      </w:r>
      <w:r>
        <w:t>, 96, 145–151.</w:t>
      </w:r>
    </w:p>
    <w:p w14:paraId="305B5375" w14:textId="77777777" w:rsidR="00016E1B" w:rsidRDefault="00261502" w:rsidP="0010618E">
      <w:pPr>
        <w:pStyle w:val="References"/>
      </w:pPr>
      <w:r>
        <w:t xml:space="preserve">Spear MJ, Embke HS, Krysan PJ and Vander Zanden MJ 2021. Application of eDNA as a tool for assessing fish population abundance. </w:t>
      </w:r>
      <w:r w:rsidRPr="00634ADC">
        <w:rPr>
          <w:i/>
          <w:iCs/>
        </w:rPr>
        <w:t>Environmental DNA</w:t>
      </w:r>
      <w:r>
        <w:t>, 3, 83–91.</w:t>
      </w:r>
    </w:p>
    <w:p w14:paraId="1F7EF668" w14:textId="2A44E6E9" w:rsidR="00261502" w:rsidRDefault="00261502" w:rsidP="0010618E">
      <w:pPr>
        <w:pStyle w:val="References"/>
      </w:pPr>
      <w:r>
        <w:t xml:space="preserve">Sutcliffe B, Chariton AA, Harford AJ, Hose GC, Stephenson S, Greenfield P, Midgley DJ and Paulsen IT 2017. Insights from the genomes of microbes thriving in uranium-enriched sediments. </w:t>
      </w:r>
      <w:r w:rsidRPr="00634ADC">
        <w:rPr>
          <w:i/>
          <w:iCs/>
        </w:rPr>
        <w:t>Microbial Ecology</w:t>
      </w:r>
      <w:r>
        <w:t>, 75, 970–984.</w:t>
      </w:r>
    </w:p>
    <w:p w14:paraId="64BFB857" w14:textId="77777777" w:rsidR="00261502" w:rsidRDefault="00261502" w:rsidP="0010618E">
      <w:pPr>
        <w:pStyle w:val="References"/>
      </w:pPr>
      <w:r>
        <w:t xml:space="preserve">Suzuki MT and Giovannoni SJ 1996. Bias caused by template annealing in the amplification of mixtures of 16S rRNA genes by PCR. </w:t>
      </w:r>
      <w:r w:rsidRPr="00634ADC">
        <w:rPr>
          <w:i/>
          <w:iCs/>
        </w:rPr>
        <w:t>Applied Environmental Microbiology</w:t>
      </w:r>
      <w:r>
        <w:t>, 62, 625–630.</w:t>
      </w:r>
    </w:p>
    <w:p w14:paraId="2A0FC32A" w14:textId="77777777" w:rsidR="00261502" w:rsidRDefault="00261502" w:rsidP="0010618E">
      <w:pPr>
        <w:pStyle w:val="References"/>
      </w:pPr>
      <w:r>
        <w:t xml:space="preserve">Taberlet P, Bonin A, Zinger L and Coissac E 2018. </w:t>
      </w:r>
      <w:r w:rsidRPr="00634ADC">
        <w:rPr>
          <w:i/>
          <w:iCs/>
        </w:rPr>
        <w:t>Environmental DNA: for biodiversity research and monitoring</w:t>
      </w:r>
      <w:r>
        <w:t>. Oxford University Press.</w:t>
      </w:r>
    </w:p>
    <w:p w14:paraId="39BEE8C4" w14:textId="77777777" w:rsidR="00261502" w:rsidRDefault="00261502" w:rsidP="0010618E">
      <w:pPr>
        <w:pStyle w:val="References"/>
      </w:pPr>
      <w:r>
        <w:t xml:space="preserve">Thomas AC, Deagle BE, Eveson JP, Harsch CH and Trites AW 2016. Quantitative DNA metabarcoding: improved estimates of species proportional biomass using correction factors derived from control material. </w:t>
      </w:r>
      <w:r w:rsidRPr="00634ADC">
        <w:rPr>
          <w:i/>
          <w:iCs/>
        </w:rPr>
        <w:t>Molecular Ecology Resources</w:t>
      </w:r>
      <w:r>
        <w:t>, 16, 714–726.</w:t>
      </w:r>
    </w:p>
    <w:p w14:paraId="49853CD0" w14:textId="77777777" w:rsidR="00016E1B" w:rsidRDefault="00261502" w:rsidP="0010618E">
      <w:pPr>
        <w:pStyle w:val="References"/>
      </w:pPr>
      <w:r>
        <w:t xml:space="preserve">Tillotson MD, Kelly RP, Duda JJ, Hoy M, Kralj J and Quinn TP 2018. Concentrations of environmental DNA (eDNA) reflect spawning salmon abundance at fine spatial and temporal scales. </w:t>
      </w:r>
      <w:r w:rsidRPr="00634ADC">
        <w:rPr>
          <w:i/>
          <w:iCs/>
        </w:rPr>
        <w:t>Biological Conservation</w:t>
      </w:r>
      <w:r>
        <w:t>, 220, 1–11.</w:t>
      </w:r>
    </w:p>
    <w:p w14:paraId="1D9739B7" w14:textId="3A9D8F0A" w:rsidR="00261502" w:rsidRDefault="00261502" w:rsidP="0010618E">
      <w:pPr>
        <w:pStyle w:val="References"/>
      </w:pPr>
      <w:r>
        <w:t xml:space="preserve">Tischer K, Kleinsteuber S, Schleinitz KM, Fetzer I, Spott O, Stange F, Lohse U, Franz J, Neumann F, Gerling S, Schmidt C, Hasselwander E, Harms H and Wendeberg A 2013. Microbial communities along biogeochemical gradients in a hydrocarbon-contaminated aquifer. </w:t>
      </w:r>
      <w:r w:rsidRPr="00634ADC">
        <w:rPr>
          <w:i/>
          <w:iCs/>
        </w:rPr>
        <w:t>Environmental Microbiology</w:t>
      </w:r>
      <w:r>
        <w:t>, 15, 2603–2615.</w:t>
      </w:r>
    </w:p>
    <w:p w14:paraId="4D8DDBD9" w14:textId="77777777" w:rsidR="00261502" w:rsidRDefault="00261502" w:rsidP="0010618E">
      <w:pPr>
        <w:pStyle w:val="References"/>
      </w:pPr>
      <w:r>
        <w:t xml:space="preserve">Tkacz A, Hortala M and Poole PS 2018. Absolute quantitation of microbiota abundance in environmental samples. </w:t>
      </w:r>
      <w:r w:rsidRPr="00634ADC">
        <w:rPr>
          <w:i/>
          <w:iCs/>
        </w:rPr>
        <w:t>Microbiome</w:t>
      </w:r>
      <w:r>
        <w:t>, 6, 110</w:t>
      </w:r>
    </w:p>
    <w:p w14:paraId="5CBD79BA" w14:textId="77777777" w:rsidR="00016E1B" w:rsidRDefault="00261502" w:rsidP="0010618E">
      <w:pPr>
        <w:pStyle w:val="References"/>
      </w:pPr>
      <w:r>
        <w:t xml:space="preserve">Weiss S, Xu ZZ, Peddada S, Amir A, Bittinger K, Gonzalez A, Lozupone C, Zaneveld JR, Vázquez-Baeza Y, Birmingham A, Hyde ER and Knight R 2017. Normalization and microbial differential abundance strategies depend upon data characteristics. </w:t>
      </w:r>
      <w:r w:rsidRPr="00634ADC">
        <w:rPr>
          <w:i/>
          <w:iCs/>
        </w:rPr>
        <w:t>Microbiome</w:t>
      </w:r>
      <w:r>
        <w:t>, 5, 27.</w:t>
      </w:r>
    </w:p>
    <w:p w14:paraId="3D82B02E" w14:textId="177ACAA9" w:rsidR="00261502" w:rsidRDefault="00261502">
      <w:pPr>
        <w:rPr>
          <w:rFonts w:ascii="Garamond" w:hAnsi="Garamond" w:cs="Calibri"/>
          <w:color w:val="000000"/>
          <w:sz w:val="20"/>
          <w:szCs w:val="20"/>
          <w:lang w:val="en-US"/>
        </w:rPr>
      </w:pPr>
      <w:r>
        <w:br w:type="page"/>
      </w:r>
    </w:p>
    <w:p w14:paraId="023C985E" w14:textId="77777777" w:rsidR="00016E1B" w:rsidRDefault="00261502" w:rsidP="00261502">
      <w:pPr>
        <w:pStyle w:val="Heading1"/>
      </w:pPr>
      <w:bookmarkStart w:id="77" w:name="_Toc164960628"/>
      <w:r>
        <w:t>Appendices</w:t>
      </w:r>
      <w:bookmarkEnd w:id="77"/>
    </w:p>
    <w:p w14:paraId="74BB23A9" w14:textId="6BF3C795" w:rsidR="00261502" w:rsidRDefault="00261502" w:rsidP="00634ADC">
      <w:pPr>
        <w:pStyle w:val="Heading2"/>
      </w:pPr>
      <w:bookmarkStart w:id="78" w:name="_Ref164638844"/>
      <w:bookmarkStart w:id="79" w:name="_Toc164960629"/>
      <w:r>
        <w:t>Appendix 1. Primers and PCR conditions for eDNA</w:t>
      </w:r>
      <w:bookmarkEnd w:id="78"/>
      <w:bookmarkEnd w:id="79"/>
    </w:p>
    <w:p w14:paraId="1B02F847" w14:textId="186E0745" w:rsidR="00EE5F48" w:rsidRDefault="00EE5F48" w:rsidP="00EE5F48">
      <w:pPr>
        <w:pStyle w:val="TABLEHEADING"/>
      </w:pPr>
      <w:r>
        <w:t>Table A1.</w:t>
      </w:r>
      <w:r>
        <w:fldChar w:fldCharType="begin"/>
      </w:r>
      <w:r>
        <w:instrText xml:space="preserve"> SEQ Table_A1 \* ARABIC </w:instrText>
      </w:r>
      <w:r>
        <w:fldChar w:fldCharType="separate"/>
      </w:r>
      <w:r>
        <w:rPr>
          <w:noProof/>
        </w:rPr>
        <w:t>1</w:t>
      </w:r>
      <w:r>
        <w:fldChar w:fldCharType="end"/>
      </w:r>
      <w:r w:rsidRPr="003B3ADA">
        <w:t>. Primer sequences used in PCR</w:t>
      </w:r>
    </w:p>
    <w:tbl>
      <w:tblPr>
        <w:tblStyle w:val="IESCTABLE1"/>
        <w:tblW w:w="9870" w:type="dxa"/>
        <w:tblLook w:val="04A0" w:firstRow="1" w:lastRow="0" w:firstColumn="1" w:lastColumn="0" w:noHBand="0" w:noVBand="1"/>
      </w:tblPr>
      <w:tblGrid>
        <w:gridCol w:w="1271"/>
        <w:gridCol w:w="1134"/>
        <w:gridCol w:w="1418"/>
        <w:gridCol w:w="3827"/>
        <w:gridCol w:w="2220"/>
      </w:tblGrid>
      <w:tr w:rsidR="00261502" w:rsidRPr="00261502" w14:paraId="0790C6A1" w14:textId="77777777" w:rsidTr="008944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noWrap/>
            <w:tcMar>
              <w:top w:w="57" w:type="dxa"/>
              <w:left w:w="57" w:type="dxa"/>
              <w:bottom w:w="85" w:type="dxa"/>
              <w:right w:w="57" w:type="dxa"/>
            </w:tcMar>
          </w:tcPr>
          <w:p w14:paraId="4475851B" w14:textId="77777777" w:rsidR="00261502" w:rsidRPr="00634ADC" w:rsidRDefault="00261502" w:rsidP="00634ADC">
            <w:pPr>
              <w:pStyle w:val="TableHeaderRow"/>
              <w:rPr>
                <w:b/>
                <w:bCs w:val="0"/>
              </w:rPr>
            </w:pPr>
            <w:r w:rsidRPr="00634ADC">
              <w:rPr>
                <w:b/>
                <w:bCs w:val="0"/>
              </w:rPr>
              <w:t>Gene</w:t>
            </w:r>
          </w:p>
        </w:tc>
        <w:tc>
          <w:tcPr>
            <w:tcW w:w="1134" w:type="dxa"/>
            <w:noWrap/>
            <w:tcMar>
              <w:top w:w="57" w:type="dxa"/>
              <w:left w:w="57" w:type="dxa"/>
              <w:bottom w:w="85" w:type="dxa"/>
              <w:right w:w="57" w:type="dxa"/>
            </w:tcMar>
          </w:tcPr>
          <w:p w14:paraId="6B8034EC"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634ADC">
              <w:rPr>
                <w:b/>
                <w:bCs w:val="0"/>
              </w:rPr>
              <w:t xml:space="preserve">Size (bp) </w:t>
            </w:r>
          </w:p>
        </w:tc>
        <w:tc>
          <w:tcPr>
            <w:tcW w:w="1418" w:type="dxa"/>
            <w:noWrap/>
            <w:tcMar>
              <w:top w:w="57" w:type="dxa"/>
              <w:left w:w="57" w:type="dxa"/>
              <w:bottom w:w="85" w:type="dxa"/>
              <w:right w:w="57" w:type="dxa"/>
            </w:tcMar>
          </w:tcPr>
          <w:p w14:paraId="307B32F4"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634ADC">
              <w:rPr>
                <w:b/>
                <w:bCs w:val="0"/>
              </w:rPr>
              <w:t xml:space="preserve">Primer ID </w:t>
            </w:r>
          </w:p>
        </w:tc>
        <w:tc>
          <w:tcPr>
            <w:tcW w:w="3827" w:type="dxa"/>
            <w:noWrap/>
            <w:tcMar>
              <w:top w:w="57" w:type="dxa"/>
              <w:left w:w="57" w:type="dxa"/>
              <w:bottom w:w="85" w:type="dxa"/>
              <w:right w:w="57" w:type="dxa"/>
            </w:tcMar>
          </w:tcPr>
          <w:p w14:paraId="015E7FCE"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634ADC">
              <w:rPr>
                <w:b/>
                <w:bCs w:val="0"/>
              </w:rPr>
              <w:t xml:space="preserve">Sequence </w:t>
            </w:r>
          </w:p>
        </w:tc>
        <w:tc>
          <w:tcPr>
            <w:tcW w:w="2220" w:type="dxa"/>
            <w:noWrap/>
            <w:tcMar>
              <w:top w:w="57" w:type="dxa"/>
              <w:left w:w="57" w:type="dxa"/>
              <w:bottom w:w="85" w:type="dxa"/>
              <w:right w:w="57" w:type="dxa"/>
            </w:tcMar>
          </w:tcPr>
          <w:p w14:paraId="2159A80D"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bCs w:val="0"/>
              </w:rPr>
            </w:pPr>
            <w:r w:rsidRPr="00634ADC">
              <w:rPr>
                <w:b/>
                <w:bCs w:val="0"/>
              </w:rPr>
              <w:t>Reference</w:t>
            </w:r>
          </w:p>
        </w:tc>
      </w:tr>
      <w:tr w:rsidR="00261502" w:rsidRPr="00261502" w14:paraId="026073D3" w14:textId="77777777" w:rsidTr="0089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noWrap/>
            <w:tcMar>
              <w:top w:w="57" w:type="dxa"/>
              <w:left w:w="57" w:type="dxa"/>
              <w:bottom w:w="85" w:type="dxa"/>
              <w:right w:w="57" w:type="dxa"/>
            </w:tcMar>
          </w:tcPr>
          <w:p w14:paraId="5820CD8A" w14:textId="77777777" w:rsidR="00261502" w:rsidRPr="00261502" w:rsidRDefault="00261502" w:rsidP="00634ADC">
            <w:pPr>
              <w:pStyle w:val="TableText"/>
            </w:pPr>
            <w:r w:rsidRPr="00261502">
              <w:t>16S rDNA</w:t>
            </w:r>
          </w:p>
        </w:tc>
        <w:tc>
          <w:tcPr>
            <w:tcW w:w="1134" w:type="dxa"/>
            <w:noWrap/>
            <w:tcMar>
              <w:top w:w="57" w:type="dxa"/>
              <w:left w:w="57" w:type="dxa"/>
              <w:bottom w:w="85" w:type="dxa"/>
              <w:right w:w="57" w:type="dxa"/>
            </w:tcMar>
          </w:tcPr>
          <w:p w14:paraId="7D7A0E6B"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350</w:t>
            </w:r>
          </w:p>
        </w:tc>
        <w:tc>
          <w:tcPr>
            <w:tcW w:w="1418" w:type="dxa"/>
            <w:noWrap/>
            <w:tcMar>
              <w:top w:w="57" w:type="dxa"/>
              <w:left w:w="57" w:type="dxa"/>
              <w:bottom w:w="85" w:type="dxa"/>
              <w:right w:w="57" w:type="dxa"/>
            </w:tcMar>
          </w:tcPr>
          <w:p w14:paraId="4E881AF4"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515FB</w:t>
            </w:r>
          </w:p>
        </w:tc>
        <w:tc>
          <w:tcPr>
            <w:tcW w:w="3827" w:type="dxa"/>
            <w:noWrap/>
            <w:tcMar>
              <w:top w:w="57" w:type="dxa"/>
              <w:left w:w="57" w:type="dxa"/>
              <w:bottom w:w="85" w:type="dxa"/>
              <w:right w:w="57" w:type="dxa"/>
            </w:tcMar>
          </w:tcPr>
          <w:p w14:paraId="567ED4B0"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GTGYCAGCMGCCGCGGTAA</w:t>
            </w:r>
          </w:p>
        </w:tc>
        <w:tc>
          <w:tcPr>
            <w:tcW w:w="2220" w:type="dxa"/>
            <w:noWrap/>
            <w:tcMar>
              <w:top w:w="57" w:type="dxa"/>
              <w:left w:w="57" w:type="dxa"/>
              <w:bottom w:w="85" w:type="dxa"/>
              <w:right w:w="57" w:type="dxa"/>
            </w:tcMar>
          </w:tcPr>
          <w:p w14:paraId="5AB239CE"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Parada et al. 2016</w:t>
            </w:r>
          </w:p>
        </w:tc>
      </w:tr>
      <w:tr w:rsidR="00261502" w:rsidRPr="00261502" w14:paraId="66AB72F2" w14:textId="77777777" w:rsidTr="008944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noWrap/>
            <w:tcMar>
              <w:top w:w="57" w:type="dxa"/>
              <w:left w:w="57" w:type="dxa"/>
              <w:bottom w:w="85" w:type="dxa"/>
              <w:right w:w="57" w:type="dxa"/>
            </w:tcMar>
          </w:tcPr>
          <w:p w14:paraId="49480CEA" w14:textId="3169B4E2" w:rsidR="00261502" w:rsidRPr="00634ADC" w:rsidRDefault="00634ADC" w:rsidP="00634ADC">
            <w:pPr>
              <w:pStyle w:val="TableText"/>
              <w:rPr>
                <w:color w:val="EBEEF5"/>
              </w:rPr>
            </w:pPr>
            <w:r w:rsidRPr="00634ADC">
              <w:rPr>
                <w:color w:val="EBEEF5"/>
              </w:rPr>
              <w:t>-</w:t>
            </w:r>
          </w:p>
        </w:tc>
        <w:tc>
          <w:tcPr>
            <w:tcW w:w="1134" w:type="dxa"/>
            <w:noWrap/>
            <w:tcMar>
              <w:top w:w="57" w:type="dxa"/>
              <w:left w:w="57" w:type="dxa"/>
              <w:bottom w:w="85" w:type="dxa"/>
              <w:right w:w="57" w:type="dxa"/>
            </w:tcMar>
          </w:tcPr>
          <w:p w14:paraId="6C244DBD" w14:textId="3F4D16C5" w:rsidR="00261502" w:rsidRPr="00634ADC" w:rsidRDefault="00634ADC" w:rsidP="00634ADC">
            <w:pPr>
              <w:pStyle w:val="TableText"/>
              <w:cnfStyle w:val="000000010000" w:firstRow="0" w:lastRow="0" w:firstColumn="0" w:lastColumn="0" w:oddVBand="0" w:evenVBand="0" w:oddHBand="0" w:evenHBand="1" w:firstRowFirstColumn="0" w:firstRowLastColumn="0" w:lastRowFirstColumn="0" w:lastRowLastColumn="0"/>
              <w:rPr>
                <w:color w:val="EBEEF5"/>
              </w:rPr>
            </w:pPr>
            <w:r w:rsidRPr="00634ADC">
              <w:rPr>
                <w:color w:val="EBEEF5"/>
              </w:rPr>
              <w:t>-</w:t>
            </w:r>
          </w:p>
        </w:tc>
        <w:tc>
          <w:tcPr>
            <w:tcW w:w="1418" w:type="dxa"/>
            <w:noWrap/>
            <w:tcMar>
              <w:top w:w="57" w:type="dxa"/>
              <w:left w:w="57" w:type="dxa"/>
              <w:bottom w:w="85" w:type="dxa"/>
              <w:right w:w="57" w:type="dxa"/>
            </w:tcMar>
          </w:tcPr>
          <w:p w14:paraId="47C74F9C" w14:textId="77777777" w:rsidR="00261502" w:rsidRPr="00261502" w:rsidRDefault="00261502" w:rsidP="00634ADC">
            <w:pPr>
              <w:pStyle w:val="TableText"/>
              <w:cnfStyle w:val="000000010000" w:firstRow="0" w:lastRow="0" w:firstColumn="0" w:lastColumn="0" w:oddVBand="0" w:evenVBand="0" w:oddHBand="0" w:evenHBand="1" w:firstRowFirstColumn="0" w:firstRowLastColumn="0" w:lastRowFirstColumn="0" w:lastRowLastColumn="0"/>
            </w:pPr>
            <w:r w:rsidRPr="00261502">
              <w:t>806FB</w:t>
            </w:r>
          </w:p>
        </w:tc>
        <w:tc>
          <w:tcPr>
            <w:tcW w:w="3827" w:type="dxa"/>
            <w:noWrap/>
            <w:tcMar>
              <w:top w:w="57" w:type="dxa"/>
              <w:left w:w="57" w:type="dxa"/>
              <w:bottom w:w="85" w:type="dxa"/>
              <w:right w:w="57" w:type="dxa"/>
            </w:tcMar>
          </w:tcPr>
          <w:p w14:paraId="4445E891" w14:textId="77777777" w:rsidR="00261502" w:rsidRPr="00261502" w:rsidRDefault="00261502" w:rsidP="00634ADC">
            <w:pPr>
              <w:pStyle w:val="TableText"/>
              <w:cnfStyle w:val="000000010000" w:firstRow="0" w:lastRow="0" w:firstColumn="0" w:lastColumn="0" w:oddVBand="0" w:evenVBand="0" w:oddHBand="0" w:evenHBand="1" w:firstRowFirstColumn="0" w:firstRowLastColumn="0" w:lastRowFirstColumn="0" w:lastRowLastColumn="0"/>
            </w:pPr>
            <w:r w:rsidRPr="00261502">
              <w:t>GGACTACNVGGGTWTCTAAT</w:t>
            </w:r>
          </w:p>
        </w:tc>
        <w:tc>
          <w:tcPr>
            <w:tcW w:w="2220" w:type="dxa"/>
            <w:noWrap/>
            <w:tcMar>
              <w:top w:w="57" w:type="dxa"/>
              <w:left w:w="57" w:type="dxa"/>
              <w:bottom w:w="85" w:type="dxa"/>
              <w:right w:w="57" w:type="dxa"/>
            </w:tcMar>
          </w:tcPr>
          <w:p w14:paraId="48F7D4CC" w14:textId="77777777" w:rsidR="00261502" w:rsidRPr="00261502" w:rsidRDefault="00261502" w:rsidP="00634ADC">
            <w:pPr>
              <w:pStyle w:val="TableText"/>
              <w:cnfStyle w:val="000000010000" w:firstRow="0" w:lastRow="0" w:firstColumn="0" w:lastColumn="0" w:oddVBand="0" w:evenVBand="0" w:oddHBand="0" w:evenHBand="1" w:firstRowFirstColumn="0" w:firstRowLastColumn="0" w:lastRowFirstColumn="0" w:lastRowLastColumn="0"/>
            </w:pPr>
            <w:r w:rsidRPr="00261502">
              <w:t>Apprill et al. 2015</w:t>
            </w:r>
          </w:p>
        </w:tc>
      </w:tr>
      <w:tr w:rsidR="00261502" w:rsidRPr="00261502" w14:paraId="06064D07" w14:textId="77777777" w:rsidTr="0089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noWrap/>
            <w:tcMar>
              <w:top w:w="57" w:type="dxa"/>
              <w:left w:w="57" w:type="dxa"/>
              <w:bottom w:w="85" w:type="dxa"/>
              <w:right w:w="57" w:type="dxa"/>
            </w:tcMar>
          </w:tcPr>
          <w:p w14:paraId="5A6589C6" w14:textId="77777777" w:rsidR="00261502" w:rsidRPr="00261502" w:rsidRDefault="00261502" w:rsidP="00634ADC">
            <w:pPr>
              <w:pStyle w:val="TableText"/>
            </w:pPr>
            <w:r w:rsidRPr="00261502">
              <w:t>18S rDNA</w:t>
            </w:r>
          </w:p>
        </w:tc>
        <w:tc>
          <w:tcPr>
            <w:tcW w:w="1134" w:type="dxa"/>
            <w:noWrap/>
            <w:tcMar>
              <w:top w:w="57" w:type="dxa"/>
              <w:left w:w="57" w:type="dxa"/>
              <w:bottom w:w="85" w:type="dxa"/>
              <w:right w:w="57" w:type="dxa"/>
            </w:tcMar>
          </w:tcPr>
          <w:p w14:paraId="0463654C"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200–500</w:t>
            </w:r>
          </w:p>
        </w:tc>
        <w:tc>
          <w:tcPr>
            <w:tcW w:w="1418" w:type="dxa"/>
            <w:noWrap/>
            <w:tcMar>
              <w:top w:w="57" w:type="dxa"/>
              <w:left w:w="57" w:type="dxa"/>
              <w:bottom w:w="85" w:type="dxa"/>
              <w:right w:w="57" w:type="dxa"/>
            </w:tcMar>
          </w:tcPr>
          <w:p w14:paraId="7431CB74"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All18SF</w:t>
            </w:r>
          </w:p>
        </w:tc>
        <w:tc>
          <w:tcPr>
            <w:tcW w:w="3827" w:type="dxa"/>
            <w:noWrap/>
            <w:tcMar>
              <w:top w:w="57" w:type="dxa"/>
              <w:left w:w="57" w:type="dxa"/>
              <w:bottom w:w="85" w:type="dxa"/>
              <w:right w:w="57" w:type="dxa"/>
            </w:tcMar>
          </w:tcPr>
          <w:p w14:paraId="35571FD8"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5'-TGGTGCATGGCCGTTCTTAGT-3'</w:t>
            </w:r>
          </w:p>
        </w:tc>
        <w:tc>
          <w:tcPr>
            <w:tcW w:w="2220" w:type="dxa"/>
            <w:noWrap/>
            <w:tcMar>
              <w:top w:w="57" w:type="dxa"/>
              <w:left w:w="57" w:type="dxa"/>
              <w:bottom w:w="85" w:type="dxa"/>
              <w:right w:w="57" w:type="dxa"/>
            </w:tcMar>
          </w:tcPr>
          <w:p w14:paraId="6A6D814D"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Hardy et al. 2010</w:t>
            </w:r>
          </w:p>
        </w:tc>
      </w:tr>
      <w:tr w:rsidR="00634ADC" w:rsidRPr="00261502" w14:paraId="215EB5BD" w14:textId="77777777" w:rsidTr="008944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noWrap/>
            <w:tcMar>
              <w:top w:w="57" w:type="dxa"/>
              <w:left w:w="57" w:type="dxa"/>
              <w:bottom w:w="85" w:type="dxa"/>
              <w:right w:w="57" w:type="dxa"/>
            </w:tcMar>
          </w:tcPr>
          <w:p w14:paraId="3AC5C828" w14:textId="133B273E" w:rsidR="00634ADC" w:rsidRPr="00634ADC" w:rsidRDefault="00634ADC" w:rsidP="00634ADC">
            <w:pPr>
              <w:pStyle w:val="TableText"/>
              <w:rPr>
                <w:color w:val="EBEEF5"/>
              </w:rPr>
            </w:pPr>
            <w:r w:rsidRPr="00634ADC">
              <w:rPr>
                <w:color w:val="EBEEF5"/>
              </w:rPr>
              <w:t>-</w:t>
            </w:r>
          </w:p>
        </w:tc>
        <w:tc>
          <w:tcPr>
            <w:tcW w:w="1134" w:type="dxa"/>
            <w:noWrap/>
            <w:tcMar>
              <w:top w:w="57" w:type="dxa"/>
              <w:left w:w="57" w:type="dxa"/>
              <w:bottom w:w="85" w:type="dxa"/>
              <w:right w:w="57" w:type="dxa"/>
            </w:tcMar>
          </w:tcPr>
          <w:p w14:paraId="509C6C5D" w14:textId="5F5D2C25" w:rsidR="00634ADC" w:rsidRPr="00634ADC" w:rsidRDefault="00634ADC" w:rsidP="00634ADC">
            <w:pPr>
              <w:pStyle w:val="TableText"/>
              <w:cnfStyle w:val="000000010000" w:firstRow="0" w:lastRow="0" w:firstColumn="0" w:lastColumn="0" w:oddVBand="0" w:evenVBand="0" w:oddHBand="0" w:evenHBand="1" w:firstRowFirstColumn="0" w:firstRowLastColumn="0" w:lastRowFirstColumn="0" w:lastRowLastColumn="0"/>
              <w:rPr>
                <w:color w:val="EBEEF5"/>
              </w:rPr>
            </w:pPr>
            <w:r w:rsidRPr="00634ADC">
              <w:rPr>
                <w:color w:val="EBEEF5"/>
              </w:rPr>
              <w:t>-</w:t>
            </w:r>
          </w:p>
        </w:tc>
        <w:tc>
          <w:tcPr>
            <w:tcW w:w="1418" w:type="dxa"/>
            <w:noWrap/>
            <w:tcMar>
              <w:top w:w="57" w:type="dxa"/>
              <w:left w:w="57" w:type="dxa"/>
              <w:bottom w:w="85" w:type="dxa"/>
              <w:right w:w="57" w:type="dxa"/>
            </w:tcMar>
          </w:tcPr>
          <w:p w14:paraId="1BF610B7" w14:textId="77777777"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261502">
              <w:t>All18SR</w:t>
            </w:r>
          </w:p>
        </w:tc>
        <w:tc>
          <w:tcPr>
            <w:tcW w:w="3827" w:type="dxa"/>
            <w:noWrap/>
            <w:tcMar>
              <w:top w:w="57" w:type="dxa"/>
              <w:left w:w="57" w:type="dxa"/>
              <w:bottom w:w="85" w:type="dxa"/>
              <w:right w:w="57" w:type="dxa"/>
            </w:tcMar>
          </w:tcPr>
          <w:p w14:paraId="49EC09A8" w14:textId="77777777"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261502">
              <w:t xml:space="preserve">5'-CATCTAAGGGCATCACAGACC-3' </w:t>
            </w:r>
          </w:p>
        </w:tc>
        <w:tc>
          <w:tcPr>
            <w:tcW w:w="2220" w:type="dxa"/>
            <w:noWrap/>
            <w:tcMar>
              <w:top w:w="57" w:type="dxa"/>
              <w:left w:w="57" w:type="dxa"/>
              <w:bottom w:w="85" w:type="dxa"/>
              <w:right w:w="57" w:type="dxa"/>
            </w:tcMar>
          </w:tcPr>
          <w:p w14:paraId="7F3B4F50" w14:textId="1473713E"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634ADC">
              <w:rPr>
                <w:color w:val="EBEEF5"/>
              </w:rPr>
              <w:t xml:space="preserve"> -</w:t>
            </w:r>
          </w:p>
        </w:tc>
      </w:tr>
    </w:tbl>
    <w:p w14:paraId="7FC10B05" w14:textId="77777777" w:rsidR="00261502" w:rsidRDefault="00261502" w:rsidP="00634ADC">
      <w:pPr>
        <w:pStyle w:val="TableSourceNotes"/>
      </w:pPr>
      <w:r>
        <w:t>bp = base pair</w:t>
      </w:r>
    </w:p>
    <w:p w14:paraId="5EEDCE99" w14:textId="5BCBE22C" w:rsidR="00EE5F48" w:rsidRPr="00EE5F48" w:rsidRDefault="00EE5F48" w:rsidP="00EE5F48">
      <w:pPr>
        <w:pStyle w:val="TABLEHEADING"/>
      </w:pPr>
      <w:r>
        <w:t>Table A1.</w:t>
      </w:r>
      <w:r>
        <w:fldChar w:fldCharType="begin"/>
      </w:r>
      <w:r>
        <w:instrText xml:space="preserve"> SEQ Table_A1 \* ARABIC </w:instrText>
      </w:r>
      <w:r>
        <w:fldChar w:fldCharType="separate"/>
      </w:r>
      <w:r>
        <w:rPr>
          <w:noProof/>
        </w:rPr>
        <w:t>2</w:t>
      </w:r>
      <w:r>
        <w:fldChar w:fldCharType="end"/>
      </w:r>
      <w:r w:rsidRPr="00FB2577">
        <w:t>. Synthetic 16S rDNA gBlocks</w:t>
      </w:r>
      <w:r w:rsidRPr="00EE5F48">
        <w:t xml:space="preserve">® </w:t>
      </w:r>
      <w:r w:rsidRPr="00FB2577">
        <w:t>Gene Fragments</w:t>
      </w:r>
    </w:p>
    <w:tbl>
      <w:tblPr>
        <w:tblStyle w:val="IESCTABLE1"/>
        <w:tblW w:w="9918" w:type="dxa"/>
        <w:tblLook w:val="04A0" w:firstRow="1" w:lastRow="0" w:firstColumn="1" w:lastColumn="0" w:noHBand="0" w:noVBand="1"/>
      </w:tblPr>
      <w:tblGrid>
        <w:gridCol w:w="1572"/>
        <w:gridCol w:w="1076"/>
        <w:gridCol w:w="7270"/>
      </w:tblGrid>
      <w:tr w:rsidR="00261502" w:rsidRPr="00261502" w14:paraId="16311704" w14:textId="77777777" w:rsidTr="008944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2" w:type="dxa"/>
            <w:noWrap/>
            <w:tcMar>
              <w:top w:w="57" w:type="dxa"/>
              <w:left w:w="57" w:type="dxa"/>
              <w:bottom w:w="85" w:type="dxa"/>
              <w:right w:w="57" w:type="dxa"/>
            </w:tcMar>
          </w:tcPr>
          <w:p w14:paraId="7516F54B" w14:textId="77777777" w:rsidR="00261502" w:rsidRPr="00634ADC" w:rsidRDefault="00261502" w:rsidP="00634ADC">
            <w:pPr>
              <w:pStyle w:val="TableHeaderRow"/>
              <w:rPr>
                <w:b/>
              </w:rPr>
            </w:pPr>
            <w:r w:rsidRPr="00634ADC">
              <w:rPr>
                <w:b/>
              </w:rPr>
              <w:t>Gene</w:t>
            </w:r>
          </w:p>
        </w:tc>
        <w:tc>
          <w:tcPr>
            <w:tcW w:w="1076" w:type="dxa"/>
            <w:noWrap/>
            <w:tcMar>
              <w:top w:w="57" w:type="dxa"/>
              <w:left w:w="57" w:type="dxa"/>
              <w:bottom w:w="85" w:type="dxa"/>
              <w:right w:w="57" w:type="dxa"/>
            </w:tcMar>
          </w:tcPr>
          <w:p w14:paraId="0CCD2533"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rPr>
            </w:pPr>
            <w:r w:rsidRPr="00634ADC">
              <w:rPr>
                <w:b/>
              </w:rPr>
              <w:t xml:space="preserve">Size (bp) </w:t>
            </w:r>
          </w:p>
        </w:tc>
        <w:tc>
          <w:tcPr>
            <w:tcW w:w="7270" w:type="dxa"/>
            <w:noWrap/>
            <w:tcMar>
              <w:top w:w="57" w:type="dxa"/>
              <w:left w:w="57" w:type="dxa"/>
              <w:bottom w:w="85" w:type="dxa"/>
              <w:right w:w="57" w:type="dxa"/>
            </w:tcMar>
          </w:tcPr>
          <w:p w14:paraId="3518DF08" w14:textId="77777777" w:rsidR="00261502" w:rsidRPr="00634ADC" w:rsidRDefault="00261502" w:rsidP="00634ADC">
            <w:pPr>
              <w:pStyle w:val="TableHeaderRow"/>
              <w:cnfStyle w:val="100000000000" w:firstRow="1" w:lastRow="0" w:firstColumn="0" w:lastColumn="0" w:oddVBand="0" w:evenVBand="0" w:oddHBand="0" w:evenHBand="0" w:firstRowFirstColumn="0" w:firstRowLastColumn="0" w:lastRowFirstColumn="0" w:lastRowLastColumn="0"/>
              <w:rPr>
                <w:b/>
              </w:rPr>
            </w:pPr>
            <w:r w:rsidRPr="00634ADC">
              <w:rPr>
                <w:b/>
              </w:rPr>
              <w:t xml:space="preserve">Sequence </w:t>
            </w:r>
          </w:p>
        </w:tc>
      </w:tr>
      <w:tr w:rsidR="00261502" w:rsidRPr="00261502" w14:paraId="11E926C2" w14:textId="77777777" w:rsidTr="0089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noWrap/>
            <w:tcMar>
              <w:top w:w="57" w:type="dxa"/>
              <w:left w:w="57" w:type="dxa"/>
              <w:bottom w:w="85" w:type="dxa"/>
              <w:right w:w="57" w:type="dxa"/>
            </w:tcMar>
          </w:tcPr>
          <w:p w14:paraId="744CB783" w14:textId="77777777" w:rsidR="00261502" w:rsidRPr="00261502" w:rsidRDefault="00261502" w:rsidP="00634ADC">
            <w:pPr>
              <w:pStyle w:val="TableText"/>
            </w:pPr>
            <w:r w:rsidRPr="00261502">
              <w:t>Spike 1:</w:t>
            </w:r>
          </w:p>
          <w:p w14:paraId="3E290C3C" w14:textId="77777777" w:rsidR="00261502" w:rsidRPr="00261502" w:rsidRDefault="00261502" w:rsidP="00634ADC">
            <w:pPr>
              <w:pStyle w:val="TableText"/>
            </w:pPr>
            <w:r w:rsidRPr="00261502">
              <w:t>16S rDNA Bacteria_Syn2</w:t>
            </w:r>
          </w:p>
        </w:tc>
        <w:tc>
          <w:tcPr>
            <w:tcW w:w="1076" w:type="dxa"/>
            <w:noWrap/>
            <w:tcMar>
              <w:top w:w="57" w:type="dxa"/>
              <w:left w:w="57" w:type="dxa"/>
              <w:bottom w:w="85" w:type="dxa"/>
              <w:right w:w="57" w:type="dxa"/>
            </w:tcMar>
          </w:tcPr>
          <w:p w14:paraId="47C72600"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319</w:t>
            </w:r>
          </w:p>
        </w:tc>
        <w:tc>
          <w:tcPr>
            <w:tcW w:w="7270" w:type="dxa"/>
            <w:noWrap/>
            <w:tcMar>
              <w:top w:w="57" w:type="dxa"/>
              <w:left w:w="57" w:type="dxa"/>
              <w:bottom w:w="85" w:type="dxa"/>
              <w:right w:w="57" w:type="dxa"/>
            </w:tcMar>
          </w:tcPr>
          <w:p w14:paraId="3E099D6D" w14:textId="77777777" w:rsidR="00261502" w:rsidRPr="00261502" w:rsidRDefault="00261502" w:rsidP="00634ADC">
            <w:pPr>
              <w:pStyle w:val="TableText"/>
              <w:cnfStyle w:val="000000100000" w:firstRow="0" w:lastRow="0" w:firstColumn="0" w:lastColumn="0" w:oddVBand="0" w:evenVBand="0" w:oddHBand="1" w:evenHBand="0" w:firstRowFirstColumn="0" w:firstRowLastColumn="0" w:lastRowFirstColumn="0" w:lastRowLastColumn="0"/>
            </w:pPr>
            <w:r w:rsidRPr="00261502">
              <w:t>5'- GTG CCA GCA GCC GCG GTA ACT TGT AGG CTC GAC CCT GAT GGA TTG CTG TCA CAT TAC GAC GCA TCC CAA ATA AGC CGC TCT CAG AAG AAA GCC ATG CCC TTA TTA CTT GTG CGC GCG GCG GCC ATC CTG AAT GCC TCG TAC GTT TCA AAG GCT TAC TCC GGT GCT GGC CGA TTC GAC TTA ACA CTC TGT GCT TCT CTG GTC GCT CCG TCC TTT GCA GTG ATC AAA TCC GAC GGG ACT CGC ACC TGT GGG CAA CGA AAC GAG GTG ATT ACC CTA CGG AAG CCT GCT CCC ACT AGA TAA TCA TTA GAT ACC CTA GTA GTC C -3'</w:t>
            </w:r>
          </w:p>
        </w:tc>
      </w:tr>
      <w:tr w:rsidR="00261502" w:rsidRPr="00261502" w14:paraId="4591C6C6" w14:textId="77777777" w:rsidTr="008944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dxa"/>
            <w:noWrap/>
            <w:tcMar>
              <w:top w:w="57" w:type="dxa"/>
              <w:left w:w="57" w:type="dxa"/>
              <w:bottom w:w="85" w:type="dxa"/>
              <w:right w:w="57" w:type="dxa"/>
            </w:tcMar>
          </w:tcPr>
          <w:p w14:paraId="388090E2" w14:textId="77777777" w:rsidR="00261502" w:rsidRPr="00261502" w:rsidRDefault="00261502" w:rsidP="00634ADC">
            <w:pPr>
              <w:pStyle w:val="TableText"/>
            </w:pPr>
            <w:r w:rsidRPr="00261502">
              <w:t>Spike 2:</w:t>
            </w:r>
          </w:p>
          <w:p w14:paraId="3742EE9E" w14:textId="77777777" w:rsidR="00261502" w:rsidRPr="00261502" w:rsidRDefault="00261502" w:rsidP="00634ADC">
            <w:pPr>
              <w:pStyle w:val="TableText"/>
            </w:pPr>
            <w:r w:rsidRPr="00261502">
              <w:t>16S rDNA Bacteria_Syn3</w:t>
            </w:r>
          </w:p>
        </w:tc>
        <w:tc>
          <w:tcPr>
            <w:tcW w:w="1076" w:type="dxa"/>
            <w:noWrap/>
            <w:tcMar>
              <w:top w:w="57" w:type="dxa"/>
              <w:left w:w="57" w:type="dxa"/>
              <w:bottom w:w="85" w:type="dxa"/>
              <w:right w:w="57" w:type="dxa"/>
            </w:tcMar>
          </w:tcPr>
          <w:p w14:paraId="1DC8E5F0" w14:textId="77777777" w:rsidR="00261502" w:rsidRPr="00261502" w:rsidRDefault="00261502" w:rsidP="00634ADC">
            <w:pPr>
              <w:pStyle w:val="TableText"/>
              <w:cnfStyle w:val="000000010000" w:firstRow="0" w:lastRow="0" w:firstColumn="0" w:lastColumn="0" w:oddVBand="0" w:evenVBand="0" w:oddHBand="0" w:evenHBand="1" w:firstRowFirstColumn="0" w:firstRowLastColumn="0" w:lastRowFirstColumn="0" w:lastRowLastColumn="0"/>
            </w:pPr>
            <w:r w:rsidRPr="00261502">
              <w:t>319</w:t>
            </w:r>
          </w:p>
        </w:tc>
        <w:tc>
          <w:tcPr>
            <w:tcW w:w="7270" w:type="dxa"/>
            <w:noWrap/>
            <w:tcMar>
              <w:top w:w="57" w:type="dxa"/>
              <w:left w:w="57" w:type="dxa"/>
              <w:bottom w:w="85" w:type="dxa"/>
              <w:right w:w="57" w:type="dxa"/>
            </w:tcMar>
          </w:tcPr>
          <w:p w14:paraId="3F29E70D" w14:textId="77777777" w:rsidR="00261502" w:rsidRPr="00261502" w:rsidRDefault="00261502" w:rsidP="00634ADC">
            <w:pPr>
              <w:pStyle w:val="TableText"/>
              <w:cnfStyle w:val="000000010000" w:firstRow="0" w:lastRow="0" w:firstColumn="0" w:lastColumn="0" w:oddVBand="0" w:evenVBand="0" w:oddHBand="0" w:evenHBand="1" w:firstRowFirstColumn="0" w:firstRowLastColumn="0" w:lastRowFirstColumn="0" w:lastRowLastColumn="0"/>
            </w:pPr>
            <w:r w:rsidRPr="00261502">
              <w:t>5'- GTG CCA GCA GCC GCG GTA ATA TAG ATT CAC TTC TGG AGG TCT GCC AAC CAC CCA GGA CCC ATC TCA CAA TCC TAT ACA GAC ATC GAG GCA CGC AGC TGG AAA GAC TGC TAA AGC ATC ACA CGT ACC CAA CTT ATG GCC AAG TCC TAG TCT GTC CGT TGG ACT GGC GTG GCC TCC CGC CAC GTC GAC GTA ATA GTC CCG GAG TAT CAA GTT ACC TAG CAC GGC GAA ATA TGA AAC TTT CTG ATA TTA ATG TAG ATC ATT TGA CTC TCT CCG CAT AAG GCC AGC GTG AGG CGC GTG TCA GGA TTA GAT ACC CTA GTA GTC C -3'</w:t>
            </w:r>
          </w:p>
        </w:tc>
      </w:tr>
    </w:tbl>
    <w:p w14:paraId="13AD5C59" w14:textId="77777777" w:rsidR="00261502" w:rsidRDefault="00261502" w:rsidP="00634ADC">
      <w:pPr>
        <w:pStyle w:val="TableSourceNotes"/>
      </w:pPr>
      <w:r>
        <w:t>bp = base pair</w:t>
      </w:r>
    </w:p>
    <w:p w14:paraId="6AFC04BD" w14:textId="4F972672" w:rsidR="00EE5F48" w:rsidRDefault="00EE5F48" w:rsidP="003C5164">
      <w:pPr>
        <w:pStyle w:val="TABLEHEADING"/>
        <w:keepNext/>
        <w:spacing w:line="240" w:lineRule="auto"/>
      </w:pPr>
      <w:r>
        <w:t>Table A1.</w:t>
      </w:r>
      <w:r>
        <w:fldChar w:fldCharType="begin"/>
      </w:r>
      <w:r>
        <w:instrText xml:space="preserve"> SEQ Table_A1 \* ARABIC </w:instrText>
      </w:r>
      <w:r>
        <w:fldChar w:fldCharType="separate"/>
      </w:r>
      <w:r>
        <w:rPr>
          <w:noProof/>
        </w:rPr>
        <w:t>3</w:t>
      </w:r>
      <w:r>
        <w:fldChar w:fldCharType="end"/>
      </w:r>
      <w:r w:rsidRPr="00B3411B">
        <w:t>. PCR cycle details for 16S rDNA metabarcoding</w:t>
      </w:r>
    </w:p>
    <w:tbl>
      <w:tblPr>
        <w:tblStyle w:val="IESCTABLE1"/>
        <w:tblW w:w="0" w:type="auto"/>
        <w:tblCellMar>
          <w:left w:w="0" w:type="dxa"/>
          <w:right w:w="0" w:type="dxa"/>
        </w:tblCellMar>
        <w:tblLook w:val="04A0" w:firstRow="1" w:lastRow="0" w:firstColumn="1" w:lastColumn="0" w:noHBand="0" w:noVBand="1"/>
      </w:tblPr>
      <w:tblGrid>
        <w:gridCol w:w="2405"/>
        <w:gridCol w:w="1418"/>
        <w:gridCol w:w="1984"/>
        <w:gridCol w:w="1276"/>
      </w:tblGrid>
      <w:tr w:rsidR="00634ADC" w:rsidRPr="00261502" w14:paraId="0E1AF080" w14:textId="77777777" w:rsidTr="00894407">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026BFC5C" w14:textId="12FB519C" w:rsidR="00634ADC" w:rsidRPr="00634ADC" w:rsidRDefault="00634ADC" w:rsidP="003C5164">
            <w:pPr>
              <w:pStyle w:val="TableHeaderRow"/>
              <w:keepNext/>
              <w:keepLines/>
              <w:rPr>
                <w:b/>
              </w:rPr>
            </w:pPr>
            <w:r w:rsidRPr="00634ADC">
              <w:rPr>
                <w:b/>
              </w:rPr>
              <w:t>Primer</w:t>
            </w:r>
          </w:p>
        </w:tc>
        <w:tc>
          <w:tcPr>
            <w:tcW w:w="1418" w:type="dxa"/>
            <w:noWrap/>
            <w:tcMar>
              <w:top w:w="57" w:type="dxa"/>
              <w:left w:w="57" w:type="dxa"/>
              <w:bottom w:w="57" w:type="dxa"/>
              <w:right w:w="57" w:type="dxa"/>
            </w:tcMar>
          </w:tcPr>
          <w:p w14:paraId="37948A26" w14:textId="0236912C" w:rsidR="00634ADC" w:rsidRPr="00634ADC" w:rsidRDefault="00634ADC" w:rsidP="003C5164">
            <w:pPr>
              <w:pStyle w:val="TableHeaderRow"/>
              <w:keepNext/>
              <w:keepLines/>
              <w:cnfStyle w:val="100000000000" w:firstRow="1" w:lastRow="0" w:firstColumn="0" w:lastColumn="0" w:oddVBand="0" w:evenVBand="0" w:oddHBand="0" w:evenHBand="0" w:firstRowFirstColumn="0" w:firstRowLastColumn="0" w:lastRowFirstColumn="0" w:lastRowLastColumn="0"/>
              <w:rPr>
                <w:bCs w:val="0"/>
              </w:rPr>
            </w:pPr>
          </w:p>
        </w:tc>
        <w:tc>
          <w:tcPr>
            <w:tcW w:w="1984" w:type="dxa"/>
            <w:noWrap/>
            <w:tcMar>
              <w:top w:w="57" w:type="dxa"/>
              <w:left w:w="57" w:type="dxa"/>
              <w:bottom w:w="57" w:type="dxa"/>
              <w:right w:w="57" w:type="dxa"/>
            </w:tcMar>
          </w:tcPr>
          <w:p w14:paraId="34170F74" w14:textId="37905834" w:rsidR="00634ADC" w:rsidRPr="00634ADC" w:rsidRDefault="00634ADC" w:rsidP="003C5164">
            <w:pPr>
              <w:pStyle w:val="TableHeaderRow"/>
              <w:keepNext/>
              <w:keepLines/>
              <w:cnfStyle w:val="100000000000" w:firstRow="1" w:lastRow="0" w:firstColumn="0" w:lastColumn="0" w:oddVBand="0" w:evenVBand="0" w:oddHBand="0" w:evenHBand="0" w:firstRowFirstColumn="0" w:firstRowLastColumn="0" w:lastRowFirstColumn="0" w:lastRowLastColumn="0"/>
              <w:rPr>
                <w:b/>
              </w:rPr>
            </w:pPr>
            <w:r w:rsidRPr="00634ADC">
              <w:rPr>
                <w:b/>
              </w:rPr>
              <w:t>Temperature (</w:t>
            </w:r>
            <w:r w:rsidRPr="00634ADC">
              <w:rPr>
                <w:rFonts w:ascii="Symbol" w:eastAsia="Symbol" w:hAnsi="Symbol" w:cs="Symbol"/>
                <w:b/>
              </w:rPr>
              <w:t></w:t>
            </w:r>
            <w:r w:rsidRPr="00634ADC">
              <w:rPr>
                <w:b/>
              </w:rPr>
              <w:t>C)</w:t>
            </w:r>
          </w:p>
        </w:tc>
        <w:tc>
          <w:tcPr>
            <w:tcW w:w="1276" w:type="dxa"/>
            <w:noWrap/>
            <w:tcMar>
              <w:top w:w="57" w:type="dxa"/>
              <w:left w:w="57" w:type="dxa"/>
              <w:bottom w:w="57" w:type="dxa"/>
              <w:right w:w="57" w:type="dxa"/>
            </w:tcMar>
          </w:tcPr>
          <w:p w14:paraId="73B8A83C" w14:textId="77777777" w:rsidR="00634ADC" w:rsidRPr="00634ADC" w:rsidRDefault="00634ADC" w:rsidP="003C5164">
            <w:pPr>
              <w:pStyle w:val="TableHeaderRow"/>
              <w:keepNext/>
              <w:keepLines/>
              <w:cnfStyle w:val="100000000000" w:firstRow="1" w:lastRow="0" w:firstColumn="0" w:lastColumn="0" w:oddVBand="0" w:evenVBand="0" w:oddHBand="0" w:evenHBand="0" w:firstRowFirstColumn="0" w:firstRowLastColumn="0" w:lastRowFirstColumn="0" w:lastRowLastColumn="0"/>
              <w:rPr>
                <w:b/>
              </w:rPr>
            </w:pPr>
            <w:r w:rsidRPr="00634ADC">
              <w:rPr>
                <w:b/>
              </w:rPr>
              <w:t>Time</w:t>
            </w:r>
          </w:p>
        </w:tc>
      </w:tr>
      <w:tr w:rsidR="00634ADC" w:rsidRPr="00261502" w14:paraId="557CC1CC" w14:textId="77777777" w:rsidTr="0089440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076158D7" w14:textId="249AD065" w:rsidR="00634ADC" w:rsidRPr="00634ADC" w:rsidRDefault="00634ADC" w:rsidP="003C5164">
            <w:pPr>
              <w:pStyle w:val="TableText"/>
              <w:keepNext/>
              <w:keepLines/>
              <w:rPr>
                <w:color w:val="EBEEF5"/>
              </w:rPr>
            </w:pPr>
            <w:r w:rsidRPr="00261502">
              <w:rPr>
                <w:b w:val="0"/>
                <w:bCs w:val="0"/>
              </w:rPr>
              <w:t>16S</w:t>
            </w:r>
          </w:p>
        </w:tc>
        <w:tc>
          <w:tcPr>
            <w:tcW w:w="1418" w:type="dxa"/>
            <w:noWrap/>
            <w:tcMar>
              <w:top w:w="57" w:type="dxa"/>
              <w:left w:w="57" w:type="dxa"/>
              <w:bottom w:w="57" w:type="dxa"/>
              <w:right w:w="57" w:type="dxa"/>
            </w:tcMar>
          </w:tcPr>
          <w:p w14:paraId="738815D0" w14:textId="51CBE3E1" w:rsidR="00634ADC" w:rsidRPr="00634ADC"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rPr>
                <w:color w:val="EBEEF5"/>
              </w:rPr>
            </w:pPr>
            <w:r>
              <w:rPr>
                <w:color w:val="EBEEF5"/>
              </w:rPr>
              <w:t>-</w:t>
            </w:r>
          </w:p>
        </w:tc>
        <w:tc>
          <w:tcPr>
            <w:tcW w:w="1984" w:type="dxa"/>
            <w:noWrap/>
            <w:tcMar>
              <w:top w:w="57" w:type="dxa"/>
              <w:left w:w="57" w:type="dxa"/>
              <w:bottom w:w="57" w:type="dxa"/>
              <w:right w:w="57" w:type="dxa"/>
            </w:tcMar>
          </w:tcPr>
          <w:p w14:paraId="35898C41" w14:textId="5884A3AD" w:rsidR="00634ADC" w:rsidRPr="00634ADC"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rPr>
                <w:color w:val="EBEEF5"/>
              </w:rPr>
            </w:pPr>
            <w:r w:rsidRPr="00634ADC">
              <w:rPr>
                <w:color w:val="EBEEF5"/>
              </w:rPr>
              <w:t>-</w:t>
            </w:r>
          </w:p>
        </w:tc>
        <w:tc>
          <w:tcPr>
            <w:tcW w:w="1276" w:type="dxa"/>
            <w:noWrap/>
            <w:tcMar>
              <w:top w:w="57" w:type="dxa"/>
              <w:left w:w="57" w:type="dxa"/>
              <w:bottom w:w="57" w:type="dxa"/>
              <w:right w:w="57" w:type="dxa"/>
            </w:tcMar>
          </w:tcPr>
          <w:p w14:paraId="78D66F67" w14:textId="290587C9" w:rsidR="00634ADC" w:rsidRPr="00634ADC"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rPr>
                <w:color w:val="EBEEF5"/>
              </w:rPr>
            </w:pPr>
            <w:r w:rsidRPr="00634ADC">
              <w:rPr>
                <w:color w:val="EBEEF5"/>
              </w:rPr>
              <w:t>-</w:t>
            </w:r>
          </w:p>
        </w:tc>
      </w:tr>
      <w:tr w:rsidR="00634ADC" w:rsidRPr="00261502" w14:paraId="5FF3EA72" w14:textId="77777777" w:rsidTr="0089440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7569F60A" w14:textId="62398351" w:rsidR="00634ADC" w:rsidRPr="00261502" w:rsidRDefault="00634ADC" w:rsidP="003C5164">
            <w:pPr>
              <w:pStyle w:val="TableText"/>
              <w:keepNext/>
              <w:keepLines/>
            </w:pPr>
            <w:r w:rsidRPr="00261502">
              <w:rPr>
                <w:b w:val="0"/>
                <w:bCs w:val="0"/>
              </w:rPr>
              <w:t>Initial denaturation</w:t>
            </w:r>
          </w:p>
        </w:tc>
        <w:tc>
          <w:tcPr>
            <w:tcW w:w="1418" w:type="dxa"/>
            <w:noWrap/>
            <w:tcMar>
              <w:top w:w="57" w:type="dxa"/>
              <w:left w:w="57" w:type="dxa"/>
              <w:bottom w:w="57" w:type="dxa"/>
              <w:right w:w="57" w:type="dxa"/>
            </w:tcMar>
          </w:tcPr>
          <w:p w14:paraId="5CC6DCDA" w14:textId="77C4AAC4"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661D29">
              <w:rPr>
                <w:color w:val="EBEEF5"/>
              </w:rPr>
              <w:t>-</w:t>
            </w:r>
          </w:p>
        </w:tc>
        <w:tc>
          <w:tcPr>
            <w:tcW w:w="1984" w:type="dxa"/>
            <w:noWrap/>
            <w:tcMar>
              <w:top w:w="57" w:type="dxa"/>
              <w:left w:w="57" w:type="dxa"/>
              <w:bottom w:w="57" w:type="dxa"/>
              <w:right w:w="57" w:type="dxa"/>
            </w:tcMar>
          </w:tcPr>
          <w:p w14:paraId="231331EB" w14:textId="46B9B0F7"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95</w:t>
            </w:r>
          </w:p>
        </w:tc>
        <w:tc>
          <w:tcPr>
            <w:tcW w:w="1276" w:type="dxa"/>
            <w:noWrap/>
            <w:tcMar>
              <w:top w:w="57" w:type="dxa"/>
              <w:left w:w="57" w:type="dxa"/>
              <w:bottom w:w="57" w:type="dxa"/>
              <w:right w:w="57" w:type="dxa"/>
            </w:tcMar>
          </w:tcPr>
          <w:p w14:paraId="326ECE7A" w14:textId="77777777"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10 min</w:t>
            </w:r>
          </w:p>
        </w:tc>
      </w:tr>
      <w:tr w:rsidR="00634ADC" w:rsidRPr="00261502" w14:paraId="303AFB16" w14:textId="77777777" w:rsidTr="0089440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09214341" w14:textId="7AD9E366" w:rsidR="00634ADC" w:rsidRPr="00261502" w:rsidRDefault="00634ADC" w:rsidP="003C5164">
            <w:pPr>
              <w:pStyle w:val="TableText"/>
              <w:keepNext/>
              <w:keepLines/>
            </w:pPr>
            <w:r w:rsidRPr="00261502">
              <w:rPr>
                <w:b w:val="0"/>
                <w:bCs w:val="0"/>
              </w:rPr>
              <w:t>35 x PCR cycles</w:t>
            </w:r>
          </w:p>
        </w:tc>
        <w:tc>
          <w:tcPr>
            <w:tcW w:w="1418" w:type="dxa"/>
            <w:noWrap/>
            <w:tcMar>
              <w:top w:w="57" w:type="dxa"/>
              <w:left w:w="57" w:type="dxa"/>
              <w:bottom w:w="57" w:type="dxa"/>
              <w:right w:w="57" w:type="dxa"/>
            </w:tcMar>
          </w:tcPr>
          <w:p w14:paraId="0DBB2035" w14:textId="143EE8C8"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Denaturation</w:t>
            </w:r>
          </w:p>
        </w:tc>
        <w:tc>
          <w:tcPr>
            <w:tcW w:w="1984" w:type="dxa"/>
            <w:noWrap/>
            <w:tcMar>
              <w:top w:w="57" w:type="dxa"/>
              <w:left w:w="57" w:type="dxa"/>
              <w:bottom w:w="57" w:type="dxa"/>
              <w:right w:w="57" w:type="dxa"/>
            </w:tcMar>
          </w:tcPr>
          <w:p w14:paraId="6A0EC74B" w14:textId="54139154"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94</w:t>
            </w:r>
          </w:p>
        </w:tc>
        <w:tc>
          <w:tcPr>
            <w:tcW w:w="1276" w:type="dxa"/>
            <w:noWrap/>
            <w:tcMar>
              <w:top w:w="57" w:type="dxa"/>
              <w:left w:w="57" w:type="dxa"/>
              <w:bottom w:w="57" w:type="dxa"/>
              <w:right w:w="57" w:type="dxa"/>
            </w:tcMar>
          </w:tcPr>
          <w:p w14:paraId="540072A5" w14:textId="77777777"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45 sec</w:t>
            </w:r>
          </w:p>
        </w:tc>
      </w:tr>
      <w:tr w:rsidR="00634ADC" w:rsidRPr="00261502" w14:paraId="6DE65E9A" w14:textId="77777777" w:rsidTr="0089440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7E04E6DA" w14:textId="15F20C1A" w:rsidR="00634ADC" w:rsidRPr="00661D29" w:rsidRDefault="00634ADC" w:rsidP="003C5164">
            <w:pPr>
              <w:pStyle w:val="TableText"/>
              <w:keepNext/>
              <w:keepLines/>
              <w:rPr>
                <w:color w:val="EBEEF5"/>
              </w:rPr>
            </w:pPr>
            <w:r w:rsidRPr="00661D29">
              <w:rPr>
                <w:color w:val="EBEEF5"/>
              </w:rPr>
              <w:t>-</w:t>
            </w:r>
          </w:p>
        </w:tc>
        <w:tc>
          <w:tcPr>
            <w:tcW w:w="1418" w:type="dxa"/>
            <w:noWrap/>
            <w:tcMar>
              <w:top w:w="57" w:type="dxa"/>
              <w:left w:w="57" w:type="dxa"/>
              <w:bottom w:w="57" w:type="dxa"/>
              <w:right w:w="57" w:type="dxa"/>
            </w:tcMar>
          </w:tcPr>
          <w:p w14:paraId="4EC3802B" w14:textId="4C74ED17"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Hybridisation</w:t>
            </w:r>
          </w:p>
        </w:tc>
        <w:tc>
          <w:tcPr>
            <w:tcW w:w="1984" w:type="dxa"/>
            <w:noWrap/>
            <w:tcMar>
              <w:top w:w="57" w:type="dxa"/>
              <w:left w:w="57" w:type="dxa"/>
              <w:bottom w:w="57" w:type="dxa"/>
              <w:right w:w="57" w:type="dxa"/>
            </w:tcMar>
          </w:tcPr>
          <w:p w14:paraId="72B52934" w14:textId="5ECF38D1"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50</w:t>
            </w:r>
          </w:p>
        </w:tc>
        <w:tc>
          <w:tcPr>
            <w:tcW w:w="1276" w:type="dxa"/>
            <w:noWrap/>
            <w:tcMar>
              <w:top w:w="57" w:type="dxa"/>
              <w:left w:w="57" w:type="dxa"/>
              <w:bottom w:w="57" w:type="dxa"/>
              <w:right w:w="57" w:type="dxa"/>
            </w:tcMar>
          </w:tcPr>
          <w:p w14:paraId="2AFAADB2" w14:textId="77777777" w:rsidR="00634ADC" w:rsidRPr="00261502" w:rsidRDefault="00634ADC" w:rsidP="003C5164">
            <w:pPr>
              <w:pStyle w:val="TableText"/>
              <w:keepNext/>
              <w:keepLines/>
              <w:cnfStyle w:val="000000010000" w:firstRow="0" w:lastRow="0" w:firstColumn="0" w:lastColumn="0" w:oddVBand="0" w:evenVBand="0" w:oddHBand="0" w:evenHBand="1" w:firstRowFirstColumn="0" w:firstRowLastColumn="0" w:lastRowFirstColumn="0" w:lastRowLastColumn="0"/>
            </w:pPr>
            <w:r w:rsidRPr="00261502">
              <w:t>60 sec</w:t>
            </w:r>
          </w:p>
        </w:tc>
      </w:tr>
      <w:tr w:rsidR="00634ADC" w:rsidRPr="00261502" w14:paraId="0FA7F88E" w14:textId="77777777" w:rsidTr="0089440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69F5A43C" w14:textId="01C7015D" w:rsidR="00634ADC" w:rsidRPr="00661D29" w:rsidRDefault="00634ADC" w:rsidP="003C5164">
            <w:pPr>
              <w:pStyle w:val="TableText"/>
              <w:keepNext/>
              <w:keepLines/>
              <w:rPr>
                <w:color w:val="EBEEF5"/>
              </w:rPr>
            </w:pPr>
            <w:r w:rsidRPr="00661D29">
              <w:rPr>
                <w:color w:val="EBEEF5"/>
              </w:rPr>
              <w:t>-</w:t>
            </w:r>
          </w:p>
        </w:tc>
        <w:tc>
          <w:tcPr>
            <w:tcW w:w="1418" w:type="dxa"/>
            <w:noWrap/>
            <w:tcMar>
              <w:top w:w="57" w:type="dxa"/>
              <w:left w:w="57" w:type="dxa"/>
              <w:bottom w:w="57" w:type="dxa"/>
              <w:right w:w="57" w:type="dxa"/>
            </w:tcMar>
          </w:tcPr>
          <w:p w14:paraId="7BA6DB02" w14:textId="3CB85A2E"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Elongation</w:t>
            </w:r>
          </w:p>
        </w:tc>
        <w:tc>
          <w:tcPr>
            <w:tcW w:w="1984" w:type="dxa"/>
            <w:noWrap/>
            <w:tcMar>
              <w:top w:w="57" w:type="dxa"/>
              <w:left w:w="57" w:type="dxa"/>
              <w:bottom w:w="57" w:type="dxa"/>
              <w:right w:w="57" w:type="dxa"/>
            </w:tcMar>
          </w:tcPr>
          <w:p w14:paraId="12091EB1" w14:textId="3D18CE15"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72</w:t>
            </w:r>
          </w:p>
        </w:tc>
        <w:tc>
          <w:tcPr>
            <w:tcW w:w="1276" w:type="dxa"/>
            <w:noWrap/>
            <w:tcMar>
              <w:top w:w="57" w:type="dxa"/>
              <w:left w:w="57" w:type="dxa"/>
              <w:bottom w:w="57" w:type="dxa"/>
              <w:right w:w="57" w:type="dxa"/>
            </w:tcMar>
          </w:tcPr>
          <w:p w14:paraId="02EB1597" w14:textId="77777777" w:rsidR="00634ADC" w:rsidRPr="00261502" w:rsidRDefault="00634ADC" w:rsidP="003C5164">
            <w:pPr>
              <w:pStyle w:val="TableText"/>
              <w:keepNext/>
              <w:keepLines/>
              <w:cnfStyle w:val="000000100000" w:firstRow="0" w:lastRow="0" w:firstColumn="0" w:lastColumn="0" w:oddVBand="0" w:evenVBand="0" w:oddHBand="1" w:evenHBand="0" w:firstRowFirstColumn="0" w:firstRowLastColumn="0" w:lastRowFirstColumn="0" w:lastRowLastColumn="0"/>
            </w:pPr>
            <w:r w:rsidRPr="00261502">
              <w:t>90 sec</w:t>
            </w:r>
          </w:p>
        </w:tc>
      </w:tr>
      <w:tr w:rsidR="00634ADC" w:rsidRPr="00261502" w14:paraId="24BDF565" w14:textId="77777777" w:rsidTr="0089440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405" w:type="dxa"/>
            <w:noWrap/>
            <w:tcMar>
              <w:top w:w="57" w:type="dxa"/>
              <w:left w:w="57" w:type="dxa"/>
              <w:bottom w:w="57" w:type="dxa"/>
              <w:right w:w="57" w:type="dxa"/>
            </w:tcMar>
          </w:tcPr>
          <w:p w14:paraId="18C1F473" w14:textId="46070FB3" w:rsidR="00634ADC" w:rsidRPr="00261502" w:rsidRDefault="00634ADC" w:rsidP="00634ADC">
            <w:pPr>
              <w:pStyle w:val="TableText"/>
            </w:pPr>
            <w:r w:rsidRPr="00261502">
              <w:rPr>
                <w:b w:val="0"/>
                <w:bCs w:val="0"/>
              </w:rPr>
              <w:t>Final elongation</w:t>
            </w:r>
          </w:p>
        </w:tc>
        <w:tc>
          <w:tcPr>
            <w:tcW w:w="1418" w:type="dxa"/>
            <w:noWrap/>
            <w:tcMar>
              <w:top w:w="57" w:type="dxa"/>
              <w:left w:w="57" w:type="dxa"/>
              <w:bottom w:w="57" w:type="dxa"/>
              <w:right w:w="57" w:type="dxa"/>
            </w:tcMar>
          </w:tcPr>
          <w:p w14:paraId="144E5C01" w14:textId="4A8BFDF0"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661D29">
              <w:rPr>
                <w:color w:val="EBEEF5"/>
              </w:rPr>
              <w:t>-</w:t>
            </w:r>
          </w:p>
        </w:tc>
        <w:tc>
          <w:tcPr>
            <w:tcW w:w="1984" w:type="dxa"/>
            <w:noWrap/>
            <w:tcMar>
              <w:top w:w="57" w:type="dxa"/>
              <w:left w:w="57" w:type="dxa"/>
              <w:bottom w:w="57" w:type="dxa"/>
              <w:right w:w="57" w:type="dxa"/>
            </w:tcMar>
          </w:tcPr>
          <w:p w14:paraId="5A12CDEA" w14:textId="4B2CE4B2"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261502">
              <w:t>72</w:t>
            </w:r>
          </w:p>
        </w:tc>
        <w:tc>
          <w:tcPr>
            <w:tcW w:w="1276" w:type="dxa"/>
            <w:noWrap/>
            <w:tcMar>
              <w:top w:w="57" w:type="dxa"/>
              <w:left w:w="57" w:type="dxa"/>
              <w:bottom w:w="57" w:type="dxa"/>
              <w:right w:w="57" w:type="dxa"/>
            </w:tcMar>
          </w:tcPr>
          <w:p w14:paraId="1E725F47" w14:textId="77777777" w:rsidR="00634ADC" w:rsidRPr="00261502" w:rsidRDefault="00634ADC" w:rsidP="00634ADC">
            <w:pPr>
              <w:pStyle w:val="TableText"/>
              <w:cnfStyle w:val="000000010000" w:firstRow="0" w:lastRow="0" w:firstColumn="0" w:lastColumn="0" w:oddVBand="0" w:evenVBand="0" w:oddHBand="0" w:evenHBand="1" w:firstRowFirstColumn="0" w:firstRowLastColumn="0" w:lastRowFirstColumn="0" w:lastRowLastColumn="0"/>
            </w:pPr>
            <w:r w:rsidRPr="00261502">
              <w:t>10 min</w:t>
            </w:r>
          </w:p>
        </w:tc>
      </w:tr>
    </w:tbl>
    <w:p w14:paraId="4097CAE7" w14:textId="77777777" w:rsidR="00661D29" w:rsidRDefault="00661D29" w:rsidP="00EE5F48">
      <w:pPr>
        <w:pStyle w:val="BodyText"/>
      </w:pPr>
      <w:r>
        <w:br w:type="page"/>
      </w:r>
    </w:p>
    <w:p w14:paraId="76EB6396" w14:textId="1D9A3960" w:rsidR="00261502" w:rsidRDefault="00261502" w:rsidP="00661D29">
      <w:pPr>
        <w:pStyle w:val="Heading2"/>
      </w:pPr>
      <w:bookmarkStart w:id="80" w:name="_Ref164638894"/>
      <w:bookmarkStart w:id="81" w:name="_Toc164960630"/>
      <w:r>
        <w:t>Appendix 2. 16S rDNA amplicon bioinformatic methods</w:t>
      </w:r>
      <w:bookmarkEnd w:id="80"/>
      <w:bookmarkEnd w:id="81"/>
    </w:p>
    <w:p w14:paraId="468E90D5" w14:textId="77777777" w:rsidR="00016E1B" w:rsidRDefault="00261502" w:rsidP="00261502">
      <w:pPr>
        <w:pStyle w:val="BodyText"/>
      </w:pPr>
      <w:r>
        <w:t>The Illumina MiSeq 16S amplicon data were processed using an in-house custom pipeline based on USearch tools and Ribosomal Database Project (RDP). This hybrid pipeline takes files of reads and generates a single operational taxonomic unit (OTU) table covering all of the samples in the study. Each OTU is classified both by using RDP and by matching the sequence to a curated set of 16S reference sequences. The use of two independent classification techniques is done to provide some insight into the reliability of the taxonomic assignments.</w:t>
      </w:r>
    </w:p>
    <w:p w14:paraId="33C4FC73" w14:textId="77777777" w:rsidR="00016E1B" w:rsidRDefault="00261502" w:rsidP="00261502">
      <w:pPr>
        <w:pStyle w:val="BodyText"/>
      </w:pPr>
      <w:r>
        <w:t xml:space="preserve">The pipeline first demultiplexed the data to produce a pair of read files for each sample. These paired reads were then merged, trimmed and dereplicated, and then clustered at 97% similarity to generate a set of representative OTU sequences. The merging, dereplicating and clustering steps were done using USearch v8.1.1812 tools (fastq_mergepairs, derep_fulllength and cluster_otus). The merging step excluded any merged reads with greater than 1 expected error ( fastq_merge_maxee 1.0). The clustering step also checked for chimeras, running each sequence through UParse-ref using the current set of OTUs as a reference database. If the optimal model is chimeric, the sequence is discarded. Each of these OTU sequences was then classified in two different ways: by using the RDP Classifier (v2.10.2) to determine a taxonomic classification for each sequence, down to best level of genus; and by using usearch_global to find the best match for each sequence within a curated set of 16S reference sequences, giving a species-level classification for each OTU sequence. The 16S reference set used for the species-level classification was built from the RDP Classifier’s training set (v14), augmented with additional sequences from the </w:t>
      </w:r>
      <w:hyperlink r:id="rId47" w:history="1">
        <w:r w:rsidRPr="00661D29">
          <w:rPr>
            <w:rStyle w:val="Hyperlink"/>
          </w:rPr>
          <w:t>Genomes OnLine Database</w:t>
        </w:r>
      </w:hyperlink>
      <w:r>
        <w:t xml:space="preserve"> (GOLD). The pipeline then used usearchglobal to map the merged reads from each sample back onto the OTU sequences to get accurate read counts for each OTU/sample pairing. The classified OTUs and the counts for each sample were then used to generate OTU tables in both text and .biom (v1) formats, complete with taxonomic classifications, species assignments and counts for each sample. Summaries of the OTU classifications were also produced at taxonomic levels from phylum to genus and species. All singleton reads were removed prior to the OTU formation step. The datasets were then filtered by removing OTUs with &lt;10 counts across samples. Counts within individual samples were then adjusted based on the number of counts of positive controls that had jumped between samples. Rare species were removed for 16S datasets.</w:t>
      </w:r>
    </w:p>
    <w:p w14:paraId="2D103DB0" w14:textId="40D42F81" w:rsidR="001F6B59" w:rsidRDefault="00261502" w:rsidP="00016E1B">
      <w:pPr>
        <w:pStyle w:val="BodyText"/>
      </w:pPr>
      <w:r>
        <w:t>While we recognise that there are issues with using the number of amplicon sequence reads as a surrogate for taxon abundance, there is currently no consensus on the most appropriate strategy for the analysis of such data. Although commonly practised, we have chosen not to rarefy these data (i.e., randomly resample to standardise all samples to a minimum read number) prior to analysis because of the loss of important biological information that this process mandates (e.g., McMurdie and Holmes 2014), and because we have already removed rare taxa that are potential erroneous sequences in our earlier data screening processes (</w:t>
      </w:r>
      <w:r w:rsidR="003C5164">
        <w:t>see previous paragraph</w:t>
      </w:r>
      <w:r>
        <w:t>). Instead we have normalised read numbers for each taxon by dividing by the total read number for the sample, thereby expressing each taxon in terms of its relative read abundance.</w:t>
      </w:r>
      <w:r w:rsidR="001F6B59">
        <w:br w:type="page"/>
      </w:r>
    </w:p>
    <w:p w14:paraId="66D71C55" w14:textId="5D0E5B18" w:rsidR="00523B68" w:rsidRPr="00EE62CA" w:rsidRDefault="00AB79F6" w:rsidP="00EE62CA">
      <w:pPr>
        <w:rPr>
          <w:rFonts w:ascii="Garamond" w:hAnsi="Garamond"/>
          <w:b/>
          <w:sz w:val="20"/>
          <w:szCs w:val="20"/>
        </w:rPr>
      </w:pPr>
      <w:r>
        <w:rPr>
          <w:noProof/>
        </w:rPr>
        <w:drawing>
          <wp:anchor distT="0" distB="0" distL="114300" distR="114300" simplePos="0" relativeHeight="251651065" behindDoc="0" locked="0" layoutInCell="1" allowOverlap="1" wp14:anchorId="347EE93C" wp14:editId="3877914F">
            <wp:simplePos x="0" y="0"/>
            <wp:positionH relativeFrom="page">
              <wp:posOffset>-1469035</wp:posOffset>
            </wp:positionH>
            <wp:positionV relativeFrom="paragraph">
              <wp:posOffset>3761688</wp:posOffset>
            </wp:positionV>
            <wp:extent cx="9028076" cy="4270375"/>
            <wp:effectExtent l="0" t="0" r="1905" b="0"/>
            <wp:wrapNone/>
            <wp:docPr id="1121396757" name="Picture 1121396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96757" name="Picture 1121396757">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038787" cy="4275442"/>
                    </a:xfrm>
                    <a:prstGeom prst="rect">
                      <a:avLst/>
                    </a:prstGeom>
                    <a:noFill/>
                    <a:ln>
                      <a:noFill/>
                    </a:ln>
                  </pic:spPr>
                </pic:pic>
              </a:graphicData>
            </a:graphic>
            <wp14:sizeRelH relativeFrom="page">
              <wp14:pctWidth>0</wp14:pctWidth>
            </wp14:sizeRelH>
            <wp14:sizeRelV relativeFrom="page">
              <wp14:pctHeight>0</wp14:pctHeight>
            </wp14:sizeRelV>
          </wp:anchor>
        </w:drawing>
      </w:r>
      <w:r w:rsidR="00261502">
        <w:rPr>
          <w:rFonts w:ascii="Garamond" w:hAnsi="Garamond"/>
          <w:b/>
          <w:noProof/>
          <w:sz w:val="20"/>
          <w:szCs w:val="20"/>
        </w:rPr>
        <w:drawing>
          <wp:anchor distT="0" distB="0" distL="114300" distR="114300" simplePos="0" relativeHeight="251652090" behindDoc="0" locked="0" layoutInCell="1" allowOverlap="1" wp14:anchorId="25B01769" wp14:editId="07309E9D">
            <wp:simplePos x="0" y="0"/>
            <wp:positionH relativeFrom="margin">
              <wp:posOffset>-924560</wp:posOffset>
            </wp:positionH>
            <wp:positionV relativeFrom="margin">
              <wp:posOffset>-1117600</wp:posOffset>
            </wp:positionV>
            <wp:extent cx="7577455" cy="10709910"/>
            <wp:effectExtent l="0" t="0" r="4445" b="0"/>
            <wp:wrapNone/>
            <wp:docPr id="1898480814" name="Picture 1898480814" descr="Official crest of the Australian Government. This initiative is funded by the Australian Government. &#10;www.iesc.environ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80814" name="Picture 1898480814" descr="Official crest of the Australian Government. This initiative is funded by the Australian Government. &#10;www.iesc.environment.gov.au"/>
                    <pic:cNvPicPr/>
                  </pic:nvPicPr>
                  <pic:blipFill>
                    <a:blip r:embed="rId49">
                      <a:extLst>
                        <a:ext uri="{28A0092B-C50C-407E-A947-70E740481C1C}">
                          <a14:useLocalDpi xmlns:a14="http://schemas.microsoft.com/office/drawing/2010/main" val="0"/>
                        </a:ext>
                      </a:extLst>
                    </a:blip>
                    <a:stretch>
                      <a:fillRect/>
                    </a:stretch>
                  </pic:blipFill>
                  <pic:spPr>
                    <a:xfrm>
                      <a:off x="0" y="0"/>
                      <a:ext cx="7577455" cy="10709910"/>
                    </a:xfrm>
                    <a:prstGeom prst="rect">
                      <a:avLst/>
                    </a:prstGeom>
                  </pic:spPr>
                </pic:pic>
              </a:graphicData>
            </a:graphic>
            <wp14:sizeRelH relativeFrom="margin">
              <wp14:pctWidth>0</wp14:pctWidth>
            </wp14:sizeRelH>
            <wp14:sizeRelV relativeFrom="margin">
              <wp14:pctHeight>0</wp14:pctHeight>
            </wp14:sizeRelV>
          </wp:anchor>
        </w:drawing>
      </w:r>
    </w:p>
    <w:sectPr w:rsidR="00523B68" w:rsidRPr="00EE62CA" w:rsidSect="005B5E2A">
      <w:headerReference w:type="even" r:id="rId50"/>
      <w:footerReference w:type="default" r:id="rId51"/>
      <w:pgSz w:w="11906" w:h="16838" w:code="9"/>
      <w:pgMar w:top="1701"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7E925" w14:textId="77777777" w:rsidR="005B5E2A" w:rsidRDefault="005B5E2A" w:rsidP="00B24EF6">
      <w:r>
        <w:separator/>
      </w:r>
    </w:p>
  </w:endnote>
  <w:endnote w:type="continuationSeparator" w:id="0">
    <w:p w14:paraId="3E739D3D" w14:textId="77777777" w:rsidR="005B5E2A" w:rsidRDefault="005B5E2A" w:rsidP="00B24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Adobe Garamond Pro Bold">
    <w:altName w:val="Garamond"/>
    <w:panose1 w:val="00000000000000000000"/>
    <w:charset w:val="00"/>
    <w:family w:val="roman"/>
    <w:notTrueType/>
    <w:pitch w:val="variable"/>
    <w:sig w:usb0="800000AF" w:usb1="5000205B" w:usb2="00000000" w:usb3="00000000" w:csb0="0000009B" w:csb1="00000000"/>
  </w:font>
  <w:font w:name="Times New Roman (Body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9726A" w14:textId="77777777" w:rsidR="00B5604C" w:rsidRDefault="00B5604C" w:rsidP="00442520">
    <w:pPr>
      <w:pStyle w:val="Footer"/>
      <w:framePr w:wrap="none" w:vAnchor="text" w:hAnchor="margin" w:xAlign="outside" w:y="1"/>
    </w:pPr>
  </w:p>
  <w:p w14:paraId="66A7449E" w14:textId="77777777" w:rsidR="00B5604C" w:rsidRPr="00442520" w:rsidRDefault="00B5604C" w:rsidP="00442520">
    <w:pPr>
      <w:pStyle w:val="Footer"/>
      <w:tabs>
        <w:tab w:val="clear" w:pos="4513"/>
      </w:tabs>
      <w:ind w:right="360" w:firstLine="360"/>
      <w:rPr>
        <w:color w:val="005695"/>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9920679"/>
      <w:docPartObj>
        <w:docPartGallery w:val="Page Numbers (Bottom of Page)"/>
        <w:docPartUnique/>
      </w:docPartObj>
    </w:sdtPr>
    <w:sdtEndPr>
      <w:rPr>
        <w:rStyle w:val="PageNumber"/>
      </w:rPr>
    </w:sdtEndPr>
    <w:sdtContent>
      <w:p w14:paraId="36EA5974" w14:textId="77777777" w:rsidR="00B5604C" w:rsidRDefault="00B5604C" w:rsidP="00B24EF6">
        <w:pPr>
          <w:pStyle w:val="Footer"/>
          <w:framePr w:wrap="none" w:vAnchor="text" w:hAnchor="margin" w:xAlign="outside" w:y="1"/>
          <w:rPr>
            <w:rStyle w:val="PageNumber"/>
          </w:rPr>
        </w:pPr>
        <w:r w:rsidRPr="00B24EF6">
          <w:rPr>
            <w:rStyle w:val="PageNumber"/>
            <w:sz w:val="16"/>
            <w:szCs w:val="16"/>
          </w:rPr>
          <w:fldChar w:fldCharType="begin"/>
        </w:r>
        <w:r w:rsidRPr="00B24EF6">
          <w:rPr>
            <w:rStyle w:val="PageNumber"/>
            <w:sz w:val="16"/>
            <w:szCs w:val="16"/>
          </w:rPr>
          <w:instrText xml:space="preserve"> PAGE </w:instrText>
        </w:r>
        <w:r w:rsidRPr="00B24EF6">
          <w:rPr>
            <w:rStyle w:val="PageNumber"/>
            <w:sz w:val="16"/>
            <w:szCs w:val="16"/>
          </w:rPr>
          <w:fldChar w:fldCharType="separate"/>
        </w:r>
        <w:r w:rsidRPr="00B24EF6">
          <w:rPr>
            <w:rStyle w:val="PageNumber"/>
            <w:noProof/>
            <w:sz w:val="16"/>
            <w:szCs w:val="16"/>
          </w:rPr>
          <w:t>3</w:t>
        </w:r>
        <w:r w:rsidRPr="00B24EF6">
          <w:rPr>
            <w:rStyle w:val="PageNumber"/>
            <w:sz w:val="16"/>
            <w:szCs w:val="16"/>
          </w:rPr>
          <w:fldChar w:fldCharType="end"/>
        </w:r>
      </w:p>
    </w:sdtContent>
  </w:sdt>
  <w:p w14:paraId="57767F25" w14:textId="77777777" w:rsidR="00B5604C" w:rsidRPr="00B24EF6" w:rsidRDefault="00B5604C" w:rsidP="00B24EF6">
    <w:pPr>
      <w:pStyle w:val="Footer"/>
      <w:ind w:right="360" w:firstLine="360"/>
      <w:jc w:val="right"/>
      <w:rPr>
        <w:color w:val="005695"/>
        <w:sz w:val="16"/>
        <w:szCs w:val="16"/>
      </w:rPr>
    </w:pPr>
    <w:r w:rsidRPr="00B24EF6">
      <w:rPr>
        <w:color w:val="005695"/>
        <w:sz w:val="16"/>
        <w:szCs w:val="16"/>
      </w:rPr>
      <w:t>&lt;Title of report&gt; Calibri 8pt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728220391"/>
      <w:docPartObj>
        <w:docPartGallery w:val="Page Numbers (Bottom of Page)"/>
        <w:docPartUnique/>
      </w:docPartObj>
    </w:sdtPr>
    <w:sdtEndPr>
      <w:rPr>
        <w:rStyle w:val="PageNumber"/>
      </w:rPr>
    </w:sdtEndPr>
    <w:sdtContent>
      <w:p w14:paraId="683B5960" w14:textId="77777777" w:rsidR="00B5604C" w:rsidRPr="006A1510" w:rsidRDefault="00B5604C" w:rsidP="006A1510">
        <w:pPr>
          <w:pStyle w:val="Footer"/>
          <w:framePr w:wrap="none" w:vAnchor="text" w:hAnchor="margin" w:xAlign="outside" w:y="1"/>
          <w:rP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6</w:t>
        </w:r>
        <w:r w:rsidRPr="006A1510">
          <w:rPr>
            <w:rStyle w:val="PageNumber"/>
            <w:sz w:val="18"/>
            <w:szCs w:val="18"/>
          </w:rPr>
          <w:fldChar w:fldCharType="end"/>
        </w:r>
      </w:p>
    </w:sdtContent>
  </w:sdt>
  <w:p w14:paraId="47E0AE1D" w14:textId="6E1E9C7B" w:rsidR="00B5604C" w:rsidRPr="006A1510" w:rsidRDefault="00DC1FA0" w:rsidP="00DC1FA0">
    <w:pPr>
      <w:pStyle w:val="Footer"/>
      <w:tabs>
        <w:tab w:val="clear" w:pos="4513"/>
      </w:tabs>
      <w:ind w:right="360" w:firstLine="360"/>
      <w:jc w:val="right"/>
      <w:rPr>
        <w:color w:val="005695"/>
        <w:sz w:val="18"/>
        <w:szCs w:val="18"/>
        <w:lang w:val="en-US"/>
      </w:rPr>
    </w:pPr>
    <w:r w:rsidRPr="00DC1FA0">
      <w:rPr>
        <w:color w:val="005695"/>
        <w:sz w:val="18"/>
        <w:szCs w:val="18"/>
        <w:lang w:val="en-US"/>
      </w:rPr>
      <w:t>Bioassessment of groundwater ecosystems III. A comparison of eDNA metabarcoding and metagenomics for assessing groundwater communities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D51F" w14:textId="77777777" w:rsidR="00B5604C" w:rsidRPr="00DC5FD6" w:rsidRDefault="00F22764" w:rsidP="00DC5FD6">
    <w:pPr>
      <w:pStyle w:val="Footer"/>
      <w:framePr w:wrap="none" w:vAnchor="text" w:hAnchor="margin" w:xAlign="outside" w:y="1"/>
      <w:tabs>
        <w:tab w:val="clear" w:pos="4513"/>
      </w:tabs>
      <w:rPr>
        <w:sz w:val="18"/>
        <w:szCs w:val="18"/>
      </w:rPr>
    </w:pPr>
    <w:sdt>
      <w:sdtPr>
        <w:rPr>
          <w:rStyle w:val="PageNumber"/>
          <w:sz w:val="18"/>
          <w:szCs w:val="18"/>
        </w:rPr>
        <w:id w:val="-1168401585"/>
        <w:docPartObj>
          <w:docPartGallery w:val="Page Numbers (Bottom of Page)"/>
          <w:docPartUnique/>
        </w:docPartObj>
      </w:sdtPr>
      <w:sdtEndPr>
        <w:rPr>
          <w:rStyle w:val="PageNumber"/>
        </w:rPr>
      </w:sdtEndPr>
      <w:sdtContent>
        <w:r w:rsidR="00B5604C" w:rsidRPr="006A1510">
          <w:rPr>
            <w:color w:val="005695"/>
            <w:sz w:val="18"/>
            <w:szCs w:val="18"/>
            <w:lang w:val="en-US"/>
          </w:rPr>
          <w:t>&lt;Title of Report&gt; Calibri 9</w:t>
        </w:r>
        <w:r w:rsidR="00B5604C">
          <w:rPr>
            <w:rStyle w:val="PageNumber"/>
            <w:sz w:val="18"/>
            <w:szCs w:val="18"/>
          </w:rPr>
          <w:tab/>
        </w:r>
        <w:r w:rsidR="00B5604C" w:rsidRPr="006A1510">
          <w:rPr>
            <w:rStyle w:val="PageNumber"/>
            <w:sz w:val="18"/>
            <w:szCs w:val="18"/>
          </w:rPr>
          <w:fldChar w:fldCharType="begin"/>
        </w:r>
        <w:r w:rsidR="00B5604C" w:rsidRPr="006A1510">
          <w:rPr>
            <w:rStyle w:val="PageNumber"/>
            <w:sz w:val="18"/>
            <w:szCs w:val="18"/>
          </w:rPr>
          <w:instrText xml:space="preserve"> PAGE </w:instrText>
        </w:r>
        <w:r w:rsidR="00B5604C" w:rsidRPr="006A1510">
          <w:rPr>
            <w:rStyle w:val="PageNumber"/>
            <w:sz w:val="18"/>
            <w:szCs w:val="18"/>
          </w:rPr>
          <w:fldChar w:fldCharType="separate"/>
        </w:r>
        <w:r w:rsidR="005126D6">
          <w:rPr>
            <w:rStyle w:val="PageNumber"/>
            <w:noProof/>
            <w:sz w:val="18"/>
            <w:szCs w:val="18"/>
          </w:rPr>
          <w:t>3</w:t>
        </w:r>
        <w:r w:rsidR="00B5604C" w:rsidRPr="006A1510">
          <w:rPr>
            <w:rStyle w:val="PageNumber"/>
            <w:sz w:val="18"/>
            <w:szCs w:val="18"/>
          </w:rPr>
          <w:fldChar w:fldCharType="end"/>
        </w:r>
      </w:sdtContent>
    </w:sdt>
    <w:r w:rsidR="00B5604C">
      <w:rPr>
        <w:rStyle w:val="PageNumber"/>
        <w:sz w:val="18"/>
        <w:szCs w:val="18"/>
      </w:rPr>
      <w:tab/>
    </w:r>
  </w:p>
  <w:sdt>
    <w:sdtPr>
      <w:rPr>
        <w:rStyle w:val="PageNumber"/>
        <w:sz w:val="18"/>
        <w:szCs w:val="18"/>
      </w:rPr>
      <w:id w:val="-273025461"/>
      <w:docPartObj>
        <w:docPartGallery w:val="Page Numbers (Bottom of Page)"/>
        <w:docPartUnique/>
      </w:docPartObj>
    </w:sdtPr>
    <w:sdtEndPr>
      <w:rPr>
        <w:rStyle w:val="PageNumber"/>
      </w:rPr>
    </w:sdtEndPr>
    <w:sdtContent>
      <w:p w14:paraId="3F36C906" w14:textId="77777777" w:rsidR="00B5604C" w:rsidRPr="004E1E3F" w:rsidRDefault="00F22764" w:rsidP="006A1510">
        <w:pPr>
          <w:pStyle w:val="Footer"/>
          <w:framePr w:wrap="none" w:vAnchor="text" w:hAnchor="margin" w:xAlign="outside" w:y="1"/>
          <w:ind w:right="360" w:firstLine="360"/>
          <w:rPr>
            <w:rStyle w:val="PageNumber"/>
            <w:sz w:val="18"/>
            <w:szCs w:val="18"/>
          </w:rPr>
        </w:pPr>
      </w:p>
    </w:sdtContent>
  </w:sdt>
  <w:p w14:paraId="33CABEF3" w14:textId="77777777" w:rsidR="00B5604C" w:rsidRPr="004E1E3F" w:rsidRDefault="00B5604C" w:rsidP="00442520">
    <w:pPr>
      <w:pStyle w:val="Footer"/>
      <w:tabs>
        <w:tab w:val="clear" w:pos="4513"/>
      </w:tabs>
      <w:ind w:right="360"/>
      <w:rPr>
        <w:color w:val="005695"/>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05E5" w14:textId="77777777" w:rsidR="00B5604C" w:rsidRPr="004E1E3F" w:rsidRDefault="00B5604C" w:rsidP="004E1E3F">
    <w:pPr>
      <w:pStyle w:val="Footer"/>
      <w:tabs>
        <w:tab w:val="clear" w:pos="4513"/>
      </w:tabs>
      <w:ind w:right="360" w:firstLine="360"/>
      <w:rPr>
        <w:color w:val="005695"/>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150438061"/>
      <w:docPartObj>
        <w:docPartGallery w:val="Page Numbers (Bottom of Page)"/>
        <w:docPartUnique/>
      </w:docPartObj>
    </w:sdtPr>
    <w:sdtEndPr>
      <w:rPr>
        <w:rStyle w:val="PageNumber"/>
      </w:rPr>
    </w:sdtEndPr>
    <w:sdtContent>
      <w:p w14:paraId="33C6D666" w14:textId="77777777" w:rsidR="00B5604C" w:rsidRPr="006A1510" w:rsidRDefault="00B5604C" w:rsidP="006A1510">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5126D6">
          <w:rPr>
            <w:rStyle w:val="PageNumber"/>
            <w:noProof/>
            <w:sz w:val="18"/>
            <w:szCs w:val="18"/>
          </w:rPr>
          <w:t>1</w:t>
        </w:r>
        <w:r w:rsidRPr="006A1510">
          <w:rPr>
            <w:rStyle w:val="PageNumber"/>
            <w:sz w:val="18"/>
            <w:szCs w:val="18"/>
          </w:rPr>
          <w:fldChar w:fldCharType="end"/>
        </w:r>
      </w:p>
    </w:sdtContent>
  </w:sdt>
  <w:p w14:paraId="6E1BC817" w14:textId="498F6AF3" w:rsidR="00B5604C" w:rsidRPr="006A1510" w:rsidRDefault="004E36B3" w:rsidP="004E36B3">
    <w:pPr>
      <w:pStyle w:val="Footer"/>
      <w:tabs>
        <w:tab w:val="clear" w:pos="4513"/>
      </w:tabs>
      <w:ind w:right="360"/>
      <w:rPr>
        <w:color w:val="005695"/>
        <w:sz w:val="18"/>
        <w:szCs w:val="18"/>
        <w:lang w:val="en-US"/>
      </w:rPr>
    </w:pPr>
    <w:r w:rsidRPr="004E36B3">
      <w:rPr>
        <w:color w:val="005695"/>
        <w:sz w:val="18"/>
        <w:szCs w:val="18"/>
        <w:lang w:val="en-US"/>
      </w:rPr>
      <w:t>Bioassessment of groundwater ecosystems III. A comparison of eDNA metabarcoding and metagenomics for assessing groundwater communities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271007972"/>
      <w:docPartObj>
        <w:docPartGallery w:val="Page Numbers (Bottom of Page)"/>
        <w:docPartUnique/>
      </w:docPartObj>
    </w:sdtPr>
    <w:sdtEndPr>
      <w:rPr>
        <w:rStyle w:val="PageNumber"/>
      </w:rPr>
    </w:sdtEndPr>
    <w:sdtContent>
      <w:p w14:paraId="2002FF69" w14:textId="77777777" w:rsidR="00B5604C" w:rsidRPr="006A1510" w:rsidRDefault="00B5604C" w:rsidP="001F6B59">
        <w:pPr>
          <w:pStyle w:val="Footer"/>
          <w:framePr w:wrap="none" w:vAnchor="text" w:hAnchor="margin" w:xAlign="outside" w:y="1"/>
          <w:rPr>
            <w:rStyle w:val="PageNumber"/>
            <w:sz w:val="18"/>
            <w:szCs w:val="18"/>
          </w:rPr>
        </w:pPr>
        <w:r w:rsidRPr="006A1510">
          <w:rPr>
            <w:rStyle w:val="PageNumber"/>
            <w:sz w:val="18"/>
            <w:szCs w:val="18"/>
          </w:rPr>
          <w:fldChar w:fldCharType="begin"/>
        </w:r>
        <w:r w:rsidRPr="006A1510">
          <w:rPr>
            <w:rStyle w:val="PageNumber"/>
            <w:sz w:val="18"/>
            <w:szCs w:val="18"/>
          </w:rPr>
          <w:instrText xml:space="preserve"> PAGE </w:instrText>
        </w:r>
        <w:r w:rsidRPr="006A1510">
          <w:rPr>
            <w:rStyle w:val="PageNumber"/>
            <w:sz w:val="18"/>
            <w:szCs w:val="18"/>
          </w:rPr>
          <w:fldChar w:fldCharType="separate"/>
        </w:r>
        <w:r w:rsidR="00245A70">
          <w:rPr>
            <w:rStyle w:val="PageNumber"/>
            <w:noProof/>
            <w:sz w:val="18"/>
            <w:szCs w:val="18"/>
          </w:rPr>
          <w:t>5</w:t>
        </w:r>
        <w:r w:rsidRPr="006A1510">
          <w:rPr>
            <w:rStyle w:val="PageNumber"/>
            <w:sz w:val="18"/>
            <w:szCs w:val="18"/>
          </w:rPr>
          <w:fldChar w:fldCharType="end"/>
        </w:r>
      </w:p>
    </w:sdtContent>
  </w:sdt>
  <w:p w14:paraId="2E0D232E" w14:textId="0A21F8F8" w:rsidR="00B5604C" w:rsidRPr="004E1E3F" w:rsidRDefault="00DC1FA0" w:rsidP="00DC1FA0">
    <w:pPr>
      <w:pStyle w:val="Footer"/>
      <w:tabs>
        <w:tab w:val="clear" w:pos="4513"/>
      </w:tabs>
      <w:ind w:right="360"/>
      <w:rPr>
        <w:color w:val="005695"/>
        <w:sz w:val="18"/>
        <w:szCs w:val="18"/>
      </w:rPr>
    </w:pPr>
    <w:r w:rsidRPr="00DC1FA0">
      <w:rPr>
        <w:color w:val="005695"/>
        <w:sz w:val="18"/>
        <w:szCs w:val="18"/>
        <w:lang w:val="en-US"/>
      </w:rPr>
      <w:t>Bioassessment of groundwater ecosystems III. A comparison of eDNA metabarcoding and metagenomics for assessing groundwater communities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1F69E" w14:textId="77777777" w:rsidR="005B5E2A" w:rsidRDefault="005B5E2A" w:rsidP="00B24EF6">
      <w:r>
        <w:separator/>
      </w:r>
    </w:p>
  </w:footnote>
  <w:footnote w:type="continuationSeparator" w:id="0">
    <w:p w14:paraId="3D3E1F97" w14:textId="77777777" w:rsidR="005B5E2A" w:rsidRDefault="005B5E2A" w:rsidP="00B24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6420" w14:textId="77777777" w:rsidR="00B5604C" w:rsidRDefault="00B5604C">
    <w:pPr>
      <w:pStyle w:val="Header"/>
    </w:pPr>
    <w:r>
      <w:rPr>
        <w:noProof/>
        <w:lang w:eastAsia="en-AU"/>
      </w:rPr>
      <w:drawing>
        <wp:anchor distT="0" distB="0" distL="114300" distR="114300" simplePos="0" relativeHeight="251658240" behindDoc="1" locked="0" layoutInCell="1" allowOverlap="1" wp14:anchorId="18E90D85" wp14:editId="3FB8680E">
          <wp:simplePos x="0" y="0"/>
          <wp:positionH relativeFrom="page">
            <wp:align>center</wp:align>
          </wp:positionH>
          <wp:positionV relativeFrom="page">
            <wp:align>top</wp:align>
          </wp:positionV>
          <wp:extent cx="7551759" cy="10674000"/>
          <wp:effectExtent l="0" t="0" r="508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CE82C" w14:textId="77777777" w:rsidR="00B5604C" w:rsidRDefault="00B5604C">
    <w:pPr>
      <w:pStyle w:val="Header"/>
    </w:pPr>
    <w:r>
      <w:rPr>
        <w:noProof/>
        <w:lang w:eastAsia="en-AU"/>
      </w:rPr>
      <w:drawing>
        <wp:anchor distT="0" distB="0" distL="114300" distR="114300" simplePos="0" relativeHeight="251660288" behindDoc="1" locked="0" layoutInCell="1" allowOverlap="1" wp14:anchorId="207CB888" wp14:editId="6BBFEBE8">
          <wp:simplePos x="0" y="0"/>
          <wp:positionH relativeFrom="page">
            <wp:align>center</wp:align>
          </wp:positionH>
          <wp:positionV relativeFrom="page">
            <wp:align>center</wp:align>
          </wp:positionV>
          <wp:extent cx="7552800" cy="10674000"/>
          <wp:effectExtent l="0" t="0" r="381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3EF9" w14:textId="39CD115E" w:rsidR="00B5604C" w:rsidRDefault="00130B8A">
    <w:pPr>
      <w:pStyle w:val="Header"/>
    </w:pPr>
    <w:r>
      <w:rPr>
        <w:noProof/>
      </w:rPr>
      <w:drawing>
        <wp:anchor distT="0" distB="0" distL="114300" distR="114300" simplePos="0" relativeHeight="251654140" behindDoc="1" locked="0" layoutInCell="1" allowOverlap="1" wp14:anchorId="39456478" wp14:editId="19B719DB">
          <wp:simplePos x="0" y="0"/>
          <wp:positionH relativeFrom="page">
            <wp:posOffset>-12700</wp:posOffset>
          </wp:positionH>
          <wp:positionV relativeFrom="paragraph">
            <wp:posOffset>4461510</wp:posOffset>
          </wp:positionV>
          <wp:extent cx="7596000" cy="3926771"/>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1" r:link="rId2" cstate="print">
                    <a:extLst>
                      <a:ext uri="{28A0092B-C50C-407E-A947-70E740481C1C}">
                        <a14:useLocalDpi xmlns:a14="http://schemas.microsoft.com/office/drawing/2010/main" val="0"/>
                      </a:ext>
                    </a:extLst>
                  </a:blip>
                  <a:srcRect l="-303" t="8761" r="26" b="20290"/>
                  <a:stretch/>
                </pic:blipFill>
                <pic:spPr bwMode="auto">
                  <a:xfrm>
                    <a:off x="0" y="0"/>
                    <a:ext cx="7596000" cy="39267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1E0">
      <w:rPr>
        <w:noProof/>
      </w:rPr>
      <w:drawing>
        <wp:inline distT="0" distB="0" distL="0" distR="0" wp14:anchorId="50E5A0D2" wp14:editId="634D8B66">
          <wp:extent cx="1860842" cy="1144800"/>
          <wp:effectExtent l="0" t="0" r="6350" b="0"/>
          <wp:docPr id="862657182" name="Picture 1" descr="IE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57182" name="Picture 1" descr="IESC logo"/>
                  <pic:cNvPicPr/>
                </pic:nvPicPr>
                <pic:blipFill>
                  <a:blip r:embed="rId3">
                    <a:extLst>
                      <a:ext uri="{28A0092B-C50C-407E-A947-70E740481C1C}">
                        <a14:useLocalDpi xmlns:a14="http://schemas.microsoft.com/office/drawing/2010/main" val="0"/>
                      </a:ext>
                    </a:extLst>
                  </a:blip>
                  <a:stretch>
                    <a:fillRect/>
                  </a:stretch>
                </pic:blipFill>
                <pic:spPr>
                  <a:xfrm>
                    <a:off x="0" y="0"/>
                    <a:ext cx="1860842" cy="1144800"/>
                  </a:xfrm>
                  <a:prstGeom prst="rect">
                    <a:avLst/>
                  </a:prstGeom>
                </pic:spPr>
              </pic:pic>
            </a:graphicData>
          </a:graphic>
        </wp:inline>
      </w:drawing>
    </w:r>
    <w:r w:rsidR="00041636">
      <w:rPr>
        <w:noProof/>
      </w:rPr>
      <w:drawing>
        <wp:anchor distT="0" distB="0" distL="114300" distR="114300" simplePos="0" relativeHeight="251655165" behindDoc="1" locked="0" layoutInCell="1" allowOverlap="1" wp14:anchorId="5BC6C897" wp14:editId="5AF9088B">
          <wp:simplePos x="0" y="0"/>
          <wp:positionH relativeFrom="page">
            <wp:posOffset>250</wp:posOffset>
          </wp:positionH>
          <wp:positionV relativeFrom="page">
            <wp:posOffset>3992880</wp:posOffset>
          </wp:positionV>
          <wp:extent cx="7552800" cy="6679883"/>
          <wp:effectExtent l="0" t="0" r="3810" b="635"/>
          <wp:wrapNone/>
          <wp:docPr id="1058684990" name="Picture 1058684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84990" name="Picture 1058684990">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552800" cy="6679883"/>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EAB" w14:textId="77777777" w:rsidR="00B5604C" w:rsidRDefault="00B5604C">
    <w:pPr>
      <w:pStyle w:val="Header"/>
    </w:pPr>
    <w:r>
      <w:rPr>
        <w:noProof/>
        <w:lang w:eastAsia="en-AU"/>
      </w:rPr>
      <w:drawing>
        <wp:anchor distT="0" distB="0" distL="114300" distR="114300" simplePos="0" relativeHeight="251668480" behindDoc="1" locked="0" layoutInCell="1" allowOverlap="1" wp14:anchorId="49B724A6" wp14:editId="5327BE2E">
          <wp:simplePos x="0" y="0"/>
          <wp:positionH relativeFrom="page">
            <wp:posOffset>1905</wp:posOffset>
          </wp:positionH>
          <wp:positionV relativeFrom="page">
            <wp:posOffset>30149</wp:posOffset>
          </wp:positionV>
          <wp:extent cx="7551759" cy="10674000"/>
          <wp:effectExtent l="0" t="0" r="508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BCC32" w14:textId="77777777" w:rsidR="00B5604C" w:rsidRPr="00806503" w:rsidRDefault="00B5604C" w:rsidP="00B5604C">
    <w:pPr>
      <w:tabs>
        <w:tab w:val="left" w:pos="5895"/>
      </w:tabs>
    </w:pPr>
    <w:r>
      <w:tab/>
    </w:r>
    <w:r w:rsidRPr="00BD1B04">
      <w:rPr>
        <w:noProof/>
        <w:lang w:eastAsia="en-AU"/>
      </w:rPr>
      <w:drawing>
        <wp:anchor distT="0" distB="0" distL="114300" distR="114300" simplePos="0" relativeHeight="251666432" behindDoc="1" locked="1" layoutInCell="1" allowOverlap="1" wp14:anchorId="0662D4DB" wp14:editId="4F21C38D">
          <wp:simplePos x="0" y="0"/>
          <wp:positionH relativeFrom="page">
            <wp:posOffset>635</wp:posOffset>
          </wp:positionH>
          <wp:positionV relativeFrom="page">
            <wp:posOffset>15240</wp:posOffset>
          </wp:positionV>
          <wp:extent cx="7559040" cy="1068451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16DA7" w14:textId="77777777" w:rsidR="00B5604C" w:rsidRPr="00806503" w:rsidRDefault="00B5604C" w:rsidP="00B5604C">
    <w:r w:rsidRPr="00BD1B04">
      <w:rPr>
        <w:noProof/>
        <w:lang w:eastAsia="en-AU"/>
      </w:rPr>
      <w:drawing>
        <wp:anchor distT="0" distB="0" distL="114300" distR="114300" simplePos="0" relativeHeight="251664384" behindDoc="1" locked="1" layoutInCell="1" allowOverlap="1" wp14:anchorId="619779C5" wp14:editId="0B275A41">
          <wp:simplePos x="0" y="0"/>
          <wp:positionH relativeFrom="page">
            <wp:align>center</wp:align>
          </wp:positionH>
          <wp:positionV relativeFrom="page">
            <wp:align>center</wp:align>
          </wp:positionV>
          <wp:extent cx="7559040" cy="1068451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8939" w14:textId="77777777" w:rsidR="00B5604C" w:rsidRPr="00806503" w:rsidRDefault="00B5604C" w:rsidP="00B5604C">
    <w:r w:rsidRPr="00BD1B04">
      <w:rPr>
        <w:noProof/>
        <w:lang w:eastAsia="en-AU"/>
      </w:rPr>
      <w:drawing>
        <wp:anchor distT="0" distB="0" distL="114300" distR="114300" simplePos="0" relativeHeight="251667455" behindDoc="1" locked="1" layoutInCell="1" allowOverlap="1" wp14:anchorId="7FBE215D" wp14:editId="08098FE8">
          <wp:simplePos x="0" y="0"/>
          <wp:positionH relativeFrom="page">
            <wp:posOffset>635</wp:posOffset>
          </wp:positionH>
          <wp:positionV relativeFrom="page">
            <wp:posOffset>19050</wp:posOffset>
          </wp:positionV>
          <wp:extent cx="7559040" cy="1068451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D161C" w14:textId="77777777" w:rsidR="00B5604C" w:rsidRPr="00806503" w:rsidRDefault="00B5604C" w:rsidP="00B5604C">
    <w:r w:rsidRPr="00BD1B04">
      <w:rPr>
        <w:noProof/>
        <w:lang w:eastAsia="en-AU"/>
      </w:rPr>
      <w:drawing>
        <wp:anchor distT="0" distB="0" distL="114300" distR="114300" simplePos="0" relativeHeight="251672576" behindDoc="1" locked="1" layoutInCell="1" allowOverlap="1" wp14:anchorId="3ADB9186" wp14:editId="32A9149B">
          <wp:simplePos x="0" y="0"/>
          <wp:positionH relativeFrom="page">
            <wp:posOffset>635</wp:posOffset>
          </wp:positionH>
          <wp:positionV relativeFrom="page">
            <wp:posOffset>19050</wp:posOffset>
          </wp:positionV>
          <wp:extent cx="7559040" cy="1068451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451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47F2" w14:textId="77777777" w:rsidR="00B5604C" w:rsidRDefault="00B5604C">
    <w:pPr>
      <w:pStyle w:val="Header"/>
    </w:pPr>
    <w:r>
      <w:rPr>
        <w:noProof/>
        <w:lang w:eastAsia="en-AU"/>
      </w:rPr>
      <w:drawing>
        <wp:anchor distT="0" distB="0" distL="114300" distR="114300" simplePos="0" relativeHeight="251674624" behindDoc="1" locked="0" layoutInCell="1" allowOverlap="1" wp14:anchorId="56E045E1" wp14:editId="4753A8EF">
          <wp:simplePos x="0" y="0"/>
          <wp:positionH relativeFrom="page">
            <wp:posOffset>2236</wp:posOffset>
          </wp:positionH>
          <wp:positionV relativeFrom="page">
            <wp:posOffset>30480</wp:posOffset>
          </wp:positionV>
          <wp:extent cx="7551759" cy="10674000"/>
          <wp:effectExtent l="0" t="0" r="508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1759"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8007842"/>
    <w:lvl w:ilvl="0" w:tplc="FA90FED2">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B9B159F"/>
    <w:multiLevelType w:val="multilevel"/>
    <w:tmpl w:val="E1D42876"/>
    <w:styleLink w:val="HeadingsList"/>
    <w:lvl w:ilvl="0">
      <w:start w:val="1"/>
      <w:numFmt w:val="decimal"/>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9924"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565667"/>
    <w:multiLevelType w:val="multilevel"/>
    <w:tmpl w:val="5D9A3B7C"/>
    <w:numStyleLink w:val="BulletsList"/>
  </w:abstractNum>
  <w:abstractNum w:abstractNumId="4" w15:restartNumberingAfterBreak="0">
    <w:nsid w:val="68CB7EAF"/>
    <w:multiLevelType w:val="hybridMultilevel"/>
    <w:tmpl w:val="3934D514"/>
    <w:lvl w:ilvl="0" w:tplc="09C40CAC">
      <w:start w:val="1"/>
      <w:numFmt w:val="decimal"/>
      <w:pStyle w:val="Heading1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num w:numId="1" w16cid:durableId="1144201698">
    <w:abstractNumId w:val="5"/>
  </w:num>
  <w:num w:numId="2" w16cid:durableId="1405297751">
    <w:abstractNumId w:val="0"/>
  </w:num>
  <w:num w:numId="3" w16cid:durableId="2020961141">
    <w:abstractNumId w:val="2"/>
  </w:num>
  <w:num w:numId="4" w16cid:durableId="928663917">
    <w:abstractNumId w:val="1"/>
  </w:num>
  <w:num w:numId="5" w16cid:durableId="1120806983">
    <w:abstractNumId w:val="3"/>
  </w:num>
  <w:num w:numId="6" w16cid:durableId="1481187577">
    <w:abstractNumId w:val="4"/>
  </w:num>
  <w:num w:numId="7" w16cid:durableId="1902326322">
    <w:abstractNumId w:val="2"/>
    <w:lvlOverride w:ilvl="0">
      <w:lvl w:ilvl="0">
        <w:start w:val="1"/>
        <w:numFmt w:val="decimal"/>
        <w:lvlText w:val="%1."/>
        <w:lvlJc w:val="left"/>
        <w:pPr>
          <w:ind w:left="567" w:hanging="567"/>
        </w:pPr>
        <w:rPr>
          <w:rFonts w:hint="default"/>
        </w:rPr>
      </w:lvl>
    </w:lvlOverride>
    <w:lvlOverride w:ilvl="1">
      <w:lvl w:ilvl="1">
        <w:start w:val="1"/>
        <w:numFmt w:val="decimal"/>
        <w:pStyle w:val="Heading2Numbered"/>
        <w:lvlText w:val="%1.%2"/>
        <w:lvlJc w:val="left"/>
        <w:pPr>
          <w:ind w:left="5104" w:hanging="567"/>
        </w:pPr>
        <w:rPr>
          <w:rFonts w:hint="default"/>
        </w:rPr>
      </w:lvl>
    </w:lvlOverride>
    <w:lvlOverride w:ilvl="2">
      <w:lvl w:ilvl="2">
        <w:start w:val="1"/>
        <w:numFmt w:val="decimal"/>
        <w:pStyle w:val="Heading3Numbered"/>
        <w:lvlText w:val="%1.%2.%3"/>
        <w:lvlJc w:val="left"/>
        <w:pPr>
          <w:ind w:left="3403"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FEC"/>
    <w:rsid w:val="00016E1B"/>
    <w:rsid w:val="00024A9C"/>
    <w:rsid w:val="00036CF4"/>
    <w:rsid w:val="00041636"/>
    <w:rsid w:val="000466FE"/>
    <w:rsid w:val="000738E8"/>
    <w:rsid w:val="0008728B"/>
    <w:rsid w:val="00094433"/>
    <w:rsid w:val="00094F76"/>
    <w:rsid w:val="000A29C5"/>
    <w:rsid w:val="000C249A"/>
    <w:rsid w:val="000C408E"/>
    <w:rsid w:val="000F601C"/>
    <w:rsid w:val="000F6D12"/>
    <w:rsid w:val="0010618E"/>
    <w:rsid w:val="00122426"/>
    <w:rsid w:val="00130B8A"/>
    <w:rsid w:val="0013531D"/>
    <w:rsid w:val="00190FE7"/>
    <w:rsid w:val="00192D54"/>
    <w:rsid w:val="001A5371"/>
    <w:rsid w:val="001C6AF2"/>
    <w:rsid w:val="001D38CB"/>
    <w:rsid w:val="001E5FD9"/>
    <w:rsid w:val="001F6B59"/>
    <w:rsid w:val="00203DB1"/>
    <w:rsid w:val="002101D8"/>
    <w:rsid w:val="00215158"/>
    <w:rsid w:val="00245A70"/>
    <w:rsid w:val="00251782"/>
    <w:rsid w:val="00261502"/>
    <w:rsid w:val="002732B8"/>
    <w:rsid w:val="002D2EC8"/>
    <w:rsid w:val="002E5679"/>
    <w:rsid w:val="002F529B"/>
    <w:rsid w:val="00302CE7"/>
    <w:rsid w:val="00307B2F"/>
    <w:rsid w:val="00312F2D"/>
    <w:rsid w:val="0035046F"/>
    <w:rsid w:val="00355778"/>
    <w:rsid w:val="00381AA7"/>
    <w:rsid w:val="00387CF6"/>
    <w:rsid w:val="003911F4"/>
    <w:rsid w:val="003B1E4F"/>
    <w:rsid w:val="003C2AE2"/>
    <w:rsid w:val="003C5164"/>
    <w:rsid w:val="003D6F6D"/>
    <w:rsid w:val="003D772B"/>
    <w:rsid w:val="003E4EE5"/>
    <w:rsid w:val="003F761D"/>
    <w:rsid w:val="003F768D"/>
    <w:rsid w:val="00412EAD"/>
    <w:rsid w:val="0041512B"/>
    <w:rsid w:val="00441AD4"/>
    <w:rsid w:val="00442520"/>
    <w:rsid w:val="004832EC"/>
    <w:rsid w:val="004A09B1"/>
    <w:rsid w:val="004B3E9E"/>
    <w:rsid w:val="004D39D6"/>
    <w:rsid w:val="004D3EA2"/>
    <w:rsid w:val="004E1E3F"/>
    <w:rsid w:val="004E36B3"/>
    <w:rsid w:val="00504FEC"/>
    <w:rsid w:val="00510A09"/>
    <w:rsid w:val="005126D6"/>
    <w:rsid w:val="005128D6"/>
    <w:rsid w:val="00523B68"/>
    <w:rsid w:val="00524559"/>
    <w:rsid w:val="00531A22"/>
    <w:rsid w:val="00544203"/>
    <w:rsid w:val="005568EB"/>
    <w:rsid w:val="00582C7A"/>
    <w:rsid w:val="005A3F7B"/>
    <w:rsid w:val="005A6F45"/>
    <w:rsid w:val="005B5E2A"/>
    <w:rsid w:val="005C3675"/>
    <w:rsid w:val="005C7FD5"/>
    <w:rsid w:val="005D6F98"/>
    <w:rsid w:val="005E06D0"/>
    <w:rsid w:val="005F0A61"/>
    <w:rsid w:val="005F3C1E"/>
    <w:rsid w:val="006139A3"/>
    <w:rsid w:val="00631C57"/>
    <w:rsid w:val="00634ADC"/>
    <w:rsid w:val="006431E0"/>
    <w:rsid w:val="00661D29"/>
    <w:rsid w:val="006657DE"/>
    <w:rsid w:val="0069446B"/>
    <w:rsid w:val="006A1510"/>
    <w:rsid w:val="006E4B20"/>
    <w:rsid w:val="006F215A"/>
    <w:rsid w:val="00714B11"/>
    <w:rsid w:val="007228DD"/>
    <w:rsid w:val="0072605C"/>
    <w:rsid w:val="0072765B"/>
    <w:rsid w:val="00727B58"/>
    <w:rsid w:val="0074126B"/>
    <w:rsid w:val="007756A3"/>
    <w:rsid w:val="00784590"/>
    <w:rsid w:val="007903C0"/>
    <w:rsid w:val="00792E45"/>
    <w:rsid w:val="007C0C90"/>
    <w:rsid w:val="007E13C8"/>
    <w:rsid w:val="007E22AC"/>
    <w:rsid w:val="007F1576"/>
    <w:rsid w:val="00803598"/>
    <w:rsid w:val="00831B55"/>
    <w:rsid w:val="00835794"/>
    <w:rsid w:val="008455D8"/>
    <w:rsid w:val="00887E02"/>
    <w:rsid w:val="00893C52"/>
    <w:rsid w:val="00894407"/>
    <w:rsid w:val="008A6C15"/>
    <w:rsid w:val="008E16CC"/>
    <w:rsid w:val="008E776F"/>
    <w:rsid w:val="009133CD"/>
    <w:rsid w:val="0093054B"/>
    <w:rsid w:val="00943BDE"/>
    <w:rsid w:val="00943D14"/>
    <w:rsid w:val="009504E4"/>
    <w:rsid w:val="009747B2"/>
    <w:rsid w:val="009763CB"/>
    <w:rsid w:val="0098413C"/>
    <w:rsid w:val="0099170A"/>
    <w:rsid w:val="00996150"/>
    <w:rsid w:val="009B1B03"/>
    <w:rsid w:val="009E0620"/>
    <w:rsid w:val="009F0F79"/>
    <w:rsid w:val="009F36F6"/>
    <w:rsid w:val="009F537D"/>
    <w:rsid w:val="00A11762"/>
    <w:rsid w:val="00A20B66"/>
    <w:rsid w:val="00A227AD"/>
    <w:rsid w:val="00A25ED6"/>
    <w:rsid w:val="00A373E3"/>
    <w:rsid w:val="00A471E0"/>
    <w:rsid w:val="00A47B99"/>
    <w:rsid w:val="00A5551B"/>
    <w:rsid w:val="00A64AD5"/>
    <w:rsid w:val="00A84ED1"/>
    <w:rsid w:val="00A93E9F"/>
    <w:rsid w:val="00AA1944"/>
    <w:rsid w:val="00AB79F6"/>
    <w:rsid w:val="00AC66E0"/>
    <w:rsid w:val="00AF1674"/>
    <w:rsid w:val="00B2124D"/>
    <w:rsid w:val="00B224EA"/>
    <w:rsid w:val="00B24DE4"/>
    <w:rsid w:val="00B24EF6"/>
    <w:rsid w:val="00B26AE9"/>
    <w:rsid w:val="00B5604C"/>
    <w:rsid w:val="00B56DDE"/>
    <w:rsid w:val="00B815E3"/>
    <w:rsid w:val="00B90D56"/>
    <w:rsid w:val="00BA1B10"/>
    <w:rsid w:val="00BC1BE2"/>
    <w:rsid w:val="00BE5BF7"/>
    <w:rsid w:val="00BF0111"/>
    <w:rsid w:val="00C17743"/>
    <w:rsid w:val="00C17A34"/>
    <w:rsid w:val="00C213B9"/>
    <w:rsid w:val="00C42342"/>
    <w:rsid w:val="00C60F46"/>
    <w:rsid w:val="00C6338A"/>
    <w:rsid w:val="00C710C6"/>
    <w:rsid w:val="00C77E18"/>
    <w:rsid w:val="00CA02C4"/>
    <w:rsid w:val="00CB0802"/>
    <w:rsid w:val="00CE5F1E"/>
    <w:rsid w:val="00D01FBD"/>
    <w:rsid w:val="00D20554"/>
    <w:rsid w:val="00D376AA"/>
    <w:rsid w:val="00D448AE"/>
    <w:rsid w:val="00DA653F"/>
    <w:rsid w:val="00DB1738"/>
    <w:rsid w:val="00DB7B15"/>
    <w:rsid w:val="00DC030B"/>
    <w:rsid w:val="00DC1461"/>
    <w:rsid w:val="00DC1FA0"/>
    <w:rsid w:val="00DC5FD6"/>
    <w:rsid w:val="00DD7F62"/>
    <w:rsid w:val="00DF5453"/>
    <w:rsid w:val="00E13463"/>
    <w:rsid w:val="00E202FA"/>
    <w:rsid w:val="00E800CD"/>
    <w:rsid w:val="00E850F3"/>
    <w:rsid w:val="00E915A8"/>
    <w:rsid w:val="00EA55C4"/>
    <w:rsid w:val="00EA6DE8"/>
    <w:rsid w:val="00ED19D4"/>
    <w:rsid w:val="00EE2F70"/>
    <w:rsid w:val="00EE5F48"/>
    <w:rsid w:val="00EE62CA"/>
    <w:rsid w:val="00F03027"/>
    <w:rsid w:val="00F11396"/>
    <w:rsid w:val="00F22764"/>
    <w:rsid w:val="00F873E3"/>
    <w:rsid w:val="00FB2C29"/>
    <w:rsid w:val="00FE55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E10B"/>
  <w15:chartTrackingRefBased/>
  <w15:docId w15:val="{CA0AC021-71A7-B34B-AC19-E20BBC174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0620"/>
    <w:pPr>
      <w:keepNext/>
      <w:keepLines/>
      <w:spacing w:after="700"/>
      <w:outlineLvl w:val="0"/>
    </w:pPr>
    <w:rPr>
      <w:rFonts w:eastAsiaTheme="majorEastAsia"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510A09"/>
    <w:pPr>
      <w:suppressAutoHyphens/>
      <w:autoSpaceDE w:val="0"/>
      <w:autoSpaceDN w:val="0"/>
      <w:adjustRightInd w:val="0"/>
      <w:spacing w:before="397" w:after="113" w:line="300" w:lineRule="atLeast"/>
      <w:textAlignment w:val="center"/>
      <w:outlineLvl w:val="1"/>
    </w:pPr>
    <w:rPr>
      <w:rFonts w:ascii="Calibri" w:hAnsi="Calibri" w:cs="Calibri"/>
      <w:color w:val="005695"/>
      <w:sz w:val="32"/>
      <w:szCs w:val="32"/>
      <w:lang w:val="en-GB"/>
    </w:rPr>
  </w:style>
  <w:style w:type="paragraph" w:styleId="Heading3">
    <w:name w:val="heading 3"/>
    <w:basedOn w:val="Normal"/>
    <w:next w:val="Normal"/>
    <w:link w:val="Heading3Char"/>
    <w:uiPriority w:val="9"/>
    <w:unhideWhenUsed/>
    <w:qFormat/>
    <w:rsid w:val="009B1B03"/>
    <w:pPr>
      <w:keepNext/>
      <w:keepLines/>
      <w:spacing w:before="300" w:after="80"/>
      <w:outlineLvl w:val="2"/>
    </w:pPr>
    <w:rPr>
      <w:rFonts w:eastAsiaTheme="majorEastAsia" w:cstheme="majorBidi"/>
      <w:color w:val="767171" w:themeColor="background2" w:themeShade="80"/>
      <w:sz w:val="28"/>
    </w:rPr>
  </w:style>
  <w:style w:type="paragraph" w:styleId="Heading4">
    <w:name w:val="heading 4"/>
    <w:basedOn w:val="Normal"/>
    <w:next w:val="Normal"/>
    <w:link w:val="Heading4Char"/>
    <w:uiPriority w:val="9"/>
    <w:unhideWhenUsed/>
    <w:qFormat/>
    <w:rsid w:val="00AA1944"/>
    <w:pPr>
      <w:keepNext/>
      <w:keepLines/>
      <w:spacing w:before="200" w:after="60"/>
      <w:outlineLvl w:val="3"/>
    </w:pPr>
    <w:rPr>
      <w:rFonts w:ascii="Calibri" w:eastAsiaTheme="majorEastAsia" w:hAnsi="Calibri" w:cstheme="majorBidi"/>
      <w:i/>
      <w:iCs/>
      <w:color w:val="767171" w:themeColor="background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A09"/>
    <w:rPr>
      <w:rFonts w:ascii="Calibri" w:hAnsi="Calibri" w:cs="Calibri"/>
      <w:color w:val="005695"/>
      <w:sz w:val="32"/>
      <w:szCs w:val="32"/>
      <w:lang w:val="en-GB"/>
    </w:rPr>
  </w:style>
  <w:style w:type="paragraph" w:styleId="Footer">
    <w:name w:val="footer"/>
    <w:basedOn w:val="Normal"/>
    <w:link w:val="FooterChar"/>
    <w:uiPriority w:val="99"/>
    <w:unhideWhenUsed/>
    <w:rsid w:val="00B24EF6"/>
    <w:pPr>
      <w:tabs>
        <w:tab w:val="center" w:pos="4513"/>
        <w:tab w:val="right" w:pos="9026"/>
      </w:tabs>
    </w:pPr>
  </w:style>
  <w:style w:type="character" w:customStyle="1" w:styleId="FooterChar">
    <w:name w:val="Footer Char"/>
    <w:basedOn w:val="DefaultParagraphFont"/>
    <w:link w:val="Footer"/>
    <w:uiPriority w:val="99"/>
    <w:rsid w:val="00B24EF6"/>
  </w:style>
  <w:style w:type="character" w:styleId="PageNumber">
    <w:name w:val="page number"/>
    <w:basedOn w:val="DefaultParagraphFont"/>
    <w:uiPriority w:val="99"/>
    <w:semiHidden/>
    <w:unhideWhenUsed/>
    <w:rsid w:val="00B24EF6"/>
  </w:style>
  <w:style w:type="paragraph" w:styleId="Header">
    <w:name w:val="header"/>
    <w:basedOn w:val="Normal"/>
    <w:link w:val="HeaderChar"/>
    <w:uiPriority w:val="99"/>
    <w:unhideWhenUsed/>
    <w:rsid w:val="00B24EF6"/>
    <w:pPr>
      <w:tabs>
        <w:tab w:val="center" w:pos="4513"/>
        <w:tab w:val="right" w:pos="9026"/>
      </w:tabs>
    </w:pPr>
  </w:style>
  <w:style w:type="character" w:customStyle="1" w:styleId="HeaderChar">
    <w:name w:val="Header Char"/>
    <w:basedOn w:val="DefaultParagraphFont"/>
    <w:link w:val="Header"/>
    <w:uiPriority w:val="99"/>
    <w:rsid w:val="00B24EF6"/>
  </w:style>
  <w:style w:type="paragraph" w:styleId="Subtitle">
    <w:name w:val="Subtitle"/>
    <w:basedOn w:val="Normal"/>
    <w:next w:val="Normal"/>
    <w:link w:val="SubtitleChar"/>
    <w:uiPriority w:val="11"/>
    <w:qFormat/>
    <w:rsid w:val="0041512B"/>
    <w:pPr>
      <w:suppressAutoHyphens/>
      <w:autoSpaceDE w:val="0"/>
      <w:autoSpaceDN w:val="0"/>
      <w:adjustRightInd w:val="0"/>
      <w:spacing w:before="227" w:line="288" w:lineRule="auto"/>
      <w:ind w:left="1134"/>
      <w:textAlignment w:val="center"/>
    </w:pPr>
    <w:rPr>
      <w:rFonts w:ascii="Calibri" w:hAnsi="Calibri" w:cs="Calibri"/>
      <w:color w:val="808285"/>
      <w:sz w:val="28"/>
      <w:szCs w:val="28"/>
      <w:lang w:val="en-GB"/>
    </w:rPr>
  </w:style>
  <w:style w:type="character" w:customStyle="1" w:styleId="SubtitleChar">
    <w:name w:val="Subtitle Char"/>
    <w:basedOn w:val="DefaultParagraphFont"/>
    <w:link w:val="Subtitle"/>
    <w:uiPriority w:val="11"/>
    <w:rsid w:val="0041512B"/>
    <w:rPr>
      <w:rFonts w:ascii="Calibri" w:hAnsi="Calibri" w:cs="Calibri"/>
      <w:color w:val="808285"/>
      <w:sz w:val="28"/>
      <w:szCs w:val="28"/>
      <w:lang w:val="en-GB"/>
    </w:rPr>
  </w:style>
  <w:style w:type="character" w:styleId="CommentReference">
    <w:name w:val="annotation reference"/>
    <w:basedOn w:val="DefaultParagraphFont"/>
    <w:uiPriority w:val="99"/>
    <w:semiHidden/>
    <w:unhideWhenUsed/>
    <w:rsid w:val="0041512B"/>
    <w:rPr>
      <w:sz w:val="16"/>
      <w:szCs w:val="16"/>
    </w:rPr>
  </w:style>
  <w:style w:type="paragraph" w:styleId="CommentText">
    <w:name w:val="annotation text"/>
    <w:basedOn w:val="Normal"/>
    <w:link w:val="CommentTextChar"/>
    <w:uiPriority w:val="99"/>
    <w:unhideWhenUsed/>
    <w:rsid w:val="0041512B"/>
    <w:pPr>
      <w:suppressAutoHyphens/>
      <w:spacing w:before="120" w:after="60"/>
    </w:pPr>
    <w:rPr>
      <w:color w:val="44546A" w:themeColor="text2"/>
      <w:sz w:val="20"/>
      <w:szCs w:val="20"/>
      <w:lang w:val="en-GB"/>
    </w:rPr>
  </w:style>
  <w:style w:type="character" w:customStyle="1" w:styleId="CommentTextChar">
    <w:name w:val="Comment Text Char"/>
    <w:basedOn w:val="DefaultParagraphFont"/>
    <w:link w:val="CommentText"/>
    <w:uiPriority w:val="99"/>
    <w:rsid w:val="0041512B"/>
    <w:rPr>
      <w:color w:val="44546A" w:themeColor="text2"/>
      <w:sz w:val="20"/>
      <w:szCs w:val="20"/>
      <w:lang w:val="en-GB"/>
    </w:rPr>
  </w:style>
  <w:style w:type="paragraph" w:customStyle="1" w:styleId="Covertitle">
    <w:name w:val="Cover title"/>
    <w:basedOn w:val="Title"/>
    <w:uiPriority w:val="99"/>
    <w:rsid w:val="0041512B"/>
    <w:pPr>
      <w:suppressAutoHyphens/>
      <w:autoSpaceDE w:val="0"/>
      <w:autoSpaceDN w:val="0"/>
      <w:adjustRightInd w:val="0"/>
      <w:spacing w:line="660" w:lineRule="atLeast"/>
      <w:ind w:left="851"/>
      <w:contextualSpacing w:val="0"/>
      <w:textAlignment w:val="center"/>
    </w:pPr>
    <w:rPr>
      <w:rFonts w:ascii="Calibri" w:eastAsiaTheme="minorHAnsi" w:hAnsi="Calibri" w:cs="Calibri"/>
      <w:b/>
      <w:bCs/>
      <w:color w:val="005695"/>
      <w:spacing w:val="0"/>
      <w:kern w:val="0"/>
      <w:sz w:val="58"/>
      <w:szCs w:val="58"/>
      <w:lang w:val="en-GB"/>
    </w:rPr>
  </w:style>
  <w:style w:type="paragraph" w:customStyle="1" w:styleId="Coversubtitle">
    <w:name w:val="Cover subtitle"/>
    <w:basedOn w:val="Normal"/>
    <w:uiPriority w:val="99"/>
    <w:rsid w:val="0041512B"/>
    <w:pPr>
      <w:suppressAutoHyphens/>
      <w:autoSpaceDE w:val="0"/>
      <w:autoSpaceDN w:val="0"/>
      <w:adjustRightInd w:val="0"/>
      <w:spacing w:before="227" w:line="288" w:lineRule="auto"/>
      <w:ind w:left="851"/>
      <w:textAlignment w:val="center"/>
    </w:pPr>
    <w:rPr>
      <w:rFonts w:ascii="Calibri" w:hAnsi="Calibri"/>
      <w:color w:val="AEAAAA" w:themeColor="background2" w:themeShade="BF"/>
      <w:sz w:val="28"/>
      <w:szCs w:val="22"/>
      <w:lang w:val="en-GB"/>
    </w:rPr>
  </w:style>
  <w:style w:type="paragraph" w:styleId="Title">
    <w:name w:val="Title"/>
    <w:basedOn w:val="Normal"/>
    <w:next w:val="Normal"/>
    <w:link w:val="TitleChar"/>
    <w:uiPriority w:val="10"/>
    <w:qFormat/>
    <w:rsid w:val="004151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2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1512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512B"/>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1512B"/>
    <w:pPr>
      <w:suppressAutoHyphens w:val="0"/>
      <w:spacing w:before="0" w:after="0"/>
    </w:pPr>
    <w:rPr>
      <w:b/>
      <w:bCs/>
      <w:color w:val="auto"/>
      <w:lang w:val="en-AU"/>
    </w:rPr>
  </w:style>
  <w:style w:type="character" w:customStyle="1" w:styleId="CommentSubjectChar">
    <w:name w:val="Comment Subject Char"/>
    <w:basedOn w:val="CommentTextChar"/>
    <w:link w:val="CommentSubject"/>
    <w:uiPriority w:val="99"/>
    <w:semiHidden/>
    <w:rsid w:val="0041512B"/>
    <w:rPr>
      <w:b/>
      <w:bCs/>
      <w:color w:val="44546A" w:themeColor="text2"/>
      <w:sz w:val="20"/>
      <w:szCs w:val="20"/>
      <w:lang w:val="en-GB"/>
    </w:rPr>
  </w:style>
  <w:style w:type="paragraph" w:customStyle="1" w:styleId="05BODYTEXT">
    <w:name w:val="05. BODY TEXT"/>
    <w:basedOn w:val="Normal"/>
    <w:uiPriority w:val="99"/>
    <w:rsid w:val="00AF1674"/>
    <w:pPr>
      <w:suppressAutoHyphens/>
      <w:autoSpaceDE w:val="0"/>
      <w:autoSpaceDN w:val="0"/>
      <w:adjustRightInd w:val="0"/>
      <w:spacing w:after="170" w:line="280" w:lineRule="atLeast"/>
      <w:textAlignment w:val="center"/>
    </w:pPr>
    <w:rPr>
      <w:rFonts w:ascii="Adobe Garamond Pro" w:hAnsi="Adobe Garamond Pro" w:cs="Adobe Garamond Pro"/>
      <w:color w:val="000000"/>
      <w:sz w:val="20"/>
      <w:szCs w:val="20"/>
      <w:lang w:val="en-US"/>
    </w:rPr>
  </w:style>
  <w:style w:type="character" w:customStyle="1" w:styleId="ITALIC">
    <w:name w:val="ITALIC"/>
    <w:uiPriority w:val="99"/>
    <w:rsid w:val="00AF1674"/>
    <w:rPr>
      <w:i/>
      <w:iCs/>
    </w:rPr>
  </w:style>
  <w:style w:type="character" w:customStyle="1" w:styleId="BOLD">
    <w:name w:val="BOLD"/>
    <w:uiPriority w:val="99"/>
    <w:rsid w:val="00AF1674"/>
    <w:rPr>
      <w:b/>
      <w:bCs/>
    </w:rPr>
  </w:style>
  <w:style w:type="character" w:styleId="Hyperlink">
    <w:name w:val="Hyperlink"/>
    <w:basedOn w:val="DefaultParagraphFont"/>
    <w:uiPriority w:val="99"/>
    <w:unhideWhenUsed/>
    <w:rsid w:val="00AF1674"/>
    <w:rPr>
      <w:color w:val="0563C1" w:themeColor="hyperlink"/>
      <w:u w:val="single"/>
    </w:rPr>
  </w:style>
  <w:style w:type="character" w:customStyle="1" w:styleId="UnresolvedMention1">
    <w:name w:val="Unresolved Mention1"/>
    <w:basedOn w:val="DefaultParagraphFont"/>
    <w:uiPriority w:val="99"/>
    <w:semiHidden/>
    <w:unhideWhenUsed/>
    <w:rsid w:val="00AF1674"/>
    <w:rPr>
      <w:color w:val="605E5C"/>
      <w:shd w:val="clear" w:color="auto" w:fill="E1DFDD"/>
    </w:rPr>
  </w:style>
  <w:style w:type="character" w:customStyle="1" w:styleId="Heading1Char">
    <w:name w:val="Heading 1 Char"/>
    <w:basedOn w:val="DefaultParagraphFont"/>
    <w:link w:val="Heading1"/>
    <w:uiPriority w:val="9"/>
    <w:rsid w:val="009E0620"/>
    <w:rPr>
      <w:rFonts w:eastAsiaTheme="majorEastAsia" w:cstheme="majorBidi"/>
      <w:color w:val="2F5496" w:themeColor="accent1" w:themeShade="BF"/>
      <w:sz w:val="52"/>
      <w:szCs w:val="32"/>
    </w:rPr>
  </w:style>
  <w:style w:type="paragraph" w:styleId="TOCHeading">
    <w:name w:val="TOC Heading"/>
    <w:basedOn w:val="Normal"/>
    <w:next w:val="Normal"/>
    <w:uiPriority w:val="39"/>
    <w:unhideWhenUsed/>
    <w:qFormat/>
    <w:rsid w:val="009E0620"/>
    <w:pPr>
      <w:suppressAutoHyphens/>
      <w:autoSpaceDE w:val="0"/>
      <w:autoSpaceDN w:val="0"/>
      <w:adjustRightInd w:val="0"/>
      <w:spacing w:after="700" w:line="288" w:lineRule="auto"/>
      <w:textAlignment w:val="center"/>
    </w:pPr>
    <w:rPr>
      <w:rFonts w:ascii="Calibri" w:hAnsi="Calibri" w:cs="Calibri"/>
      <w:color w:val="005695"/>
      <w:sz w:val="52"/>
      <w:szCs w:val="52"/>
      <w:lang w:val="en-US"/>
    </w:rPr>
  </w:style>
  <w:style w:type="paragraph" w:styleId="TOC1">
    <w:name w:val="toc 1"/>
    <w:basedOn w:val="Normal"/>
    <w:next w:val="Normal"/>
    <w:autoRedefine/>
    <w:uiPriority w:val="39"/>
    <w:unhideWhenUsed/>
    <w:rsid w:val="00130B8A"/>
    <w:pPr>
      <w:tabs>
        <w:tab w:val="left" w:pos="567"/>
        <w:tab w:val="right" w:leader="dot" w:pos="9060"/>
      </w:tabs>
      <w:spacing w:before="300"/>
    </w:pPr>
    <w:rPr>
      <w:rFonts w:cstheme="minorHAnsi"/>
      <w:b/>
      <w:bCs/>
      <w:iCs/>
      <w:noProof/>
    </w:rPr>
  </w:style>
  <w:style w:type="paragraph" w:styleId="TOC2">
    <w:name w:val="toc 2"/>
    <w:basedOn w:val="Normal"/>
    <w:next w:val="Normal"/>
    <w:autoRedefine/>
    <w:uiPriority w:val="39"/>
    <w:unhideWhenUsed/>
    <w:rsid w:val="000F6D12"/>
    <w:pPr>
      <w:tabs>
        <w:tab w:val="left" w:pos="567"/>
        <w:tab w:val="left" w:pos="960"/>
        <w:tab w:val="right" w:leader="dot" w:pos="9060"/>
      </w:tabs>
      <w:spacing w:before="120" w:after="120"/>
    </w:pPr>
    <w:rPr>
      <w:rFonts w:cstheme="minorHAnsi"/>
      <w:b/>
      <w:bCs/>
      <w:noProof/>
      <w:sz w:val="22"/>
      <w:szCs w:val="22"/>
    </w:rPr>
  </w:style>
  <w:style w:type="paragraph" w:styleId="TOC3">
    <w:name w:val="toc 3"/>
    <w:basedOn w:val="Normal"/>
    <w:next w:val="Normal"/>
    <w:autoRedefine/>
    <w:uiPriority w:val="39"/>
    <w:unhideWhenUsed/>
    <w:rsid w:val="00A93E9F"/>
    <w:pPr>
      <w:tabs>
        <w:tab w:val="left" w:pos="567"/>
        <w:tab w:val="left" w:pos="1200"/>
        <w:tab w:val="right" w:leader="dot" w:pos="9060"/>
      </w:tabs>
      <w:spacing w:after="100"/>
    </w:pPr>
    <w:rPr>
      <w:rFonts w:cstheme="minorHAnsi"/>
      <w:noProof/>
      <w:sz w:val="20"/>
      <w:szCs w:val="20"/>
    </w:rPr>
  </w:style>
  <w:style w:type="character" w:customStyle="1" w:styleId="Heading3Char">
    <w:name w:val="Heading 3 Char"/>
    <w:basedOn w:val="DefaultParagraphFont"/>
    <w:link w:val="Heading3"/>
    <w:uiPriority w:val="9"/>
    <w:rsid w:val="009B1B03"/>
    <w:rPr>
      <w:rFonts w:eastAsiaTheme="majorEastAsia" w:cstheme="majorBidi"/>
      <w:color w:val="767171" w:themeColor="background2" w:themeShade="80"/>
      <w:sz w:val="28"/>
    </w:rPr>
  </w:style>
  <w:style w:type="character" w:customStyle="1" w:styleId="Heading4Char">
    <w:name w:val="Heading 4 Char"/>
    <w:basedOn w:val="DefaultParagraphFont"/>
    <w:link w:val="Heading4"/>
    <w:uiPriority w:val="9"/>
    <w:rsid w:val="00AA1944"/>
    <w:rPr>
      <w:rFonts w:ascii="Calibri" w:eastAsiaTheme="majorEastAsia" w:hAnsi="Calibri" w:cstheme="majorBidi"/>
      <w:i/>
      <w:iCs/>
      <w:color w:val="767171" w:themeColor="background2" w:themeShade="80"/>
    </w:rPr>
  </w:style>
  <w:style w:type="paragraph" w:customStyle="1" w:styleId="Bullet1">
    <w:name w:val="Bullet 1"/>
    <w:basedOn w:val="BodyText"/>
    <w:qFormat/>
    <w:rsid w:val="00355778"/>
    <w:pPr>
      <w:numPr>
        <w:numId w:val="5"/>
      </w:numPr>
      <w:tabs>
        <w:tab w:val="clear" w:pos="284"/>
        <w:tab w:val="left" w:pos="567"/>
      </w:tabs>
      <w:spacing w:before="60"/>
      <w:ind w:left="568" w:hanging="284"/>
    </w:pPr>
  </w:style>
  <w:style w:type="paragraph" w:customStyle="1" w:styleId="Bullet2">
    <w:name w:val="Bullet 2"/>
    <w:basedOn w:val="Bullet1"/>
    <w:qFormat/>
    <w:rsid w:val="00355778"/>
    <w:pPr>
      <w:numPr>
        <w:ilvl w:val="1"/>
      </w:numPr>
      <w:tabs>
        <w:tab w:val="clear" w:pos="568"/>
        <w:tab w:val="left" w:pos="851"/>
      </w:tabs>
      <w:ind w:left="851" w:hanging="284"/>
    </w:pPr>
  </w:style>
  <w:style w:type="paragraph" w:customStyle="1" w:styleId="Bullet3">
    <w:name w:val="Bullet 3"/>
    <w:basedOn w:val="Bullet2"/>
    <w:qFormat/>
    <w:rsid w:val="00355778"/>
    <w:pPr>
      <w:numPr>
        <w:ilvl w:val="2"/>
      </w:numPr>
      <w:tabs>
        <w:tab w:val="clear" w:pos="852"/>
        <w:tab w:val="left" w:pos="1134"/>
      </w:tabs>
      <w:ind w:left="1135" w:hanging="284"/>
    </w:pPr>
  </w:style>
  <w:style w:type="paragraph" w:customStyle="1" w:styleId="NumberedList1">
    <w:name w:val="Numbered List 1"/>
    <w:basedOn w:val="BodyText"/>
    <w:qFormat/>
    <w:rsid w:val="00AF1674"/>
    <w:pPr>
      <w:numPr>
        <w:numId w:val="2"/>
      </w:numPr>
    </w:pPr>
  </w:style>
  <w:style w:type="paragraph" w:customStyle="1" w:styleId="NumberedList2">
    <w:name w:val="Numbered List 2"/>
    <w:basedOn w:val="NumberedList1"/>
    <w:qFormat/>
    <w:rsid w:val="00AF1674"/>
    <w:pPr>
      <w:numPr>
        <w:ilvl w:val="1"/>
      </w:numPr>
      <w:spacing w:before="60"/>
    </w:pPr>
  </w:style>
  <w:style w:type="paragraph" w:customStyle="1" w:styleId="NumberedList3">
    <w:name w:val="Numbered List 3"/>
    <w:basedOn w:val="NumberedList2"/>
    <w:qFormat/>
    <w:rsid w:val="00AF1674"/>
    <w:pPr>
      <w:numPr>
        <w:ilvl w:val="2"/>
      </w:numPr>
      <w:ind w:left="851"/>
    </w:pPr>
  </w:style>
  <w:style w:type="paragraph" w:customStyle="1" w:styleId="Heading1Numbered">
    <w:name w:val="Heading 1 Numbered"/>
    <w:basedOn w:val="Heading1"/>
    <w:next w:val="Normal"/>
    <w:qFormat/>
    <w:rsid w:val="009E0620"/>
    <w:pPr>
      <w:numPr>
        <w:numId w:val="6"/>
      </w:numPr>
      <w:ind w:left="567" w:hanging="567"/>
    </w:pPr>
  </w:style>
  <w:style w:type="paragraph" w:customStyle="1" w:styleId="Heading2Numbered">
    <w:name w:val="Heading 2 Numbered"/>
    <w:basedOn w:val="Heading2"/>
    <w:next w:val="Normal"/>
    <w:qFormat/>
    <w:rsid w:val="00AF1674"/>
    <w:pPr>
      <w:numPr>
        <w:ilvl w:val="1"/>
        <w:numId w:val="3"/>
      </w:numPr>
      <w:spacing w:after="60"/>
    </w:pPr>
    <w:rPr>
      <w:bCs/>
    </w:rPr>
  </w:style>
  <w:style w:type="paragraph" w:customStyle="1" w:styleId="Heading3Numbered">
    <w:name w:val="Heading 3 Numbered"/>
    <w:basedOn w:val="Heading3"/>
    <w:next w:val="Normal"/>
    <w:qFormat/>
    <w:rsid w:val="004D3EA2"/>
    <w:pPr>
      <w:keepLines w:val="0"/>
      <w:numPr>
        <w:ilvl w:val="2"/>
        <w:numId w:val="3"/>
      </w:numPr>
      <w:suppressAutoHyphens/>
      <w:autoSpaceDE w:val="0"/>
      <w:autoSpaceDN w:val="0"/>
      <w:adjustRightInd w:val="0"/>
      <w:spacing w:after="60" w:line="300" w:lineRule="atLeast"/>
      <w:ind w:left="1276"/>
      <w:textAlignment w:val="center"/>
    </w:pPr>
    <w:rPr>
      <w:rFonts w:ascii="Calibri" w:eastAsiaTheme="minorHAnsi" w:hAnsi="Calibri" w:cs="Calibri"/>
      <w:szCs w:val="22"/>
      <w:lang w:val="en-GB"/>
    </w:rPr>
  </w:style>
  <w:style w:type="numbering" w:customStyle="1" w:styleId="BulletsList">
    <w:name w:val="Bullets List"/>
    <w:uiPriority w:val="99"/>
    <w:rsid w:val="00AF1674"/>
    <w:pPr>
      <w:numPr>
        <w:numId w:val="1"/>
      </w:numPr>
    </w:pPr>
  </w:style>
  <w:style w:type="numbering" w:customStyle="1" w:styleId="Numberedlist">
    <w:name w:val="Numbered list"/>
    <w:uiPriority w:val="99"/>
    <w:rsid w:val="00AF1674"/>
    <w:pPr>
      <w:numPr>
        <w:numId w:val="2"/>
      </w:numPr>
    </w:pPr>
  </w:style>
  <w:style w:type="numbering" w:customStyle="1" w:styleId="HeadingsList">
    <w:name w:val="Headings List"/>
    <w:uiPriority w:val="99"/>
    <w:rsid w:val="00AF1674"/>
    <w:pPr>
      <w:numPr>
        <w:numId w:val="3"/>
      </w:numPr>
    </w:pPr>
  </w:style>
  <w:style w:type="table" w:customStyle="1" w:styleId="IESCTABLE1">
    <w:name w:val="IESC TABLE 1"/>
    <w:basedOn w:val="TableNormal"/>
    <w:uiPriority w:val="42"/>
    <w:locked/>
    <w:rsid w:val="00AF1674"/>
    <w:pPr>
      <w:spacing w:after="80"/>
    </w:pPr>
    <w:rPr>
      <w:sz w:val="22"/>
      <w:szCs w:val="22"/>
    </w:rPr>
    <w:tblPr>
      <w:tblStyleRowBandSize w:val="1"/>
      <w:tblStyleColBandSize w:val="1"/>
      <w:tblBorders>
        <w:top w:val="single" w:sz="4" w:space="0" w:color="00569F"/>
        <w:left w:val="single" w:sz="4" w:space="0" w:color="00569F"/>
        <w:bottom w:val="single" w:sz="4" w:space="0" w:color="00569F"/>
        <w:right w:val="single" w:sz="4" w:space="0" w:color="00569F"/>
        <w:insideH w:val="single" w:sz="4" w:space="0" w:color="00569F"/>
        <w:insideV w:val="single" w:sz="4" w:space="0" w:color="00569F"/>
      </w:tblBorders>
    </w:tblPr>
    <w:tcPr>
      <w:shd w:val="clear" w:color="auto" w:fill="EAEDF5"/>
      <w:tcMar>
        <w:top w:w="113" w:type="dxa"/>
        <w:bottom w:w="113" w:type="dxa"/>
      </w:tcMar>
    </w:tcPr>
    <w:tblStylePr w:type="firstRow">
      <w:pPr>
        <w:wordWrap/>
        <w:spacing w:beforeLines="0" w:before="0" w:beforeAutospacing="0" w:afterLines="0" w:after="0" w:afterAutospacing="0" w:line="240" w:lineRule="auto"/>
        <w:ind w:firstLineChars="0" w:firstLine="0"/>
      </w:pPr>
      <w:rPr>
        <w:rFonts w:ascii="Calibri" w:hAnsi="Calibri"/>
        <w:b/>
        <w:bCs/>
        <w:i w:val="0"/>
        <w:caps w:val="0"/>
        <w:smallCaps w:val="0"/>
        <w:strike w:val="0"/>
        <w:dstrike w:val="0"/>
        <w:vanish w:val="0"/>
        <w:color w:val="FFFFFF" w:themeColor="background1"/>
        <w:sz w:val="18"/>
        <w:u w:val="none"/>
        <w:vertAlign w:val="baseline"/>
      </w:rPr>
      <w:tblPr/>
      <w:tcPr>
        <w:tcBorders>
          <w:bottom w:val="single" w:sz="4" w:space="0" w:color="00569F"/>
        </w:tcBorders>
        <w:shd w:val="clear" w:color="auto" w:fill="00569F"/>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rPr>
        <w:rFonts w:ascii="Calibri" w:hAnsi="Calibri"/>
      </w:rPr>
      <w:tblPr/>
      <w:tcPr>
        <w:tcBorders>
          <w:top w:val="single" w:sz="4" w:space="0" w:color="7F7F7F" w:themeColor="text1" w:themeTint="80"/>
          <w:bottom w:val="single" w:sz="4" w:space="0" w:color="7F7F7F" w:themeColor="text1" w:themeTint="80"/>
        </w:tcBorders>
        <w:shd w:val="clear" w:color="auto" w:fill="EAEDF5"/>
      </w:tcPr>
    </w:tblStylePr>
    <w:tblStylePr w:type="band2Horz">
      <w:tblPr/>
      <w:tcPr>
        <w:tcBorders>
          <w:top w:val="single" w:sz="4" w:space="0" w:color="00569F"/>
          <w:left w:val="single" w:sz="4" w:space="0" w:color="00569F"/>
          <w:bottom w:val="single" w:sz="4" w:space="0" w:color="00569F"/>
          <w:right w:val="single" w:sz="4" w:space="0" w:color="00569F"/>
          <w:insideH w:val="single" w:sz="4" w:space="0" w:color="00569F"/>
          <w:insideV w:val="single" w:sz="4" w:space="0" w:color="00569F"/>
          <w:tl2br w:val="nil"/>
          <w:tr2bl w:val="nil"/>
        </w:tcBorders>
        <w:shd w:val="clear" w:color="auto" w:fill="EAEDF5"/>
      </w:tcPr>
    </w:tblStylePr>
  </w:style>
  <w:style w:type="character" w:styleId="Strong">
    <w:name w:val="Strong"/>
    <w:basedOn w:val="DefaultParagraphFont"/>
    <w:uiPriority w:val="22"/>
    <w:qFormat/>
    <w:rsid w:val="00AF1674"/>
    <w:rPr>
      <w:b/>
      <w:bCs/>
    </w:rPr>
  </w:style>
  <w:style w:type="paragraph" w:styleId="Caption">
    <w:name w:val="caption"/>
    <w:basedOn w:val="TableSourceNotes"/>
    <w:next w:val="Normal"/>
    <w:uiPriority w:val="35"/>
    <w:unhideWhenUsed/>
    <w:qFormat/>
    <w:rsid w:val="00784590"/>
    <w:pPr>
      <w:spacing w:line="240" w:lineRule="atLeast"/>
      <w:jc w:val="center"/>
    </w:pPr>
    <w:rPr>
      <w:iCs/>
      <w:sz w:val="18"/>
      <w:szCs w:val="18"/>
    </w:rPr>
  </w:style>
  <w:style w:type="paragraph" w:customStyle="1" w:styleId="TableText">
    <w:name w:val="Table Text"/>
    <w:basedOn w:val="BodyText"/>
    <w:qFormat/>
    <w:rsid w:val="00AF1674"/>
    <w:pPr>
      <w:spacing w:after="80" w:line="240" w:lineRule="auto"/>
    </w:pPr>
  </w:style>
  <w:style w:type="paragraph" w:customStyle="1" w:styleId="TableHeaderRow">
    <w:name w:val="Table Header Row"/>
    <w:basedOn w:val="Normal"/>
    <w:qFormat/>
    <w:rsid w:val="00B2124D"/>
    <w:pPr>
      <w:suppressAutoHyphens/>
      <w:autoSpaceDE w:val="0"/>
      <w:autoSpaceDN w:val="0"/>
      <w:adjustRightInd w:val="0"/>
      <w:textAlignment w:val="center"/>
    </w:pPr>
    <w:rPr>
      <w:rFonts w:ascii="Calibri" w:hAnsi="Calibri" w:cs="Adobe Garamond Pro Bold"/>
      <w:b/>
      <w:color w:val="FFFFFF"/>
      <w:sz w:val="20"/>
      <w:szCs w:val="20"/>
      <w:lang w:val="en-US"/>
    </w:rPr>
  </w:style>
  <w:style w:type="paragraph" w:customStyle="1" w:styleId="TableSourceNotes">
    <w:name w:val="Table Source Notes"/>
    <w:basedOn w:val="Normal"/>
    <w:qFormat/>
    <w:rsid w:val="00B224EA"/>
    <w:pPr>
      <w:tabs>
        <w:tab w:val="left" w:pos="284"/>
      </w:tabs>
      <w:suppressAutoHyphens/>
      <w:spacing w:before="120" w:after="60" w:line="160" w:lineRule="atLeast"/>
      <w:contextualSpacing/>
    </w:pPr>
    <w:rPr>
      <w:rFonts w:ascii="Calibri" w:hAnsi="Calibri"/>
      <w:i/>
      <w:color w:val="000000" w:themeColor="text1"/>
      <w:sz w:val="17"/>
      <w:szCs w:val="16"/>
      <w:lang w:val="en-GB"/>
    </w:rPr>
  </w:style>
  <w:style w:type="paragraph" w:customStyle="1" w:styleId="Figureheading">
    <w:name w:val="Figure heading"/>
    <w:basedOn w:val="Normal"/>
    <w:uiPriority w:val="99"/>
    <w:rsid w:val="00EE5F48"/>
    <w:pPr>
      <w:keepLines/>
      <w:suppressAutoHyphens/>
      <w:autoSpaceDE w:val="0"/>
      <w:autoSpaceDN w:val="0"/>
      <w:adjustRightInd w:val="0"/>
      <w:spacing w:before="283" w:after="170" w:line="280" w:lineRule="atLeast"/>
      <w:textAlignment w:val="center"/>
    </w:pPr>
    <w:rPr>
      <w:rFonts w:ascii="Calibri" w:hAnsi="Calibri" w:cs="Calibri"/>
      <w:b/>
      <w:bCs/>
      <w:color w:val="1F4E79"/>
      <w:sz w:val="22"/>
      <w:szCs w:val="22"/>
      <w:lang w:val="en-US"/>
    </w:rPr>
  </w:style>
  <w:style w:type="paragraph" w:styleId="BodyText">
    <w:name w:val="Body Text"/>
    <w:basedOn w:val="Normal"/>
    <w:link w:val="BodyTextChar"/>
    <w:uiPriority w:val="99"/>
    <w:unhideWhenUsed/>
    <w:rsid w:val="00AF1674"/>
    <w:pPr>
      <w:suppressAutoHyphens/>
      <w:autoSpaceDE w:val="0"/>
      <w:autoSpaceDN w:val="0"/>
      <w:adjustRightInd w:val="0"/>
      <w:spacing w:after="170" w:line="280" w:lineRule="atLeast"/>
      <w:textAlignment w:val="center"/>
    </w:pPr>
    <w:rPr>
      <w:rFonts w:ascii="Garamond" w:hAnsi="Garamond" w:cs="Calibri"/>
      <w:color w:val="000000"/>
      <w:sz w:val="20"/>
      <w:szCs w:val="20"/>
      <w:lang w:val="en-US"/>
    </w:rPr>
  </w:style>
  <w:style w:type="character" w:customStyle="1" w:styleId="BodyTextChar">
    <w:name w:val="Body Text Char"/>
    <w:basedOn w:val="DefaultParagraphFont"/>
    <w:link w:val="BodyText"/>
    <w:uiPriority w:val="99"/>
    <w:rsid w:val="00AF1674"/>
    <w:rPr>
      <w:rFonts w:ascii="Garamond" w:hAnsi="Garamond" w:cs="Calibri"/>
      <w:color w:val="000000"/>
      <w:sz w:val="20"/>
      <w:szCs w:val="20"/>
      <w:lang w:val="en-US"/>
    </w:rPr>
  </w:style>
  <w:style w:type="paragraph" w:customStyle="1" w:styleId="Box1Text">
    <w:name w:val="Box 1 Text"/>
    <w:basedOn w:val="Normal"/>
    <w:qFormat/>
    <w:rsid w:val="00AF1674"/>
    <w:pPr>
      <w:pBdr>
        <w:top w:val="single" w:sz="4" w:space="14" w:color="00569F"/>
        <w:left w:val="single" w:sz="4" w:space="14" w:color="00569F"/>
        <w:bottom w:val="single" w:sz="4" w:space="14" w:color="00569F"/>
        <w:right w:val="single" w:sz="4" w:space="14" w:color="00569F"/>
      </w:pBdr>
      <w:shd w:val="clear" w:color="auto" w:fill="FFFFFF" w:themeFill="background1"/>
      <w:suppressAutoHyphens/>
      <w:spacing w:before="180" w:after="80" w:line="240" w:lineRule="atLeast"/>
      <w:ind w:left="284" w:right="284"/>
    </w:pPr>
    <w:rPr>
      <w:rFonts w:ascii="Garamond" w:hAnsi="Garamond" w:cs="Times New Roman (Body CS)"/>
      <w:color w:val="000000" w:themeColor="text1"/>
      <w:sz w:val="20"/>
      <w:szCs w:val="22"/>
    </w:rPr>
  </w:style>
  <w:style w:type="paragraph" w:customStyle="1" w:styleId="Box1Heading">
    <w:name w:val="Box 1 Heading"/>
    <w:basedOn w:val="Box1Text"/>
    <w:qFormat/>
    <w:rsid w:val="00887E02"/>
    <w:pPr>
      <w:keepNext/>
      <w:spacing w:line="300" w:lineRule="atLeast"/>
    </w:pPr>
    <w:rPr>
      <w:rFonts w:ascii="Calibri" w:hAnsi="Calibri" w:cs="Calibri"/>
      <w:b/>
      <w:color w:val="00569F"/>
      <w:sz w:val="26"/>
    </w:rPr>
  </w:style>
  <w:style w:type="paragraph" w:customStyle="1" w:styleId="Box1Bullet">
    <w:name w:val="Box 1 Bullet"/>
    <w:basedOn w:val="Box1Text"/>
    <w:qFormat/>
    <w:rsid w:val="00AF1674"/>
    <w:pPr>
      <w:numPr>
        <w:numId w:val="4"/>
      </w:numPr>
      <w:ind w:left="568" w:hanging="284"/>
    </w:pPr>
  </w:style>
  <w:style w:type="paragraph" w:customStyle="1" w:styleId="Bos2Heading">
    <w:name w:val="Bos 2 Heading"/>
    <w:basedOn w:val="Box1Heading"/>
    <w:qFormat/>
    <w:rsid w:val="00887E02"/>
    <w:rPr>
      <w:sz w:val="22"/>
    </w:rPr>
  </w:style>
  <w:style w:type="character" w:styleId="SubtleReference">
    <w:name w:val="Subtle Reference"/>
    <w:basedOn w:val="DefaultParagraphFont"/>
    <w:uiPriority w:val="31"/>
    <w:qFormat/>
    <w:rsid w:val="00AF1674"/>
    <w:rPr>
      <w:smallCaps/>
      <w:color w:val="5A5A5A" w:themeColor="text1" w:themeTint="A5"/>
    </w:rPr>
  </w:style>
  <w:style w:type="paragraph" w:styleId="TOC4">
    <w:name w:val="toc 4"/>
    <w:basedOn w:val="Normal"/>
    <w:next w:val="Normal"/>
    <w:autoRedefine/>
    <w:uiPriority w:val="39"/>
    <w:semiHidden/>
    <w:unhideWhenUsed/>
    <w:rsid w:val="009763CB"/>
    <w:pPr>
      <w:ind w:left="720"/>
    </w:pPr>
    <w:rPr>
      <w:rFonts w:cstheme="minorHAnsi"/>
      <w:sz w:val="20"/>
      <w:szCs w:val="20"/>
    </w:rPr>
  </w:style>
  <w:style w:type="paragraph" w:customStyle="1" w:styleId="Titlepagetitle">
    <w:name w:val="Title page title"/>
    <w:basedOn w:val="Covertitle"/>
    <w:qFormat/>
    <w:rsid w:val="005F3C1E"/>
    <w:pPr>
      <w:ind w:left="0"/>
      <w:jc w:val="center"/>
    </w:pPr>
  </w:style>
  <w:style w:type="paragraph" w:customStyle="1" w:styleId="Titlepagesubtitle">
    <w:name w:val="Title page subtitle"/>
    <w:basedOn w:val="Coversubtitle"/>
    <w:qFormat/>
    <w:rsid w:val="005F3C1E"/>
    <w:pPr>
      <w:ind w:left="0"/>
      <w:jc w:val="center"/>
    </w:pPr>
  </w:style>
  <w:style w:type="paragraph" w:styleId="TOC5">
    <w:name w:val="toc 5"/>
    <w:basedOn w:val="Normal"/>
    <w:next w:val="Normal"/>
    <w:autoRedefine/>
    <w:uiPriority w:val="39"/>
    <w:semiHidden/>
    <w:unhideWhenUsed/>
    <w:rsid w:val="009763CB"/>
    <w:pPr>
      <w:ind w:left="960"/>
    </w:pPr>
    <w:rPr>
      <w:rFonts w:cstheme="minorHAnsi"/>
      <w:sz w:val="20"/>
      <w:szCs w:val="20"/>
    </w:rPr>
  </w:style>
  <w:style w:type="paragraph" w:styleId="TOC6">
    <w:name w:val="toc 6"/>
    <w:basedOn w:val="Normal"/>
    <w:next w:val="Normal"/>
    <w:autoRedefine/>
    <w:uiPriority w:val="39"/>
    <w:semiHidden/>
    <w:unhideWhenUsed/>
    <w:rsid w:val="009763CB"/>
    <w:pPr>
      <w:ind w:left="1200"/>
    </w:pPr>
    <w:rPr>
      <w:rFonts w:cstheme="minorHAnsi"/>
      <w:sz w:val="20"/>
      <w:szCs w:val="20"/>
    </w:rPr>
  </w:style>
  <w:style w:type="paragraph" w:styleId="TOC7">
    <w:name w:val="toc 7"/>
    <w:basedOn w:val="Normal"/>
    <w:next w:val="Normal"/>
    <w:autoRedefine/>
    <w:uiPriority w:val="39"/>
    <w:semiHidden/>
    <w:unhideWhenUsed/>
    <w:rsid w:val="009763CB"/>
    <w:pPr>
      <w:ind w:left="1440"/>
    </w:pPr>
    <w:rPr>
      <w:rFonts w:cstheme="minorHAnsi"/>
      <w:sz w:val="20"/>
      <w:szCs w:val="20"/>
    </w:rPr>
  </w:style>
  <w:style w:type="paragraph" w:styleId="TOC8">
    <w:name w:val="toc 8"/>
    <w:basedOn w:val="Normal"/>
    <w:next w:val="Normal"/>
    <w:autoRedefine/>
    <w:uiPriority w:val="39"/>
    <w:semiHidden/>
    <w:unhideWhenUsed/>
    <w:rsid w:val="009763CB"/>
    <w:pPr>
      <w:ind w:left="1680"/>
    </w:pPr>
    <w:rPr>
      <w:rFonts w:cstheme="minorHAnsi"/>
      <w:sz w:val="20"/>
      <w:szCs w:val="20"/>
    </w:rPr>
  </w:style>
  <w:style w:type="paragraph" w:styleId="TOC9">
    <w:name w:val="toc 9"/>
    <w:basedOn w:val="Normal"/>
    <w:next w:val="Normal"/>
    <w:autoRedefine/>
    <w:uiPriority w:val="39"/>
    <w:semiHidden/>
    <w:unhideWhenUsed/>
    <w:rsid w:val="009763CB"/>
    <w:pPr>
      <w:ind w:left="1920"/>
    </w:pPr>
    <w:rPr>
      <w:rFonts w:cstheme="minorHAnsi"/>
      <w:sz w:val="20"/>
      <w:szCs w:val="20"/>
    </w:rPr>
  </w:style>
  <w:style w:type="paragraph" w:customStyle="1" w:styleId="Reference">
    <w:name w:val="Reference"/>
    <w:basedOn w:val="Normal"/>
    <w:next w:val="Normal"/>
    <w:uiPriority w:val="99"/>
    <w:rsid w:val="00AC66E0"/>
    <w:pPr>
      <w:autoSpaceDE w:val="0"/>
      <w:autoSpaceDN w:val="0"/>
      <w:adjustRightInd w:val="0"/>
      <w:spacing w:before="160"/>
      <w:ind w:left="567" w:hanging="567"/>
    </w:pPr>
    <w:rPr>
      <w:rFonts w:ascii="Garamond" w:hAnsi="Garamond" w:cs="Garamond"/>
      <w:color w:val="211D1E"/>
      <w:sz w:val="20"/>
      <w:szCs w:val="20"/>
    </w:rPr>
  </w:style>
  <w:style w:type="character" w:styleId="FollowedHyperlink">
    <w:name w:val="FollowedHyperlink"/>
    <w:basedOn w:val="DefaultParagraphFont"/>
    <w:uiPriority w:val="99"/>
    <w:semiHidden/>
    <w:unhideWhenUsed/>
    <w:rsid w:val="00943BDE"/>
    <w:rPr>
      <w:color w:val="954F72" w:themeColor="followedHyperlink"/>
      <w:u w:val="single"/>
    </w:rPr>
  </w:style>
  <w:style w:type="paragraph" w:customStyle="1" w:styleId="TABLEHEADING">
    <w:name w:val="TABLE HEADING"/>
    <w:basedOn w:val="Figureheading"/>
    <w:qFormat/>
    <w:rsid w:val="00F11396"/>
  </w:style>
  <w:style w:type="paragraph" w:styleId="Revision">
    <w:name w:val="Revision"/>
    <w:hidden/>
    <w:uiPriority w:val="99"/>
    <w:semiHidden/>
    <w:rsid w:val="000C249A"/>
  </w:style>
  <w:style w:type="table" w:styleId="TableGrid">
    <w:name w:val="Table Grid"/>
    <w:basedOn w:val="TableNormal"/>
    <w:uiPriority w:val="39"/>
    <w:rsid w:val="00A37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Reference"/>
    <w:qFormat/>
    <w:rsid w:val="00A373E3"/>
  </w:style>
  <w:style w:type="character" w:styleId="UnresolvedMention">
    <w:name w:val="Unresolved Mention"/>
    <w:basedOn w:val="DefaultParagraphFont"/>
    <w:uiPriority w:val="99"/>
    <w:semiHidden/>
    <w:unhideWhenUsed/>
    <w:rsid w:val="0066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8.jpg"/><Relationship Id="rId39" Type="http://schemas.openxmlformats.org/officeDocument/2006/relationships/image" Target="media/image19.jpeg"/><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yperlink" Target="https://gold.jgi.doe.gov/" TargetMode="External"/><Relationship Id="rId50"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creativecommons.org/licenses/by/4.0/" TargetMode="External"/><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footer" Target="footer3.xm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16.jpeg"/><Relationship Id="rId4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cid:6981119b-dc8d-48e2-b356-be8719344872@AUSP282.PROD.OUTLOOK.COM" TargetMode="External"/><Relationship Id="rId1" Type="http://schemas.openxmlformats.org/officeDocument/2006/relationships/image" Target="media/image3.jpe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b98728ac-f998-415c-abee-6b046fb144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3A4F77836BB3D4E8942C3BA8310D952" ma:contentTypeVersion="15" ma:contentTypeDescription="Create a new document." ma:contentTypeScope="" ma:versionID="6e48aec5def834d40ec44ff6c92fbf08">
  <xsd:schema xmlns:xsd="http://www.w3.org/2001/XMLSchema" xmlns:xs="http://www.w3.org/2001/XMLSchema" xmlns:p="http://schemas.microsoft.com/office/2006/metadata/properties" xmlns:ns2="b98728ac-f998-415c-abee-6b046fb1441e" xmlns:ns3="81c01dc6-2c49-4730-b140-874c95cac377" xmlns:ns4="d869c146-c82e-4435-92e4-da91542262fd" targetNamespace="http://schemas.microsoft.com/office/2006/metadata/properties" ma:root="true" ma:fieldsID="987a2097c9261067d7968c54a9b0e15b" ns2:_="" ns3:_="" ns4:_="">
    <xsd:import namespace="b98728ac-f998-415c-abee-6b046fb1441e"/>
    <xsd:import namespace="81c01dc6-2c49-4730-b140-874c95cac377"/>
    <xsd:import namespace="d869c146-c82e-4435-92e4-da91542262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4:SharedWithUsers" minOccurs="0"/>
                <xsd:element ref="ns4:SharedWithDetails"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36b5be2-cf4e-43ec-8734-a0fb5251e776}" ma:internalName="TaxCatchAll" ma:showField="CatchAllData" ma:web="d869c146-c82e-4435-92e4-da91542262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BB5059-DB8B-46C4-9421-13612A8EE26A}">
  <ds:schemaRefs>
    <ds:schemaRef ds:uri="http://schemas.microsoft.com/sharepoint/v3/contenttype/forms"/>
  </ds:schemaRefs>
</ds:datastoreItem>
</file>

<file path=customXml/itemProps2.xml><?xml version="1.0" encoding="utf-8"?>
<ds:datastoreItem xmlns:ds="http://schemas.openxmlformats.org/officeDocument/2006/customXml" ds:itemID="{A4E5703D-2DDF-4A72-AC4A-30B2DD9EF058}">
  <ds:schemaRefs>
    <ds:schemaRef ds:uri="http://purl.org/dc/terms/"/>
    <ds:schemaRef ds:uri="http://schemas.microsoft.com/office/2006/documentManagement/types"/>
    <ds:schemaRef ds:uri="http://schemas.microsoft.com/office/infopath/2007/PartnerControls"/>
    <ds:schemaRef ds:uri="81c01dc6-2c49-4730-b140-874c95cac377"/>
    <ds:schemaRef ds:uri="http://purl.org/dc/elements/1.1/"/>
    <ds:schemaRef ds:uri="b8f004c7-739e-4bf2-9f1b-6c799f204467"/>
    <ds:schemaRef ds:uri="http://schemas.openxmlformats.org/package/2006/metadata/core-properties"/>
    <ds:schemaRef ds:uri="http://purl.org/dc/dcmitype/"/>
    <ds:schemaRef ds:uri="6015daa0-8aeb-4e42-ab85-05f27da8bfe8"/>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2065DEF-02A2-8F42-8102-ED8171F524FF}">
  <ds:schemaRefs>
    <ds:schemaRef ds:uri="http://schemas.openxmlformats.org/officeDocument/2006/bibliography"/>
  </ds:schemaRefs>
</ds:datastoreItem>
</file>

<file path=customXml/itemProps4.xml><?xml version="1.0" encoding="utf-8"?>
<ds:datastoreItem xmlns:ds="http://schemas.openxmlformats.org/officeDocument/2006/customXml" ds:itemID="{316BE8B1-A334-4A43-BE10-90EEA2743990}"/>
</file>

<file path=docProps/app.xml><?xml version="1.0" encoding="utf-8"?>
<Properties xmlns="http://schemas.openxmlformats.org/officeDocument/2006/extended-properties" xmlns:vt="http://schemas.openxmlformats.org/officeDocument/2006/docPropsVTypes">
  <Template>Normal</Template>
  <TotalTime>1</TotalTime>
  <Pages>3</Pages>
  <Words>17191</Words>
  <Characters>97992</Characters>
  <Application>Microsoft Office Word</Application>
  <DocSecurity>4</DocSecurity>
  <Lines>816</Lines>
  <Paragraphs>229</Paragraphs>
  <ScaleCrop>false</ScaleCrop>
  <HeadingPairs>
    <vt:vector size="2" baseType="variant">
      <vt:variant>
        <vt:lpstr>Title</vt:lpstr>
      </vt:variant>
      <vt:variant>
        <vt:i4>1</vt:i4>
      </vt:variant>
    </vt:vector>
  </HeadingPairs>
  <TitlesOfParts>
    <vt:vector size="1" baseType="lpstr">
      <vt:lpstr>Bioassessment of groundwater ecosystems III. A comparison of eDNA metabarcoding and metagenomics for assessing groundwater communities</vt:lpstr>
    </vt:vector>
  </TitlesOfParts>
  <Manager/>
  <Company/>
  <LinksUpToDate>false</LinksUpToDate>
  <CharactersWithSpaces>114954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Bioassessment of groundwater ecosystems III. A comparison of eDNA metabarcoding and metagenomics for assessing groundwater communities</dc:title>
  <dc:subject/>
  <dc:creator>IESC</dc:creator>
  <cp:keywords/>
  <dc:description/>
  <cp:lastModifiedBy>Durack, Bec</cp:lastModifiedBy>
  <cp:revision>2</cp:revision>
  <cp:lastPrinted>2018-10-30T00:39:00Z</cp:lastPrinted>
  <dcterms:created xsi:type="dcterms:W3CDTF">2024-04-30T07:14:00Z</dcterms:created>
  <dcterms:modified xsi:type="dcterms:W3CDTF">2024-04-30T07:14:00Z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ActiveItemSiteId">
    <vt:lpwstr>{4b445ea7-761d-43d2-909a-116082cfbf41}</vt:lpwstr>
  </property>
  <property fmtid="{D5CDD505-2E9C-101B-9397-08002B2CF9AE}" pid="3" name="RecordPoint_ActiveItemListId">
    <vt:lpwstr>{0759ebec-b5a2-4905-845d-b22a5168979e}</vt:lpwstr>
  </property>
  <property fmtid="{D5CDD505-2E9C-101B-9397-08002B2CF9AE}" pid="4" name="ContentTypeId">
    <vt:lpwstr>0x010100E3A4F77836BB3D4E8942C3BA8310D952</vt:lpwstr>
  </property>
  <property fmtid="{D5CDD505-2E9C-101B-9397-08002B2CF9AE}" pid="5" name="RecordPoint_ActiveItemUniqueId">
    <vt:lpwstr>{518c63c4-d07c-40c3-9ab3-e3df1944fbeb}</vt:lpwstr>
  </property>
  <property fmtid="{D5CDD505-2E9C-101B-9397-08002B2CF9AE}" pid="6" name="RecordPoint_ActiveItemWebId">
    <vt:lpwstr>{aa3e7952-617a-4d1d-acc5-2dff72d3e0ca}</vt:lpwstr>
  </property>
  <property fmtid="{D5CDD505-2E9C-101B-9397-08002B2CF9AE}" pid="7" name="RecordPoint_WorkflowType">
    <vt:lpwstr>ActiveSubmitStub</vt:lpwstr>
  </property>
  <property fmtid="{D5CDD505-2E9C-101B-9397-08002B2CF9AE}" pid="8" name="RecordPoint_RecordNumberSubmitted">
    <vt:lpwstr>002497415</vt:lpwstr>
  </property>
  <property fmtid="{D5CDD505-2E9C-101B-9397-08002B2CF9AE}" pid="9" name="RecordPoint_SubmissionCompleted">
    <vt:lpwstr>2018-11-23T17:12:02.7981893+11:00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MediaServiceImageTags">
    <vt:lpwstr/>
  </property>
</Properties>
</file>