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85682" w14:textId="77777777" w:rsidR="00034ECB" w:rsidRDefault="00EB50C2" w:rsidP="00B8207D">
      <w:pPr>
        <w:pStyle w:val="Title"/>
      </w:pPr>
      <w:r w:rsidRPr="000A45F6">
        <w:t>Using</w:t>
      </w:r>
      <w:r w:rsidRPr="00EB50C2">
        <w:t xml:space="preserve"> impact pathway diagrams based on ecohydrological conceptualisation in environmental impact </w:t>
      </w:r>
      <w:proofErr w:type="gramStart"/>
      <w:r w:rsidRPr="00EB50C2">
        <w:t>assessmen</w:t>
      </w:r>
      <w:r w:rsidR="002B6EC4">
        <w:t>t</w:t>
      </w:r>
      <w:proofErr w:type="gramEnd"/>
    </w:p>
    <w:p w14:paraId="71C1BC46" w14:textId="77777777" w:rsidR="001B64ED" w:rsidRPr="001B64ED" w:rsidRDefault="001B64ED" w:rsidP="001B64ED">
      <w:pPr>
        <w:rPr>
          <w:lang w:val="en-US"/>
        </w:rPr>
      </w:pPr>
    </w:p>
    <w:p w14:paraId="1EA888B7" w14:textId="2E620E38" w:rsidR="00B277B5" w:rsidRPr="00B277B5" w:rsidRDefault="00B277B5" w:rsidP="00B277B5">
      <w:pPr>
        <w:rPr>
          <w:lang w:val="en-US"/>
        </w:rPr>
        <w:sectPr w:rsidR="00B277B5" w:rsidRPr="00B277B5" w:rsidSect="002A621C">
          <w:headerReference w:type="default" r:id="rId11"/>
          <w:footerReference w:type="default" r:id="rId12"/>
          <w:headerReference w:type="first" r:id="rId13"/>
          <w:footerReference w:type="first" r:id="rId14"/>
          <w:pgSz w:w="11900" w:h="16840"/>
          <w:pgMar w:top="4489" w:right="1128" w:bottom="1871" w:left="1701" w:header="0" w:footer="182" w:gutter="0"/>
          <w:cols w:space="708"/>
          <w:titlePg/>
          <w:docGrid w:linePitch="360"/>
        </w:sectPr>
      </w:pPr>
    </w:p>
    <w:p w14:paraId="67837EF7" w14:textId="62C42E2E" w:rsidR="00CF550C" w:rsidRPr="00D17483" w:rsidRDefault="00CF550C" w:rsidP="00B277B5">
      <w:pPr>
        <w:pStyle w:val="Heading1"/>
        <w:spacing w:before="0"/>
      </w:pPr>
      <w:r w:rsidRPr="000A45F6">
        <w:t>Background</w:t>
      </w:r>
    </w:p>
    <w:p w14:paraId="6134B16A" w14:textId="0FA9EEC7" w:rsidR="007600D0" w:rsidRPr="00274E28" w:rsidRDefault="007600D0" w:rsidP="00274E28">
      <w:pPr>
        <w:pStyle w:val="BodyText"/>
      </w:pPr>
      <w:r w:rsidRPr="00274E28">
        <w:t xml:space="preserve">Environmental impact assessment seeks to predict potential impacts of a proposed project on valued assets such as groundwaters, surface waters and their associated biota and ecological processes. </w:t>
      </w:r>
      <w:proofErr w:type="gramStart"/>
      <w:r w:rsidRPr="00274E28">
        <w:t>Typically</w:t>
      </w:r>
      <w:proofErr w:type="gramEnd"/>
      <w:r w:rsidRPr="00274E28">
        <w:t xml:space="preserve"> the assessment involves a multidisciplinary team of consultant experts with skills in, for example, earth sciences, hydrogeology, hydrology, ecotoxicology and ecology. These experts work together to predict what, how, when and where impacts from the project might affect </w:t>
      </w:r>
      <w:r w:rsidR="008228FD" w:rsidRPr="00274E28">
        <w:t>valued</w:t>
      </w:r>
      <w:r w:rsidRPr="00274E28">
        <w:t xml:space="preserve"> assets. The result is one or more reports that usually include multiple appendices, </w:t>
      </w:r>
      <w:r w:rsidR="008228FD" w:rsidRPr="00274E28">
        <w:t>large</w:t>
      </w:r>
      <w:r w:rsidRPr="00274E28">
        <w:t xml:space="preserve"> </w:t>
      </w:r>
      <w:proofErr w:type="gramStart"/>
      <w:r w:rsidRPr="00274E28">
        <w:t>datasets</w:t>
      </w:r>
      <w:proofErr w:type="gramEnd"/>
      <w:r w:rsidRPr="00274E28">
        <w:t xml:space="preserve"> and numerical and analytical models.</w:t>
      </w:r>
    </w:p>
    <w:p w14:paraId="26C7CAC5" w14:textId="053A12B3" w:rsidR="008228FD" w:rsidRPr="00274E28" w:rsidRDefault="007600D0" w:rsidP="00274E28">
      <w:pPr>
        <w:pStyle w:val="BodyText"/>
      </w:pPr>
      <w:r w:rsidRPr="00274E28">
        <w:t xml:space="preserve">However, very few of these reports </w:t>
      </w:r>
      <w:r w:rsidR="00C4275B" w:rsidRPr="00274E28">
        <w:t xml:space="preserve">use pictorial conceptual models to </w:t>
      </w:r>
      <w:r w:rsidRPr="00274E28">
        <w:t>bring this information together</w:t>
      </w:r>
      <w:r w:rsidR="00C4275B" w:rsidRPr="00274E28">
        <w:t>. A powerful approach for assessing potential impacts of a project is to</w:t>
      </w:r>
      <w:r w:rsidR="009B6035" w:rsidRPr="00274E28">
        <w:t xml:space="preserve"> </w:t>
      </w:r>
      <w:r w:rsidR="008228FD" w:rsidRPr="00274E28">
        <w:t>draw up an</w:t>
      </w:r>
      <w:r w:rsidRPr="00274E28">
        <w:t xml:space="preserve"> ecohydrological </w:t>
      </w:r>
      <w:r w:rsidR="00161D3E" w:rsidRPr="00274E28">
        <w:t>conceptual model (ECM)</w:t>
      </w:r>
      <w:r w:rsidR="009B6035" w:rsidRPr="00274E28">
        <w:t xml:space="preserve"> </w:t>
      </w:r>
      <w:r w:rsidR="008228FD" w:rsidRPr="00274E28">
        <w:t>of</w:t>
      </w:r>
      <w:r w:rsidR="00FC02DB" w:rsidRPr="00274E28">
        <w:t xml:space="preserve"> how</w:t>
      </w:r>
      <w:r w:rsidRPr="00274E28">
        <w:t xml:space="preserve"> hydrological (surface water and groundwater) components </w:t>
      </w:r>
      <w:r w:rsidR="00FC02DB" w:rsidRPr="00274E28">
        <w:t xml:space="preserve">relate to </w:t>
      </w:r>
      <w:r w:rsidRPr="00274E28">
        <w:t xml:space="preserve">ecological ones (e.g., animal and plant species, </w:t>
      </w:r>
      <w:proofErr w:type="gramStart"/>
      <w:r w:rsidRPr="00274E28">
        <w:t>communities</w:t>
      </w:r>
      <w:proofErr w:type="gramEnd"/>
      <w:r w:rsidRPr="00274E28">
        <w:t xml:space="preserve"> and ecosystems)</w:t>
      </w:r>
      <w:r w:rsidR="008228FD" w:rsidRPr="00274E28">
        <w:t xml:space="preserve"> in a project area</w:t>
      </w:r>
      <w:r w:rsidR="00036BFC" w:rsidRPr="00274E28">
        <w:t>.</w:t>
      </w:r>
    </w:p>
    <w:p w14:paraId="75F247B3" w14:textId="61948AC6" w:rsidR="00274E28" w:rsidRDefault="00FC02DB" w:rsidP="00274E28">
      <w:pPr>
        <w:pStyle w:val="BodyText"/>
      </w:pPr>
      <w:r w:rsidRPr="00274E28">
        <w:t xml:space="preserve">This </w:t>
      </w:r>
      <w:r w:rsidR="00161D3E" w:rsidRPr="00274E28">
        <w:t>ECM</w:t>
      </w:r>
      <w:r w:rsidRPr="00274E28">
        <w:t xml:space="preserve"> </w:t>
      </w:r>
      <w:r w:rsidR="007318BF" w:rsidRPr="00274E28">
        <w:t xml:space="preserve">can </w:t>
      </w:r>
      <w:r w:rsidRPr="00274E28">
        <w:t xml:space="preserve">then be used to generate </w:t>
      </w:r>
      <w:r w:rsidR="009E43C4" w:rsidRPr="00274E28">
        <w:t xml:space="preserve">one or more </w:t>
      </w:r>
      <w:r w:rsidRPr="00274E28">
        <w:t xml:space="preserve">impact pathway diagrams (IPDs) </w:t>
      </w:r>
      <w:r w:rsidR="008228FD" w:rsidRPr="00274E28">
        <w:t>to show how</w:t>
      </w:r>
      <w:r w:rsidRPr="00274E28">
        <w:t xml:space="preserve"> </w:t>
      </w:r>
      <w:r w:rsidR="00C4275B" w:rsidRPr="00274E28">
        <w:t>a</w:t>
      </w:r>
      <w:r w:rsidRPr="00274E28">
        <w:t xml:space="preserve"> proposed project </w:t>
      </w:r>
      <w:r w:rsidR="009B6035" w:rsidRPr="00274E28">
        <w:t>might</w:t>
      </w:r>
      <w:r w:rsidRPr="00274E28">
        <w:t xml:space="preserve"> affect </w:t>
      </w:r>
      <w:r w:rsidR="008228FD" w:rsidRPr="00274E28">
        <w:t xml:space="preserve">water-dependent </w:t>
      </w:r>
      <w:r w:rsidR="00C4275B" w:rsidRPr="00274E28">
        <w:t>assets</w:t>
      </w:r>
      <w:r w:rsidRPr="00274E28">
        <w:t xml:space="preserve">. </w:t>
      </w:r>
      <w:r w:rsidR="007600D0" w:rsidRPr="00274E28">
        <w:t xml:space="preserve">When superimposed on maps of the project area, IPDs indicate where such impacts might </w:t>
      </w:r>
      <w:proofErr w:type="gramStart"/>
      <w:r w:rsidR="007600D0" w:rsidRPr="00274E28">
        <w:t>occur</w:t>
      </w:r>
      <w:proofErr w:type="gramEnd"/>
      <w:r w:rsidR="00036BFC" w:rsidRPr="00274E28">
        <w:t xml:space="preserve"> and which assets </w:t>
      </w:r>
      <w:r w:rsidR="00CB62E8" w:rsidRPr="00274E28">
        <w:t xml:space="preserve">might </w:t>
      </w:r>
      <w:r w:rsidR="00036BFC" w:rsidRPr="00274E28">
        <w:t>be affected</w:t>
      </w:r>
      <w:r w:rsidR="007600D0" w:rsidRPr="00274E28">
        <w:t xml:space="preserve">. </w:t>
      </w:r>
      <w:r w:rsidR="003A65D4" w:rsidRPr="00274E28">
        <w:t>IPDs should be supported by narratives describing the key points of concern, knowledge gaps and associated confidence</w:t>
      </w:r>
      <w:r w:rsidR="007318BF" w:rsidRPr="00274E28">
        <w:t xml:space="preserve"> levels</w:t>
      </w:r>
      <w:r w:rsidR="003A65D4" w:rsidRPr="00274E28">
        <w:t>.</w:t>
      </w:r>
    </w:p>
    <w:p w14:paraId="546D0620" w14:textId="3B999ABC" w:rsidR="00B8207D" w:rsidRDefault="00B8207D" w:rsidP="00B8207D">
      <w:pPr>
        <w:pStyle w:val="BodyText"/>
      </w:pPr>
      <w:r>
        <w:br w:type="column"/>
      </w:r>
      <w:r w:rsidR="00BE69F2" w:rsidRPr="00274E28">
        <w:t xml:space="preserve">The approach has many benefits. </w:t>
      </w:r>
      <w:r w:rsidR="003A65D4" w:rsidRPr="00274E28">
        <w:t>I</w:t>
      </w:r>
      <w:r w:rsidR="00C74279" w:rsidRPr="00274E28">
        <w:t>t is a</w:t>
      </w:r>
      <w:r w:rsidR="009E43C4" w:rsidRPr="00274E28">
        <w:t xml:space="preserve"> </w:t>
      </w:r>
      <w:r w:rsidR="00C74279" w:rsidRPr="00274E28">
        <w:t>valuable tool to develop and illustrate the lines</w:t>
      </w:r>
      <w:r w:rsidR="007318BF" w:rsidRPr="00274E28">
        <w:t xml:space="preserve"> </w:t>
      </w:r>
      <w:r w:rsidR="00C74279" w:rsidRPr="00274E28">
        <w:t>of</w:t>
      </w:r>
      <w:r w:rsidR="007318BF" w:rsidRPr="00274E28">
        <w:t xml:space="preserve"> </w:t>
      </w:r>
      <w:r w:rsidR="00C74279" w:rsidRPr="00274E28">
        <w:t xml:space="preserve">sight from stressors to receptors in environmental impact assessment. </w:t>
      </w:r>
      <w:r w:rsidR="009E43C4" w:rsidRPr="00274E28">
        <w:t xml:space="preserve">Applying it </w:t>
      </w:r>
      <w:r w:rsidR="00BE69F2" w:rsidRPr="00274E28">
        <w:t xml:space="preserve">enhances interactions among the proponent’s consultant team when they collaborate </w:t>
      </w:r>
      <w:r w:rsidR="00161D3E" w:rsidRPr="00274E28">
        <w:t xml:space="preserve">early </w:t>
      </w:r>
      <w:r w:rsidR="00BE69F2" w:rsidRPr="00274E28">
        <w:t>to prepare IPDs of what, where and how key impacts might occur and what mitigation options are feasible. This early collaboration improves efficiency and reduces</w:t>
      </w:r>
      <w:r w:rsidR="007318BF" w:rsidRPr="00274E28">
        <w:t xml:space="preserve"> the</w:t>
      </w:r>
      <w:r w:rsidR="00BE69F2" w:rsidRPr="00274E28">
        <w:t xml:space="preserve"> cost of initial baseline data collection because surveying can target key pathways and receptors identified </w:t>
      </w:r>
      <w:r w:rsidR="4364B49F" w:rsidRPr="00274E28">
        <w:t>i</w:t>
      </w:r>
      <w:r w:rsidR="00BE69F2" w:rsidRPr="00274E28">
        <w:t>n preliminary IPDs. The final diagrams presented in the assessment document integrate evidence from its different sections to provide visual summaries that help readers quickly grasp the main concerns.</w:t>
      </w:r>
    </w:p>
    <w:p w14:paraId="4A1A6534" w14:textId="0B0DD8CB" w:rsidR="0013707F" w:rsidRDefault="0013707F" w:rsidP="00B8207D">
      <w:pPr>
        <w:pStyle w:val="BodyText"/>
      </w:pPr>
      <w:r>
        <w:rPr>
          <w:noProof/>
        </w:rPr>
        <w:drawing>
          <wp:inline distT="0" distB="0" distL="0" distR="0" wp14:anchorId="2D42ACCD" wp14:editId="510D83CD">
            <wp:extent cx="2654935" cy="1786255"/>
            <wp:effectExtent l="0" t="0" r="0" b="4445"/>
            <wp:docPr id="1882368450" name="Picture 11" descr="Photo of 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68450" name="Picture 11" descr="Photo of wetland"/>
                    <pic:cNvPicPr/>
                  </pic:nvPicPr>
                  <pic:blipFill>
                    <a:blip r:embed="rId15">
                      <a:extLst>
                        <a:ext uri="{28A0092B-C50C-407E-A947-70E740481C1C}">
                          <a14:useLocalDpi xmlns:a14="http://schemas.microsoft.com/office/drawing/2010/main" val="0"/>
                        </a:ext>
                      </a:extLst>
                    </a:blip>
                    <a:stretch>
                      <a:fillRect/>
                    </a:stretch>
                  </pic:blipFill>
                  <pic:spPr>
                    <a:xfrm>
                      <a:off x="0" y="0"/>
                      <a:ext cx="2654935" cy="1786255"/>
                    </a:xfrm>
                    <a:prstGeom prst="rect">
                      <a:avLst/>
                    </a:prstGeom>
                  </pic:spPr>
                </pic:pic>
              </a:graphicData>
            </a:graphic>
          </wp:inline>
        </w:drawing>
      </w:r>
    </w:p>
    <w:p w14:paraId="3F3DBFF4" w14:textId="1C01979D" w:rsidR="0013707F" w:rsidRDefault="0013707F" w:rsidP="0013707F">
      <w:pPr>
        <w:pStyle w:val="TableSourceNotes"/>
      </w:pPr>
      <w:r w:rsidRPr="00207FC7">
        <w:t>Hunter wetland © Department of Climate Change, Energy, the Environment and Water</w:t>
      </w:r>
    </w:p>
    <w:p w14:paraId="2E99A67B" w14:textId="77777777" w:rsidR="0013707F" w:rsidRDefault="0013707F">
      <w:pPr>
        <w:rPr>
          <w:rFonts w:ascii="Calibri" w:hAnsi="Calibri" w:cs="Calibri"/>
          <w:b/>
          <w:color w:val="005695"/>
          <w:sz w:val="28"/>
          <w:szCs w:val="28"/>
          <w:lang w:val="en-US"/>
        </w:rPr>
      </w:pPr>
      <w:r>
        <w:br w:type="page"/>
      </w:r>
    </w:p>
    <w:p w14:paraId="3BADD78B" w14:textId="0422300A" w:rsidR="00B8207D" w:rsidRDefault="00B8207D" w:rsidP="00B8207D">
      <w:pPr>
        <w:pStyle w:val="Heading1"/>
      </w:pPr>
      <w:r w:rsidRPr="00D17483">
        <w:lastRenderedPageBreak/>
        <w:t>Context</w:t>
      </w:r>
    </w:p>
    <w:p w14:paraId="1732CEF5" w14:textId="77777777" w:rsidR="00B8207D" w:rsidRDefault="00B8207D" w:rsidP="00B8207D">
      <w:pPr>
        <w:pStyle w:val="BodyText"/>
      </w:pPr>
      <w:r>
        <w:t>Given the approach’s many benefits in environmental impact assessment, the IESC commissioned an Explanatory Note to describe why and how to draw up an ECM to generate IPDs and accompanying maps and narratives. This evidence-based ECM is crucial because most impacts on water-dependent assets are likely to be conveyed by ecohydrological pathways.</w:t>
      </w:r>
    </w:p>
    <w:p w14:paraId="20C9DAA0" w14:textId="77777777" w:rsidR="00B8207D" w:rsidRDefault="00B8207D" w:rsidP="00B8207D">
      <w:pPr>
        <w:pStyle w:val="BodyText"/>
        <w:spacing w:before="240"/>
      </w:pPr>
      <w:r w:rsidRPr="00B277B5">
        <w:t xml:space="preserve">The Explanatory Note starts by describing ecohydrological IPDs, their ‘building </w:t>
      </w:r>
      <w:proofErr w:type="gramStart"/>
      <w:r w:rsidRPr="00B277B5">
        <w:t>blocks’</w:t>
      </w:r>
      <w:proofErr w:type="gramEnd"/>
      <w:r w:rsidRPr="00B277B5">
        <w:t xml:space="preserve"> and the benefits of this approach to environmental impact assessment, supported by three examples from the mining and gas extraction literature.</w:t>
      </w:r>
      <w:r>
        <w:t xml:space="preserve"> </w:t>
      </w:r>
      <w:r w:rsidRPr="00B277B5">
        <w:t>The next section describes an approach to generating IPDs based on an ecohydrological conceptualisation, illustrating it with a worked example of a hypothetical open-cut coal mine in the Bowen Basin, Queensland.</w:t>
      </w:r>
    </w:p>
    <w:p w14:paraId="145D257A" w14:textId="682C2018" w:rsidR="00C51CCE" w:rsidRDefault="00AE00DC" w:rsidP="009C30C5">
      <w:pPr>
        <w:pStyle w:val="BodyText"/>
      </w:pPr>
      <w:r>
        <w:t xml:space="preserve">The Explanatory Note concludes with brief </w:t>
      </w:r>
      <w:r w:rsidR="00F373E5">
        <w:t>section</w:t>
      </w:r>
      <w:r>
        <w:t>s o</w:t>
      </w:r>
      <w:r w:rsidR="00F373E5">
        <w:t>n</w:t>
      </w:r>
      <w:r w:rsidR="009C30C5">
        <w:t xml:space="preserve"> how to use IPDs to portray the impact pathways </w:t>
      </w:r>
      <w:r w:rsidR="004D4B8B">
        <w:t>from activities of</w:t>
      </w:r>
      <w:r w:rsidR="009C30C5">
        <w:t xml:space="preserve"> a given development</w:t>
      </w:r>
      <w:r w:rsidR="004D4B8B">
        <w:t xml:space="preserve"> </w:t>
      </w:r>
      <w:r w:rsidR="009C30C5">
        <w:t>to vulnerable receptors, identify relevant knowledge gaps, guide the design of monitoring programs, and identify and justify potential strategies to avoid or mitigate environmental impacts.</w:t>
      </w:r>
    </w:p>
    <w:p w14:paraId="31BCD2D8" w14:textId="6EF0DBFD" w:rsidR="00C51CCE" w:rsidRDefault="00C51CCE" w:rsidP="00C17C6F">
      <w:pPr>
        <w:pStyle w:val="Heading1"/>
      </w:pPr>
      <w:r w:rsidRPr="00A87944">
        <w:t xml:space="preserve">The ‘building blocks’ of </w:t>
      </w:r>
      <w:proofErr w:type="gramStart"/>
      <w:r w:rsidRPr="00A87944">
        <w:t>IPDs</w:t>
      </w:r>
      <w:proofErr w:type="gramEnd"/>
    </w:p>
    <w:p w14:paraId="33F174E6" w14:textId="041DC5A1" w:rsidR="0013707F" w:rsidRDefault="00C51CCE" w:rsidP="00C51CCE">
      <w:pPr>
        <w:pStyle w:val="BodyText"/>
      </w:pPr>
      <w:r>
        <w:t>P</w:t>
      </w:r>
      <w:r w:rsidRPr="00C15D48">
        <w:t xml:space="preserve">athways in IPDs are typically represented as linking consecutive </w:t>
      </w:r>
      <w:r>
        <w:t>types</w:t>
      </w:r>
      <w:r w:rsidRPr="00C15D48">
        <w:t xml:space="preserve"> of components (</w:t>
      </w:r>
      <w:r w:rsidR="00034ECB">
        <w:fldChar w:fldCharType="begin"/>
      </w:r>
      <w:r w:rsidR="00034ECB">
        <w:instrText xml:space="preserve"> REF _Ref159430120 \h </w:instrText>
      </w:r>
      <w:r w:rsidR="00034ECB">
        <w:fldChar w:fldCharType="separate"/>
      </w:r>
      <w:r w:rsidR="0070498E">
        <w:t xml:space="preserve">Figure </w:t>
      </w:r>
      <w:r w:rsidR="0070498E">
        <w:rPr>
          <w:noProof/>
        </w:rPr>
        <w:t>1</w:t>
      </w:r>
      <w:r w:rsidR="00034ECB">
        <w:fldChar w:fldCharType="end"/>
      </w:r>
      <w:r w:rsidRPr="00C15D48">
        <w:t xml:space="preserve">), starting with </w:t>
      </w:r>
      <w:r>
        <w:t xml:space="preserve">a </w:t>
      </w:r>
      <w:r w:rsidRPr="00C15D48">
        <w:t>driver and ending in receptors</w:t>
      </w:r>
      <w:r>
        <w:t>, which</w:t>
      </w:r>
      <w:r w:rsidRPr="00C15D48">
        <w:t xml:space="preserve"> in this context are water</w:t>
      </w:r>
      <w:r>
        <w:t xml:space="preserve">-dependent assets. </w:t>
      </w:r>
      <w:r w:rsidRPr="00C15D48">
        <w:rPr>
          <w:b/>
        </w:rPr>
        <w:t>Drivers</w:t>
      </w:r>
      <w:r w:rsidRPr="00C15D48">
        <w:t>, defined as major external forces that have large-scale influences, can be natural</w:t>
      </w:r>
      <w:r>
        <w:t>,</w:t>
      </w:r>
      <w:r w:rsidRPr="00C15D48">
        <w:t xml:space="preserve"> such as climate</w:t>
      </w:r>
      <w:r>
        <w:t xml:space="preserve"> and</w:t>
      </w:r>
      <w:r w:rsidRPr="00C15D48">
        <w:t xml:space="preserve"> geology</w:t>
      </w:r>
      <w:r>
        <w:t>;</w:t>
      </w:r>
      <w:r w:rsidRPr="00C15D48">
        <w:t xml:space="preserve"> or anthropogenic (human</w:t>
      </w:r>
      <w:r>
        <w:t xml:space="preserve"> </w:t>
      </w:r>
      <w:r w:rsidRPr="00C15D48">
        <w:t>induced)</w:t>
      </w:r>
      <w:r>
        <w:t>,</w:t>
      </w:r>
      <w:r w:rsidRPr="00C15D48">
        <w:t xml:space="preserve"> such as climate change and resource development.</w:t>
      </w:r>
    </w:p>
    <w:p w14:paraId="314C8345" w14:textId="5310984A" w:rsidR="00C17C6F" w:rsidRDefault="0013707F" w:rsidP="00C17C6F">
      <w:pPr>
        <w:pStyle w:val="BodyText"/>
      </w:pPr>
      <w:r>
        <w:br w:type="column"/>
      </w:r>
      <w:r w:rsidR="00C17C6F" w:rsidRPr="00C15D48">
        <w:t xml:space="preserve">In IPDs, a </w:t>
      </w:r>
      <w:r w:rsidR="00C17C6F" w:rsidRPr="00C15D48">
        <w:rPr>
          <w:b/>
        </w:rPr>
        <w:t>source</w:t>
      </w:r>
      <w:r w:rsidR="00C17C6F" w:rsidRPr="00C15D48">
        <w:t xml:space="preserve"> is any entity or action that generates or increases stressors in the environment. In environmental impact assessment, we are mainly interested in sources associated with anthropogenic drivers associated with </w:t>
      </w:r>
      <w:r w:rsidR="00C17C6F">
        <w:t>a</w:t>
      </w:r>
      <w:r w:rsidR="00C17C6F" w:rsidRPr="00C15D48">
        <w:t xml:space="preserve"> proposed development. </w:t>
      </w:r>
      <w:r w:rsidR="00C17C6F">
        <w:t>These can be entities</w:t>
      </w:r>
      <w:r w:rsidR="00C17C6F" w:rsidRPr="00C15D48">
        <w:t xml:space="preserve"> (e.g., mine pits, wastewater dams, roads) or activities (e.g., vegetation clearance, civil construction, exploratory drilling).</w:t>
      </w:r>
    </w:p>
    <w:p w14:paraId="4FC2D7C5" w14:textId="0BE22ADE" w:rsidR="00C17C6F" w:rsidRDefault="00C17C6F" w:rsidP="00C17C6F">
      <w:pPr>
        <w:pStyle w:val="BodyText"/>
      </w:pPr>
      <w:r w:rsidRPr="656BF5C1">
        <w:rPr>
          <w:b/>
          <w:bCs/>
        </w:rPr>
        <w:t>Stressors</w:t>
      </w:r>
      <w:r>
        <w:t xml:space="preserve"> are physical, </w:t>
      </w:r>
      <w:proofErr w:type="gramStart"/>
      <w:r>
        <w:t>chemical</w:t>
      </w:r>
      <w:proofErr w:type="gramEnd"/>
      <w:r>
        <w:t xml:space="preserve"> or biological entities that can cause an adverse response. It is useful to also specify the change in the entity that causes stress. For example, the stressor salinity may not cause an adverse response in a particular species of freshwater fish until it exceeds some threshold level. An IPD can also illustrate how multiple stressors combine to affect a process, potentially causing adverse responses sooner.</w:t>
      </w:r>
    </w:p>
    <w:p w14:paraId="00DC813A" w14:textId="6490DD5F" w:rsidR="00C17C6F" w:rsidRDefault="00C17C6F" w:rsidP="00C17C6F">
      <w:pPr>
        <w:pStyle w:val="BodyText"/>
      </w:pPr>
      <w:r w:rsidRPr="00A03B62">
        <w:t xml:space="preserve">The term </w:t>
      </w:r>
      <w:r w:rsidRPr="00A03B62">
        <w:rPr>
          <w:b/>
        </w:rPr>
        <w:t>process</w:t>
      </w:r>
      <w:r w:rsidRPr="00A03B62">
        <w:t xml:space="preserve"> describes the way(s) </w:t>
      </w:r>
      <w:r>
        <w:t>in which</w:t>
      </w:r>
      <w:r w:rsidRPr="00A03B62">
        <w:t xml:space="preserve"> a stressor is conveyed from one or more sources to one or more receptors. Therefore, processes can precede </w:t>
      </w:r>
      <w:r w:rsidRPr="00FF63F7">
        <w:t>and follow stressors in the pathway (</w:t>
      </w:r>
      <w:r w:rsidR="00034ECB">
        <w:fldChar w:fldCharType="begin"/>
      </w:r>
      <w:r w:rsidR="00034ECB">
        <w:instrText xml:space="preserve"> REF _Ref159430120 \h </w:instrText>
      </w:r>
      <w:r w:rsidR="00034ECB">
        <w:fldChar w:fldCharType="separate"/>
      </w:r>
      <w:r w:rsidR="0070498E">
        <w:t xml:space="preserve">Figure </w:t>
      </w:r>
      <w:r w:rsidR="0070498E">
        <w:rPr>
          <w:noProof/>
        </w:rPr>
        <w:t>1</w:t>
      </w:r>
      <w:r w:rsidR="00034ECB">
        <w:fldChar w:fldCharType="end"/>
      </w:r>
      <w:r w:rsidRPr="00FF63F7">
        <w:t>). These processes are usually ecological and/or hydrological ones</w:t>
      </w:r>
      <w:r>
        <w:t>,</w:t>
      </w:r>
      <w:r w:rsidRPr="00FF63F7">
        <w:t xml:space="preserve"> which is why we strongly advocate that the consultant team initially develop an </w:t>
      </w:r>
      <w:r>
        <w:t>ecohydrological conceptualis</w:t>
      </w:r>
      <w:r w:rsidRPr="00FF63F7">
        <w:t>ation from which to derive IPDs.</w:t>
      </w:r>
    </w:p>
    <w:p w14:paraId="1100674B" w14:textId="66633558" w:rsidR="00274E28" w:rsidRDefault="00C17C6F" w:rsidP="00274E28">
      <w:pPr>
        <w:pStyle w:val="BodyText"/>
      </w:pPr>
      <w:r>
        <w:t xml:space="preserve">Impact pathways end in </w:t>
      </w:r>
      <w:r w:rsidRPr="656BF5C1">
        <w:rPr>
          <w:b/>
          <w:bCs/>
        </w:rPr>
        <w:t>receptors</w:t>
      </w:r>
      <w:r>
        <w:t xml:space="preserve"> (</w:t>
      </w:r>
      <w:r w:rsidR="00034ECB">
        <w:fldChar w:fldCharType="begin"/>
      </w:r>
      <w:r w:rsidR="00034ECB">
        <w:instrText xml:space="preserve"> REF _Ref159430120 \h </w:instrText>
      </w:r>
      <w:r w:rsidR="00034ECB">
        <w:fldChar w:fldCharType="separate"/>
      </w:r>
      <w:r w:rsidR="0070498E">
        <w:t xml:space="preserve">Figure </w:t>
      </w:r>
      <w:r w:rsidR="0070498E">
        <w:rPr>
          <w:noProof/>
        </w:rPr>
        <w:t>1</w:t>
      </w:r>
      <w:r w:rsidR="00034ECB">
        <w:fldChar w:fldCharType="end"/>
      </w:r>
      <w:r>
        <w:t xml:space="preserve">). In the context of this Explanatory Note, receptors are primarily water-dependent assets such as wetlands, rivers, </w:t>
      </w:r>
      <w:proofErr w:type="gramStart"/>
      <w:r>
        <w:t>streams</w:t>
      </w:r>
      <w:proofErr w:type="gramEnd"/>
      <w:r>
        <w:t xml:space="preserve"> and groundwater-dependent ecosystems (GDEs), and their hydrology, water quality, microbes, plants, animals and ecological processes.</w:t>
      </w:r>
    </w:p>
    <w:p w14:paraId="57064361" w14:textId="77777777" w:rsidR="007A0843" w:rsidRDefault="007A0843" w:rsidP="00274E28">
      <w:pPr>
        <w:pStyle w:val="BodyText"/>
      </w:pPr>
    </w:p>
    <w:p w14:paraId="64FE8AE6" w14:textId="77777777" w:rsidR="0013707F" w:rsidRDefault="0013707F" w:rsidP="00274E28">
      <w:pPr>
        <w:pStyle w:val="BodyText"/>
        <w:sectPr w:rsidR="0013707F" w:rsidSect="002A621C">
          <w:type w:val="continuous"/>
          <w:pgSz w:w="11900" w:h="16840"/>
          <w:pgMar w:top="1701" w:right="1128" w:bottom="1871" w:left="1701" w:header="1134" w:footer="84" w:gutter="0"/>
          <w:cols w:num="2" w:space="709"/>
          <w:titlePg/>
          <w:docGrid w:linePitch="360"/>
        </w:sectPr>
      </w:pPr>
    </w:p>
    <w:p w14:paraId="142376C5" w14:textId="77777777" w:rsidR="00274E28" w:rsidRPr="00B8207D" w:rsidRDefault="00274E28" w:rsidP="00B8207D">
      <w:pPr>
        <w:pStyle w:val="BodyText"/>
      </w:pPr>
      <w:r>
        <w:rPr>
          <w:noProof/>
          <w:lang w:eastAsia="en-AU"/>
        </w:rPr>
        <w:drawing>
          <wp:inline distT="0" distB="0" distL="0" distR="0" wp14:anchorId="59AE7DB2" wp14:editId="7341EDE1">
            <wp:extent cx="5468649" cy="552450"/>
            <wp:effectExtent l="0" t="0" r="5080" b="0"/>
            <wp:docPr id="4" name="Picture 4" descr="Driver – Source – Process – Stressor – Process – Recep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river – Source – Process – Stressor – Process – Recept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8649" cy="552450"/>
                    </a:xfrm>
                    <a:prstGeom prst="rect">
                      <a:avLst/>
                    </a:prstGeom>
                    <a:noFill/>
                  </pic:spPr>
                </pic:pic>
              </a:graphicData>
            </a:graphic>
          </wp:inline>
        </w:drawing>
      </w:r>
    </w:p>
    <w:p w14:paraId="2F90158B" w14:textId="3DA69B11" w:rsidR="00274E28" w:rsidRDefault="00274E28" w:rsidP="00274E28">
      <w:pPr>
        <w:pStyle w:val="Caption"/>
      </w:pPr>
      <w:bookmarkStart w:id="0" w:name="_Ref159430120"/>
      <w:r>
        <w:t xml:space="preserve">Figure </w:t>
      </w:r>
      <w:r>
        <w:fldChar w:fldCharType="begin"/>
      </w:r>
      <w:r>
        <w:instrText xml:space="preserve"> SEQ Figure \* ARABIC </w:instrText>
      </w:r>
      <w:r>
        <w:fldChar w:fldCharType="separate"/>
      </w:r>
      <w:r w:rsidR="0070498E">
        <w:rPr>
          <w:noProof/>
        </w:rPr>
        <w:t>1</w:t>
      </w:r>
      <w:r>
        <w:fldChar w:fldCharType="end"/>
      </w:r>
      <w:bookmarkEnd w:id="0"/>
      <w:r w:rsidRPr="007A761F">
        <w:t>. The consecutive categories of components along an impact pathway in a typical IPD</w:t>
      </w:r>
    </w:p>
    <w:p w14:paraId="75D13E24" w14:textId="77777777" w:rsidR="00274E28" w:rsidRDefault="00274E28" w:rsidP="00274E28">
      <w:pPr>
        <w:pStyle w:val="BodyText"/>
        <w:sectPr w:rsidR="00274E28" w:rsidSect="002A621C">
          <w:type w:val="continuous"/>
          <w:pgSz w:w="11900" w:h="16840"/>
          <w:pgMar w:top="1701" w:right="1128" w:bottom="1871" w:left="1701" w:header="1134" w:footer="84" w:gutter="0"/>
          <w:cols w:space="709"/>
          <w:titlePg/>
          <w:docGrid w:linePitch="360"/>
        </w:sectPr>
      </w:pPr>
    </w:p>
    <w:p w14:paraId="4DBCD757" w14:textId="77777777" w:rsidR="00274E28" w:rsidRPr="00B8207D" w:rsidRDefault="00274E28" w:rsidP="00B8207D">
      <w:r>
        <w:br w:type="page"/>
      </w:r>
    </w:p>
    <w:p w14:paraId="6F666399" w14:textId="77777777" w:rsidR="00034ECB" w:rsidRDefault="008433CC" w:rsidP="00274E28">
      <w:pPr>
        <w:pStyle w:val="Heading1"/>
      </w:pPr>
      <w:r w:rsidRPr="008433CC">
        <w:lastRenderedPageBreak/>
        <w:t>How to generate IPDs</w:t>
      </w:r>
    </w:p>
    <w:p w14:paraId="1FAFEBB3" w14:textId="7E932E5B" w:rsidR="002543A0" w:rsidRDefault="005802F7" w:rsidP="003A65D4">
      <w:pPr>
        <w:pStyle w:val="BodyText"/>
      </w:pPr>
      <w:r>
        <w:t xml:space="preserve">When starting </w:t>
      </w:r>
      <w:r w:rsidR="00320282">
        <w:t>a new</w:t>
      </w:r>
      <w:r>
        <w:t xml:space="preserve"> research</w:t>
      </w:r>
      <w:r w:rsidR="00320282">
        <w:t xml:space="preserve"> project, members of m</w:t>
      </w:r>
      <w:r w:rsidR="002543A0" w:rsidRPr="002543A0">
        <w:t xml:space="preserve">ultidisciplinary teams </w:t>
      </w:r>
      <w:r w:rsidR="002543A0">
        <w:t>routinely generate preliminary c</w:t>
      </w:r>
      <w:r w:rsidR="002543A0" w:rsidRPr="002543A0">
        <w:t xml:space="preserve">onceptual models to </w:t>
      </w:r>
      <w:r w:rsidR="00320282">
        <w:t xml:space="preserve">help them discuss </w:t>
      </w:r>
      <w:r w:rsidR="002543A0" w:rsidRPr="002543A0">
        <w:t>their shared understanding</w:t>
      </w:r>
      <w:r w:rsidR="00320282">
        <w:t xml:space="preserve">, develop </w:t>
      </w:r>
      <w:proofErr w:type="gramStart"/>
      <w:r w:rsidR="00320282">
        <w:t>hypotheses</w:t>
      </w:r>
      <w:proofErr w:type="gramEnd"/>
      <w:r w:rsidR="00320282">
        <w:t xml:space="preserve"> and identify knowledge gaps</w:t>
      </w:r>
      <w:r w:rsidR="002543A0" w:rsidRPr="002543A0">
        <w:t xml:space="preserve">. Information and data are then collected to </w:t>
      </w:r>
      <w:r w:rsidR="00320282">
        <w:t>address</w:t>
      </w:r>
      <w:r w:rsidR="002543A0" w:rsidRPr="002543A0">
        <w:t xml:space="preserve"> the</w:t>
      </w:r>
      <w:r w:rsidR="00320282">
        <w:t>se</w:t>
      </w:r>
      <w:r w:rsidR="002543A0" w:rsidRPr="002543A0">
        <w:t xml:space="preserve"> </w:t>
      </w:r>
      <w:r w:rsidR="00320282">
        <w:t xml:space="preserve">gaps </w:t>
      </w:r>
      <w:r w:rsidR="00161D3E">
        <w:t xml:space="preserve">so that the </w:t>
      </w:r>
      <w:r w:rsidR="00320282">
        <w:t xml:space="preserve">conceptual </w:t>
      </w:r>
      <w:r w:rsidR="00161D3E">
        <w:t xml:space="preserve">models can be progressively </w:t>
      </w:r>
      <w:r w:rsidR="002543A0">
        <w:t>refined</w:t>
      </w:r>
      <w:r w:rsidR="002543A0" w:rsidRPr="002543A0">
        <w:t>.</w:t>
      </w:r>
    </w:p>
    <w:p w14:paraId="09E33F2B" w14:textId="0C6CA87E" w:rsidR="00F373E5" w:rsidRDefault="002543A0" w:rsidP="003A65D4">
      <w:pPr>
        <w:pStyle w:val="BodyText"/>
      </w:pPr>
      <w:r w:rsidRPr="002543A0">
        <w:t>The same approach is ideal for environmental impact assessment of a proposed development</w:t>
      </w:r>
      <w:r>
        <w:t xml:space="preserve">. </w:t>
      </w:r>
      <w:r w:rsidR="00320282">
        <w:t xml:space="preserve">The Explanatory Note presents an </w:t>
      </w:r>
      <w:r w:rsidR="00320282" w:rsidRPr="00320282">
        <w:t xml:space="preserve">eight-step workflow </w:t>
      </w:r>
      <w:r w:rsidR="00A379BF">
        <w:t>(</w:t>
      </w:r>
      <w:r w:rsidR="00034ECB">
        <w:fldChar w:fldCharType="begin"/>
      </w:r>
      <w:r w:rsidR="00034ECB">
        <w:instrText xml:space="preserve"> REF _Ref159430179 \h </w:instrText>
      </w:r>
      <w:r w:rsidR="00034ECB">
        <w:fldChar w:fldCharType="separate"/>
      </w:r>
      <w:r w:rsidR="0070498E">
        <w:t xml:space="preserve">Figure </w:t>
      </w:r>
      <w:r w:rsidR="0070498E">
        <w:rPr>
          <w:noProof/>
        </w:rPr>
        <w:t>2</w:t>
      </w:r>
      <w:r w:rsidR="00034ECB">
        <w:fldChar w:fldCharType="end"/>
      </w:r>
      <w:r w:rsidR="00A379BF">
        <w:t xml:space="preserve">) </w:t>
      </w:r>
      <w:r w:rsidR="00320282" w:rsidRPr="00320282">
        <w:t xml:space="preserve">to generate an initial ECM and preliminary and final IPDs, sub-models, </w:t>
      </w:r>
      <w:proofErr w:type="gramStart"/>
      <w:r w:rsidR="00320282" w:rsidRPr="00320282">
        <w:t>maps</w:t>
      </w:r>
      <w:proofErr w:type="gramEnd"/>
      <w:r w:rsidR="00320282" w:rsidRPr="00320282">
        <w:t xml:space="preserve"> and associated narratives for environmental impact assessment</w:t>
      </w:r>
      <w:r w:rsidR="00A379BF">
        <w:t xml:space="preserve">, and illustrates its use </w:t>
      </w:r>
      <w:r w:rsidR="00320282">
        <w:t>with a worked example of a hypothetical proposal for an open-cut coal mine.</w:t>
      </w:r>
    </w:p>
    <w:p w14:paraId="0E6D4121" w14:textId="5D1D0643" w:rsidR="00F96E17" w:rsidRDefault="009A10B2" w:rsidP="00274E28">
      <w:pPr>
        <w:pStyle w:val="BodyText"/>
        <w:keepNext/>
        <w:keepLines/>
      </w:pPr>
      <w:r>
        <w:t xml:space="preserve">The collaborative process should start as soon as possible. </w:t>
      </w:r>
      <w:r w:rsidR="00320282">
        <w:t>The first four s</w:t>
      </w:r>
      <w:r w:rsidR="00320282" w:rsidRPr="00320282">
        <w:t xml:space="preserve">teps </w:t>
      </w:r>
      <w:r w:rsidR="00320282">
        <w:t>of the workflow</w:t>
      </w:r>
      <w:r w:rsidR="00320282" w:rsidRPr="00320282">
        <w:t xml:space="preserve"> involve mapping impact sources, stressors, ecohydrological pathways and receptors onto </w:t>
      </w:r>
      <w:r w:rsidR="00A379BF">
        <w:t xml:space="preserve">diagrams of </w:t>
      </w:r>
      <w:r w:rsidR="00320282" w:rsidRPr="00320282">
        <w:t xml:space="preserve">the </w:t>
      </w:r>
      <w:r w:rsidR="00EA592C" w:rsidRPr="00EA592C">
        <w:rPr>
          <w:b/>
        </w:rPr>
        <w:t>potential impact area</w:t>
      </w:r>
      <w:r w:rsidR="00EA592C" w:rsidRPr="00EA592C">
        <w:t xml:space="preserve"> (PIA), defined as the maximum areal extent of potential impacts of the development</w:t>
      </w:r>
      <w:r w:rsidR="00EA592C">
        <w:t xml:space="preserve">. </w:t>
      </w:r>
      <w:r w:rsidR="00CD2FD0">
        <w:t xml:space="preserve">This is done as early as </w:t>
      </w:r>
      <w:proofErr w:type="gramStart"/>
      <w:r w:rsidR="00CD2FD0">
        <w:t>possible, and</w:t>
      </w:r>
      <w:proofErr w:type="gramEnd"/>
      <w:r w:rsidR="00CD2FD0">
        <w:t xml:space="preserve"> allows the proponent and consultant experts to</w:t>
      </w:r>
      <w:r w:rsidR="00320282" w:rsidRPr="00320282">
        <w:t xml:space="preserve"> </w:t>
      </w:r>
      <w:r w:rsidR="00A379BF">
        <w:t>identify</w:t>
      </w:r>
      <w:r w:rsidR="00320282" w:rsidRPr="00320282">
        <w:t xml:space="preserve"> information gaps and discuss how best to address them</w:t>
      </w:r>
      <w:r w:rsidR="001B64ED">
        <w:t>.</w:t>
      </w:r>
    </w:p>
    <w:p w14:paraId="27D6C3BF" w14:textId="5FD03F13" w:rsidR="0013707F" w:rsidRDefault="0013707F" w:rsidP="0013707F">
      <w:pPr>
        <w:pStyle w:val="BodyText"/>
      </w:pPr>
      <w:r>
        <w:br w:type="column"/>
      </w:r>
      <w:r>
        <w:t>T</w:t>
      </w:r>
      <w:r w:rsidRPr="00320282">
        <w:t xml:space="preserve">hese </w:t>
      </w:r>
      <w:r>
        <w:t>first</w:t>
      </w:r>
      <w:r w:rsidRPr="00320282">
        <w:t xml:space="preserve"> four steps generate the initial ECM upon which the IPDs will be based</w:t>
      </w:r>
      <w:r>
        <w:t>. They also</w:t>
      </w:r>
      <w:r w:rsidRPr="00320282">
        <w:t xml:space="preserve"> help the team of consultant experts become familiar with the project area and where relevant baseline data will be needed to improve understanding of the current state of the receptors in the PIA.</w:t>
      </w:r>
    </w:p>
    <w:p w14:paraId="752037B9" w14:textId="77777777" w:rsidR="0013707F" w:rsidRDefault="0013707F" w:rsidP="0013707F">
      <w:pPr>
        <w:pStyle w:val="BodyText"/>
        <w:rPr>
          <w:b/>
          <w:color w:val="005695"/>
          <w:sz w:val="28"/>
          <w:szCs w:val="28"/>
        </w:rPr>
      </w:pPr>
      <w:r w:rsidRPr="00320282">
        <w:t>Once these steps have been completed, the team is ready to discuss and tabulate potential impact pathways between sources and receptors (Step 5) and construct a preliminary IPD and</w:t>
      </w:r>
      <w:r>
        <w:t xml:space="preserve"> any</w:t>
      </w:r>
      <w:r w:rsidRPr="00320282">
        <w:t xml:space="preserve"> sub-models</w:t>
      </w:r>
      <w:r>
        <w:t xml:space="preserve"> that may be needed</w:t>
      </w:r>
      <w:r w:rsidRPr="00320282">
        <w:t xml:space="preserve"> (Step 6). The seventh step involves mapping these impact pathways onto the PIA to identify the locations of particularly vulnerable receptors and areas where baseline data are needed to establish initial pre-development conditions. The last step, done after baseline </w:t>
      </w:r>
      <w:r>
        <w:t xml:space="preserve">data </w:t>
      </w:r>
      <w:r w:rsidRPr="00320282">
        <w:t>and other information have been collected, is to revise the IPDs, maps and narratives into final versions for the environmental impact assessment report.</w:t>
      </w:r>
    </w:p>
    <w:p w14:paraId="4806CB64" w14:textId="77777777" w:rsidR="0013707F" w:rsidRPr="0013707F" w:rsidRDefault="0013707F" w:rsidP="0013707F">
      <w:pPr>
        <w:pStyle w:val="BodyText"/>
      </w:pPr>
    </w:p>
    <w:p w14:paraId="26512891" w14:textId="59A6649D" w:rsidR="00B8207D" w:rsidRDefault="00B8207D" w:rsidP="00274E28">
      <w:pPr>
        <w:pStyle w:val="BodyText"/>
        <w:keepNext/>
        <w:keepLines/>
        <w:sectPr w:rsidR="00B8207D" w:rsidSect="002A621C">
          <w:type w:val="continuous"/>
          <w:pgSz w:w="11900" w:h="16840"/>
          <w:pgMar w:top="1701" w:right="1128" w:bottom="1871" w:left="1701" w:header="1134" w:footer="84" w:gutter="0"/>
          <w:cols w:num="2" w:space="709"/>
          <w:titlePg/>
          <w:docGrid w:linePitch="360"/>
        </w:sectPr>
      </w:pPr>
    </w:p>
    <w:p w14:paraId="188960B6" w14:textId="55B35957" w:rsidR="00274E28" w:rsidRDefault="00274E28" w:rsidP="007F2983">
      <w:pPr>
        <w:pStyle w:val="BodyText"/>
        <w:sectPr w:rsidR="00274E28" w:rsidSect="002A621C">
          <w:type w:val="continuous"/>
          <w:pgSz w:w="11900" w:h="16840"/>
          <w:pgMar w:top="1701" w:right="1128" w:bottom="1871" w:left="1701" w:header="1134" w:footer="84" w:gutter="0"/>
          <w:cols w:space="709"/>
          <w:docGrid w:linePitch="360"/>
        </w:sectPr>
      </w:pPr>
    </w:p>
    <w:p w14:paraId="0240F3AC" w14:textId="535B5A9F" w:rsidR="00A379BF" w:rsidRPr="007F2983" w:rsidRDefault="007F2983" w:rsidP="00C17C6F">
      <w:pPr>
        <w:pStyle w:val="BodyText"/>
        <w:keepNext/>
        <w:jc w:val="center"/>
      </w:pPr>
      <w:r>
        <w:rPr>
          <w:noProof/>
        </w:rPr>
        <w:lastRenderedPageBreak/>
        <w:drawing>
          <wp:inline distT="0" distB="0" distL="0" distR="0" wp14:anchorId="72B06DC2" wp14:editId="03C6F69C">
            <wp:extent cx="3444022" cy="6696000"/>
            <wp:effectExtent l="0" t="0" r="0" b="0"/>
            <wp:docPr id="1124286753" name="Picture 6" descr="Workflow as described in preceding paragraphs (under 'How to generate IP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86753" name="Picture 6" descr="Workflow as described in preceding paragraphs (under 'How to generate IPDs'"/>
                    <pic:cNvPicPr/>
                  </pic:nvPicPr>
                  <pic:blipFill>
                    <a:blip r:embed="rId17">
                      <a:extLst>
                        <a:ext uri="{28A0092B-C50C-407E-A947-70E740481C1C}">
                          <a14:useLocalDpi xmlns:a14="http://schemas.microsoft.com/office/drawing/2010/main" val="0"/>
                        </a:ext>
                      </a:extLst>
                    </a:blip>
                    <a:stretch>
                      <a:fillRect/>
                    </a:stretch>
                  </pic:blipFill>
                  <pic:spPr>
                    <a:xfrm>
                      <a:off x="0" y="0"/>
                      <a:ext cx="3444022" cy="6696000"/>
                    </a:xfrm>
                    <a:prstGeom prst="rect">
                      <a:avLst/>
                    </a:prstGeom>
                  </pic:spPr>
                </pic:pic>
              </a:graphicData>
            </a:graphic>
          </wp:inline>
        </w:drawing>
      </w:r>
    </w:p>
    <w:p w14:paraId="370C0E56" w14:textId="01A90638" w:rsidR="00034ECB" w:rsidRDefault="007F2983" w:rsidP="007F2983">
      <w:pPr>
        <w:pStyle w:val="Caption"/>
      </w:pPr>
      <w:bookmarkStart w:id="1" w:name="_Ref159430179"/>
      <w:r>
        <w:t xml:space="preserve">Figure </w:t>
      </w:r>
      <w:r>
        <w:fldChar w:fldCharType="begin"/>
      </w:r>
      <w:r>
        <w:instrText xml:space="preserve"> SEQ Figure \* ARABIC </w:instrText>
      </w:r>
      <w:r>
        <w:fldChar w:fldCharType="separate"/>
      </w:r>
      <w:r w:rsidR="0070498E">
        <w:rPr>
          <w:noProof/>
        </w:rPr>
        <w:t>2</w:t>
      </w:r>
      <w:r>
        <w:fldChar w:fldCharType="end"/>
      </w:r>
      <w:bookmarkEnd w:id="1"/>
      <w:r>
        <w:t xml:space="preserve">. </w:t>
      </w:r>
      <w:r w:rsidRPr="00997CFB">
        <w:t xml:space="preserve">An eight-step workflow to generate an initial ECM and preliminary and final IPDs, sub-models, </w:t>
      </w:r>
      <w:proofErr w:type="gramStart"/>
      <w:r w:rsidRPr="00997CFB">
        <w:t>maps</w:t>
      </w:r>
      <w:proofErr w:type="gramEnd"/>
      <w:r w:rsidRPr="00997CFB">
        <w:t xml:space="preserve"> and associated narratives for </w:t>
      </w:r>
      <w:r w:rsidRPr="007F2983">
        <w:t>environmental</w:t>
      </w:r>
      <w:r w:rsidRPr="00997CFB">
        <w:t xml:space="preserve"> impact assessment</w:t>
      </w:r>
      <w:r w:rsidR="00274E28">
        <w:t>.</w:t>
      </w:r>
    </w:p>
    <w:p w14:paraId="637B382E" w14:textId="4607DF3D" w:rsidR="007F2983" w:rsidRDefault="007F2983" w:rsidP="00274E28">
      <w:pPr>
        <w:pStyle w:val="TableSourceNotes"/>
      </w:pPr>
      <w:r w:rsidRPr="007F2983">
        <w:t>Note: Although presented as a linear workflow, these steps can be iterative loops (e.g., data collected during Step 8 can inform further meetings at Step 5).</w:t>
      </w:r>
    </w:p>
    <w:p w14:paraId="694FE0B5" w14:textId="77777777" w:rsidR="007F2983" w:rsidRPr="007F2983" w:rsidRDefault="007F2983" w:rsidP="007F2983">
      <w:pPr>
        <w:sectPr w:rsidR="007F2983" w:rsidRPr="007F2983" w:rsidSect="002A621C">
          <w:headerReference w:type="first" r:id="rId18"/>
          <w:type w:val="continuous"/>
          <w:pgSz w:w="11900" w:h="16840"/>
          <w:pgMar w:top="1701" w:right="1128" w:bottom="1871" w:left="1701" w:header="1134" w:footer="84" w:gutter="0"/>
          <w:cols w:space="709"/>
          <w:docGrid w:linePitch="360"/>
        </w:sectPr>
      </w:pPr>
    </w:p>
    <w:p w14:paraId="1870ED88" w14:textId="77777777" w:rsidR="00B8207D" w:rsidRDefault="00B8207D">
      <w:pPr>
        <w:rPr>
          <w:rFonts w:ascii="Calibri" w:hAnsi="Calibri" w:cs="Calibri"/>
          <w:color w:val="000000"/>
          <w:sz w:val="19"/>
          <w:szCs w:val="20"/>
          <w:lang w:val="en-US"/>
        </w:rPr>
      </w:pPr>
      <w:r>
        <w:br w:type="page"/>
      </w:r>
    </w:p>
    <w:p w14:paraId="486FA3A4" w14:textId="60C8F5FD" w:rsidR="00267284" w:rsidRDefault="00295716" w:rsidP="656BF5C1">
      <w:pPr>
        <w:pStyle w:val="BodyText"/>
        <w:spacing w:after="0"/>
        <w:rPr>
          <w:b/>
          <w:bCs/>
          <w:color w:val="005695"/>
          <w:sz w:val="28"/>
          <w:szCs w:val="28"/>
        </w:rPr>
      </w:pPr>
      <w:r w:rsidRPr="656BF5C1">
        <w:rPr>
          <w:b/>
          <w:bCs/>
          <w:color w:val="005695"/>
          <w:sz w:val="28"/>
          <w:szCs w:val="28"/>
        </w:rPr>
        <w:lastRenderedPageBreak/>
        <w:t>A</w:t>
      </w:r>
      <w:r w:rsidR="00430247" w:rsidRPr="656BF5C1">
        <w:rPr>
          <w:b/>
          <w:bCs/>
          <w:color w:val="005695"/>
          <w:sz w:val="28"/>
          <w:szCs w:val="28"/>
        </w:rPr>
        <w:t xml:space="preserve"> worked </w:t>
      </w:r>
      <w:r w:rsidRPr="656BF5C1">
        <w:rPr>
          <w:b/>
          <w:bCs/>
          <w:color w:val="005695"/>
          <w:sz w:val="28"/>
          <w:szCs w:val="28"/>
        </w:rPr>
        <w:t>example</w:t>
      </w:r>
    </w:p>
    <w:p w14:paraId="215DDF62" w14:textId="77777777" w:rsidR="00034ECB" w:rsidRDefault="00065841" w:rsidP="00065841">
      <w:pPr>
        <w:pStyle w:val="BodyText"/>
      </w:pPr>
      <w:r>
        <w:t xml:space="preserve">The </w:t>
      </w:r>
      <w:r w:rsidR="00EC3E9F">
        <w:t xml:space="preserve">worked example </w:t>
      </w:r>
      <w:r w:rsidR="00430247">
        <w:t xml:space="preserve">described </w:t>
      </w:r>
      <w:r w:rsidR="00113E52">
        <w:t xml:space="preserve">in the Explanatory Note </w:t>
      </w:r>
      <w:r w:rsidR="00EC3E9F">
        <w:t>is a hypothetical</w:t>
      </w:r>
      <w:r>
        <w:t xml:space="preserve"> open-cut coal mine in </w:t>
      </w:r>
      <w:r w:rsidR="00EC3E9F">
        <w:t xml:space="preserve">the Isaac River catchment of </w:t>
      </w:r>
      <w:r>
        <w:t>Queensland’s Bowen Basin</w:t>
      </w:r>
      <w:r w:rsidR="00EC3E9F">
        <w:t>, targeting</w:t>
      </w:r>
      <w:r>
        <w:t xml:space="preserve"> the Leichhardt and Vermont </w:t>
      </w:r>
      <w:r w:rsidR="00EC3E9F">
        <w:t xml:space="preserve">coal </w:t>
      </w:r>
      <w:r>
        <w:t>seams. Predicted average extraction rate is 2 million tonnes per annum of run-of-mine coal over nine years</w:t>
      </w:r>
      <w:r w:rsidR="00EC3E9F">
        <w:t>.</w:t>
      </w:r>
      <w:r>
        <w:t xml:space="preserve"> </w:t>
      </w:r>
      <w:r w:rsidR="00EC3E9F">
        <w:t xml:space="preserve">The final </w:t>
      </w:r>
      <w:r>
        <w:t xml:space="preserve">pit </w:t>
      </w:r>
      <w:r w:rsidR="00EC3E9F">
        <w:t xml:space="preserve">is to be </w:t>
      </w:r>
      <w:r>
        <w:t>approximately 1.5</w:t>
      </w:r>
      <w:r w:rsidR="00C661CF">
        <w:t> km</w:t>
      </w:r>
      <w:r>
        <w:t xml:space="preserve"> by 2</w:t>
      </w:r>
      <w:r w:rsidR="007F2983">
        <w:t> </w:t>
      </w:r>
      <w:r>
        <w:t xml:space="preserve">km with a maximum depth of 170 </w:t>
      </w:r>
      <w:proofErr w:type="gramStart"/>
      <w:r>
        <w:t>m</w:t>
      </w:r>
      <w:r w:rsidR="00B244FF">
        <w:t>, and</w:t>
      </w:r>
      <w:proofErr w:type="gramEnd"/>
      <w:r w:rsidR="00B244FF">
        <w:t xml:space="preserve"> will be backfilled to leave no void in the final landform</w:t>
      </w:r>
      <w:r>
        <w:t>.</w:t>
      </w:r>
    </w:p>
    <w:p w14:paraId="663CBCBD" w14:textId="27DE6F92" w:rsidR="00034ECB" w:rsidRDefault="00065841" w:rsidP="00B244FF">
      <w:pPr>
        <w:pStyle w:val="BodyText"/>
      </w:pPr>
      <w:r>
        <w:t xml:space="preserve">Approximately 1.5 km of </w:t>
      </w:r>
      <w:r w:rsidR="00B244FF">
        <w:t>an</w:t>
      </w:r>
      <w:r>
        <w:t xml:space="preserve"> ephemeral</w:t>
      </w:r>
      <w:r w:rsidR="00B244FF">
        <w:t xml:space="preserve"> stream (</w:t>
      </w:r>
      <w:r>
        <w:t>North Creek</w:t>
      </w:r>
      <w:r w:rsidR="00B244FF">
        <w:t>)</w:t>
      </w:r>
      <w:r>
        <w:t xml:space="preserve"> will be diverted around the pit (</w:t>
      </w:r>
      <w:r w:rsidR="00034ECB">
        <w:fldChar w:fldCharType="begin"/>
      </w:r>
      <w:r w:rsidR="00034ECB">
        <w:instrText xml:space="preserve"> REF _Ref159430197 \h </w:instrText>
      </w:r>
      <w:r w:rsidR="00034ECB">
        <w:fldChar w:fldCharType="separate"/>
      </w:r>
      <w:r w:rsidR="0070498E">
        <w:t xml:space="preserve">Figure </w:t>
      </w:r>
      <w:r w:rsidR="0070498E">
        <w:rPr>
          <w:noProof/>
        </w:rPr>
        <w:t>3</w:t>
      </w:r>
      <w:r w:rsidR="00034ECB">
        <w:fldChar w:fldCharType="end"/>
      </w:r>
      <w:r>
        <w:t>). A</w:t>
      </w:r>
      <w:r w:rsidR="00EC3E9F">
        <w:t>n</w:t>
      </w:r>
      <w:r>
        <w:t xml:space="preserve"> ephemeral tributary of North Creek will also be diverted several hundred metres into the northern sediment dam. </w:t>
      </w:r>
      <w:r w:rsidR="00EC3E9F">
        <w:t>Riparian vegetation along</w:t>
      </w:r>
      <w:r w:rsidR="00C661CF">
        <w:t xml:space="preserve"> the</w:t>
      </w:r>
      <w:r w:rsidR="00EC3E9F">
        <w:t xml:space="preserve"> Isaac River and North Creek</w:t>
      </w:r>
      <w:r w:rsidR="00B244FF">
        <w:t xml:space="preserve"> is classified as a ‘</w:t>
      </w:r>
      <w:r w:rsidR="00C661CF">
        <w:t>h</w:t>
      </w:r>
      <w:r w:rsidR="00B244FF">
        <w:t xml:space="preserve">igh potential GDE’ </w:t>
      </w:r>
      <w:r w:rsidR="00EC3E9F">
        <w:t xml:space="preserve">and </w:t>
      </w:r>
      <w:r w:rsidR="00B244FF">
        <w:t xml:space="preserve">is </w:t>
      </w:r>
      <w:r w:rsidR="00EC3E9F">
        <w:t xml:space="preserve">likely to be </w:t>
      </w:r>
      <w:r w:rsidR="00B244FF">
        <w:t>used by</w:t>
      </w:r>
      <w:r w:rsidR="00EC3E9F">
        <w:t xml:space="preserve"> wildlife such as Koala (</w:t>
      </w:r>
      <w:r w:rsidR="00EC3E9F" w:rsidRPr="00113E52">
        <w:rPr>
          <w:i/>
        </w:rPr>
        <w:t>Phascolarctos cinereus</w:t>
      </w:r>
      <w:r w:rsidR="00EC3E9F">
        <w:t>) and Greater Glider (</w:t>
      </w:r>
      <w:r w:rsidR="00EC3E9F" w:rsidRPr="00113E52">
        <w:rPr>
          <w:i/>
        </w:rPr>
        <w:t>Petauroides volans</w:t>
      </w:r>
      <w:r w:rsidR="00EC3E9F">
        <w:t xml:space="preserve">). </w:t>
      </w:r>
      <w:r w:rsidR="00430247">
        <w:t>Another ‘</w:t>
      </w:r>
      <w:r w:rsidR="00C661CF">
        <w:t>h</w:t>
      </w:r>
      <w:r w:rsidR="00430247">
        <w:t xml:space="preserve">igh potential GDE’ is </w:t>
      </w:r>
      <w:r w:rsidR="00B244FF">
        <w:t>Wetland W</w:t>
      </w:r>
      <w:r w:rsidR="00430247">
        <w:t>,</w:t>
      </w:r>
      <w:r w:rsidR="00B244FF">
        <w:t xml:space="preserve"> designated </w:t>
      </w:r>
      <w:r w:rsidR="00430247">
        <w:t xml:space="preserve">as </w:t>
      </w:r>
      <w:r w:rsidR="00B244FF">
        <w:t xml:space="preserve">a wetland of </w:t>
      </w:r>
      <w:r w:rsidR="00C661CF">
        <w:t>h</w:t>
      </w:r>
      <w:r w:rsidR="00B244FF">
        <w:t xml:space="preserve">igh </w:t>
      </w:r>
      <w:r w:rsidR="00C661CF">
        <w:t>e</w:t>
      </w:r>
      <w:r w:rsidR="00B244FF">
        <w:t xml:space="preserve">cological </w:t>
      </w:r>
      <w:r w:rsidR="00C661CF">
        <w:t>s</w:t>
      </w:r>
      <w:r w:rsidR="00B244FF">
        <w:t>ignificance (HES) by the Queensland Government</w:t>
      </w:r>
      <w:r w:rsidR="00113E52">
        <w:t>.</w:t>
      </w:r>
    </w:p>
    <w:p w14:paraId="0955B88B" w14:textId="294F675A" w:rsidR="00B244FF" w:rsidRDefault="00B244FF" w:rsidP="00B244FF">
      <w:pPr>
        <w:pStyle w:val="BodyText"/>
      </w:pPr>
      <w:r>
        <w:t>Alluvial sediments have been mapped along the Isaac River and lower North Creek in the PIA. In addition to being accessible to groundwater-dependent vegetation, this alluvial groundwater is likely to support stygofauna. Predicted contours (&gt;2</w:t>
      </w:r>
      <w:r w:rsidR="00142467">
        <w:t> </w:t>
      </w:r>
      <w:r>
        <w:t xml:space="preserve">m) of maximum project-specific drawdown in the alluvial sediments typically extend less than </w:t>
      </w:r>
      <w:r w:rsidR="00142467">
        <w:t>1 km</w:t>
      </w:r>
      <w:r>
        <w:t xml:space="preserve"> from the pit except along the intercepted channel of North Creek and the </w:t>
      </w:r>
      <w:r w:rsidR="00113E52">
        <w:t>confluence with the Isaac River.</w:t>
      </w:r>
    </w:p>
    <w:p w14:paraId="77FE34BC" w14:textId="77777777" w:rsidR="00034ECB" w:rsidRDefault="00793660" w:rsidP="00F77FEF">
      <w:pPr>
        <w:pStyle w:val="BodyText"/>
      </w:pPr>
      <w:r>
        <w:t>The limited s</w:t>
      </w:r>
      <w:r w:rsidR="00113E52">
        <w:t xml:space="preserve">pace in this </w:t>
      </w:r>
      <w:r w:rsidR="00142467">
        <w:t>s</w:t>
      </w:r>
      <w:r>
        <w:t xml:space="preserve">ummary </w:t>
      </w:r>
      <w:r w:rsidR="00142467">
        <w:t>g</w:t>
      </w:r>
      <w:r>
        <w:t xml:space="preserve">uide </w:t>
      </w:r>
      <w:r w:rsidR="00113E52">
        <w:t xml:space="preserve">precludes presenting </w:t>
      </w:r>
      <w:r>
        <w:t xml:space="preserve">all the </w:t>
      </w:r>
      <w:r w:rsidR="00113E52">
        <w:t xml:space="preserve">details of the </w:t>
      </w:r>
      <w:r w:rsidR="002B1856">
        <w:t xml:space="preserve">hypothetical </w:t>
      </w:r>
      <w:r w:rsidR="00113E52">
        <w:t>worked example and the outputs given in the Explanatory Note. Instead, just two outputs are shown</w:t>
      </w:r>
      <w:r w:rsidR="00CB62E8">
        <w:t>,</w:t>
      </w:r>
      <w:r>
        <w:t xml:space="preserve"> to give an idea of what IPDs look like and how they help summarise potential impact pathways for a proposed development like an open-cut coal mine</w:t>
      </w:r>
      <w:r w:rsidR="00113E52">
        <w:t>.</w:t>
      </w:r>
    </w:p>
    <w:p w14:paraId="7DC0B3A4" w14:textId="77777777" w:rsidR="00F96E17" w:rsidRDefault="00F96E17" w:rsidP="0013707F">
      <w:pPr>
        <w:pStyle w:val="BodyText"/>
      </w:pPr>
    </w:p>
    <w:p w14:paraId="7854FED4" w14:textId="5C4902D3" w:rsidR="0013707F" w:rsidRPr="007A0843" w:rsidRDefault="0013707F" w:rsidP="007A0843">
      <w:pPr>
        <w:sectPr w:rsidR="0013707F" w:rsidRPr="007A0843" w:rsidSect="002A621C">
          <w:headerReference w:type="first" r:id="rId19"/>
          <w:type w:val="continuous"/>
          <w:pgSz w:w="11900" w:h="16840"/>
          <w:pgMar w:top="1701" w:right="1128" w:bottom="1871" w:left="1701" w:header="1134" w:footer="84" w:gutter="0"/>
          <w:cols w:num="2" w:space="709"/>
          <w:docGrid w:linePitch="360"/>
        </w:sectPr>
      </w:pPr>
    </w:p>
    <w:p w14:paraId="442FF133" w14:textId="7B91BFB2" w:rsidR="007F2983" w:rsidRPr="0013707F" w:rsidRDefault="00FD7D87" w:rsidP="000435D0">
      <w:pPr>
        <w:pStyle w:val="BodyText"/>
        <w:spacing w:before="240"/>
      </w:pPr>
      <w:r>
        <w:rPr>
          <w:noProof/>
        </w:rPr>
        <w:drawing>
          <wp:inline distT="0" distB="0" distL="0" distR="0" wp14:anchorId="2174012F" wp14:editId="7EC09223">
            <wp:extent cx="4185000" cy="3348000"/>
            <wp:effectExtent l="0" t="0" r="6350" b="5080"/>
            <wp:docPr id="870802397" name="Picture 8" descr="Oblique view diagram as described in paragraph following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02397" name="Picture 8" descr="Oblique view diagram as described in paragraph following Fig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85000" cy="3348000"/>
                    </a:xfrm>
                    <a:prstGeom prst="rect">
                      <a:avLst/>
                    </a:prstGeom>
                  </pic:spPr>
                </pic:pic>
              </a:graphicData>
            </a:graphic>
          </wp:inline>
        </w:drawing>
      </w:r>
    </w:p>
    <w:p w14:paraId="3AD1BB50" w14:textId="04B0C26F" w:rsidR="007F2983" w:rsidRPr="007F2983" w:rsidRDefault="007F2983" w:rsidP="007F2983">
      <w:pPr>
        <w:pStyle w:val="Caption"/>
      </w:pPr>
      <w:bookmarkStart w:id="2" w:name="_Ref159430197"/>
      <w:r>
        <w:t xml:space="preserve">Figure </w:t>
      </w:r>
      <w:r>
        <w:fldChar w:fldCharType="begin"/>
      </w:r>
      <w:r>
        <w:instrText xml:space="preserve"> SEQ Figure \* ARABIC </w:instrText>
      </w:r>
      <w:r>
        <w:fldChar w:fldCharType="separate"/>
      </w:r>
      <w:r w:rsidR="0070498E">
        <w:rPr>
          <w:noProof/>
        </w:rPr>
        <w:t>3</w:t>
      </w:r>
      <w:r>
        <w:fldChar w:fldCharType="end"/>
      </w:r>
      <w:bookmarkEnd w:id="2"/>
      <w:r>
        <w:t xml:space="preserve">. </w:t>
      </w:r>
      <w:r w:rsidRPr="00AB4F5B">
        <w:t>Twelve potential impact pathways suggested during the initial meeting of the expert consultants and superimposed on an oblique-view diagram of the PIA of the hypothetical example</w:t>
      </w:r>
      <w:r w:rsidR="00034ECB">
        <w:t>.</w:t>
      </w:r>
    </w:p>
    <w:p w14:paraId="2A6CA65B" w14:textId="1739441A" w:rsidR="007F2983" w:rsidRDefault="007F2983" w:rsidP="007F2983">
      <w:pPr>
        <w:pStyle w:val="TableSourceNotes"/>
      </w:pPr>
      <w:r w:rsidRPr="007F2983">
        <w:t xml:space="preserve">Dashed lines indicate uncertain pathways; numbered boxes represent the 12 pathways described in </w:t>
      </w:r>
      <w:r w:rsidR="00034ECB">
        <w:fldChar w:fldCharType="begin"/>
      </w:r>
      <w:r w:rsidR="00034ECB">
        <w:instrText xml:space="preserve"> REF _Ref159430305 \h </w:instrText>
      </w:r>
      <w:r w:rsidR="00034ECB">
        <w:fldChar w:fldCharType="separate"/>
      </w:r>
      <w:r w:rsidR="0070498E">
        <w:t xml:space="preserve">Table </w:t>
      </w:r>
      <w:r w:rsidR="0070498E">
        <w:rPr>
          <w:noProof/>
        </w:rPr>
        <w:t>1</w:t>
      </w:r>
      <w:r w:rsidR="00034ECB">
        <w:fldChar w:fldCharType="end"/>
      </w:r>
      <w:r w:rsidRPr="007F2983">
        <w:t>. Representation of geological layers is simplified for this example and does not reflect the actual geology of this area. Full details of this example are given in the Explanatory Note</w:t>
      </w:r>
      <w:r w:rsidR="00FD7D87">
        <w:t>.</w:t>
      </w:r>
    </w:p>
    <w:p w14:paraId="1311F127" w14:textId="77777777" w:rsidR="00207FC7" w:rsidRPr="007A0843" w:rsidRDefault="00207FC7" w:rsidP="007A0843">
      <w:r>
        <w:br w:type="page"/>
      </w:r>
    </w:p>
    <w:p w14:paraId="785CC135" w14:textId="342F7FB9" w:rsidR="007F2983" w:rsidRDefault="007F2983" w:rsidP="007F2983">
      <w:pPr>
        <w:pStyle w:val="Caption"/>
      </w:pPr>
      <w:bookmarkStart w:id="3" w:name="_Ref159430305"/>
      <w:r>
        <w:lastRenderedPageBreak/>
        <w:t xml:space="preserve">Table </w:t>
      </w:r>
      <w:r>
        <w:fldChar w:fldCharType="begin"/>
      </w:r>
      <w:r>
        <w:instrText xml:space="preserve"> SEQ Table \* ARABIC </w:instrText>
      </w:r>
      <w:r>
        <w:fldChar w:fldCharType="separate"/>
      </w:r>
      <w:r w:rsidR="0070498E">
        <w:rPr>
          <w:noProof/>
        </w:rPr>
        <w:t>1</w:t>
      </w:r>
      <w:r>
        <w:fldChar w:fldCharType="end"/>
      </w:r>
      <w:bookmarkEnd w:id="3"/>
      <w:r>
        <w:t xml:space="preserve">. </w:t>
      </w:r>
      <w:r w:rsidRPr="00F5468A">
        <w:t>Twelve potential impact pathways (</w:t>
      </w:r>
      <w:r w:rsidR="00034ECB">
        <w:fldChar w:fldCharType="begin"/>
      </w:r>
      <w:r w:rsidR="00034ECB">
        <w:instrText xml:space="preserve"> REF _Ref159430197 \h </w:instrText>
      </w:r>
      <w:r w:rsidR="00034ECB">
        <w:fldChar w:fldCharType="separate"/>
      </w:r>
      <w:r w:rsidR="0070498E">
        <w:t xml:space="preserve">Figure </w:t>
      </w:r>
      <w:r w:rsidR="0070498E">
        <w:rPr>
          <w:noProof/>
        </w:rPr>
        <w:t>3</w:t>
      </w:r>
      <w:r w:rsidR="00034ECB">
        <w:fldChar w:fldCharType="end"/>
      </w:r>
      <w:r w:rsidRPr="00F5468A">
        <w:t xml:space="preserve">) suggested during the initial meeting of the expert </w:t>
      </w:r>
      <w:proofErr w:type="gramStart"/>
      <w:r w:rsidRPr="00F5468A">
        <w:t>consultants</w:t>
      </w:r>
      <w:proofErr w:type="gramEnd"/>
    </w:p>
    <w:tbl>
      <w:tblPr>
        <w:tblStyle w:val="IESCTABLE1"/>
        <w:tblW w:w="0" w:type="auto"/>
        <w:tblLook w:val="04A0" w:firstRow="1" w:lastRow="0" w:firstColumn="1" w:lastColumn="0" w:noHBand="0" w:noVBand="1"/>
      </w:tblPr>
      <w:tblGrid>
        <w:gridCol w:w="1243"/>
        <w:gridCol w:w="7655"/>
      </w:tblGrid>
      <w:tr w:rsidR="00D26A7B" w14:paraId="0EB1821A" w14:textId="77777777" w:rsidTr="00B8207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43" w:type="dxa"/>
          </w:tcPr>
          <w:p w14:paraId="51D7C11E" w14:textId="19B03C76" w:rsidR="00D26A7B" w:rsidRPr="00FD7D87" w:rsidRDefault="00D26A7B" w:rsidP="00FD7D87">
            <w:pPr>
              <w:pStyle w:val="TableHeaderRow"/>
              <w:rPr>
                <w:b/>
              </w:rPr>
            </w:pPr>
            <w:r w:rsidRPr="00FD7D87">
              <w:rPr>
                <w:b/>
              </w:rPr>
              <w:t xml:space="preserve">Pathway number </w:t>
            </w:r>
            <w:r w:rsidR="00CB62E8" w:rsidRPr="00FD7D87">
              <w:rPr>
                <w:b/>
              </w:rPr>
              <w:t xml:space="preserve">in </w:t>
            </w:r>
            <w:r w:rsidR="00034ECB" w:rsidRPr="00216988">
              <w:fldChar w:fldCharType="begin"/>
            </w:r>
            <w:r w:rsidR="00034ECB" w:rsidRPr="00216988">
              <w:rPr>
                <w:b/>
                <w:bCs w:val="0"/>
              </w:rPr>
              <w:instrText xml:space="preserve"> REF _Ref159430197 \h </w:instrText>
            </w:r>
            <w:r w:rsidR="00694A8B" w:rsidRPr="00216988">
              <w:rPr>
                <w:b/>
                <w:bCs w:val="0"/>
              </w:rPr>
              <w:instrText xml:space="preserve"> \* MERGEFORMAT </w:instrText>
            </w:r>
            <w:r w:rsidR="00034ECB" w:rsidRPr="00216988">
              <w:fldChar w:fldCharType="separate"/>
            </w:r>
            <w:r w:rsidR="0070498E" w:rsidRPr="0070498E">
              <w:rPr>
                <w:b/>
                <w:bCs w:val="0"/>
              </w:rPr>
              <w:t xml:space="preserve">Figure </w:t>
            </w:r>
            <w:r w:rsidR="0070498E" w:rsidRPr="0070498E">
              <w:rPr>
                <w:b/>
                <w:bCs w:val="0"/>
                <w:noProof/>
              </w:rPr>
              <w:t>3</w:t>
            </w:r>
            <w:r w:rsidR="00034ECB" w:rsidRPr="00216988">
              <w:fldChar w:fldCharType="end"/>
            </w:r>
          </w:p>
        </w:tc>
        <w:tc>
          <w:tcPr>
            <w:tcW w:w="7655" w:type="dxa"/>
          </w:tcPr>
          <w:p w14:paraId="5D18779C" w14:textId="77777777" w:rsidR="00D26A7B" w:rsidRPr="00FD7D87" w:rsidRDefault="00D26A7B" w:rsidP="00FD7D87">
            <w:pPr>
              <w:pStyle w:val="TableHeaderRow"/>
              <w:cnfStyle w:val="100000000000" w:firstRow="1" w:lastRow="0" w:firstColumn="0" w:lastColumn="0" w:oddVBand="0" w:evenVBand="0" w:oddHBand="0" w:evenHBand="0" w:firstRowFirstColumn="0" w:firstRowLastColumn="0" w:lastRowFirstColumn="0" w:lastRowLastColumn="0"/>
              <w:rPr>
                <w:b/>
              </w:rPr>
            </w:pPr>
            <w:r w:rsidRPr="00FD7D87">
              <w:rPr>
                <w:b/>
              </w:rPr>
              <w:t xml:space="preserve">Description of hypothesised pathway </w:t>
            </w:r>
          </w:p>
        </w:tc>
      </w:tr>
      <w:tr w:rsidR="00D26A7B" w14:paraId="6C808139" w14:textId="77777777" w:rsidTr="00B820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3" w:type="dxa"/>
          </w:tcPr>
          <w:p w14:paraId="4AD8DE89" w14:textId="77777777" w:rsidR="00D26A7B" w:rsidRPr="00A96DDA" w:rsidRDefault="00D26A7B" w:rsidP="00FD7D87">
            <w:pPr>
              <w:pStyle w:val="TableText"/>
            </w:pPr>
            <w:r w:rsidRPr="00A96DDA">
              <w:t>1</w:t>
            </w:r>
          </w:p>
        </w:tc>
        <w:tc>
          <w:tcPr>
            <w:tcW w:w="7655" w:type="dxa"/>
          </w:tcPr>
          <w:p w14:paraId="7CDE055B" w14:textId="77777777" w:rsidR="00D26A7B" w:rsidRPr="00A96DDA" w:rsidRDefault="00D26A7B" w:rsidP="00FD7D87">
            <w:pPr>
              <w:pStyle w:val="TableText"/>
              <w:cnfStyle w:val="000000100000" w:firstRow="0" w:lastRow="0" w:firstColumn="0" w:lastColumn="0" w:oddVBand="0" w:evenVBand="0" w:oddHBand="1" w:evenHBand="0" w:firstRowFirstColumn="0" w:firstRowLastColumn="0" w:lastRowFirstColumn="0" w:lastRowLastColumn="0"/>
            </w:pPr>
            <w:r w:rsidRPr="00A96DDA">
              <w:t>Changes in flow regime due to ephemeral channel diversion</w:t>
            </w:r>
          </w:p>
        </w:tc>
      </w:tr>
      <w:tr w:rsidR="00D26A7B" w14:paraId="0151EBDD" w14:textId="77777777" w:rsidTr="00B820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3" w:type="dxa"/>
          </w:tcPr>
          <w:p w14:paraId="18EA49A4" w14:textId="77777777" w:rsidR="00D26A7B" w:rsidRPr="00A96DDA" w:rsidRDefault="00D26A7B" w:rsidP="00FD7D87">
            <w:pPr>
              <w:pStyle w:val="TableText"/>
            </w:pPr>
            <w:r w:rsidRPr="00A96DDA">
              <w:t>2</w:t>
            </w:r>
          </w:p>
        </w:tc>
        <w:tc>
          <w:tcPr>
            <w:tcW w:w="7655" w:type="dxa"/>
          </w:tcPr>
          <w:p w14:paraId="6F17DBA3" w14:textId="71802F37" w:rsidR="00D26A7B" w:rsidRPr="00A96DDA" w:rsidRDefault="00D26A7B" w:rsidP="00FD7D87">
            <w:pPr>
              <w:pStyle w:val="TableText"/>
              <w:cnfStyle w:val="000000010000" w:firstRow="0" w:lastRow="0" w:firstColumn="0" w:lastColumn="0" w:oddVBand="0" w:evenVBand="0" w:oddHBand="0" w:evenHBand="1" w:firstRowFirstColumn="0" w:firstRowLastColumn="0" w:lastRowFirstColumn="0" w:lastRowLastColumn="0"/>
            </w:pPr>
            <w:r w:rsidRPr="00A96DDA">
              <w:t>Potentially contaminated seepage, either from dams or through the waste</w:t>
            </w:r>
            <w:r w:rsidR="00142467">
              <w:t>-</w:t>
            </w:r>
            <w:r w:rsidRPr="00A96DDA">
              <w:t>rock pile</w:t>
            </w:r>
          </w:p>
        </w:tc>
      </w:tr>
      <w:tr w:rsidR="00D26A7B" w14:paraId="7DD7641F" w14:textId="77777777" w:rsidTr="00B820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3" w:type="dxa"/>
          </w:tcPr>
          <w:p w14:paraId="3ED22346" w14:textId="77777777" w:rsidR="00D26A7B" w:rsidRPr="00A96DDA" w:rsidRDefault="00D26A7B" w:rsidP="00FD7D87">
            <w:pPr>
              <w:pStyle w:val="TableText"/>
            </w:pPr>
            <w:r w:rsidRPr="00A96DDA">
              <w:t>3</w:t>
            </w:r>
          </w:p>
        </w:tc>
        <w:tc>
          <w:tcPr>
            <w:tcW w:w="7655" w:type="dxa"/>
          </w:tcPr>
          <w:p w14:paraId="1EA011CB" w14:textId="6C4B3345" w:rsidR="00D26A7B" w:rsidRPr="00A96DDA" w:rsidRDefault="00D26A7B" w:rsidP="00FD7D87">
            <w:pPr>
              <w:pStyle w:val="TableText"/>
              <w:cnfStyle w:val="000000100000" w:firstRow="0" w:lastRow="0" w:firstColumn="0" w:lastColumn="0" w:oddVBand="0" w:evenVBand="0" w:oddHBand="1" w:evenHBand="0" w:firstRowFirstColumn="0" w:firstRowLastColumn="0" w:lastRowFirstColumn="0" w:lastRowLastColumn="0"/>
            </w:pPr>
            <w:r w:rsidRPr="00A96DDA">
              <w:t xml:space="preserve">Controlled and uncontrolled releases from sediment and </w:t>
            </w:r>
            <w:r w:rsidR="002B1856" w:rsidRPr="00A96DDA">
              <w:t>mine-affected</w:t>
            </w:r>
            <w:r w:rsidR="00142467">
              <w:t xml:space="preserve"> </w:t>
            </w:r>
            <w:r w:rsidR="002B1856" w:rsidRPr="00A96DDA">
              <w:t>water</w:t>
            </w:r>
            <w:r w:rsidRPr="00A96DDA">
              <w:t xml:space="preserve"> dams that may alter water quality and flow regime in North Creek</w:t>
            </w:r>
          </w:p>
        </w:tc>
      </w:tr>
      <w:tr w:rsidR="00D26A7B" w14:paraId="1A041145" w14:textId="77777777" w:rsidTr="00B820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3" w:type="dxa"/>
          </w:tcPr>
          <w:p w14:paraId="4B28EF20" w14:textId="77777777" w:rsidR="00D26A7B" w:rsidRPr="00A96DDA" w:rsidRDefault="00D26A7B" w:rsidP="00FD7D87">
            <w:pPr>
              <w:pStyle w:val="TableText"/>
            </w:pPr>
            <w:r w:rsidRPr="00A96DDA">
              <w:t>4</w:t>
            </w:r>
          </w:p>
        </w:tc>
        <w:tc>
          <w:tcPr>
            <w:tcW w:w="7655" w:type="dxa"/>
          </w:tcPr>
          <w:p w14:paraId="7C6A6DD2" w14:textId="77777777" w:rsidR="00D26A7B" w:rsidRPr="00C933E5" w:rsidRDefault="00D26A7B" w:rsidP="00FD7D87">
            <w:pPr>
              <w:pStyle w:val="TableText"/>
              <w:cnfStyle w:val="000000010000" w:firstRow="0" w:lastRow="0" w:firstColumn="0" w:lastColumn="0" w:oddVBand="0" w:evenVBand="0" w:oddHBand="0" w:evenHBand="1" w:firstRowFirstColumn="0" w:firstRowLastColumn="0" w:lastRowFirstColumn="0" w:lastRowLastColumn="0"/>
              <w:rPr>
                <w:b/>
                <w:bCs/>
              </w:rPr>
            </w:pPr>
            <w:r w:rsidRPr="00C933E5">
              <w:rPr>
                <w:b/>
                <w:bCs/>
              </w:rPr>
              <w:t>Drawdown that dewaters alluvial sediments and groundwater-dependent riparian vegetation along North Creek</w:t>
            </w:r>
          </w:p>
        </w:tc>
      </w:tr>
      <w:tr w:rsidR="00D26A7B" w14:paraId="4EE11274" w14:textId="77777777" w:rsidTr="00B820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3" w:type="dxa"/>
          </w:tcPr>
          <w:p w14:paraId="291740D6" w14:textId="77777777" w:rsidR="00D26A7B" w:rsidRPr="00A96DDA" w:rsidRDefault="00D26A7B" w:rsidP="00FD7D87">
            <w:pPr>
              <w:pStyle w:val="TableText"/>
            </w:pPr>
            <w:r w:rsidRPr="00A96DDA">
              <w:t>5</w:t>
            </w:r>
          </w:p>
        </w:tc>
        <w:tc>
          <w:tcPr>
            <w:tcW w:w="7655" w:type="dxa"/>
          </w:tcPr>
          <w:p w14:paraId="7C1F1121" w14:textId="77777777" w:rsidR="00D26A7B" w:rsidRPr="00C933E5" w:rsidRDefault="00D26A7B" w:rsidP="00FD7D87">
            <w:pPr>
              <w:pStyle w:val="TableText"/>
              <w:cnfStyle w:val="000000100000" w:firstRow="0" w:lastRow="0" w:firstColumn="0" w:lastColumn="0" w:oddVBand="0" w:evenVBand="0" w:oddHBand="1" w:evenHBand="0" w:firstRowFirstColumn="0" w:firstRowLastColumn="0" w:lastRowFirstColumn="0" w:lastRowLastColumn="0"/>
              <w:rPr>
                <w:b/>
                <w:bCs/>
              </w:rPr>
            </w:pPr>
            <w:r w:rsidRPr="00C933E5">
              <w:rPr>
                <w:b/>
                <w:bCs/>
              </w:rPr>
              <w:t>Reduced runoff to North Creek caused by the pit</w:t>
            </w:r>
          </w:p>
        </w:tc>
      </w:tr>
      <w:tr w:rsidR="00D26A7B" w14:paraId="7FED46F9" w14:textId="77777777" w:rsidTr="00B820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3" w:type="dxa"/>
          </w:tcPr>
          <w:p w14:paraId="2B8DC289" w14:textId="77777777" w:rsidR="00D26A7B" w:rsidRPr="00A96DDA" w:rsidRDefault="00D26A7B" w:rsidP="00FD7D87">
            <w:pPr>
              <w:pStyle w:val="TableText"/>
            </w:pPr>
            <w:r w:rsidRPr="00A96DDA">
              <w:t>6</w:t>
            </w:r>
          </w:p>
        </w:tc>
        <w:tc>
          <w:tcPr>
            <w:tcW w:w="7655" w:type="dxa"/>
          </w:tcPr>
          <w:p w14:paraId="786CC5CD" w14:textId="3B39CA43" w:rsidR="00D26A7B" w:rsidRPr="00C933E5" w:rsidRDefault="00D26A7B" w:rsidP="00FD7D87">
            <w:pPr>
              <w:pStyle w:val="TableText"/>
              <w:cnfStyle w:val="000000010000" w:firstRow="0" w:lastRow="0" w:firstColumn="0" w:lastColumn="0" w:oddVBand="0" w:evenVBand="0" w:oddHBand="0" w:evenHBand="1" w:firstRowFirstColumn="0" w:firstRowLastColumn="0" w:lastRowFirstColumn="0" w:lastRowLastColumn="0"/>
              <w:rPr>
                <w:b/>
                <w:bCs/>
              </w:rPr>
            </w:pPr>
            <w:r w:rsidRPr="00C933E5">
              <w:rPr>
                <w:b/>
                <w:bCs/>
              </w:rPr>
              <w:t>Drawdown that dewaters alluvial sediments and groundwater-dependent remnant vegetation near the North Creek</w:t>
            </w:r>
            <w:r w:rsidR="00142467" w:rsidRPr="00C933E5">
              <w:rPr>
                <w:b/>
                <w:bCs/>
              </w:rPr>
              <w:t>–</w:t>
            </w:r>
            <w:r w:rsidRPr="00C933E5">
              <w:rPr>
                <w:b/>
                <w:bCs/>
              </w:rPr>
              <w:t>Isaac River confluence</w:t>
            </w:r>
          </w:p>
        </w:tc>
      </w:tr>
      <w:tr w:rsidR="00D26A7B" w14:paraId="0483D672" w14:textId="77777777" w:rsidTr="00B820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3" w:type="dxa"/>
          </w:tcPr>
          <w:p w14:paraId="4CC8C840" w14:textId="77777777" w:rsidR="00D26A7B" w:rsidRPr="00A96DDA" w:rsidRDefault="00D26A7B" w:rsidP="00FD7D87">
            <w:pPr>
              <w:pStyle w:val="TableText"/>
            </w:pPr>
            <w:r w:rsidRPr="00A96DDA">
              <w:t>7</w:t>
            </w:r>
          </w:p>
        </w:tc>
        <w:tc>
          <w:tcPr>
            <w:tcW w:w="7655" w:type="dxa"/>
          </w:tcPr>
          <w:p w14:paraId="4DB71A96" w14:textId="77777777" w:rsidR="00D26A7B" w:rsidRPr="00A96DDA" w:rsidRDefault="00D26A7B" w:rsidP="00FD7D87">
            <w:pPr>
              <w:pStyle w:val="TableText"/>
              <w:cnfStyle w:val="000000100000" w:firstRow="0" w:lastRow="0" w:firstColumn="0" w:lastColumn="0" w:oddVBand="0" w:evenVBand="0" w:oddHBand="1" w:evenHBand="0" w:firstRowFirstColumn="0" w:firstRowLastColumn="0" w:lastRowFirstColumn="0" w:lastRowLastColumn="0"/>
            </w:pPr>
            <w:r w:rsidRPr="00A96DDA">
              <w:t>Altered flow regime and water quality along North Creek downstream of release points from the three dams and the new diversion channel</w:t>
            </w:r>
          </w:p>
        </w:tc>
      </w:tr>
      <w:tr w:rsidR="00D26A7B" w14:paraId="18D8DEDC" w14:textId="77777777" w:rsidTr="00B820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3" w:type="dxa"/>
          </w:tcPr>
          <w:p w14:paraId="50C680BF" w14:textId="77777777" w:rsidR="00D26A7B" w:rsidRPr="00A96DDA" w:rsidRDefault="00D26A7B" w:rsidP="00FD7D87">
            <w:pPr>
              <w:pStyle w:val="TableText"/>
            </w:pPr>
            <w:r w:rsidRPr="00A96DDA">
              <w:t>8</w:t>
            </w:r>
          </w:p>
        </w:tc>
        <w:tc>
          <w:tcPr>
            <w:tcW w:w="7655" w:type="dxa"/>
          </w:tcPr>
          <w:p w14:paraId="6A45F51A" w14:textId="77777777" w:rsidR="00D26A7B" w:rsidRPr="00C933E5" w:rsidRDefault="00D26A7B" w:rsidP="00FD7D87">
            <w:pPr>
              <w:pStyle w:val="TableText"/>
              <w:cnfStyle w:val="000000010000" w:firstRow="0" w:lastRow="0" w:firstColumn="0" w:lastColumn="0" w:oddVBand="0" w:evenVBand="0" w:oddHBand="0" w:evenHBand="1" w:firstRowFirstColumn="0" w:firstRowLastColumn="0" w:lastRowFirstColumn="0" w:lastRowLastColumn="0"/>
              <w:rPr>
                <w:b/>
                <w:bCs/>
              </w:rPr>
            </w:pPr>
            <w:r w:rsidRPr="00C933E5">
              <w:rPr>
                <w:b/>
                <w:bCs/>
              </w:rPr>
              <w:t>Drawdown that dewaters the Deverill bore</w:t>
            </w:r>
          </w:p>
        </w:tc>
      </w:tr>
      <w:tr w:rsidR="00D26A7B" w14:paraId="526CD7C1" w14:textId="77777777" w:rsidTr="00B820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3" w:type="dxa"/>
          </w:tcPr>
          <w:p w14:paraId="52EA4D6D" w14:textId="77777777" w:rsidR="00D26A7B" w:rsidRPr="00A96DDA" w:rsidRDefault="00D26A7B" w:rsidP="00FD7D87">
            <w:pPr>
              <w:pStyle w:val="TableText"/>
            </w:pPr>
            <w:r w:rsidRPr="00A96DDA">
              <w:t>9</w:t>
            </w:r>
          </w:p>
        </w:tc>
        <w:tc>
          <w:tcPr>
            <w:tcW w:w="7655" w:type="dxa"/>
          </w:tcPr>
          <w:p w14:paraId="01A92E96" w14:textId="77777777" w:rsidR="00D26A7B" w:rsidRPr="00A96DDA" w:rsidRDefault="00D26A7B" w:rsidP="00FD7D87">
            <w:pPr>
              <w:pStyle w:val="TableText"/>
              <w:cnfStyle w:val="000000100000" w:firstRow="0" w:lastRow="0" w:firstColumn="0" w:lastColumn="0" w:oddVBand="0" w:evenVBand="0" w:oddHBand="1" w:evenHBand="0" w:firstRowFirstColumn="0" w:firstRowLastColumn="0" w:lastRowFirstColumn="0" w:lastRowLastColumn="0"/>
            </w:pPr>
            <w:r w:rsidRPr="00A96DDA">
              <w:t>Altered flow regime and water quality along Isaac River downstream of North Creek</w:t>
            </w:r>
          </w:p>
        </w:tc>
      </w:tr>
      <w:tr w:rsidR="00D26A7B" w14:paraId="71F02A9A" w14:textId="77777777" w:rsidTr="00B820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3" w:type="dxa"/>
          </w:tcPr>
          <w:p w14:paraId="349DE7D9" w14:textId="77777777" w:rsidR="00D26A7B" w:rsidRPr="00A96DDA" w:rsidRDefault="00D26A7B" w:rsidP="00FD7D87">
            <w:pPr>
              <w:pStyle w:val="TableText"/>
            </w:pPr>
            <w:r w:rsidRPr="00A96DDA">
              <w:t>10</w:t>
            </w:r>
          </w:p>
        </w:tc>
        <w:tc>
          <w:tcPr>
            <w:tcW w:w="7655" w:type="dxa"/>
          </w:tcPr>
          <w:p w14:paraId="28D441E1" w14:textId="5DB0811B" w:rsidR="00D26A7B" w:rsidRPr="00A96DDA" w:rsidRDefault="00D26A7B" w:rsidP="00FD7D87">
            <w:pPr>
              <w:pStyle w:val="TableText"/>
              <w:cnfStyle w:val="000000010000" w:firstRow="0" w:lastRow="0" w:firstColumn="0" w:lastColumn="0" w:oddVBand="0" w:evenVBand="0" w:oddHBand="0" w:evenHBand="1" w:firstRowFirstColumn="0" w:firstRowLastColumn="0" w:lastRowFirstColumn="0" w:lastRowLastColumn="0"/>
            </w:pPr>
            <w:r w:rsidRPr="00A96DDA">
              <w:t>Altered surface water</w:t>
            </w:r>
            <w:r w:rsidR="0007210A">
              <w:t>–</w:t>
            </w:r>
            <w:r w:rsidRPr="00A96DDA">
              <w:t>groundwater exchange in North Creek and Isaac River caused by drawdown that dewaters alluvial sediments</w:t>
            </w:r>
          </w:p>
        </w:tc>
      </w:tr>
      <w:tr w:rsidR="00D26A7B" w14:paraId="5974099D" w14:textId="77777777" w:rsidTr="00B820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3" w:type="dxa"/>
          </w:tcPr>
          <w:p w14:paraId="259F5C4B" w14:textId="77777777" w:rsidR="00D26A7B" w:rsidRPr="00A96DDA" w:rsidRDefault="00D26A7B" w:rsidP="00FD7D87">
            <w:pPr>
              <w:pStyle w:val="TableText"/>
            </w:pPr>
            <w:r w:rsidRPr="00A96DDA">
              <w:t>11</w:t>
            </w:r>
          </w:p>
        </w:tc>
        <w:tc>
          <w:tcPr>
            <w:tcW w:w="7655" w:type="dxa"/>
          </w:tcPr>
          <w:p w14:paraId="6DA476F2" w14:textId="77777777" w:rsidR="00D26A7B" w:rsidRPr="00C933E5" w:rsidRDefault="00D26A7B" w:rsidP="00FD7D87">
            <w:pPr>
              <w:pStyle w:val="TableText"/>
              <w:cnfStyle w:val="000000100000" w:firstRow="0" w:lastRow="0" w:firstColumn="0" w:lastColumn="0" w:oddVBand="0" w:evenVBand="0" w:oddHBand="1" w:evenHBand="0" w:firstRowFirstColumn="0" w:firstRowLastColumn="0" w:lastRowFirstColumn="0" w:lastRowLastColumn="0"/>
              <w:rPr>
                <w:b/>
                <w:bCs/>
              </w:rPr>
            </w:pPr>
            <w:r w:rsidRPr="00C933E5">
              <w:rPr>
                <w:b/>
                <w:bCs/>
              </w:rPr>
              <w:t>Disruption by the diverted channel of alluvial and riparian connectivity along North Creek</w:t>
            </w:r>
          </w:p>
        </w:tc>
      </w:tr>
      <w:tr w:rsidR="00D26A7B" w14:paraId="2058E3E2" w14:textId="77777777" w:rsidTr="00B820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3" w:type="dxa"/>
          </w:tcPr>
          <w:p w14:paraId="53A1B4DC" w14:textId="77777777" w:rsidR="00D26A7B" w:rsidRPr="00A96DDA" w:rsidRDefault="00D26A7B" w:rsidP="00FD7D87">
            <w:pPr>
              <w:pStyle w:val="TableText"/>
            </w:pPr>
            <w:r w:rsidRPr="00A96DDA">
              <w:t>12</w:t>
            </w:r>
          </w:p>
        </w:tc>
        <w:tc>
          <w:tcPr>
            <w:tcW w:w="7655" w:type="dxa"/>
          </w:tcPr>
          <w:p w14:paraId="7DA43A2E" w14:textId="77777777" w:rsidR="00D26A7B" w:rsidRPr="00C933E5" w:rsidRDefault="00D26A7B" w:rsidP="00FD7D87">
            <w:pPr>
              <w:pStyle w:val="TableText"/>
              <w:cnfStyle w:val="000000010000" w:firstRow="0" w:lastRow="0" w:firstColumn="0" w:lastColumn="0" w:oddVBand="0" w:evenVBand="0" w:oddHBand="0" w:evenHBand="1" w:firstRowFirstColumn="0" w:firstRowLastColumn="0" w:lastRowFirstColumn="0" w:lastRowLastColumn="0"/>
              <w:rPr>
                <w:b/>
                <w:bCs/>
              </w:rPr>
            </w:pPr>
            <w:r w:rsidRPr="00C933E5">
              <w:rPr>
                <w:b/>
                <w:bCs/>
              </w:rPr>
              <w:t>Altered/reduced runoff to ephemeral wetlands caused by the new diversion channel (and parts of some wetlands will be removed during construction of the channel)</w:t>
            </w:r>
          </w:p>
        </w:tc>
      </w:tr>
    </w:tbl>
    <w:p w14:paraId="24B0466D" w14:textId="77777777" w:rsidR="00FD7D87" w:rsidRPr="00FD7D87" w:rsidRDefault="00142467" w:rsidP="00FD7D87">
      <w:pPr>
        <w:pStyle w:val="TableSourceNotes"/>
      </w:pPr>
      <w:r w:rsidRPr="00FD7D87">
        <w:t>Pathways in bold type (4, 5, 6, 8, 11, 12) are those about which the team of experts felt confident. More information is required to confirm the likelihood and/or consequence of the others.</w:t>
      </w:r>
    </w:p>
    <w:p w14:paraId="1F5B658B" w14:textId="184B77B7" w:rsidR="00F77FEF" w:rsidRDefault="00FD7D87" w:rsidP="00113E52">
      <w:pPr>
        <w:pStyle w:val="BodyText"/>
      </w:pPr>
      <w:r>
        <w:rPr>
          <w:noProof/>
        </w:rPr>
        <w:lastRenderedPageBreak/>
        <w:drawing>
          <wp:inline distT="0" distB="0" distL="0" distR="0" wp14:anchorId="223C775B" wp14:editId="37D3F7EF">
            <wp:extent cx="5448300" cy="6032500"/>
            <wp:effectExtent l="0" t="0" r="0" b="0"/>
            <wp:docPr id="1606549630" name="Picture 9" descr="IPD as described follow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49630" name="Picture 9" descr="IPD as described following paragraphs."/>
                    <pic:cNvPicPr/>
                  </pic:nvPicPr>
                  <pic:blipFill>
                    <a:blip r:embed="rId21">
                      <a:extLst>
                        <a:ext uri="{28A0092B-C50C-407E-A947-70E740481C1C}">
                          <a14:useLocalDpi xmlns:a14="http://schemas.microsoft.com/office/drawing/2010/main" val="0"/>
                        </a:ext>
                      </a:extLst>
                    </a:blip>
                    <a:stretch>
                      <a:fillRect/>
                    </a:stretch>
                  </pic:blipFill>
                  <pic:spPr>
                    <a:xfrm>
                      <a:off x="0" y="0"/>
                      <a:ext cx="5448300" cy="6032500"/>
                    </a:xfrm>
                    <a:prstGeom prst="rect">
                      <a:avLst/>
                    </a:prstGeom>
                  </pic:spPr>
                </pic:pic>
              </a:graphicData>
            </a:graphic>
          </wp:inline>
        </w:drawing>
      </w:r>
    </w:p>
    <w:p w14:paraId="380B7FDC" w14:textId="445E2C47" w:rsidR="00FD7D87" w:rsidRDefault="00B277B5" w:rsidP="00B277B5">
      <w:pPr>
        <w:pStyle w:val="Caption"/>
      </w:pPr>
      <w:bookmarkStart w:id="4" w:name="_Ref159430263"/>
      <w:r>
        <w:t xml:space="preserve">Figure </w:t>
      </w:r>
      <w:r>
        <w:fldChar w:fldCharType="begin"/>
      </w:r>
      <w:r>
        <w:instrText xml:space="preserve"> SEQ Figure \* ARABIC </w:instrText>
      </w:r>
      <w:r>
        <w:fldChar w:fldCharType="separate"/>
      </w:r>
      <w:r w:rsidR="0070498E">
        <w:rPr>
          <w:noProof/>
        </w:rPr>
        <w:t>4</w:t>
      </w:r>
      <w:r>
        <w:fldChar w:fldCharType="end"/>
      </w:r>
      <w:bookmarkEnd w:id="4"/>
      <w:r>
        <w:t xml:space="preserve">. </w:t>
      </w:r>
      <w:r w:rsidRPr="00F65D8B">
        <w:t xml:space="preserve">Final IPD, refined after several meetings of the team of expert </w:t>
      </w:r>
      <w:proofErr w:type="gramStart"/>
      <w:r w:rsidRPr="00F65D8B">
        <w:t>consultants</w:t>
      </w:r>
      <w:proofErr w:type="gramEnd"/>
    </w:p>
    <w:p w14:paraId="45F3A086" w14:textId="77777777" w:rsidR="00034ECB" w:rsidRDefault="00B277B5" w:rsidP="00B277B5">
      <w:pPr>
        <w:pStyle w:val="TableSourceNotes"/>
      </w:pPr>
      <w:r w:rsidRPr="00B277B5">
        <w:t>Red arrows show impacts; blue arrows represent unimpacted hydrological pathways. Impact sources are shaded in yellow, receptors (water resources) are shaded in grey, and processes are superimposed on or near the arrows. Dashed lines indicate pathways that remain uncertain. MAWD = mine-affected water dam, SD = sediment dam, TGDE = terrestrial GDE. This IPD would be supplemented with evidence-based narratives and, where needed, superimposed on a map of the project area.</w:t>
      </w:r>
    </w:p>
    <w:p w14:paraId="7D03CE38" w14:textId="6E3A1990" w:rsidR="00F96E17" w:rsidRDefault="00F96E17" w:rsidP="000F7432">
      <w:pPr>
        <w:sectPr w:rsidR="00F96E17" w:rsidSect="002A621C">
          <w:type w:val="continuous"/>
          <w:pgSz w:w="11900" w:h="16840"/>
          <w:pgMar w:top="1701" w:right="1128" w:bottom="1871" w:left="1701" w:header="1134" w:footer="84" w:gutter="0"/>
          <w:cols w:space="709"/>
          <w:titlePg/>
          <w:docGrid w:linePitch="360"/>
        </w:sectPr>
      </w:pPr>
    </w:p>
    <w:p w14:paraId="6A057DA2" w14:textId="77777777" w:rsidR="00B277B5" w:rsidRDefault="00B277B5">
      <w:pPr>
        <w:rPr>
          <w:rFonts w:ascii="Calibri" w:hAnsi="Calibri" w:cs="Calibri"/>
          <w:color w:val="000000"/>
          <w:sz w:val="19"/>
          <w:szCs w:val="20"/>
          <w:lang w:val="en-US"/>
        </w:rPr>
      </w:pPr>
      <w:r>
        <w:br w:type="page"/>
      </w:r>
    </w:p>
    <w:p w14:paraId="77072D6F" w14:textId="1D220B93" w:rsidR="00034ECB" w:rsidRDefault="00F77FEF" w:rsidP="00F77FEF">
      <w:pPr>
        <w:pStyle w:val="BodyText"/>
      </w:pPr>
      <w:r>
        <w:lastRenderedPageBreak/>
        <w:t>The first output is a rough oblique-view diagram (</w:t>
      </w:r>
      <w:r w:rsidR="00034ECB">
        <w:fldChar w:fldCharType="begin"/>
      </w:r>
      <w:r w:rsidR="00034ECB">
        <w:instrText xml:space="preserve"> REF _Ref159430197 \h </w:instrText>
      </w:r>
      <w:r w:rsidR="00034ECB">
        <w:fldChar w:fldCharType="separate"/>
      </w:r>
      <w:r w:rsidR="0070498E">
        <w:t xml:space="preserve">Figure </w:t>
      </w:r>
      <w:r w:rsidR="0070498E">
        <w:rPr>
          <w:noProof/>
        </w:rPr>
        <w:t>3</w:t>
      </w:r>
      <w:r w:rsidR="00034ECB">
        <w:fldChar w:fldCharType="end"/>
      </w:r>
      <w:r>
        <w:t xml:space="preserve">) of the PIA drawn up </w:t>
      </w:r>
      <w:r w:rsidRPr="00113E52">
        <w:t xml:space="preserve">during the initial meeting of the expert consultants </w:t>
      </w:r>
      <w:r>
        <w:t xml:space="preserve">to show </w:t>
      </w:r>
      <w:r w:rsidR="0007210A">
        <w:t xml:space="preserve">12 </w:t>
      </w:r>
      <w:r>
        <w:t>potential impact pathways (Table 1). This figure</w:t>
      </w:r>
      <w:r w:rsidR="0007210A">
        <w:t>, with</w:t>
      </w:r>
      <w:r>
        <w:t xml:space="preserve"> its accompanying table</w:t>
      </w:r>
      <w:r w:rsidR="0007210A">
        <w:t>,</w:t>
      </w:r>
      <w:r>
        <w:t xml:space="preserve"> is a helpful visual summary of the locations of ecohydrological linkages in the PIA that may be potential pathways linking impact sources with water-dependent receptors. Line style (</w:t>
      </w:r>
      <w:r w:rsidR="00034ECB">
        <w:fldChar w:fldCharType="begin"/>
      </w:r>
      <w:r w:rsidR="00034ECB">
        <w:instrText xml:space="preserve"> REF _Ref159430197 \h </w:instrText>
      </w:r>
      <w:r w:rsidR="00034ECB">
        <w:fldChar w:fldCharType="separate"/>
      </w:r>
      <w:r w:rsidR="0070498E">
        <w:t xml:space="preserve">Figure </w:t>
      </w:r>
      <w:r w:rsidR="0070498E">
        <w:rPr>
          <w:noProof/>
        </w:rPr>
        <w:t>3</w:t>
      </w:r>
      <w:r w:rsidR="00034ECB">
        <w:fldChar w:fldCharType="end"/>
      </w:r>
      <w:r>
        <w:t>) and bold type (Table 1) are used to indicate initial levels of confidence and understanding of the hypothesi</w:t>
      </w:r>
      <w:r w:rsidR="0007210A">
        <w:t>s</w:t>
      </w:r>
      <w:r>
        <w:t>ed pathways.</w:t>
      </w:r>
    </w:p>
    <w:p w14:paraId="4114DF27" w14:textId="43D85177" w:rsidR="00B277B5" w:rsidRDefault="00F77FEF" w:rsidP="00B277B5">
      <w:pPr>
        <w:pStyle w:val="BodyText"/>
      </w:pPr>
      <w:r>
        <w:t>The second output is a final IPD (</w:t>
      </w:r>
      <w:r w:rsidR="00034ECB">
        <w:fldChar w:fldCharType="begin"/>
      </w:r>
      <w:r w:rsidR="00034ECB">
        <w:instrText xml:space="preserve"> REF _Ref159430263 \h </w:instrText>
      </w:r>
      <w:r w:rsidR="00034ECB">
        <w:fldChar w:fldCharType="separate"/>
      </w:r>
      <w:r w:rsidR="0070498E">
        <w:t xml:space="preserve">Figure </w:t>
      </w:r>
      <w:r w:rsidR="0070498E">
        <w:rPr>
          <w:noProof/>
        </w:rPr>
        <w:t>4</w:t>
      </w:r>
      <w:r w:rsidR="00034ECB">
        <w:fldChar w:fldCharType="end"/>
      </w:r>
      <w:r>
        <w:t xml:space="preserve">) of the form that might be presented in the assessment documentation. </w:t>
      </w:r>
      <w:r w:rsidR="00FC312B" w:rsidRPr="00FC312B">
        <w:rPr>
          <w:iCs/>
        </w:rPr>
        <w:t>This IPD would be supplemented with evidence-based narratives and, where needed, superimposed on a map of the project area.</w:t>
      </w:r>
      <w:r w:rsidR="00FC312B">
        <w:rPr>
          <w:i/>
          <w:iCs/>
        </w:rPr>
        <w:t xml:space="preserve"> </w:t>
      </w:r>
      <w:r>
        <w:t>The Explanatory Note gives more details on the derivation and interpretation of this IPD, along with a sub-model IPD of the</w:t>
      </w:r>
      <w:r w:rsidRPr="00886DAF">
        <w:t xml:space="preserve"> North Creek diversion</w:t>
      </w:r>
      <w:r>
        <w:t xml:space="preserve"> to</w:t>
      </w:r>
      <w:r w:rsidRPr="00886DAF">
        <w:t xml:space="preserve"> </w:t>
      </w:r>
      <w:r>
        <w:t>better portray relevant</w:t>
      </w:r>
      <w:r w:rsidRPr="00886DAF">
        <w:t xml:space="preserve"> stressors and receptors</w:t>
      </w:r>
      <w:r>
        <w:t xml:space="preserve"> associated with this activity.</w:t>
      </w:r>
    </w:p>
    <w:p w14:paraId="62FBAE78" w14:textId="6FB19454" w:rsidR="00F77FEF" w:rsidRDefault="00B277B5" w:rsidP="00B277B5">
      <w:pPr>
        <w:pStyle w:val="Heading1"/>
      </w:pPr>
      <w:r>
        <w:br w:type="column"/>
      </w:r>
      <w:r w:rsidR="00F77FEF">
        <w:t>Final comments</w:t>
      </w:r>
    </w:p>
    <w:p w14:paraId="2F3696EE" w14:textId="77777777" w:rsidR="00034ECB" w:rsidRDefault="00F77FEF" w:rsidP="00F77FEF">
      <w:pPr>
        <w:pStyle w:val="BodyText"/>
      </w:pPr>
      <w:r w:rsidRPr="00EF3116">
        <w:t xml:space="preserve">Generating IPDs </w:t>
      </w:r>
      <w:r>
        <w:t>derived from an evidence-based ecohydrological conceptuali</w:t>
      </w:r>
      <w:r w:rsidR="0007210A">
        <w:t>s</w:t>
      </w:r>
      <w:r>
        <w:t xml:space="preserve">ation </w:t>
      </w:r>
      <w:r w:rsidRPr="00EF3116">
        <w:t>results in a smoother and more thorough assessment process for little extra work. No extra information is required beyond what already should be provided. For proponents and their consultants, the approach is likely to reduce work and save time (money) because the more systematic integration illustrated through the diagrams helps focus effort on the most important pathways. For regulators, the approach generates clearer assessments of potential impact pathways and their likely interactions.</w:t>
      </w:r>
    </w:p>
    <w:p w14:paraId="4F1E6B1D" w14:textId="6966FE4C" w:rsidR="000A1B53" w:rsidRDefault="00FC312B" w:rsidP="00113E52">
      <w:pPr>
        <w:pStyle w:val="BodyText"/>
      </w:pPr>
      <w:r>
        <w:t xml:space="preserve">Evidence-based </w:t>
      </w:r>
      <w:r w:rsidR="000A1B53">
        <w:t>IPDs</w:t>
      </w:r>
      <w:r w:rsidR="00F77FEF" w:rsidRPr="00EF3116">
        <w:t xml:space="preserve"> </w:t>
      </w:r>
      <w:r>
        <w:t xml:space="preserve">superimposed on maps of the project area </w:t>
      </w:r>
      <w:r w:rsidR="000A1B53">
        <w:t>should</w:t>
      </w:r>
      <w:r w:rsidR="00F77FEF" w:rsidRPr="00EF3116">
        <w:t xml:space="preserve"> </w:t>
      </w:r>
      <w:r w:rsidR="000A1B53">
        <w:t xml:space="preserve">be used to </w:t>
      </w:r>
      <w:r w:rsidR="00F77FEF" w:rsidRPr="00EF3116">
        <w:t xml:space="preserve">illustrate where water resources in the project area may be adversely affected and what mitigation options are available. Furthermore, as </w:t>
      </w:r>
      <w:r w:rsidR="000A1B53">
        <w:t>they are</w:t>
      </w:r>
      <w:r w:rsidR="00F77FEF" w:rsidRPr="00EF3116">
        <w:t xml:space="preserve"> based on a site-specific ECM, </w:t>
      </w:r>
      <w:r w:rsidR="000A1B53">
        <w:t>they</w:t>
      </w:r>
      <w:r w:rsidR="00F77FEF" w:rsidRPr="00EF3116">
        <w:t xml:space="preserve"> acknowledge the fundamental role played by ecohydrological linkages between sources of impacts in the project area and the water resources that may be impacted by the development.</w:t>
      </w:r>
    </w:p>
    <w:sectPr w:rsidR="000A1B53" w:rsidSect="002A621C">
      <w:type w:val="continuous"/>
      <w:pgSz w:w="11900" w:h="16840"/>
      <w:pgMar w:top="1701" w:right="1128" w:bottom="1871" w:left="1701" w:header="1134" w:footer="84"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5F4ED" w14:textId="77777777" w:rsidR="002A621C" w:rsidRDefault="002A621C" w:rsidP="002000D4">
      <w:r>
        <w:separator/>
      </w:r>
    </w:p>
  </w:endnote>
  <w:endnote w:type="continuationSeparator" w:id="0">
    <w:p w14:paraId="63822AEB" w14:textId="77777777" w:rsidR="002A621C" w:rsidRDefault="002A621C" w:rsidP="00200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Calibri"/>
    <w:panose1 w:val="00000000000000000000"/>
    <w:charset w:val="00"/>
    <w:family w:val="swiss"/>
    <w:notTrueType/>
    <w:pitch w:val="variable"/>
    <w:sig w:usb0="A00002AF" w:usb1="5000204B" w:usb2="00000000" w:usb3="00000000" w:csb0="0000019F" w:csb1="00000000"/>
  </w:font>
  <w:font w:name="MuseoSans-500">
    <w:altName w:val="Calibri"/>
    <w:charset w:val="00"/>
    <w:family w:val="auto"/>
    <w:pitch w:val="variable"/>
    <w:sig w:usb0="A00000AF" w:usb1="4000004A" w:usb2="00000000" w:usb3="00000000" w:csb0="00000093" w:csb1="00000000"/>
  </w:font>
  <w:font w:name="Adobe Garamond Pro Bold">
    <w:panose1 w:val="00000000000000000000"/>
    <w:charset w:val="00"/>
    <w:family w:val="roman"/>
    <w:notTrueType/>
    <w:pitch w:val="variable"/>
    <w:sig w:usb0="800000AF" w:usb1="5000205B" w:usb2="00000000" w:usb3="00000000" w:csb0="0000009B" w:csb1="00000000"/>
  </w:font>
  <w:font w:name="Times New Roman (Body CS)">
    <w:altName w:val="Times New Roman"/>
    <w:charset w:val="00"/>
    <w:family w:val="roman"/>
    <w:pitch w:val="default"/>
  </w:font>
  <w:font w:name="Adobe Garamond Pro">
    <w:altName w:val="Garamond"/>
    <w:panose1 w:val="00000000000000000000"/>
    <w:charset w:val="4D"/>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Myriad Pro">
    <w:altName w:val="Calibr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8BAB9" w14:textId="77777777" w:rsidR="005168FB" w:rsidRDefault="005168FB" w:rsidP="005168FB">
    <w:pPr>
      <w:tabs>
        <w:tab w:val="right" w:pos="10680"/>
      </w:tabs>
      <w:jc w:val="center"/>
      <w:rPr>
        <w:rFonts w:ascii="Myriad Pro" w:hAnsi="Myriad Pro" w:cs="Myriad Pro"/>
        <w:sz w:val="18"/>
        <w:szCs w:val="18"/>
      </w:rPr>
    </w:pPr>
    <w:r>
      <w:rPr>
        <w:rFonts w:ascii="Myriad Pro" w:hAnsi="Myriad Pro" w:cs="Myriad Pro"/>
        <w:sz w:val="18"/>
        <w:szCs w:val="18"/>
      </w:rPr>
      <w:t>This initiative is funded by the Australian Government.</w:t>
    </w:r>
  </w:p>
  <w:p w14:paraId="3AA17087" w14:textId="5A2C2608" w:rsidR="005168FB" w:rsidRPr="00C933E5" w:rsidRDefault="00E43038" w:rsidP="005168FB">
    <w:pPr>
      <w:tabs>
        <w:tab w:val="right" w:pos="10680"/>
      </w:tabs>
      <w:spacing w:before="700" w:after="320"/>
      <w:jc w:val="right"/>
      <w:rPr>
        <w:color w:val="FFFFFF" w:themeColor="background1"/>
      </w:rPr>
    </w:pPr>
    <w:hyperlink r:id="rId1" w:history="1">
      <w:r w:rsidR="002C1D77" w:rsidRPr="00C933E5">
        <w:rPr>
          <w:rStyle w:val="Hyperlink"/>
          <w:rFonts w:ascii="Myriad Pro" w:hAnsi="Myriad Pro" w:cs="Myriad Pro"/>
          <w:b/>
          <w:bCs/>
          <w:color w:val="FFFFFF" w:themeColor="background1"/>
          <w14:textOutline w14:w="9525" w14:cap="flat" w14:cmpd="sng" w14:algn="ctr">
            <w14:noFill/>
            <w14:prstDash w14:val="solid"/>
            <w14:round/>
          </w14:textOutline>
        </w:rPr>
        <w:t>www.iesc.gov.au</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459D4" w14:textId="51FBEB70" w:rsidR="002E3CC5" w:rsidRDefault="002C1D77" w:rsidP="007814E8">
    <w:pPr>
      <w:tabs>
        <w:tab w:val="right" w:pos="10680"/>
      </w:tabs>
      <w:jc w:val="center"/>
      <w:rPr>
        <w:rFonts w:ascii="Myriad Pro" w:hAnsi="Myriad Pro" w:cs="Myriad Pro"/>
        <w:sz w:val="18"/>
        <w:szCs w:val="18"/>
      </w:rPr>
    </w:pPr>
    <w:r>
      <w:rPr>
        <w:rFonts w:ascii="Myriad Pro" w:hAnsi="Myriad Pro" w:cs="Myriad Pro"/>
        <w:b/>
        <w:bCs/>
        <w:noProof/>
        <w:u w:color="0070C0"/>
      </w:rPr>
      <w:drawing>
        <wp:anchor distT="0" distB="0" distL="114300" distR="114300" simplePos="0" relativeHeight="251669504" behindDoc="1" locked="0" layoutInCell="1" allowOverlap="1" wp14:anchorId="36BE0EC4" wp14:editId="35E1E721">
          <wp:simplePos x="0" y="0"/>
          <wp:positionH relativeFrom="column">
            <wp:posOffset>-1143000</wp:posOffset>
          </wp:positionH>
          <wp:positionV relativeFrom="paragraph">
            <wp:posOffset>-305435</wp:posOffset>
          </wp:positionV>
          <wp:extent cx="7677150" cy="1429385"/>
          <wp:effectExtent l="0" t="0" r="0" b="0"/>
          <wp:wrapNone/>
          <wp:docPr id="192334473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44738"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77150" cy="1429385"/>
                  </a:xfrm>
                  <a:prstGeom prst="rect">
                    <a:avLst/>
                  </a:prstGeom>
                </pic:spPr>
              </pic:pic>
            </a:graphicData>
          </a:graphic>
          <wp14:sizeRelH relativeFrom="page">
            <wp14:pctWidth>0</wp14:pctWidth>
          </wp14:sizeRelH>
          <wp14:sizeRelV relativeFrom="page">
            <wp14:pctHeight>0</wp14:pctHeight>
          </wp14:sizeRelV>
        </wp:anchor>
      </w:drawing>
    </w:r>
    <w:r w:rsidR="002E3CC5">
      <w:rPr>
        <w:rFonts w:ascii="Myriad Pro" w:hAnsi="Myriad Pro" w:cs="Myriad Pro"/>
        <w:sz w:val="18"/>
        <w:szCs w:val="18"/>
      </w:rPr>
      <w:t>This initiative is funded by the Australian Government.</w:t>
    </w:r>
  </w:p>
  <w:p w14:paraId="0D6716A0" w14:textId="3873EA9A" w:rsidR="002000D4" w:rsidRDefault="00E43038" w:rsidP="009A027E">
    <w:pPr>
      <w:tabs>
        <w:tab w:val="right" w:pos="10680"/>
      </w:tabs>
      <w:spacing w:before="700" w:after="320"/>
      <w:jc w:val="right"/>
    </w:pPr>
    <w:hyperlink r:id="rId2" w:history="1">
      <w:r w:rsidR="00E8015C" w:rsidRPr="00C933E5">
        <w:rPr>
          <w:rStyle w:val="Hyperlink"/>
          <w:rFonts w:ascii="Myriad Pro" w:hAnsi="Myriad Pro" w:cs="Myriad Pro"/>
          <w:b/>
          <w:bCs/>
          <w:color w:val="FFFFFF" w:themeColor="background1"/>
          <w14:textOutline w14:w="9525" w14:cap="flat" w14:cmpd="sng" w14:algn="ctr">
            <w14:noFill/>
            <w14:prstDash w14:val="solid"/>
            <w14:round/>
          </w14:textOutline>
        </w:rPr>
        <w:t>www.iesc.gov.au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66842" w14:textId="77777777" w:rsidR="002A621C" w:rsidRDefault="002A621C" w:rsidP="002000D4">
      <w:r>
        <w:separator/>
      </w:r>
    </w:p>
  </w:footnote>
  <w:footnote w:type="continuationSeparator" w:id="0">
    <w:p w14:paraId="5E55BC19" w14:textId="77777777" w:rsidR="002A621C" w:rsidRDefault="002A621C" w:rsidP="002000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17ED7" w14:textId="562179E1" w:rsidR="005168FB" w:rsidRDefault="005168FB">
    <w:pPr>
      <w:pStyle w:val="Header"/>
    </w:pPr>
    <w:r>
      <w:rPr>
        <w:noProof/>
        <w:lang w:eastAsia="en-AU"/>
      </w:rPr>
      <w:drawing>
        <wp:anchor distT="0" distB="0" distL="114300" distR="114300" simplePos="0" relativeHeight="251659264" behindDoc="1" locked="0" layoutInCell="1" allowOverlap="1" wp14:anchorId="5D4D93D7" wp14:editId="1BA94717">
          <wp:simplePos x="0" y="0"/>
          <wp:positionH relativeFrom="page">
            <wp:align>center</wp:align>
          </wp:positionH>
          <wp:positionV relativeFrom="page">
            <wp:align>center</wp:align>
          </wp:positionV>
          <wp:extent cx="7581600" cy="10716177"/>
          <wp:effectExtent l="0" t="0" r="635" b="3175"/>
          <wp:wrapNone/>
          <wp:docPr id="1098861571" name="Picture 1098861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LLOWER PAGE.jpg"/>
                  <pic:cNvPicPr/>
                </pic:nvPicPr>
                <pic:blipFill>
                  <a:blip r:embed="rId1">
                    <a:extLst>
                      <a:ext uri="{28A0092B-C50C-407E-A947-70E740481C1C}">
                        <a14:useLocalDpi xmlns:a14="http://schemas.microsoft.com/office/drawing/2010/main" val="0"/>
                      </a:ext>
                    </a:extLst>
                  </a:blip>
                  <a:stretch>
                    <a:fillRect/>
                  </a:stretch>
                </pic:blipFill>
                <pic:spPr>
                  <a:xfrm>
                    <a:off x="0" y="0"/>
                    <a:ext cx="7581600" cy="1071617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7DC39" w14:textId="7A46FDEF" w:rsidR="002000D4" w:rsidRDefault="002C1D77" w:rsidP="002C1D77">
    <w:pPr>
      <w:pStyle w:val="HEADERITALICS"/>
      <w:tabs>
        <w:tab w:val="clear" w:pos="4513"/>
        <w:tab w:val="clear" w:pos="9026"/>
        <w:tab w:val="left" w:pos="1481"/>
        <w:tab w:val="left" w:pos="4687"/>
        <w:tab w:val="left" w:pos="5570"/>
      </w:tabs>
      <w:spacing w:before="0"/>
      <w:ind w:left="0" w:right="-567"/>
    </w:pPr>
    <w:r w:rsidRPr="008B0E23">
      <w:rPr>
        <w:i w:val="0"/>
        <w:iCs w:val="0"/>
        <w:noProof/>
      </w:rPr>
      <w:drawing>
        <wp:anchor distT="0" distB="0" distL="114300" distR="114300" simplePos="0" relativeHeight="251667456" behindDoc="0" locked="0" layoutInCell="1" allowOverlap="1" wp14:anchorId="67BBBFB5" wp14:editId="08E38008">
          <wp:simplePos x="0" y="0"/>
          <wp:positionH relativeFrom="column">
            <wp:posOffset>-828675</wp:posOffset>
          </wp:positionH>
          <wp:positionV relativeFrom="paragraph">
            <wp:posOffset>1856105</wp:posOffset>
          </wp:positionV>
          <wp:extent cx="1532890" cy="942975"/>
          <wp:effectExtent l="0" t="0" r="0" b="9525"/>
          <wp:wrapSquare wrapText="bothSides"/>
          <wp:docPr id="1562098626" name="Picture 2" descr="IE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98626" name="Picture 2" descr="IESC logo"/>
                  <pic:cNvPicPr/>
                </pic:nvPicPr>
                <pic:blipFill>
                  <a:blip r:embed="rId1">
                    <a:extLst>
                      <a:ext uri="{28A0092B-C50C-407E-A947-70E740481C1C}">
                        <a14:useLocalDpi xmlns:a14="http://schemas.microsoft.com/office/drawing/2010/main" val="0"/>
                      </a:ext>
                    </a:extLst>
                  </a:blip>
                  <a:stretch>
                    <a:fillRect/>
                  </a:stretch>
                </pic:blipFill>
                <pic:spPr>
                  <a:xfrm>
                    <a:off x="0" y="0"/>
                    <a:ext cx="1532890" cy="942975"/>
                  </a:xfrm>
                  <a:prstGeom prst="rect">
                    <a:avLst/>
                  </a:prstGeom>
                </pic:spPr>
              </pic:pic>
            </a:graphicData>
          </a:graphic>
          <wp14:sizeRelH relativeFrom="page">
            <wp14:pctWidth>0</wp14:pctWidth>
          </wp14:sizeRelH>
          <wp14:sizeRelV relativeFrom="page">
            <wp14:pctHeight>0</wp14:pctHeight>
          </wp14:sizeRelV>
        </wp:anchor>
      </w:drawing>
    </w:r>
    <w:r w:rsidRPr="008B0E23">
      <w:rPr>
        <w:i w:val="0"/>
        <w:iCs w:val="0"/>
        <w:noProof/>
      </w:rPr>
      <w:drawing>
        <wp:anchor distT="0" distB="0" distL="114300" distR="114300" simplePos="0" relativeHeight="251665408" behindDoc="0" locked="0" layoutInCell="1" allowOverlap="1" wp14:anchorId="7C44A12D" wp14:editId="1257303A">
          <wp:simplePos x="0" y="0"/>
          <wp:positionH relativeFrom="column">
            <wp:posOffset>-1085850</wp:posOffset>
          </wp:positionH>
          <wp:positionV relativeFrom="paragraph">
            <wp:posOffset>9525</wp:posOffset>
          </wp:positionV>
          <wp:extent cx="7620000" cy="1494790"/>
          <wp:effectExtent l="0" t="0" r="0" b="0"/>
          <wp:wrapSquare wrapText="bothSides"/>
          <wp:docPr id="12780015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01530"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620000" cy="1494790"/>
                  </a:xfrm>
                  <a:prstGeom prst="rect">
                    <a:avLst/>
                  </a:prstGeom>
                </pic:spPr>
              </pic:pic>
            </a:graphicData>
          </a:graphic>
          <wp14:sizeRelH relativeFrom="margin">
            <wp14:pctWidth>0</wp14:pctWidth>
          </wp14:sizeRelH>
          <wp14:sizeRelV relativeFrom="margin">
            <wp14:pctHeight>0</wp14:pctHeight>
          </wp14:sizeRelV>
        </wp:anchor>
      </w:drawing>
    </w:r>
    <w:r w:rsidR="002B6EC4">
      <w:rPr>
        <w:noProof/>
        <w:lang w:val="en-AU" w:eastAsia="en-AU"/>
      </w:rPr>
      <w:drawing>
        <wp:anchor distT="0" distB="0" distL="114300" distR="114300" simplePos="0" relativeHeight="251663360" behindDoc="1" locked="0" layoutInCell="1" allowOverlap="1" wp14:anchorId="32D1D684" wp14:editId="1F82778A">
          <wp:simplePos x="0" y="0"/>
          <wp:positionH relativeFrom="page">
            <wp:posOffset>-9525</wp:posOffset>
          </wp:positionH>
          <wp:positionV relativeFrom="page">
            <wp:posOffset>-20116800</wp:posOffset>
          </wp:positionV>
          <wp:extent cx="7579360" cy="10713085"/>
          <wp:effectExtent l="0" t="0" r="2540" b="0"/>
          <wp:wrapNone/>
          <wp:docPr id="1969983463" name="Picture 1969983463" descr="IESC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ESC logo">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margin">
            <wp14:pctWidth>0</wp14:pctWidth>
          </wp14:sizeRelH>
          <wp14:sizeRelV relativeFrom="margin">
            <wp14:pctHeight>0</wp14:pctHeight>
          </wp14:sizeRelV>
        </wp:anchor>
      </w:drawing>
    </w:r>
    <w:r w:rsidR="002D0E43" w:rsidRPr="00E21915">
      <w:t>summary</w:t>
    </w:r>
    <w:r w:rsidR="002D0E43">
      <w:t xml:space="preserve">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34BA0" w14:textId="77777777" w:rsidR="0014111E" w:rsidRDefault="0014111E" w:rsidP="002C1D77">
    <w:pPr>
      <w:pStyle w:val="HEADERITALICS"/>
      <w:tabs>
        <w:tab w:val="clear" w:pos="4513"/>
        <w:tab w:val="clear" w:pos="9026"/>
        <w:tab w:val="left" w:pos="1481"/>
        <w:tab w:val="left" w:pos="4687"/>
        <w:tab w:val="left" w:pos="5570"/>
      </w:tabs>
      <w:spacing w:before="0"/>
      <w:ind w:left="0" w:right="-567"/>
    </w:pPr>
    <w:r w:rsidRPr="008B0E23">
      <w:rPr>
        <w:i w:val="0"/>
        <w:iCs w:val="0"/>
        <w:noProof/>
      </w:rPr>
      <w:drawing>
        <wp:anchor distT="0" distB="0" distL="114300" distR="114300" simplePos="0" relativeHeight="251673600" behindDoc="0" locked="0" layoutInCell="1" allowOverlap="1" wp14:anchorId="60D90420" wp14:editId="6F2FD41B">
          <wp:simplePos x="0" y="0"/>
          <wp:positionH relativeFrom="column">
            <wp:posOffset>-828675</wp:posOffset>
          </wp:positionH>
          <wp:positionV relativeFrom="paragraph">
            <wp:posOffset>1856105</wp:posOffset>
          </wp:positionV>
          <wp:extent cx="1532890" cy="942975"/>
          <wp:effectExtent l="0" t="0" r="0" b="9525"/>
          <wp:wrapSquare wrapText="bothSides"/>
          <wp:docPr id="163201522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15225"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32890" cy="942975"/>
                  </a:xfrm>
                  <a:prstGeom prst="rect">
                    <a:avLst/>
                  </a:prstGeom>
                </pic:spPr>
              </pic:pic>
            </a:graphicData>
          </a:graphic>
          <wp14:sizeRelH relativeFrom="page">
            <wp14:pctWidth>0</wp14:pctWidth>
          </wp14:sizeRelH>
          <wp14:sizeRelV relativeFrom="page">
            <wp14:pctHeight>0</wp14:pctHeight>
          </wp14:sizeRelV>
        </wp:anchor>
      </w:drawing>
    </w:r>
    <w:r w:rsidRPr="008B0E23">
      <w:rPr>
        <w:i w:val="0"/>
        <w:iCs w:val="0"/>
        <w:noProof/>
      </w:rPr>
      <w:drawing>
        <wp:anchor distT="0" distB="0" distL="114300" distR="114300" simplePos="0" relativeHeight="251672576" behindDoc="0" locked="0" layoutInCell="1" allowOverlap="1" wp14:anchorId="5217E575" wp14:editId="708426EA">
          <wp:simplePos x="0" y="0"/>
          <wp:positionH relativeFrom="column">
            <wp:posOffset>-1085850</wp:posOffset>
          </wp:positionH>
          <wp:positionV relativeFrom="paragraph">
            <wp:posOffset>9525</wp:posOffset>
          </wp:positionV>
          <wp:extent cx="7620000" cy="1494790"/>
          <wp:effectExtent l="0" t="0" r="0" b="0"/>
          <wp:wrapSquare wrapText="bothSides"/>
          <wp:docPr id="13239584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58466"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620000" cy="149479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71552" behindDoc="1" locked="0" layoutInCell="1" allowOverlap="1" wp14:anchorId="6A27A3C0" wp14:editId="0DC1F46A">
          <wp:simplePos x="0" y="0"/>
          <wp:positionH relativeFrom="page">
            <wp:posOffset>-9525</wp:posOffset>
          </wp:positionH>
          <wp:positionV relativeFrom="page">
            <wp:posOffset>-20116800</wp:posOffset>
          </wp:positionV>
          <wp:extent cx="7579360" cy="10713085"/>
          <wp:effectExtent l="0" t="0" r="2540" b="0"/>
          <wp:wrapNone/>
          <wp:docPr id="829555589" name="Picture 829555589" descr="IESC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ESC logo">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margin">
            <wp14:pctWidth>0</wp14:pctWidth>
          </wp14:sizeRelH>
          <wp14:sizeRelV relativeFrom="margin">
            <wp14:pctHeight>0</wp14:pctHeight>
          </wp14:sizeRelV>
        </wp:anchor>
      </w:drawing>
    </w:r>
    <w:r w:rsidRPr="00E21915">
      <w:t>summary</w:t>
    </w:r>
    <w:r>
      <w:t xml:space="preserve">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ABE4" w14:textId="51528FED" w:rsidR="00C0614A" w:rsidRPr="00C0614A" w:rsidRDefault="00C0614A" w:rsidP="00C061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0807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BCA54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CA74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4847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52AF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B618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5C3E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8250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AC05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121B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323F84"/>
    <w:multiLevelType w:val="hybridMultilevel"/>
    <w:tmpl w:val="EB7CB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75221A"/>
    <w:multiLevelType w:val="hybridMultilevel"/>
    <w:tmpl w:val="2F24E6B4"/>
    <w:lvl w:ilvl="0" w:tplc="253264DA">
      <w:start w:val="1"/>
      <w:numFmt w:val="bullet"/>
      <w:lvlText w:val="□"/>
      <w:lvlJc w:val="left"/>
      <w:pPr>
        <w:ind w:left="1032" w:hanging="360"/>
      </w:pPr>
      <w:rPr>
        <w:rFonts w:ascii="Courier New" w:hAnsi="Courier New" w:hint="default"/>
        <w:sz w:val="24"/>
        <w:szCs w:val="24"/>
      </w:rPr>
    </w:lvl>
    <w:lvl w:ilvl="1" w:tplc="0C090003" w:tentative="1">
      <w:start w:val="1"/>
      <w:numFmt w:val="bullet"/>
      <w:lvlText w:val="o"/>
      <w:lvlJc w:val="left"/>
      <w:pPr>
        <w:ind w:left="1752" w:hanging="360"/>
      </w:pPr>
      <w:rPr>
        <w:rFonts w:ascii="Courier New" w:hAnsi="Courier New" w:cs="Courier New" w:hint="default"/>
      </w:rPr>
    </w:lvl>
    <w:lvl w:ilvl="2" w:tplc="0C090005" w:tentative="1">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12" w15:restartNumberingAfterBreak="0">
    <w:nsid w:val="15EB03A8"/>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6A321EE"/>
    <w:multiLevelType w:val="hybridMultilevel"/>
    <w:tmpl w:val="B8007842"/>
    <w:lvl w:ilvl="0" w:tplc="FA90FED2">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4" w15:restartNumberingAfterBreak="0">
    <w:nsid w:val="21C53630"/>
    <w:multiLevelType w:val="hybridMultilevel"/>
    <w:tmpl w:val="4020633E"/>
    <w:lvl w:ilvl="0" w:tplc="EA7AED66">
      <w:start w:val="1"/>
      <w:numFmt w:val="bullet"/>
      <w:lvlText w:val="□"/>
      <w:lvlJc w:val="left"/>
      <w:pPr>
        <w:ind w:left="1032" w:hanging="360"/>
      </w:pPr>
      <w:rPr>
        <w:rFonts w:ascii="Courier New" w:hAnsi="Courier New" w:hint="default"/>
      </w:rPr>
    </w:lvl>
    <w:lvl w:ilvl="1" w:tplc="0C090003" w:tentative="1">
      <w:start w:val="1"/>
      <w:numFmt w:val="bullet"/>
      <w:lvlText w:val="o"/>
      <w:lvlJc w:val="left"/>
      <w:pPr>
        <w:ind w:left="1752" w:hanging="360"/>
      </w:pPr>
      <w:rPr>
        <w:rFonts w:ascii="Courier New" w:hAnsi="Courier New" w:cs="Courier New" w:hint="default"/>
      </w:rPr>
    </w:lvl>
    <w:lvl w:ilvl="2" w:tplc="0C090005" w:tentative="1">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15" w15:restartNumberingAfterBreak="0">
    <w:nsid w:val="25E045A9"/>
    <w:multiLevelType w:val="hybridMultilevel"/>
    <w:tmpl w:val="4D9A5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944146"/>
    <w:multiLevelType w:val="hybridMultilevel"/>
    <w:tmpl w:val="C6C4E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D075B6"/>
    <w:multiLevelType w:val="hybridMultilevel"/>
    <w:tmpl w:val="FC5AD1C6"/>
    <w:lvl w:ilvl="0" w:tplc="6E32FA96">
      <w:start w:val="1"/>
      <w:numFmt w:val="lowerRoman"/>
      <w:lvlText w:val="(%1)"/>
      <w:lvlJc w:val="left"/>
      <w:pPr>
        <w:ind w:left="1049" w:hanging="720"/>
      </w:pPr>
      <w:rPr>
        <w:rFonts w:hint="default"/>
      </w:rPr>
    </w:lvl>
    <w:lvl w:ilvl="1" w:tplc="0C090019" w:tentative="1">
      <w:start w:val="1"/>
      <w:numFmt w:val="lowerLetter"/>
      <w:lvlText w:val="%2."/>
      <w:lvlJc w:val="left"/>
      <w:pPr>
        <w:ind w:left="1409" w:hanging="360"/>
      </w:pPr>
    </w:lvl>
    <w:lvl w:ilvl="2" w:tplc="0C09001B" w:tentative="1">
      <w:start w:val="1"/>
      <w:numFmt w:val="lowerRoman"/>
      <w:lvlText w:val="%3."/>
      <w:lvlJc w:val="right"/>
      <w:pPr>
        <w:ind w:left="2129" w:hanging="180"/>
      </w:pPr>
    </w:lvl>
    <w:lvl w:ilvl="3" w:tplc="0C09000F" w:tentative="1">
      <w:start w:val="1"/>
      <w:numFmt w:val="decimal"/>
      <w:lvlText w:val="%4."/>
      <w:lvlJc w:val="left"/>
      <w:pPr>
        <w:ind w:left="2849" w:hanging="360"/>
      </w:pPr>
    </w:lvl>
    <w:lvl w:ilvl="4" w:tplc="0C090019" w:tentative="1">
      <w:start w:val="1"/>
      <w:numFmt w:val="lowerLetter"/>
      <w:lvlText w:val="%5."/>
      <w:lvlJc w:val="left"/>
      <w:pPr>
        <w:ind w:left="3569" w:hanging="360"/>
      </w:pPr>
    </w:lvl>
    <w:lvl w:ilvl="5" w:tplc="0C09001B" w:tentative="1">
      <w:start w:val="1"/>
      <w:numFmt w:val="lowerRoman"/>
      <w:lvlText w:val="%6."/>
      <w:lvlJc w:val="right"/>
      <w:pPr>
        <w:ind w:left="4289" w:hanging="180"/>
      </w:pPr>
    </w:lvl>
    <w:lvl w:ilvl="6" w:tplc="0C09000F" w:tentative="1">
      <w:start w:val="1"/>
      <w:numFmt w:val="decimal"/>
      <w:lvlText w:val="%7."/>
      <w:lvlJc w:val="left"/>
      <w:pPr>
        <w:ind w:left="5009" w:hanging="360"/>
      </w:pPr>
    </w:lvl>
    <w:lvl w:ilvl="7" w:tplc="0C090019" w:tentative="1">
      <w:start w:val="1"/>
      <w:numFmt w:val="lowerLetter"/>
      <w:lvlText w:val="%8."/>
      <w:lvlJc w:val="left"/>
      <w:pPr>
        <w:ind w:left="5729" w:hanging="360"/>
      </w:pPr>
    </w:lvl>
    <w:lvl w:ilvl="8" w:tplc="0C09001B" w:tentative="1">
      <w:start w:val="1"/>
      <w:numFmt w:val="lowerRoman"/>
      <w:lvlText w:val="%9."/>
      <w:lvlJc w:val="right"/>
      <w:pPr>
        <w:ind w:left="6449" w:hanging="180"/>
      </w:pPr>
    </w:lvl>
  </w:abstractNum>
  <w:abstractNum w:abstractNumId="18" w15:restartNumberingAfterBreak="0">
    <w:nsid w:val="3D3F6D66"/>
    <w:multiLevelType w:val="hybridMultilevel"/>
    <w:tmpl w:val="487E9B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B176CA4"/>
    <w:multiLevelType w:val="hybridMultilevel"/>
    <w:tmpl w:val="3FC25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565667"/>
    <w:multiLevelType w:val="multilevel"/>
    <w:tmpl w:val="5D9A3B7C"/>
    <w:numStyleLink w:val="BulletsList"/>
  </w:abstractNum>
  <w:abstractNum w:abstractNumId="21" w15:restartNumberingAfterBreak="0">
    <w:nsid w:val="4C313C27"/>
    <w:multiLevelType w:val="hybridMultilevel"/>
    <w:tmpl w:val="CC8A8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6B0781"/>
    <w:multiLevelType w:val="hybridMultilevel"/>
    <w:tmpl w:val="E104F9A4"/>
    <w:lvl w:ilvl="0" w:tplc="1EC0FAE4">
      <w:start w:val="1"/>
      <w:numFmt w:val="bullet"/>
      <w:pStyle w:val="Bullet1"/>
      <w:lvlText w:val=""/>
      <w:lvlJc w:val="left"/>
      <w:pPr>
        <w:ind w:left="720" w:hanging="360"/>
      </w:pPr>
      <w:rPr>
        <w:rFonts w:ascii="Symbol" w:hAnsi="Symbol" w:hint="default"/>
      </w:rPr>
    </w:lvl>
    <w:lvl w:ilvl="1" w:tplc="C1C40CF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776C1D"/>
    <w:multiLevelType w:val="hybridMultilevel"/>
    <w:tmpl w:val="27C4125E"/>
    <w:lvl w:ilvl="0" w:tplc="EFECCAFC">
      <w:start w:val="1"/>
      <w:numFmt w:val="bullet"/>
      <w:lvlText w:val="□"/>
      <w:lvlJc w:val="left"/>
      <w:pPr>
        <w:ind w:left="720" w:hanging="360"/>
      </w:pPr>
      <w:rPr>
        <w:rFonts w:ascii="Courier New" w:hAnsi="Courier New"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8894B87"/>
    <w:multiLevelType w:val="hybridMultilevel"/>
    <w:tmpl w:val="1938FFC2"/>
    <w:lvl w:ilvl="0" w:tplc="F6A25D8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295C23"/>
    <w:multiLevelType w:val="hybridMultilevel"/>
    <w:tmpl w:val="A934B6B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AF61B19"/>
    <w:multiLevelType w:val="hybridMultilevel"/>
    <w:tmpl w:val="A8CAC5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B5B3F44"/>
    <w:multiLevelType w:val="hybridMultilevel"/>
    <w:tmpl w:val="8F16E9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E5A2F26"/>
    <w:multiLevelType w:val="hybridMultilevel"/>
    <w:tmpl w:val="15908D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21B5351"/>
    <w:multiLevelType w:val="hybridMultilevel"/>
    <w:tmpl w:val="01740AA2"/>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30"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31" w15:restartNumberingAfterBreak="0">
    <w:nsid w:val="73D15D36"/>
    <w:multiLevelType w:val="hybridMultilevel"/>
    <w:tmpl w:val="34725FFC"/>
    <w:lvl w:ilvl="0" w:tplc="181C6FAA">
      <w:start w:val="1"/>
      <w:numFmt w:val="bullet"/>
      <w:pStyle w:val="Bullet2"/>
      <w:lvlText w:val=""/>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Bulle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967EEC"/>
    <w:multiLevelType w:val="hybridMultilevel"/>
    <w:tmpl w:val="3CBEA1B4"/>
    <w:lvl w:ilvl="0" w:tplc="11240BFC">
      <w:start w:val="1"/>
      <w:numFmt w:val="decimal"/>
      <w:pStyle w:val="ListNumb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65876861">
    <w:abstractNumId w:val="30"/>
  </w:num>
  <w:num w:numId="2" w16cid:durableId="318189460">
    <w:abstractNumId w:val="13"/>
  </w:num>
  <w:num w:numId="3" w16cid:durableId="551043977">
    <w:abstractNumId w:val="20"/>
  </w:num>
  <w:num w:numId="4" w16cid:durableId="1839882287">
    <w:abstractNumId w:val="25"/>
  </w:num>
  <w:num w:numId="5" w16cid:durableId="471102607">
    <w:abstractNumId w:val="22"/>
  </w:num>
  <w:num w:numId="6" w16cid:durableId="2130661583">
    <w:abstractNumId w:val="18"/>
  </w:num>
  <w:num w:numId="7" w16cid:durableId="262690020">
    <w:abstractNumId w:val="23"/>
  </w:num>
  <w:num w:numId="8" w16cid:durableId="1582134721">
    <w:abstractNumId w:val="17"/>
  </w:num>
  <w:num w:numId="9" w16cid:durableId="346911106">
    <w:abstractNumId w:val="11"/>
  </w:num>
  <w:num w:numId="10" w16cid:durableId="1790585248">
    <w:abstractNumId w:val="14"/>
  </w:num>
  <w:num w:numId="11" w16cid:durableId="1347751879">
    <w:abstractNumId w:val="16"/>
  </w:num>
  <w:num w:numId="12" w16cid:durableId="728648588">
    <w:abstractNumId w:val="10"/>
  </w:num>
  <w:num w:numId="13" w16cid:durableId="1595088001">
    <w:abstractNumId w:val="29"/>
  </w:num>
  <w:num w:numId="14" w16cid:durableId="254365712">
    <w:abstractNumId w:val="15"/>
  </w:num>
  <w:num w:numId="15" w16cid:durableId="67970558">
    <w:abstractNumId w:val="21"/>
  </w:num>
  <w:num w:numId="16" w16cid:durableId="1461537939">
    <w:abstractNumId w:val="26"/>
  </w:num>
  <w:num w:numId="17" w16cid:durableId="450132049">
    <w:abstractNumId w:val="0"/>
  </w:num>
  <w:num w:numId="18" w16cid:durableId="1079903849">
    <w:abstractNumId w:val="1"/>
  </w:num>
  <w:num w:numId="19" w16cid:durableId="15735573">
    <w:abstractNumId w:val="2"/>
  </w:num>
  <w:num w:numId="20" w16cid:durableId="1742871094">
    <w:abstractNumId w:val="3"/>
  </w:num>
  <w:num w:numId="21" w16cid:durableId="1933973300">
    <w:abstractNumId w:val="8"/>
  </w:num>
  <w:num w:numId="22" w16cid:durableId="2104260426">
    <w:abstractNumId w:val="4"/>
  </w:num>
  <w:num w:numId="23" w16cid:durableId="1885826115">
    <w:abstractNumId w:val="5"/>
  </w:num>
  <w:num w:numId="24" w16cid:durableId="717362910">
    <w:abstractNumId w:val="6"/>
  </w:num>
  <w:num w:numId="25" w16cid:durableId="1261569629">
    <w:abstractNumId w:val="7"/>
  </w:num>
  <w:num w:numId="26" w16cid:durableId="2074355014">
    <w:abstractNumId w:val="9"/>
  </w:num>
  <w:num w:numId="27" w16cid:durableId="1385523125">
    <w:abstractNumId w:val="27"/>
  </w:num>
  <w:num w:numId="28" w16cid:durableId="250967894">
    <w:abstractNumId w:val="28"/>
  </w:num>
  <w:num w:numId="29" w16cid:durableId="2115976323">
    <w:abstractNumId w:val="32"/>
  </w:num>
  <w:num w:numId="30" w16cid:durableId="1208447558">
    <w:abstractNumId w:val="12"/>
  </w:num>
  <w:num w:numId="31" w16cid:durableId="1146511398">
    <w:abstractNumId w:val="31"/>
  </w:num>
  <w:num w:numId="32" w16cid:durableId="1811165172">
    <w:abstractNumId w:val="19"/>
  </w:num>
  <w:num w:numId="33" w16cid:durableId="17611751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0D4"/>
    <w:rsid w:val="000017C7"/>
    <w:rsid w:val="000237E3"/>
    <w:rsid w:val="0003023E"/>
    <w:rsid w:val="00034ECB"/>
    <w:rsid w:val="00034F53"/>
    <w:rsid w:val="00036177"/>
    <w:rsid w:val="00036BFC"/>
    <w:rsid w:val="000435D0"/>
    <w:rsid w:val="00044880"/>
    <w:rsid w:val="00045E0E"/>
    <w:rsid w:val="00046420"/>
    <w:rsid w:val="00046807"/>
    <w:rsid w:val="00063C11"/>
    <w:rsid w:val="00065841"/>
    <w:rsid w:val="0007210A"/>
    <w:rsid w:val="00075E09"/>
    <w:rsid w:val="0009277D"/>
    <w:rsid w:val="000A0B2F"/>
    <w:rsid w:val="000A1B53"/>
    <w:rsid w:val="000A45F6"/>
    <w:rsid w:val="000A7210"/>
    <w:rsid w:val="000B35DA"/>
    <w:rsid w:val="000B374B"/>
    <w:rsid w:val="000C51B9"/>
    <w:rsid w:val="000D05BC"/>
    <w:rsid w:val="000E2017"/>
    <w:rsid w:val="000E4F8F"/>
    <w:rsid w:val="000E6F1C"/>
    <w:rsid w:val="000F7432"/>
    <w:rsid w:val="001050EC"/>
    <w:rsid w:val="00106024"/>
    <w:rsid w:val="00113E52"/>
    <w:rsid w:val="00114A4B"/>
    <w:rsid w:val="001276F9"/>
    <w:rsid w:val="001367B7"/>
    <w:rsid w:val="0013707F"/>
    <w:rsid w:val="00140C43"/>
    <w:rsid w:val="0014111E"/>
    <w:rsid w:val="00142467"/>
    <w:rsid w:val="00144CE7"/>
    <w:rsid w:val="00161D3E"/>
    <w:rsid w:val="00161FB5"/>
    <w:rsid w:val="00166274"/>
    <w:rsid w:val="00177B9B"/>
    <w:rsid w:val="00177BBA"/>
    <w:rsid w:val="00197F40"/>
    <w:rsid w:val="001A0483"/>
    <w:rsid w:val="001A47BD"/>
    <w:rsid w:val="001B53D2"/>
    <w:rsid w:val="001B64ED"/>
    <w:rsid w:val="001C6A8B"/>
    <w:rsid w:val="001D019F"/>
    <w:rsid w:val="001D4EAC"/>
    <w:rsid w:val="001D5969"/>
    <w:rsid w:val="001D5992"/>
    <w:rsid w:val="001D6916"/>
    <w:rsid w:val="001E2ABE"/>
    <w:rsid w:val="001E64F9"/>
    <w:rsid w:val="001F1BB5"/>
    <w:rsid w:val="001F6AE6"/>
    <w:rsid w:val="001F7C94"/>
    <w:rsid w:val="002000D4"/>
    <w:rsid w:val="00202260"/>
    <w:rsid w:val="00206677"/>
    <w:rsid w:val="00206C5D"/>
    <w:rsid w:val="00207FC7"/>
    <w:rsid w:val="00216988"/>
    <w:rsid w:val="00224538"/>
    <w:rsid w:val="0022621F"/>
    <w:rsid w:val="002267EC"/>
    <w:rsid w:val="002418A0"/>
    <w:rsid w:val="002543A0"/>
    <w:rsid w:val="00267284"/>
    <w:rsid w:val="00273141"/>
    <w:rsid w:val="00274E28"/>
    <w:rsid w:val="0028263A"/>
    <w:rsid w:val="00293F82"/>
    <w:rsid w:val="00295716"/>
    <w:rsid w:val="002A00F7"/>
    <w:rsid w:val="002A5897"/>
    <w:rsid w:val="002A6058"/>
    <w:rsid w:val="002A621C"/>
    <w:rsid w:val="002B1856"/>
    <w:rsid w:val="002B6EC4"/>
    <w:rsid w:val="002B702D"/>
    <w:rsid w:val="002C1D77"/>
    <w:rsid w:val="002C70B2"/>
    <w:rsid w:val="002D0E43"/>
    <w:rsid w:val="002D26E7"/>
    <w:rsid w:val="002D7B40"/>
    <w:rsid w:val="002E0240"/>
    <w:rsid w:val="002E1FA2"/>
    <w:rsid w:val="002E3CC5"/>
    <w:rsid w:val="002E420D"/>
    <w:rsid w:val="002F2631"/>
    <w:rsid w:val="002F3667"/>
    <w:rsid w:val="002F50BB"/>
    <w:rsid w:val="00320282"/>
    <w:rsid w:val="00322358"/>
    <w:rsid w:val="0035335C"/>
    <w:rsid w:val="00354D9D"/>
    <w:rsid w:val="0035532E"/>
    <w:rsid w:val="0035768D"/>
    <w:rsid w:val="003708FF"/>
    <w:rsid w:val="00397E3D"/>
    <w:rsid w:val="003A65D4"/>
    <w:rsid w:val="003B0F79"/>
    <w:rsid w:val="003B2DF9"/>
    <w:rsid w:val="003C3628"/>
    <w:rsid w:val="003C468F"/>
    <w:rsid w:val="003C6B78"/>
    <w:rsid w:val="003D2BEC"/>
    <w:rsid w:val="003E60AB"/>
    <w:rsid w:val="003E72F4"/>
    <w:rsid w:val="003F18E9"/>
    <w:rsid w:val="003F29A7"/>
    <w:rsid w:val="003F6140"/>
    <w:rsid w:val="003F6B7F"/>
    <w:rsid w:val="003F7973"/>
    <w:rsid w:val="00401940"/>
    <w:rsid w:val="004064AC"/>
    <w:rsid w:val="00411B54"/>
    <w:rsid w:val="004137EE"/>
    <w:rsid w:val="004204D7"/>
    <w:rsid w:val="0042584C"/>
    <w:rsid w:val="00425B05"/>
    <w:rsid w:val="00426ABB"/>
    <w:rsid w:val="00430247"/>
    <w:rsid w:val="00433952"/>
    <w:rsid w:val="00437BC5"/>
    <w:rsid w:val="0045118F"/>
    <w:rsid w:val="00455819"/>
    <w:rsid w:val="0046084E"/>
    <w:rsid w:val="00461A11"/>
    <w:rsid w:val="00463039"/>
    <w:rsid w:val="00471CC6"/>
    <w:rsid w:val="0047317D"/>
    <w:rsid w:val="00487874"/>
    <w:rsid w:val="0049130B"/>
    <w:rsid w:val="004956B3"/>
    <w:rsid w:val="00495712"/>
    <w:rsid w:val="004B34C8"/>
    <w:rsid w:val="004C299D"/>
    <w:rsid w:val="004C3B4C"/>
    <w:rsid w:val="004C4860"/>
    <w:rsid w:val="004C4E1F"/>
    <w:rsid w:val="004C57B8"/>
    <w:rsid w:val="004D01C2"/>
    <w:rsid w:val="004D3BA9"/>
    <w:rsid w:val="004D4B8B"/>
    <w:rsid w:val="004F0B69"/>
    <w:rsid w:val="004F5A26"/>
    <w:rsid w:val="0050536D"/>
    <w:rsid w:val="005168FB"/>
    <w:rsid w:val="00524EBE"/>
    <w:rsid w:val="00532707"/>
    <w:rsid w:val="005359AD"/>
    <w:rsid w:val="00537074"/>
    <w:rsid w:val="005419A1"/>
    <w:rsid w:val="0054243D"/>
    <w:rsid w:val="0054285D"/>
    <w:rsid w:val="00546124"/>
    <w:rsid w:val="00553005"/>
    <w:rsid w:val="00554C96"/>
    <w:rsid w:val="005633A9"/>
    <w:rsid w:val="00564A94"/>
    <w:rsid w:val="00572045"/>
    <w:rsid w:val="005802F7"/>
    <w:rsid w:val="0058411C"/>
    <w:rsid w:val="005962C2"/>
    <w:rsid w:val="005A620E"/>
    <w:rsid w:val="005C04A4"/>
    <w:rsid w:val="005C6CD5"/>
    <w:rsid w:val="005C6F01"/>
    <w:rsid w:val="005D3144"/>
    <w:rsid w:val="005D4A04"/>
    <w:rsid w:val="005E4BA8"/>
    <w:rsid w:val="005F1729"/>
    <w:rsid w:val="005F798F"/>
    <w:rsid w:val="005F7DEB"/>
    <w:rsid w:val="0061304B"/>
    <w:rsid w:val="00616BE6"/>
    <w:rsid w:val="00620092"/>
    <w:rsid w:val="00622EBA"/>
    <w:rsid w:val="00623C99"/>
    <w:rsid w:val="006304A2"/>
    <w:rsid w:val="006317AA"/>
    <w:rsid w:val="00637A46"/>
    <w:rsid w:val="0064035F"/>
    <w:rsid w:val="006465DF"/>
    <w:rsid w:val="00654237"/>
    <w:rsid w:val="0068025C"/>
    <w:rsid w:val="00690275"/>
    <w:rsid w:val="00694A8B"/>
    <w:rsid w:val="006958F7"/>
    <w:rsid w:val="006968EB"/>
    <w:rsid w:val="006A5156"/>
    <w:rsid w:val="006A6FBF"/>
    <w:rsid w:val="006B509B"/>
    <w:rsid w:val="006B6278"/>
    <w:rsid w:val="006C29FA"/>
    <w:rsid w:val="006C6C0E"/>
    <w:rsid w:val="006D0DAB"/>
    <w:rsid w:val="006D4230"/>
    <w:rsid w:val="006D547C"/>
    <w:rsid w:val="006E1D70"/>
    <w:rsid w:val="006E41A9"/>
    <w:rsid w:val="006E7031"/>
    <w:rsid w:val="006F6115"/>
    <w:rsid w:val="006F752F"/>
    <w:rsid w:val="007035D1"/>
    <w:rsid w:val="00704868"/>
    <w:rsid w:val="0070498E"/>
    <w:rsid w:val="00710E38"/>
    <w:rsid w:val="007318BF"/>
    <w:rsid w:val="00744182"/>
    <w:rsid w:val="00746177"/>
    <w:rsid w:val="0075343F"/>
    <w:rsid w:val="007600D0"/>
    <w:rsid w:val="00773A9D"/>
    <w:rsid w:val="007814E8"/>
    <w:rsid w:val="00784B15"/>
    <w:rsid w:val="007851D1"/>
    <w:rsid w:val="00792804"/>
    <w:rsid w:val="00793660"/>
    <w:rsid w:val="007A0843"/>
    <w:rsid w:val="007B0C3F"/>
    <w:rsid w:val="007B41B3"/>
    <w:rsid w:val="007C0D5D"/>
    <w:rsid w:val="007C330C"/>
    <w:rsid w:val="007D425B"/>
    <w:rsid w:val="007D5392"/>
    <w:rsid w:val="007E3DCD"/>
    <w:rsid w:val="007E49BB"/>
    <w:rsid w:val="007E572B"/>
    <w:rsid w:val="007F1226"/>
    <w:rsid w:val="007F2983"/>
    <w:rsid w:val="007F5D1D"/>
    <w:rsid w:val="00813451"/>
    <w:rsid w:val="008228FD"/>
    <w:rsid w:val="00826B3C"/>
    <w:rsid w:val="008433CC"/>
    <w:rsid w:val="00843964"/>
    <w:rsid w:val="008656B7"/>
    <w:rsid w:val="00865731"/>
    <w:rsid w:val="00872ECA"/>
    <w:rsid w:val="008734E3"/>
    <w:rsid w:val="00883B4A"/>
    <w:rsid w:val="008851BF"/>
    <w:rsid w:val="008869D9"/>
    <w:rsid w:val="00886DAF"/>
    <w:rsid w:val="00892A46"/>
    <w:rsid w:val="008C190E"/>
    <w:rsid w:val="008D10D5"/>
    <w:rsid w:val="008D53AE"/>
    <w:rsid w:val="008E6FFC"/>
    <w:rsid w:val="008E7562"/>
    <w:rsid w:val="008F05C8"/>
    <w:rsid w:val="00902CD9"/>
    <w:rsid w:val="009056FB"/>
    <w:rsid w:val="00911AE1"/>
    <w:rsid w:val="009266EF"/>
    <w:rsid w:val="00932749"/>
    <w:rsid w:val="00937EC0"/>
    <w:rsid w:val="00950677"/>
    <w:rsid w:val="0095624C"/>
    <w:rsid w:val="00961155"/>
    <w:rsid w:val="00980668"/>
    <w:rsid w:val="00980707"/>
    <w:rsid w:val="00981438"/>
    <w:rsid w:val="00982469"/>
    <w:rsid w:val="00987C54"/>
    <w:rsid w:val="009A01BB"/>
    <w:rsid w:val="009A027E"/>
    <w:rsid w:val="009A0899"/>
    <w:rsid w:val="009A10B2"/>
    <w:rsid w:val="009A3C9D"/>
    <w:rsid w:val="009B1485"/>
    <w:rsid w:val="009B2BB8"/>
    <w:rsid w:val="009B2C80"/>
    <w:rsid w:val="009B6035"/>
    <w:rsid w:val="009C1095"/>
    <w:rsid w:val="009C2D77"/>
    <w:rsid w:val="009C30C5"/>
    <w:rsid w:val="009C321B"/>
    <w:rsid w:val="009C7F25"/>
    <w:rsid w:val="009D3281"/>
    <w:rsid w:val="009D5C1F"/>
    <w:rsid w:val="009E2C80"/>
    <w:rsid w:val="009E3E6A"/>
    <w:rsid w:val="009E43C4"/>
    <w:rsid w:val="009E46FC"/>
    <w:rsid w:val="009E5D6B"/>
    <w:rsid w:val="00A03B62"/>
    <w:rsid w:val="00A1241D"/>
    <w:rsid w:val="00A124B7"/>
    <w:rsid w:val="00A24DFD"/>
    <w:rsid w:val="00A34997"/>
    <w:rsid w:val="00A379BF"/>
    <w:rsid w:val="00A42C98"/>
    <w:rsid w:val="00A449FA"/>
    <w:rsid w:val="00A574B2"/>
    <w:rsid w:val="00A65D26"/>
    <w:rsid w:val="00A66181"/>
    <w:rsid w:val="00A6728C"/>
    <w:rsid w:val="00A7011D"/>
    <w:rsid w:val="00A76072"/>
    <w:rsid w:val="00A81FB2"/>
    <w:rsid w:val="00A83D81"/>
    <w:rsid w:val="00A87944"/>
    <w:rsid w:val="00A90114"/>
    <w:rsid w:val="00A905B3"/>
    <w:rsid w:val="00A96DDA"/>
    <w:rsid w:val="00AA6008"/>
    <w:rsid w:val="00AA6B3F"/>
    <w:rsid w:val="00AB30A7"/>
    <w:rsid w:val="00AB3C4F"/>
    <w:rsid w:val="00AB3C8C"/>
    <w:rsid w:val="00AC668B"/>
    <w:rsid w:val="00AC6911"/>
    <w:rsid w:val="00AC78B5"/>
    <w:rsid w:val="00AD01B1"/>
    <w:rsid w:val="00AD5356"/>
    <w:rsid w:val="00AE00DC"/>
    <w:rsid w:val="00AF32EF"/>
    <w:rsid w:val="00AF3EF2"/>
    <w:rsid w:val="00AF54A3"/>
    <w:rsid w:val="00AF6BC8"/>
    <w:rsid w:val="00B15800"/>
    <w:rsid w:val="00B23BBF"/>
    <w:rsid w:val="00B244FF"/>
    <w:rsid w:val="00B277B5"/>
    <w:rsid w:val="00B3039C"/>
    <w:rsid w:val="00B3468F"/>
    <w:rsid w:val="00B4031A"/>
    <w:rsid w:val="00B4272A"/>
    <w:rsid w:val="00B45BEB"/>
    <w:rsid w:val="00B539F4"/>
    <w:rsid w:val="00B63C0F"/>
    <w:rsid w:val="00B6528C"/>
    <w:rsid w:val="00B654F8"/>
    <w:rsid w:val="00B67B01"/>
    <w:rsid w:val="00B72BD3"/>
    <w:rsid w:val="00B8207D"/>
    <w:rsid w:val="00B8216F"/>
    <w:rsid w:val="00B83A95"/>
    <w:rsid w:val="00B83F6D"/>
    <w:rsid w:val="00B86D38"/>
    <w:rsid w:val="00B904C5"/>
    <w:rsid w:val="00B90A9B"/>
    <w:rsid w:val="00B91A20"/>
    <w:rsid w:val="00B95831"/>
    <w:rsid w:val="00BC4D22"/>
    <w:rsid w:val="00BD346E"/>
    <w:rsid w:val="00BE1A1F"/>
    <w:rsid w:val="00BE3464"/>
    <w:rsid w:val="00BE462F"/>
    <w:rsid w:val="00BE49FE"/>
    <w:rsid w:val="00BE5A6C"/>
    <w:rsid w:val="00BE6004"/>
    <w:rsid w:val="00BE69F2"/>
    <w:rsid w:val="00BF6F45"/>
    <w:rsid w:val="00C018AF"/>
    <w:rsid w:val="00C04DE5"/>
    <w:rsid w:val="00C0614A"/>
    <w:rsid w:val="00C07FD3"/>
    <w:rsid w:val="00C1112A"/>
    <w:rsid w:val="00C128BA"/>
    <w:rsid w:val="00C15D48"/>
    <w:rsid w:val="00C17C6F"/>
    <w:rsid w:val="00C301FA"/>
    <w:rsid w:val="00C3021D"/>
    <w:rsid w:val="00C3121E"/>
    <w:rsid w:val="00C36E84"/>
    <w:rsid w:val="00C40689"/>
    <w:rsid w:val="00C4275B"/>
    <w:rsid w:val="00C51CCE"/>
    <w:rsid w:val="00C63158"/>
    <w:rsid w:val="00C65BBF"/>
    <w:rsid w:val="00C661CF"/>
    <w:rsid w:val="00C700C6"/>
    <w:rsid w:val="00C720DB"/>
    <w:rsid w:val="00C74279"/>
    <w:rsid w:val="00C933E5"/>
    <w:rsid w:val="00CA4484"/>
    <w:rsid w:val="00CB2A74"/>
    <w:rsid w:val="00CB62E8"/>
    <w:rsid w:val="00CC09E3"/>
    <w:rsid w:val="00CD2974"/>
    <w:rsid w:val="00CD2FD0"/>
    <w:rsid w:val="00CD46FD"/>
    <w:rsid w:val="00CE1152"/>
    <w:rsid w:val="00CF550C"/>
    <w:rsid w:val="00D044DE"/>
    <w:rsid w:val="00D10E1B"/>
    <w:rsid w:val="00D124B6"/>
    <w:rsid w:val="00D13F79"/>
    <w:rsid w:val="00D14F02"/>
    <w:rsid w:val="00D1612C"/>
    <w:rsid w:val="00D17483"/>
    <w:rsid w:val="00D229A9"/>
    <w:rsid w:val="00D25647"/>
    <w:rsid w:val="00D25BA0"/>
    <w:rsid w:val="00D26A7B"/>
    <w:rsid w:val="00D4316D"/>
    <w:rsid w:val="00D43171"/>
    <w:rsid w:val="00D52276"/>
    <w:rsid w:val="00D7666E"/>
    <w:rsid w:val="00D9023F"/>
    <w:rsid w:val="00D9352A"/>
    <w:rsid w:val="00D972B6"/>
    <w:rsid w:val="00DA3474"/>
    <w:rsid w:val="00DB1738"/>
    <w:rsid w:val="00DB5F28"/>
    <w:rsid w:val="00DB7203"/>
    <w:rsid w:val="00DC268C"/>
    <w:rsid w:val="00DC5FFB"/>
    <w:rsid w:val="00DF6DDA"/>
    <w:rsid w:val="00E00D79"/>
    <w:rsid w:val="00E03E33"/>
    <w:rsid w:val="00E04478"/>
    <w:rsid w:val="00E048A4"/>
    <w:rsid w:val="00E21751"/>
    <w:rsid w:val="00E21915"/>
    <w:rsid w:val="00E25387"/>
    <w:rsid w:val="00E3201F"/>
    <w:rsid w:val="00E408D0"/>
    <w:rsid w:val="00E43038"/>
    <w:rsid w:val="00E444A6"/>
    <w:rsid w:val="00E5388F"/>
    <w:rsid w:val="00E62D80"/>
    <w:rsid w:val="00E8015C"/>
    <w:rsid w:val="00E8408D"/>
    <w:rsid w:val="00E863B8"/>
    <w:rsid w:val="00E902A4"/>
    <w:rsid w:val="00E9441B"/>
    <w:rsid w:val="00EA0BFF"/>
    <w:rsid w:val="00EA592C"/>
    <w:rsid w:val="00EB2A99"/>
    <w:rsid w:val="00EB50C2"/>
    <w:rsid w:val="00EC3E9F"/>
    <w:rsid w:val="00EC5A1E"/>
    <w:rsid w:val="00EE4780"/>
    <w:rsid w:val="00EE7257"/>
    <w:rsid w:val="00EF3116"/>
    <w:rsid w:val="00EF6476"/>
    <w:rsid w:val="00F017DB"/>
    <w:rsid w:val="00F02E80"/>
    <w:rsid w:val="00F11374"/>
    <w:rsid w:val="00F172E9"/>
    <w:rsid w:val="00F21E35"/>
    <w:rsid w:val="00F22130"/>
    <w:rsid w:val="00F22D48"/>
    <w:rsid w:val="00F33274"/>
    <w:rsid w:val="00F346A3"/>
    <w:rsid w:val="00F34B06"/>
    <w:rsid w:val="00F373E5"/>
    <w:rsid w:val="00F474CB"/>
    <w:rsid w:val="00F50C49"/>
    <w:rsid w:val="00F52EB5"/>
    <w:rsid w:val="00F53DCA"/>
    <w:rsid w:val="00F57169"/>
    <w:rsid w:val="00F650D8"/>
    <w:rsid w:val="00F6532C"/>
    <w:rsid w:val="00F67597"/>
    <w:rsid w:val="00F70A28"/>
    <w:rsid w:val="00F71355"/>
    <w:rsid w:val="00F72813"/>
    <w:rsid w:val="00F744D8"/>
    <w:rsid w:val="00F77FEF"/>
    <w:rsid w:val="00F81C44"/>
    <w:rsid w:val="00F90281"/>
    <w:rsid w:val="00F940B3"/>
    <w:rsid w:val="00F9456A"/>
    <w:rsid w:val="00F96E17"/>
    <w:rsid w:val="00F972E5"/>
    <w:rsid w:val="00FB5BB3"/>
    <w:rsid w:val="00FB7491"/>
    <w:rsid w:val="00FC02DB"/>
    <w:rsid w:val="00FC312B"/>
    <w:rsid w:val="00FC4FE9"/>
    <w:rsid w:val="00FC729D"/>
    <w:rsid w:val="00FD2D02"/>
    <w:rsid w:val="00FD37B8"/>
    <w:rsid w:val="00FD7D87"/>
    <w:rsid w:val="00FE68FD"/>
    <w:rsid w:val="00FF54DB"/>
    <w:rsid w:val="00FF63F7"/>
    <w:rsid w:val="073CA898"/>
    <w:rsid w:val="0A4311AD"/>
    <w:rsid w:val="1232992D"/>
    <w:rsid w:val="1336DE17"/>
    <w:rsid w:val="15C6D612"/>
    <w:rsid w:val="18CA31FD"/>
    <w:rsid w:val="199C4F50"/>
    <w:rsid w:val="28523CB8"/>
    <w:rsid w:val="291F3E65"/>
    <w:rsid w:val="2D07E9F1"/>
    <w:rsid w:val="35E49910"/>
    <w:rsid w:val="36C5CBB1"/>
    <w:rsid w:val="379991CE"/>
    <w:rsid w:val="38619C12"/>
    <w:rsid w:val="391C39D2"/>
    <w:rsid w:val="3AE64510"/>
    <w:rsid w:val="4364B49F"/>
    <w:rsid w:val="4717097F"/>
    <w:rsid w:val="48CBD0EE"/>
    <w:rsid w:val="53B66287"/>
    <w:rsid w:val="58F37E90"/>
    <w:rsid w:val="5EA7CAE5"/>
    <w:rsid w:val="617B7DA7"/>
    <w:rsid w:val="656BF5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49127"/>
  <w15:docId w15:val="{A589F9DC-CAC0-374F-9D08-C51028496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34C8"/>
    <w:pPr>
      <w:suppressAutoHyphens/>
      <w:autoSpaceDE w:val="0"/>
      <w:autoSpaceDN w:val="0"/>
      <w:adjustRightInd w:val="0"/>
      <w:spacing w:before="340" w:after="120"/>
      <w:textAlignment w:val="center"/>
      <w:outlineLvl w:val="0"/>
    </w:pPr>
    <w:rPr>
      <w:rFonts w:ascii="Calibri" w:hAnsi="Calibri" w:cs="Calibri"/>
      <w:b/>
      <w:color w:val="005695"/>
      <w:sz w:val="28"/>
      <w:szCs w:val="28"/>
      <w:lang w:val="en-US"/>
    </w:rPr>
  </w:style>
  <w:style w:type="paragraph" w:styleId="Heading2">
    <w:name w:val="heading 2"/>
    <w:basedOn w:val="Normal"/>
    <w:next w:val="Normal"/>
    <w:link w:val="Heading2Char"/>
    <w:uiPriority w:val="9"/>
    <w:unhideWhenUsed/>
    <w:qFormat/>
    <w:rsid w:val="00DB1738"/>
    <w:pPr>
      <w:suppressAutoHyphens/>
      <w:autoSpaceDE w:val="0"/>
      <w:autoSpaceDN w:val="0"/>
      <w:adjustRightInd w:val="0"/>
      <w:spacing w:before="397" w:after="113" w:line="300" w:lineRule="atLeast"/>
      <w:textAlignment w:val="center"/>
      <w:outlineLvl w:val="1"/>
    </w:pPr>
    <w:rPr>
      <w:rFonts w:ascii="Calibri" w:hAnsi="Calibri" w:cs="Calibri"/>
      <w:color w:val="005695"/>
      <w:szCs w:val="32"/>
      <w:lang w:val="en-GB"/>
    </w:rPr>
  </w:style>
  <w:style w:type="paragraph" w:styleId="Heading3">
    <w:name w:val="heading 3"/>
    <w:basedOn w:val="Normal"/>
    <w:next w:val="Normal"/>
    <w:link w:val="Heading3Char"/>
    <w:uiPriority w:val="9"/>
    <w:unhideWhenUsed/>
    <w:qFormat/>
    <w:rsid w:val="004B34C8"/>
    <w:pPr>
      <w:suppressAutoHyphens/>
      <w:autoSpaceDE w:val="0"/>
      <w:autoSpaceDN w:val="0"/>
      <w:adjustRightInd w:val="0"/>
      <w:spacing w:before="200" w:after="60"/>
      <w:textAlignment w:val="center"/>
      <w:outlineLvl w:val="2"/>
    </w:pPr>
    <w:rPr>
      <w:rFonts w:ascii="Calibri" w:hAnsi="Calibri" w:cs="Myriad Pro Light"/>
      <w:i/>
      <w:color w:val="005695"/>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1738"/>
    <w:rPr>
      <w:rFonts w:ascii="Calibri" w:hAnsi="Calibri" w:cs="Calibri"/>
      <w:color w:val="005695"/>
      <w:szCs w:val="32"/>
      <w:lang w:val="en-GB"/>
    </w:rPr>
  </w:style>
  <w:style w:type="paragraph" w:styleId="Header">
    <w:name w:val="header"/>
    <w:basedOn w:val="Normal"/>
    <w:link w:val="HeaderChar"/>
    <w:uiPriority w:val="99"/>
    <w:unhideWhenUsed/>
    <w:rsid w:val="002000D4"/>
    <w:pPr>
      <w:tabs>
        <w:tab w:val="center" w:pos="4513"/>
        <w:tab w:val="right" w:pos="9026"/>
      </w:tabs>
    </w:pPr>
  </w:style>
  <w:style w:type="character" w:customStyle="1" w:styleId="HeaderChar">
    <w:name w:val="Header Char"/>
    <w:basedOn w:val="DefaultParagraphFont"/>
    <w:link w:val="Header"/>
    <w:uiPriority w:val="99"/>
    <w:rsid w:val="002000D4"/>
  </w:style>
  <w:style w:type="paragraph" w:styleId="Footer">
    <w:name w:val="footer"/>
    <w:basedOn w:val="Normal"/>
    <w:link w:val="FooterChar"/>
    <w:uiPriority w:val="99"/>
    <w:unhideWhenUsed/>
    <w:rsid w:val="002000D4"/>
    <w:pPr>
      <w:tabs>
        <w:tab w:val="center" w:pos="4513"/>
        <w:tab w:val="right" w:pos="9026"/>
      </w:tabs>
    </w:pPr>
  </w:style>
  <w:style w:type="character" w:customStyle="1" w:styleId="FooterChar">
    <w:name w:val="Footer Char"/>
    <w:basedOn w:val="DefaultParagraphFont"/>
    <w:link w:val="Footer"/>
    <w:uiPriority w:val="99"/>
    <w:rsid w:val="002000D4"/>
  </w:style>
  <w:style w:type="character" w:customStyle="1" w:styleId="Heading1Char">
    <w:name w:val="Heading 1 Char"/>
    <w:basedOn w:val="DefaultParagraphFont"/>
    <w:link w:val="Heading1"/>
    <w:uiPriority w:val="9"/>
    <w:rsid w:val="004B34C8"/>
    <w:rPr>
      <w:rFonts w:ascii="Calibri" w:hAnsi="Calibri" w:cs="Calibri"/>
      <w:b/>
      <w:color w:val="005695"/>
      <w:sz w:val="28"/>
      <w:szCs w:val="28"/>
      <w:lang w:val="en-US"/>
    </w:rPr>
  </w:style>
  <w:style w:type="character" w:customStyle="1" w:styleId="Heading3Char">
    <w:name w:val="Heading 3 Char"/>
    <w:basedOn w:val="DefaultParagraphFont"/>
    <w:link w:val="Heading3"/>
    <w:uiPriority w:val="9"/>
    <w:rsid w:val="004B34C8"/>
    <w:rPr>
      <w:rFonts w:ascii="Calibri" w:hAnsi="Calibri" w:cs="Myriad Pro Light"/>
      <w:i/>
      <w:color w:val="005695"/>
      <w:sz w:val="22"/>
      <w:szCs w:val="22"/>
      <w:lang w:val="en-GB"/>
    </w:rPr>
  </w:style>
  <w:style w:type="paragraph" w:styleId="Title">
    <w:name w:val="Title"/>
    <w:basedOn w:val="Normal"/>
    <w:next w:val="Normal"/>
    <w:link w:val="TitleChar"/>
    <w:uiPriority w:val="10"/>
    <w:qFormat/>
    <w:rsid w:val="004B34C8"/>
    <w:pPr>
      <w:suppressAutoHyphens/>
      <w:autoSpaceDE w:val="0"/>
      <w:autoSpaceDN w:val="0"/>
      <w:adjustRightInd w:val="0"/>
      <w:spacing w:before="200" w:after="170" w:line="380" w:lineRule="atLeast"/>
      <w:textAlignment w:val="center"/>
    </w:pPr>
    <w:rPr>
      <w:rFonts w:ascii="Calibri" w:hAnsi="Calibri" w:cs="Calibri"/>
      <w:b/>
      <w:bCs/>
      <w:color w:val="005695"/>
      <w:sz w:val="32"/>
      <w:szCs w:val="32"/>
      <w:lang w:val="en-US"/>
    </w:rPr>
  </w:style>
  <w:style w:type="character" w:customStyle="1" w:styleId="TitleChar">
    <w:name w:val="Title Char"/>
    <w:basedOn w:val="DefaultParagraphFont"/>
    <w:link w:val="Title"/>
    <w:uiPriority w:val="10"/>
    <w:rsid w:val="004B34C8"/>
    <w:rPr>
      <w:rFonts w:ascii="Calibri" w:hAnsi="Calibri" w:cs="Calibri"/>
      <w:b/>
      <w:bCs/>
      <w:color w:val="005695"/>
      <w:sz w:val="32"/>
      <w:szCs w:val="32"/>
      <w:lang w:val="en-US"/>
    </w:rPr>
  </w:style>
  <w:style w:type="paragraph" w:styleId="Subtitle">
    <w:name w:val="Subtitle"/>
    <w:basedOn w:val="Normal"/>
    <w:next w:val="Normal"/>
    <w:link w:val="SubtitleChar"/>
    <w:uiPriority w:val="11"/>
    <w:qFormat/>
    <w:rsid w:val="004B34C8"/>
    <w:pPr>
      <w:suppressAutoHyphens/>
      <w:autoSpaceDE w:val="0"/>
      <w:autoSpaceDN w:val="0"/>
      <w:adjustRightInd w:val="0"/>
      <w:spacing w:before="227" w:line="288" w:lineRule="auto"/>
      <w:ind w:left="1134"/>
      <w:textAlignment w:val="center"/>
    </w:pPr>
    <w:rPr>
      <w:rFonts w:ascii="Calibri" w:hAnsi="Calibri" w:cs="Calibri"/>
      <w:color w:val="808285"/>
      <w:sz w:val="28"/>
      <w:szCs w:val="28"/>
      <w:lang w:val="en-GB"/>
    </w:rPr>
  </w:style>
  <w:style w:type="character" w:customStyle="1" w:styleId="SubtitleChar">
    <w:name w:val="Subtitle Char"/>
    <w:basedOn w:val="DefaultParagraphFont"/>
    <w:link w:val="Subtitle"/>
    <w:uiPriority w:val="11"/>
    <w:rsid w:val="004B34C8"/>
    <w:rPr>
      <w:rFonts w:ascii="Calibri" w:hAnsi="Calibri" w:cs="Calibri"/>
      <w:color w:val="808285"/>
      <w:sz w:val="28"/>
      <w:szCs w:val="28"/>
      <w:lang w:val="en-GB"/>
    </w:rPr>
  </w:style>
  <w:style w:type="paragraph" w:customStyle="1" w:styleId="Bullet1">
    <w:name w:val="Bullet 1"/>
    <w:basedOn w:val="Normal"/>
    <w:qFormat/>
    <w:rsid w:val="007E3DCD"/>
    <w:pPr>
      <w:numPr>
        <w:numId w:val="5"/>
      </w:numPr>
      <w:spacing w:after="120"/>
      <w:ind w:left="284" w:hanging="284"/>
    </w:pPr>
    <w:rPr>
      <w:rFonts w:ascii="Calibri" w:hAnsi="Calibri" w:cs="Calibri"/>
      <w:color w:val="000000"/>
      <w:sz w:val="19"/>
      <w:szCs w:val="19"/>
      <w:lang w:val="en-US"/>
    </w:rPr>
  </w:style>
  <w:style w:type="paragraph" w:customStyle="1" w:styleId="Bullet2">
    <w:name w:val="Bullet 2"/>
    <w:basedOn w:val="Bullet1"/>
    <w:qFormat/>
    <w:rsid w:val="00177B9B"/>
    <w:pPr>
      <w:numPr>
        <w:numId w:val="31"/>
      </w:numPr>
      <w:tabs>
        <w:tab w:val="left" w:pos="851"/>
      </w:tabs>
    </w:pPr>
  </w:style>
  <w:style w:type="paragraph" w:customStyle="1" w:styleId="Bullet3">
    <w:name w:val="Bullet 3"/>
    <w:basedOn w:val="Bullet2"/>
    <w:qFormat/>
    <w:rsid w:val="004B34C8"/>
    <w:pPr>
      <w:numPr>
        <w:ilvl w:val="2"/>
      </w:numPr>
      <w:tabs>
        <w:tab w:val="clear" w:pos="851"/>
        <w:tab w:val="left" w:pos="1134"/>
      </w:tabs>
      <w:ind w:left="1135" w:hanging="284"/>
    </w:pPr>
  </w:style>
  <w:style w:type="numbering" w:customStyle="1" w:styleId="BulletsList">
    <w:name w:val="Bullets List"/>
    <w:uiPriority w:val="99"/>
    <w:rsid w:val="004B34C8"/>
    <w:pPr>
      <w:numPr>
        <w:numId w:val="1"/>
      </w:numPr>
    </w:pPr>
  </w:style>
  <w:style w:type="table" w:customStyle="1" w:styleId="IESCTABLE1">
    <w:name w:val="IESC TABLE 1"/>
    <w:basedOn w:val="TableNormal"/>
    <w:uiPriority w:val="42"/>
    <w:locked/>
    <w:rsid w:val="004B34C8"/>
    <w:pPr>
      <w:spacing w:after="80"/>
    </w:pPr>
    <w:rPr>
      <w:sz w:val="22"/>
      <w:szCs w:val="22"/>
    </w:rPr>
    <w:tblPr>
      <w:tblStyleRowBandSize w:val="1"/>
      <w:tblStyleColBandSize w:val="1"/>
      <w:tblBorders>
        <w:top w:val="single" w:sz="4" w:space="0" w:color="00569F"/>
        <w:left w:val="single" w:sz="4" w:space="0" w:color="00569F"/>
        <w:bottom w:val="single" w:sz="4" w:space="0" w:color="00569F"/>
        <w:right w:val="single" w:sz="4" w:space="0" w:color="00569F"/>
        <w:insideH w:val="single" w:sz="4" w:space="0" w:color="00569F"/>
        <w:insideV w:val="single" w:sz="4" w:space="0" w:color="00569F"/>
      </w:tblBorders>
    </w:tblPr>
    <w:tcPr>
      <w:shd w:val="clear" w:color="auto" w:fill="EAEDF5"/>
      <w:tcMar>
        <w:top w:w="113" w:type="dxa"/>
        <w:bottom w:w="113" w:type="dxa"/>
      </w:tcMar>
    </w:tcPr>
    <w:tblStylePr w:type="firstRow">
      <w:pPr>
        <w:wordWrap/>
        <w:spacing w:beforeLines="0" w:before="0" w:beforeAutospacing="0" w:afterLines="0" w:after="0" w:afterAutospacing="0" w:line="240" w:lineRule="auto"/>
        <w:ind w:firstLineChars="0" w:firstLine="0"/>
      </w:pPr>
      <w:rPr>
        <w:rFonts w:ascii="Calibri" w:hAnsi="Calibri"/>
        <w:b/>
        <w:bCs/>
        <w:i w:val="0"/>
        <w:caps w:val="0"/>
        <w:smallCaps w:val="0"/>
        <w:strike w:val="0"/>
        <w:dstrike w:val="0"/>
        <w:vanish w:val="0"/>
        <w:color w:val="FFFFFF" w:themeColor="background1"/>
        <w:sz w:val="18"/>
        <w:u w:val="none"/>
        <w:vertAlign w:val="baseline"/>
      </w:rPr>
      <w:tblPr/>
      <w:tcPr>
        <w:tcBorders>
          <w:bottom w:val="single" w:sz="4" w:space="0" w:color="00569F"/>
        </w:tcBorders>
        <w:shd w:val="clear" w:color="auto" w:fill="00569F"/>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rPr>
        <w:rFonts w:ascii="Calibri" w:hAnsi="Calibri"/>
      </w:rPr>
      <w:tblPr/>
      <w:tcPr>
        <w:tcBorders>
          <w:top w:val="single" w:sz="4" w:space="0" w:color="7F7F7F" w:themeColor="text1" w:themeTint="80"/>
          <w:bottom w:val="single" w:sz="4" w:space="0" w:color="7F7F7F" w:themeColor="text1" w:themeTint="80"/>
        </w:tcBorders>
        <w:shd w:val="clear" w:color="auto" w:fill="EAEDF5"/>
      </w:tcPr>
    </w:tblStylePr>
    <w:tblStylePr w:type="band2Horz">
      <w:tblPr/>
      <w:tcPr>
        <w:tcBorders>
          <w:top w:val="single" w:sz="4" w:space="0" w:color="00569F"/>
          <w:left w:val="single" w:sz="4" w:space="0" w:color="00569F"/>
          <w:bottom w:val="single" w:sz="4" w:space="0" w:color="00569F"/>
          <w:right w:val="single" w:sz="4" w:space="0" w:color="00569F"/>
          <w:insideH w:val="single" w:sz="4" w:space="0" w:color="00569F"/>
          <w:insideV w:val="single" w:sz="4" w:space="0" w:color="00569F"/>
          <w:tl2br w:val="nil"/>
          <w:tr2bl w:val="nil"/>
        </w:tcBorders>
        <w:shd w:val="clear" w:color="auto" w:fill="EAEDF5"/>
      </w:tcPr>
    </w:tblStylePr>
  </w:style>
  <w:style w:type="character" w:styleId="Hyperlink">
    <w:name w:val="Hyperlink"/>
    <w:basedOn w:val="DefaultParagraphFont"/>
    <w:uiPriority w:val="99"/>
    <w:rsid w:val="004B34C8"/>
    <w:rPr>
      <w:rFonts w:ascii="Calibri" w:hAnsi="Calibri" w:cs="MuseoSans-500"/>
      <w:b w:val="0"/>
      <w:i w:val="0"/>
      <w:color w:val="auto"/>
      <w:u w:val="single" w:color="0070C0"/>
    </w:rPr>
  </w:style>
  <w:style w:type="character" w:styleId="Strong">
    <w:name w:val="Strong"/>
    <w:basedOn w:val="DefaultParagraphFont"/>
    <w:uiPriority w:val="22"/>
    <w:qFormat/>
    <w:rsid w:val="004B34C8"/>
    <w:rPr>
      <w:b/>
      <w:bCs/>
    </w:rPr>
  </w:style>
  <w:style w:type="paragraph" w:styleId="Caption">
    <w:name w:val="caption"/>
    <w:basedOn w:val="BodyText"/>
    <w:next w:val="Normal"/>
    <w:uiPriority w:val="35"/>
    <w:unhideWhenUsed/>
    <w:qFormat/>
    <w:rsid w:val="00FD7D87"/>
    <w:pPr>
      <w:snapToGrid w:val="0"/>
      <w:spacing w:before="120" w:after="120" w:line="240" w:lineRule="atLeast"/>
    </w:pPr>
    <w:rPr>
      <w:i/>
      <w:iCs/>
      <w:sz w:val="18"/>
      <w:szCs w:val="18"/>
    </w:rPr>
  </w:style>
  <w:style w:type="paragraph" w:customStyle="1" w:styleId="TableText">
    <w:name w:val="Table Text"/>
    <w:basedOn w:val="BodyText"/>
    <w:qFormat/>
    <w:rsid w:val="004B34C8"/>
    <w:pPr>
      <w:spacing w:after="80" w:line="240" w:lineRule="auto"/>
    </w:pPr>
  </w:style>
  <w:style w:type="paragraph" w:customStyle="1" w:styleId="TableHeaderRow">
    <w:name w:val="Table Header Row"/>
    <w:basedOn w:val="Normal"/>
    <w:qFormat/>
    <w:rsid w:val="004B34C8"/>
    <w:pPr>
      <w:suppressAutoHyphens/>
      <w:autoSpaceDE w:val="0"/>
      <w:autoSpaceDN w:val="0"/>
      <w:adjustRightInd w:val="0"/>
      <w:spacing w:line="288" w:lineRule="auto"/>
      <w:textAlignment w:val="center"/>
    </w:pPr>
    <w:rPr>
      <w:rFonts w:ascii="Calibri" w:hAnsi="Calibri" w:cs="Adobe Garamond Pro Bold"/>
      <w:b/>
      <w:color w:val="FFFFFF"/>
      <w:sz w:val="18"/>
      <w:szCs w:val="18"/>
      <w:lang w:val="en-US"/>
    </w:rPr>
  </w:style>
  <w:style w:type="paragraph" w:customStyle="1" w:styleId="FIGUREHEADING">
    <w:name w:val="FIGURE HEADING"/>
    <w:basedOn w:val="Normal"/>
    <w:uiPriority w:val="99"/>
    <w:rsid w:val="004B34C8"/>
    <w:pPr>
      <w:keepNext/>
      <w:suppressAutoHyphens/>
      <w:autoSpaceDE w:val="0"/>
      <w:autoSpaceDN w:val="0"/>
      <w:adjustRightInd w:val="0"/>
      <w:spacing w:before="283" w:after="170" w:line="280" w:lineRule="atLeast"/>
      <w:textAlignment w:val="center"/>
    </w:pPr>
    <w:rPr>
      <w:rFonts w:ascii="Calibri" w:hAnsi="Calibri" w:cs="Calibri"/>
      <w:b/>
      <w:bCs/>
      <w:color w:val="1F4E79"/>
      <w:sz w:val="22"/>
      <w:szCs w:val="22"/>
      <w:lang w:val="en-US"/>
    </w:rPr>
  </w:style>
  <w:style w:type="paragraph" w:styleId="BodyText">
    <w:name w:val="Body Text"/>
    <w:basedOn w:val="Normal"/>
    <w:link w:val="BodyTextChar"/>
    <w:uiPriority w:val="99"/>
    <w:unhideWhenUsed/>
    <w:rsid w:val="004B34C8"/>
    <w:pPr>
      <w:suppressAutoHyphens/>
      <w:autoSpaceDE w:val="0"/>
      <w:autoSpaceDN w:val="0"/>
      <w:adjustRightInd w:val="0"/>
      <w:spacing w:after="170" w:line="260" w:lineRule="atLeast"/>
      <w:textAlignment w:val="center"/>
    </w:pPr>
    <w:rPr>
      <w:rFonts w:ascii="Calibri" w:hAnsi="Calibri" w:cs="Calibri"/>
      <w:color w:val="000000"/>
      <w:sz w:val="19"/>
      <w:szCs w:val="20"/>
      <w:lang w:val="en-US"/>
    </w:rPr>
  </w:style>
  <w:style w:type="character" w:customStyle="1" w:styleId="BodyTextChar">
    <w:name w:val="Body Text Char"/>
    <w:basedOn w:val="DefaultParagraphFont"/>
    <w:link w:val="BodyText"/>
    <w:uiPriority w:val="99"/>
    <w:rsid w:val="004B34C8"/>
    <w:rPr>
      <w:rFonts w:ascii="Calibri" w:hAnsi="Calibri" w:cs="Calibri"/>
      <w:color w:val="000000"/>
      <w:sz w:val="19"/>
      <w:szCs w:val="20"/>
      <w:lang w:val="en-US"/>
    </w:rPr>
  </w:style>
  <w:style w:type="paragraph" w:customStyle="1" w:styleId="Box1Text">
    <w:name w:val="Box 1 Text"/>
    <w:basedOn w:val="Normal"/>
    <w:qFormat/>
    <w:rsid w:val="004B34C8"/>
    <w:pPr>
      <w:pBdr>
        <w:top w:val="single" w:sz="4" w:space="14" w:color="00569F"/>
        <w:left w:val="single" w:sz="4" w:space="14" w:color="00569F"/>
        <w:bottom w:val="single" w:sz="4" w:space="14" w:color="00569F"/>
        <w:right w:val="single" w:sz="4" w:space="14" w:color="00569F"/>
      </w:pBdr>
      <w:shd w:val="clear" w:color="auto" w:fill="FFFFFF" w:themeFill="background1"/>
      <w:suppressAutoHyphens/>
      <w:spacing w:before="180" w:after="80" w:line="240" w:lineRule="atLeast"/>
      <w:ind w:left="284" w:right="284"/>
    </w:pPr>
    <w:rPr>
      <w:rFonts w:ascii="Calibri" w:hAnsi="Calibri" w:cs="Times New Roman (Body CS)"/>
      <w:color w:val="000000" w:themeColor="text1"/>
      <w:sz w:val="20"/>
      <w:szCs w:val="22"/>
    </w:rPr>
  </w:style>
  <w:style w:type="paragraph" w:customStyle="1" w:styleId="Box1Bullet">
    <w:name w:val="Box 1 Bullet"/>
    <w:basedOn w:val="Box1Text"/>
    <w:qFormat/>
    <w:rsid w:val="004B34C8"/>
    <w:pPr>
      <w:numPr>
        <w:numId w:val="2"/>
      </w:numPr>
      <w:ind w:left="568" w:hanging="284"/>
    </w:pPr>
  </w:style>
  <w:style w:type="paragraph" w:customStyle="1" w:styleId="Coversubtitle">
    <w:name w:val="Cover subtitle"/>
    <w:basedOn w:val="Normal"/>
    <w:uiPriority w:val="99"/>
    <w:rsid w:val="004B34C8"/>
    <w:pPr>
      <w:suppressAutoHyphens/>
      <w:autoSpaceDE w:val="0"/>
      <w:autoSpaceDN w:val="0"/>
      <w:adjustRightInd w:val="0"/>
      <w:spacing w:before="227" w:line="288" w:lineRule="auto"/>
      <w:ind w:left="1134"/>
      <w:textAlignment w:val="center"/>
    </w:pPr>
    <w:rPr>
      <w:rFonts w:ascii="Calibri" w:hAnsi="Calibri"/>
      <w:color w:val="AEAAAA" w:themeColor="background2" w:themeShade="BF"/>
      <w:sz w:val="28"/>
      <w:szCs w:val="22"/>
      <w:lang w:val="en-GB"/>
    </w:rPr>
  </w:style>
  <w:style w:type="character" w:styleId="FollowedHyperlink">
    <w:name w:val="FollowedHyperlink"/>
    <w:basedOn w:val="DefaultParagraphFont"/>
    <w:uiPriority w:val="99"/>
    <w:semiHidden/>
    <w:unhideWhenUsed/>
    <w:rsid w:val="00463039"/>
    <w:rPr>
      <w:color w:val="954F72" w:themeColor="followedHyperlink"/>
      <w:u w:val="single"/>
    </w:rPr>
  </w:style>
  <w:style w:type="character" w:customStyle="1" w:styleId="ITALIC">
    <w:name w:val="ITALIC"/>
    <w:uiPriority w:val="99"/>
    <w:rsid w:val="009E46FC"/>
    <w:rPr>
      <w:i/>
      <w:iCs/>
    </w:rPr>
  </w:style>
  <w:style w:type="table" w:styleId="TableGrid">
    <w:name w:val="Table Grid"/>
    <w:basedOn w:val="TableNormal"/>
    <w:uiPriority w:val="39"/>
    <w:rsid w:val="001E2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ITALICS">
    <w:name w:val="HEADER ITALICS"/>
    <w:basedOn w:val="Header"/>
    <w:qFormat/>
    <w:rsid w:val="00E21915"/>
    <w:pPr>
      <w:spacing w:before="2200"/>
      <w:ind w:left="-1077" w:right="-568"/>
      <w:jc w:val="right"/>
    </w:pPr>
    <w:rPr>
      <w:rFonts w:ascii="Adobe Garamond Pro" w:hAnsi="Adobe Garamond Pro" w:cs="Adobe Garamond Pro"/>
      <w:i/>
      <w:iCs/>
      <w:color w:val="B1BCD3"/>
      <w:sz w:val="110"/>
      <w:szCs w:val="110"/>
      <w:lang w:val="en-US"/>
    </w:rPr>
  </w:style>
  <w:style w:type="character" w:customStyle="1" w:styleId="UnresolvedMention1">
    <w:name w:val="Unresolved Mention1"/>
    <w:basedOn w:val="DefaultParagraphFont"/>
    <w:uiPriority w:val="99"/>
    <w:semiHidden/>
    <w:unhideWhenUsed/>
    <w:rsid w:val="003B2DF9"/>
    <w:rPr>
      <w:color w:val="605E5C"/>
      <w:shd w:val="clear" w:color="auto" w:fill="E1DFDD"/>
    </w:rPr>
  </w:style>
  <w:style w:type="paragraph" w:styleId="Revision">
    <w:name w:val="Revision"/>
    <w:hidden/>
    <w:uiPriority w:val="99"/>
    <w:semiHidden/>
    <w:rsid w:val="00C36E84"/>
  </w:style>
  <w:style w:type="character" w:styleId="CommentReference">
    <w:name w:val="annotation reference"/>
    <w:basedOn w:val="DefaultParagraphFont"/>
    <w:uiPriority w:val="99"/>
    <w:semiHidden/>
    <w:unhideWhenUsed/>
    <w:rsid w:val="000E4F8F"/>
    <w:rPr>
      <w:sz w:val="16"/>
      <w:szCs w:val="16"/>
    </w:rPr>
  </w:style>
  <w:style w:type="paragraph" w:styleId="CommentText">
    <w:name w:val="annotation text"/>
    <w:basedOn w:val="Normal"/>
    <w:link w:val="CommentTextChar"/>
    <w:uiPriority w:val="99"/>
    <w:unhideWhenUsed/>
    <w:rsid w:val="000E4F8F"/>
    <w:rPr>
      <w:sz w:val="20"/>
      <w:szCs w:val="20"/>
    </w:rPr>
  </w:style>
  <w:style w:type="character" w:customStyle="1" w:styleId="CommentTextChar">
    <w:name w:val="Comment Text Char"/>
    <w:basedOn w:val="DefaultParagraphFont"/>
    <w:link w:val="CommentText"/>
    <w:uiPriority w:val="99"/>
    <w:rsid w:val="000E4F8F"/>
    <w:rPr>
      <w:sz w:val="20"/>
      <w:szCs w:val="20"/>
    </w:rPr>
  </w:style>
  <w:style w:type="paragraph" w:styleId="CommentSubject">
    <w:name w:val="annotation subject"/>
    <w:basedOn w:val="CommentText"/>
    <w:next w:val="CommentText"/>
    <w:link w:val="CommentSubjectChar"/>
    <w:uiPriority w:val="99"/>
    <w:semiHidden/>
    <w:unhideWhenUsed/>
    <w:rsid w:val="000E4F8F"/>
    <w:rPr>
      <w:b/>
      <w:bCs/>
    </w:rPr>
  </w:style>
  <w:style w:type="character" w:customStyle="1" w:styleId="CommentSubjectChar">
    <w:name w:val="Comment Subject Char"/>
    <w:basedOn w:val="CommentTextChar"/>
    <w:link w:val="CommentSubject"/>
    <w:uiPriority w:val="99"/>
    <w:semiHidden/>
    <w:rsid w:val="000E4F8F"/>
    <w:rPr>
      <w:b/>
      <w:bCs/>
      <w:sz w:val="20"/>
      <w:szCs w:val="20"/>
    </w:rPr>
  </w:style>
  <w:style w:type="paragraph" w:styleId="ListNumber">
    <w:name w:val="List Number"/>
    <w:basedOn w:val="BodyText"/>
    <w:uiPriority w:val="99"/>
    <w:unhideWhenUsed/>
    <w:rsid w:val="00C720DB"/>
    <w:pPr>
      <w:numPr>
        <w:numId w:val="29"/>
      </w:numPr>
      <w:ind w:left="284" w:hanging="284"/>
    </w:pPr>
  </w:style>
  <w:style w:type="numbering" w:customStyle="1" w:styleId="CurrentList1">
    <w:name w:val="Current List1"/>
    <w:uiPriority w:val="99"/>
    <w:rsid w:val="00DC5FFB"/>
    <w:pPr>
      <w:numPr>
        <w:numId w:val="30"/>
      </w:numPr>
    </w:pPr>
  </w:style>
  <w:style w:type="paragraph" w:styleId="BalloonText">
    <w:name w:val="Balloon Text"/>
    <w:basedOn w:val="Normal"/>
    <w:link w:val="BalloonTextChar"/>
    <w:uiPriority w:val="99"/>
    <w:semiHidden/>
    <w:unhideWhenUsed/>
    <w:rsid w:val="00EB50C2"/>
    <w:rPr>
      <w:rFonts w:ascii="Tahoma" w:hAnsi="Tahoma" w:cs="Tahoma"/>
      <w:sz w:val="16"/>
      <w:szCs w:val="16"/>
    </w:rPr>
  </w:style>
  <w:style w:type="character" w:customStyle="1" w:styleId="BalloonTextChar">
    <w:name w:val="Balloon Text Char"/>
    <w:basedOn w:val="DefaultParagraphFont"/>
    <w:link w:val="BalloonText"/>
    <w:uiPriority w:val="99"/>
    <w:semiHidden/>
    <w:rsid w:val="00EB50C2"/>
    <w:rPr>
      <w:rFonts w:ascii="Tahoma" w:hAnsi="Tahoma" w:cs="Tahoma"/>
      <w:sz w:val="16"/>
      <w:szCs w:val="16"/>
    </w:rPr>
  </w:style>
  <w:style w:type="paragraph" w:customStyle="1" w:styleId="paragraph">
    <w:name w:val="paragraph"/>
    <w:basedOn w:val="Normal"/>
    <w:rsid w:val="00E62D80"/>
    <w:pPr>
      <w:spacing w:before="100" w:beforeAutospacing="1" w:after="100" w:afterAutospacing="1"/>
    </w:pPr>
    <w:rPr>
      <w:rFonts w:ascii="Times New Roman" w:eastAsia="Times New Roman" w:hAnsi="Times New Roman" w:cs="Times New Roman"/>
      <w:lang w:eastAsia="en-AU"/>
    </w:rPr>
  </w:style>
  <w:style w:type="table" w:styleId="LightShading">
    <w:name w:val="Light Shading"/>
    <w:basedOn w:val="TableNormal"/>
    <w:uiPriority w:val="60"/>
    <w:rsid w:val="00D26A7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SourceNotes">
    <w:name w:val="Table Source Notes"/>
    <w:basedOn w:val="Normal"/>
    <w:qFormat/>
    <w:rsid w:val="00FD7D87"/>
    <w:pPr>
      <w:tabs>
        <w:tab w:val="left" w:pos="284"/>
      </w:tabs>
      <w:suppressAutoHyphens/>
      <w:snapToGrid w:val="0"/>
      <w:spacing w:before="120" w:after="120" w:line="160" w:lineRule="atLeast"/>
    </w:pPr>
    <w:rPr>
      <w:rFonts w:ascii="Calibri" w:hAnsi="Calibri"/>
      <w:i/>
      <w:color w:val="000000" w:themeColor="text1"/>
      <w:sz w:val="17"/>
      <w:szCs w:val="16"/>
      <w:lang w:val="en-GB"/>
    </w:rPr>
  </w:style>
  <w:style w:type="character" w:styleId="UnresolvedMention">
    <w:name w:val="Unresolved Mention"/>
    <w:basedOn w:val="DefaultParagraphFont"/>
    <w:uiPriority w:val="99"/>
    <w:semiHidden/>
    <w:unhideWhenUsed/>
    <w:rsid w:val="002C1D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731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iesc.gov.a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esc.gov.au" TargetMode="External"/><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b98728ac-f998-415c-abee-6b046fb1441e">
      <Terms xmlns="http://schemas.microsoft.com/office/infopath/2007/PartnerControls"/>
    </lcf76f155ced4ddcb4097134ff3c332f>
    <SharedWithUsers xmlns="d869c146-c82e-4435-92e4-da91542262fd">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A4F77836BB3D4E8942C3BA8310D952" ma:contentTypeVersion="15" ma:contentTypeDescription="Create a new document." ma:contentTypeScope="" ma:versionID="6e48aec5def834d40ec44ff6c92fbf08">
  <xsd:schema xmlns:xsd="http://www.w3.org/2001/XMLSchema" xmlns:xs="http://www.w3.org/2001/XMLSchema" xmlns:p="http://schemas.microsoft.com/office/2006/metadata/properties" xmlns:ns2="b98728ac-f998-415c-abee-6b046fb1441e" xmlns:ns3="81c01dc6-2c49-4730-b140-874c95cac377" xmlns:ns4="d869c146-c82e-4435-92e4-da91542262fd" targetNamespace="http://schemas.microsoft.com/office/2006/metadata/properties" ma:root="true" ma:fieldsID="987a2097c9261067d7968c54a9b0e15b" ns2:_="" ns3:_="" ns4:_="">
    <xsd:import namespace="b98728ac-f998-415c-abee-6b046fb1441e"/>
    <xsd:import namespace="81c01dc6-2c49-4730-b140-874c95cac377"/>
    <xsd:import namespace="d869c146-c82e-4435-92e4-da91542262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4:SharedWithUsers" minOccurs="0"/>
                <xsd:element ref="ns4:SharedWithDetails"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6b5be2-cf4e-43ec-8734-a0fb5251e776}" ma:internalName="TaxCatchAll" ma:showField="CatchAllData" ma:web="d869c146-c82e-4435-92e4-da91542262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3863BE-1686-45E2-B54E-BD2CE65BA429}">
  <ds:schemaRefs>
    <ds:schemaRef ds:uri="http://purl.org/dc/terms/"/>
    <ds:schemaRef ds:uri="6015daa0-8aeb-4e42-ab85-05f27da8bfe8"/>
    <ds:schemaRef ds:uri="http://purl.org/dc/elements/1.1/"/>
    <ds:schemaRef ds:uri="http://www.w3.org/XML/1998/namespace"/>
    <ds:schemaRef ds:uri="http://schemas.microsoft.com/office/infopath/2007/PartnerControls"/>
    <ds:schemaRef ds:uri="81c01dc6-2c49-4730-b140-874c95cac377"/>
    <ds:schemaRef ds:uri="http://schemas.microsoft.com/office/2006/documentManagement/types"/>
    <ds:schemaRef ds:uri="b8f004c7-739e-4bf2-9f1b-6c799f204467"/>
    <ds:schemaRef ds:uri="http://schemas.microsoft.com/office/2006/metadata/propertie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A2574836-D9D7-4D84-AC1C-5424047E31DA}">
  <ds:schemaRefs>
    <ds:schemaRef ds:uri="http://schemas.openxmlformats.org/officeDocument/2006/bibliography"/>
  </ds:schemaRefs>
</ds:datastoreItem>
</file>

<file path=customXml/itemProps3.xml><?xml version="1.0" encoding="utf-8"?>
<ds:datastoreItem xmlns:ds="http://schemas.openxmlformats.org/officeDocument/2006/customXml" ds:itemID="{855779F9-F99C-4CE7-BB20-8751E608A9AE}"/>
</file>

<file path=customXml/itemProps4.xml><?xml version="1.0" encoding="utf-8"?>
<ds:datastoreItem xmlns:ds="http://schemas.openxmlformats.org/officeDocument/2006/customXml" ds:itemID="{5AE97A64-E193-4D25-A2F0-BC75EAC15F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2238</Words>
  <Characters>12758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Summary guide – Using impact pathway diagrams based on ecohydrological conceptualisation in environmental impact assessment</vt:lpstr>
    </vt:vector>
  </TitlesOfParts>
  <Manager/>
  <Company/>
  <LinksUpToDate>false</LinksUpToDate>
  <CharactersWithSpaces>14967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guide – Using impact pathway diagrams based on ecohydrological conceptualisation in environmental impact assessment</dc:title>
  <dc:subject/>
  <dc:creator>IESC</dc:creator>
  <cp:keywords/>
  <dc:description/>
  <cp:lastModifiedBy>Durack, Bec</cp:lastModifiedBy>
  <cp:revision>2</cp:revision>
  <cp:lastPrinted>2024-02-23T03:19:00Z</cp:lastPrinted>
  <dcterms:created xsi:type="dcterms:W3CDTF">2024-03-04T03:20:00Z</dcterms:created>
  <dcterms:modified xsi:type="dcterms:W3CDTF">2024-03-04T03:20:00Z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2023-03-27T22:51:03Z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bfc08e65-2b9c-47b5-80fc-130a349c85e2</vt:lpwstr>
  </property>
  <property fmtid="{D5CDD505-2E9C-101B-9397-08002B2CF9AE}" pid="8" name="MSIP_Label_0f488380-630a-4f55-a077-a19445e3f360_ContentBits">
    <vt:lpwstr>0</vt:lpwstr>
  </property>
  <property fmtid="{D5CDD505-2E9C-101B-9397-08002B2CF9AE}" pid="9" name="ContentTypeId">
    <vt:lpwstr>0x010100E3A4F77836BB3D4E8942C3BA8310D952</vt:lpwstr>
  </property>
  <property fmtid="{D5CDD505-2E9C-101B-9397-08002B2CF9AE}" pid="10" name="RecordPoint_WorkflowType">
    <vt:lpwstr>ActiveSubmitStub</vt:lpwstr>
  </property>
  <property fmtid="{D5CDD505-2E9C-101B-9397-08002B2CF9AE}" pid="11" name="RecordPoint_ActiveItemSiteId">
    <vt:lpwstr>{4b445ea7-761d-43d2-909a-116082cfbf41}</vt:lpwstr>
  </property>
  <property fmtid="{D5CDD505-2E9C-101B-9397-08002B2CF9AE}" pid="12" name="RecordPoint_ActiveItemListId">
    <vt:lpwstr>{0759ebec-b5a2-4905-845d-b22a5168979e}</vt:lpwstr>
  </property>
  <property fmtid="{D5CDD505-2E9C-101B-9397-08002B2CF9AE}" pid="13" name="RecordPoint_ActiveItemUniqueId">
    <vt:lpwstr>{03b36e4b-862d-4310-94be-fe32963c7d28}</vt:lpwstr>
  </property>
  <property fmtid="{D5CDD505-2E9C-101B-9397-08002B2CF9AE}" pid="14" name="RecordPoint_ActiveItemWebId">
    <vt:lpwstr>{aa3e7952-617a-4d1d-acc5-2dff72d3e0ca}</vt:lpwstr>
  </property>
  <property fmtid="{D5CDD505-2E9C-101B-9397-08002B2CF9AE}" pid="15" name="MediaServiceImageTags">
    <vt:lpwstr/>
  </property>
  <property fmtid="{D5CDD505-2E9C-101B-9397-08002B2CF9AE}" pid="16" name="RecordPoint_SubmissionDate">
    <vt:lpwstr/>
  </property>
  <property fmtid="{D5CDD505-2E9C-101B-9397-08002B2CF9AE}" pid="17" name="RecordPoint_RecordNumberSubmitted">
    <vt:lpwstr/>
  </property>
  <property fmtid="{D5CDD505-2E9C-101B-9397-08002B2CF9AE}" pid="18" name="RecordPoint_ActiveItemMoved">
    <vt:lpwstr/>
  </property>
  <property fmtid="{D5CDD505-2E9C-101B-9397-08002B2CF9AE}" pid="19" name="RecordPoint_SubmissionCompleted">
    <vt:lpwstr/>
  </property>
  <property fmtid="{D5CDD505-2E9C-101B-9397-08002B2CF9AE}" pid="20" name="RecordPoint_RecordFormat">
    <vt:lpwstr/>
  </property>
</Properties>
</file>