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EECE" w14:textId="77777777" w:rsidR="005D31CC" w:rsidRDefault="00AF6371" w:rsidP="00572490">
      <w:pPr>
        <w:pStyle w:val="Heading1"/>
        <w:spacing w:before="0"/>
        <w:jc w:val="center"/>
      </w:pPr>
      <w:r>
        <w:t>Invitation to comment on the</w:t>
      </w:r>
      <w:r w:rsidR="007A4CBD">
        <w:t xml:space="preserve"> IESC </w:t>
      </w:r>
      <w:r w:rsidR="00C875CA">
        <w:t xml:space="preserve">draft </w:t>
      </w:r>
      <w:r w:rsidR="007A4CBD">
        <w:t>research priorities</w:t>
      </w:r>
    </w:p>
    <w:p w14:paraId="73D2EECF" w14:textId="77777777" w:rsidR="00C875CA" w:rsidRDefault="00C875CA" w:rsidP="00437154">
      <w:pPr>
        <w:pStyle w:val="Heading1"/>
        <w:spacing w:before="120" w:after="120"/>
        <w:rPr>
          <w:rFonts w:asciiTheme="minorHAnsi" w:hAnsiTheme="minorHAnsi"/>
          <w:color w:val="000000" w:themeColor="text1"/>
          <w:sz w:val="22"/>
          <w:szCs w:val="22"/>
        </w:rPr>
      </w:pPr>
      <w:r>
        <w:rPr>
          <w:rFonts w:asciiTheme="minorHAnsi" w:hAnsiTheme="minorHAnsi"/>
          <w:color w:val="000000" w:themeColor="text1"/>
          <w:sz w:val="22"/>
          <w:szCs w:val="22"/>
        </w:rPr>
        <w:t xml:space="preserve">The Independent Expert Scientific Committee on Coal Seam Gas and Large Coal Mining Development </w:t>
      </w:r>
      <w:r w:rsidR="00437154">
        <w:rPr>
          <w:rFonts w:asciiTheme="minorHAnsi" w:hAnsiTheme="minorHAnsi"/>
          <w:color w:val="000000" w:themeColor="text1"/>
          <w:sz w:val="22"/>
          <w:szCs w:val="22"/>
        </w:rPr>
        <w:t xml:space="preserve">(IESC) </w:t>
      </w:r>
      <w:r>
        <w:rPr>
          <w:rFonts w:asciiTheme="minorHAnsi" w:hAnsiTheme="minorHAnsi"/>
          <w:color w:val="000000" w:themeColor="text1"/>
          <w:sz w:val="22"/>
          <w:szCs w:val="22"/>
        </w:rPr>
        <w:t xml:space="preserve">is seeking comment on draft </w:t>
      </w:r>
      <w:r w:rsidR="00394AA3">
        <w:rPr>
          <w:rFonts w:asciiTheme="minorHAnsi" w:hAnsiTheme="minorHAnsi"/>
          <w:color w:val="000000" w:themeColor="text1"/>
          <w:sz w:val="22"/>
          <w:szCs w:val="22"/>
        </w:rPr>
        <w:t xml:space="preserve">priorities for </w:t>
      </w:r>
      <w:r>
        <w:rPr>
          <w:rFonts w:asciiTheme="minorHAnsi" w:hAnsiTheme="minorHAnsi"/>
          <w:color w:val="000000" w:themeColor="text1"/>
          <w:sz w:val="22"/>
          <w:szCs w:val="22"/>
        </w:rPr>
        <w:t xml:space="preserve">research </w:t>
      </w:r>
      <w:r w:rsidR="00394AA3">
        <w:rPr>
          <w:rFonts w:asciiTheme="minorHAnsi" w:hAnsiTheme="minorHAnsi"/>
          <w:color w:val="000000" w:themeColor="text1"/>
          <w:sz w:val="22"/>
          <w:szCs w:val="22"/>
        </w:rPr>
        <w:t>on</w:t>
      </w:r>
      <w:r>
        <w:rPr>
          <w:rFonts w:asciiTheme="minorHAnsi" w:hAnsiTheme="minorHAnsi"/>
          <w:color w:val="000000" w:themeColor="text1"/>
          <w:sz w:val="22"/>
          <w:szCs w:val="22"/>
        </w:rPr>
        <w:t xml:space="preserve"> the water-related impacts of coal seam gas extraction and coal mining. </w:t>
      </w:r>
    </w:p>
    <w:p w14:paraId="73D2EED0" w14:textId="77777777" w:rsidR="002F3680" w:rsidRDefault="00C875CA" w:rsidP="00437154">
      <w:pPr>
        <w:spacing w:before="120" w:after="120"/>
        <w:rPr>
          <w:b/>
        </w:rPr>
      </w:pPr>
      <w:r>
        <w:rPr>
          <w:b/>
        </w:rPr>
        <w:t>Stakeholder views are sought on</w:t>
      </w:r>
      <w:r w:rsidR="002F3680">
        <w:rPr>
          <w:b/>
        </w:rPr>
        <w:t>:</w:t>
      </w:r>
      <w:bookmarkStart w:id="0" w:name="_GoBack"/>
      <w:bookmarkEnd w:id="0"/>
    </w:p>
    <w:p w14:paraId="73D2EED1" w14:textId="77777777" w:rsidR="002F3680" w:rsidRPr="002F3680" w:rsidRDefault="003104A0" w:rsidP="002F3680">
      <w:pPr>
        <w:pStyle w:val="ListParagraph"/>
        <w:numPr>
          <w:ilvl w:val="0"/>
          <w:numId w:val="39"/>
        </w:numPr>
        <w:spacing w:before="120" w:after="120"/>
        <w:rPr>
          <w:b/>
        </w:rPr>
      </w:pPr>
      <w:r w:rsidRPr="002F3680">
        <w:rPr>
          <w:b/>
        </w:rPr>
        <w:t xml:space="preserve">the draft research priorities at Appendix </w:t>
      </w:r>
      <w:r w:rsidR="00437154" w:rsidRPr="002F3680">
        <w:rPr>
          <w:b/>
        </w:rPr>
        <w:t>B</w:t>
      </w:r>
      <w:r w:rsidR="00C56C95">
        <w:rPr>
          <w:b/>
        </w:rPr>
        <w:t xml:space="preserve"> of this document</w:t>
      </w:r>
    </w:p>
    <w:p w14:paraId="73D2EED2" w14:textId="77777777" w:rsidR="00C56C95" w:rsidRDefault="003104A0" w:rsidP="002F3680">
      <w:pPr>
        <w:pStyle w:val="ListParagraph"/>
        <w:numPr>
          <w:ilvl w:val="0"/>
          <w:numId w:val="39"/>
        </w:numPr>
        <w:spacing w:before="120" w:after="120"/>
        <w:rPr>
          <w:b/>
        </w:rPr>
      </w:pPr>
      <w:r w:rsidRPr="002F3680">
        <w:rPr>
          <w:b/>
        </w:rPr>
        <w:t>any synergies with current or pla</w:t>
      </w:r>
      <w:r w:rsidR="00C56C95">
        <w:rPr>
          <w:b/>
        </w:rPr>
        <w:t>nned research</w:t>
      </w:r>
    </w:p>
    <w:p w14:paraId="73D2EED3" w14:textId="77777777" w:rsidR="002F3680" w:rsidRDefault="003104A0" w:rsidP="002F3680">
      <w:pPr>
        <w:pStyle w:val="ListParagraph"/>
        <w:numPr>
          <w:ilvl w:val="0"/>
          <w:numId w:val="39"/>
        </w:numPr>
        <w:spacing w:before="120" w:after="120"/>
        <w:rPr>
          <w:b/>
        </w:rPr>
      </w:pPr>
      <w:r w:rsidRPr="002F3680">
        <w:rPr>
          <w:b/>
        </w:rPr>
        <w:t xml:space="preserve"> </w:t>
      </w:r>
      <w:r w:rsidR="00C56C95" w:rsidRPr="00C56C95">
        <w:rPr>
          <w:b/>
        </w:rPr>
        <w:t>mechanisms for facilitating interdisciplinary and multi-disciplinary research</w:t>
      </w:r>
    </w:p>
    <w:p w14:paraId="73D2EED4" w14:textId="77777777" w:rsidR="00C56C95" w:rsidRPr="002F3680" w:rsidRDefault="00C56C95" w:rsidP="002F3680">
      <w:pPr>
        <w:pStyle w:val="ListParagraph"/>
        <w:numPr>
          <w:ilvl w:val="0"/>
          <w:numId w:val="39"/>
        </w:numPr>
        <w:spacing w:before="120" w:after="120"/>
        <w:rPr>
          <w:b/>
        </w:rPr>
      </w:pPr>
      <w:r w:rsidRPr="00C56C95">
        <w:rPr>
          <w:b/>
        </w:rPr>
        <w:t>strategies to achieve alignment and integration with research conducted by others</w:t>
      </w:r>
    </w:p>
    <w:p w14:paraId="73D2EED5" w14:textId="77777777" w:rsidR="00C875CA" w:rsidRPr="002F3680" w:rsidRDefault="003104A0" w:rsidP="002F3680">
      <w:pPr>
        <w:pStyle w:val="ListParagraph"/>
        <w:numPr>
          <w:ilvl w:val="0"/>
          <w:numId w:val="39"/>
        </w:numPr>
        <w:spacing w:before="120" w:after="120"/>
        <w:rPr>
          <w:b/>
        </w:rPr>
      </w:pPr>
      <w:r w:rsidRPr="002F3680">
        <w:rPr>
          <w:b/>
        </w:rPr>
        <w:t>any priority topics that may be missing from the list.</w:t>
      </w:r>
    </w:p>
    <w:p w14:paraId="73D2EED6" w14:textId="77777777" w:rsidR="00437154" w:rsidRPr="00C875CA" w:rsidRDefault="00437154" w:rsidP="00C875CA">
      <w:pPr>
        <w:rPr>
          <w:b/>
        </w:rPr>
      </w:pPr>
      <w:r>
        <w:rPr>
          <w:b/>
        </w:rPr>
        <w:t>This paper provides background on the IESC</w:t>
      </w:r>
      <w:r w:rsidR="008249F7">
        <w:rPr>
          <w:b/>
        </w:rPr>
        <w:t>’s role in providing advice on research priorities,</w:t>
      </w:r>
      <w:r>
        <w:rPr>
          <w:b/>
        </w:rPr>
        <w:t xml:space="preserve"> and outlines issues for stakeholders to consider when </w:t>
      </w:r>
      <w:r w:rsidR="00A33CB4">
        <w:rPr>
          <w:b/>
        </w:rPr>
        <w:t>providing feedback on the draft revised priorities.</w:t>
      </w:r>
    </w:p>
    <w:p w14:paraId="73D2EED7" w14:textId="77777777" w:rsidR="007A4CBD" w:rsidRPr="00A05646" w:rsidRDefault="00AF6371" w:rsidP="00334727">
      <w:pPr>
        <w:pStyle w:val="Heading1"/>
        <w:spacing w:before="240"/>
      </w:pPr>
      <w:r>
        <w:t>Why is the IESC reviewing its research priorities?</w:t>
      </w:r>
    </w:p>
    <w:p w14:paraId="73D2EED8" w14:textId="77777777" w:rsidR="001A1710" w:rsidRDefault="00E42445" w:rsidP="007A68B7">
      <w:pPr>
        <w:spacing w:after="120"/>
      </w:pPr>
      <w:r>
        <w:t xml:space="preserve">One </w:t>
      </w:r>
      <w:r w:rsidR="00AA4AD7">
        <w:t>function of the IESC u</w:t>
      </w:r>
      <w:r w:rsidR="000F48C0">
        <w:t xml:space="preserve">nder the </w:t>
      </w:r>
      <w:r w:rsidR="000F48C0" w:rsidRPr="000F48C0">
        <w:rPr>
          <w:i/>
        </w:rPr>
        <w:t>Environment Protection and Biodiversity Conservation Act 1999</w:t>
      </w:r>
      <w:r w:rsidR="000F48C0">
        <w:t xml:space="preserve"> is to provide advice to the Environment Minister about priorities for research projects to improve scientific understanding of the impacts of coal seam gas developments and large coal mining developments on water resources, including any impacts of associated salt production and/or salinity. </w:t>
      </w:r>
    </w:p>
    <w:p w14:paraId="73D2EED9" w14:textId="77777777" w:rsidR="000F48C0" w:rsidRDefault="00186E2F" w:rsidP="007A68B7">
      <w:pPr>
        <w:spacing w:after="120"/>
      </w:pPr>
      <w:r>
        <w:t>The IESC research priorities may inform research institutions, research funding bodies</w:t>
      </w:r>
      <w:r w:rsidR="003104A0">
        <w:t>,</w:t>
      </w:r>
      <w:r>
        <w:t xml:space="preserve"> government science agencies </w:t>
      </w:r>
      <w:r w:rsidR="003104A0">
        <w:t xml:space="preserve">and industry </w:t>
      </w:r>
      <w:r>
        <w:t>in developing research plans and priorities.</w:t>
      </w:r>
    </w:p>
    <w:p w14:paraId="73D2EEDA" w14:textId="46B733E4" w:rsidR="009572B7" w:rsidRDefault="008F3D37" w:rsidP="007A68B7">
      <w:pPr>
        <w:pStyle w:val="ListBullet"/>
        <w:numPr>
          <w:ilvl w:val="0"/>
          <w:numId w:val="0"/>
        </w:numPr>
        <w:spacing w:after="120"/>
      </w:pPr>
      <w:r>
        <w:t>In 2013 the IESC identified priorities for research projects under four broad themes: Hydrology, Ecology, Chemicals and Cumulative Impacts</w:t>
      </w:r>
      <w:r w:rsidR="00B42651">
        <w:t xml:space="preserve"> (</w:t>
      </w:r>
      <w:hyperlink r:id="rId7" w:history="1">
        <w:r w:rsidR="00B42651" w:rsidRPr="005953E4">
          <w:rPr>
            <w:rStyle w:val="Hyperlink"/>
          </w:rPr>
          <w:t>http://www.iesc.environment.gov.au/publications/iesc-priorities-for-research-projects</w:t>
        </w:r>
      </w:hyperlink>
      <w:r w:rsidR="00B42651">
        <w:t>)</w:t>
      </w:r>
      <w:r>
        <w:t xml:space="preserve">. </w:t>
      </w:r>
      <w:r w:rsidR="009572B7">
        <w:t xml:space="preserve">The priorities were based on an analysis of current and emerging research, and were informed by consultations undertaken in 2012 by Professor John Langford and the IESC Research </w:t>
      </w:r>
      <w:r w:rsidR="00236A2B">
        <w:t>S</w:t>
      </w:r>
      <w:r w:rsidR="009572B7">
        <w:t>ub</w:t>
      </w:r>
      <w:r w:rsidR="00236A2B">
        <w:t>-</w:t>
      </w:r>
      <w:r w:rsidR="009572B7">
        <w:t>committee chaired by Professor Craig Simmons, and a consultation workshop i</w:t>
      </w:r>
      <w:r w:rsidR="009572B7" w:rsidRPr="00C7766A">
        <w:t>n March 2013</w:t>
      </w:r>
      <w:r w:rsidR="009572B7">
        <w:t xml:space="preserve"> </w:t>
      </w:r>
      <w:r w:rsidR="009572B7" w:rsidRPr="00C7766A">
        <w:t>in Canberra</w:t>
      </w:r>
      <w:r w:rsidR="009572B7">
        <w:t xml:space="preserve">. </w:t>
      </w:r>
      <w:r w:rsidR="009572B7" w:rsidRPr="00C7766A">
        <w:t xml:space="preserve">Participants </w:t>
      </w:r>
      <w:r w:rsidR="009572B7">
        <w:t xml:space="preserve">at the workshop </w:t>
      </w:r>
      <w:r w:rsidR="009572B7" w:rsidRPr="00C7766A">
        <w:t xml:space="preserve">were drawn from academia, </w:t>
      </w:r>
      <w:r w:rsidR="009572B7" w:rsidRPr="002865F8">
        <w:t>state and Commonwealth government agencies,</w:t>
      </w:r>
      <w:r w:rsidR="009572B7">
        <w:t xml:space="preserve"> </w:t>
      </w:r>
      <w:r w:rsidR="009572B7" w:rsidRPr="00C7766A">
        <w:t>industry and the community, with a mix of expertise and experience in geology, hydrology, hydrogeology and ecology, as well as geographic coverage.</w:t>
      </w:r>
    </w:p>
    <w:p w14:paraId="73D2EEDB" w14:textId="15368074" w:rsidR="00E42445" w:rsidRDefault="00E42445" w:rsidP="007378A2">
      <w:pPr>
        <w:spacing w:after="120"/>
      </w:pPr>
      <w:r>
        <w:t xml:space="preserve">The Department of the Environment </w:t>
      </w:r>
      <w:r w:rsidR="00817F53">
        <w:t>and Energy</w:t>
      </w:r>
      <w:r>
        <w:t xml:space="preserve"> </w:t>
      </w:r>
      <w:r w:rsidR="006E1380">
        <w:t xml:space="preserve">commissioned a suite of research projects </w:t>
      </w:r>
      <w:r w:rsidR="00E851F6">
        <w:t xml:space="preserve">(Appendix A) </w:t>
      </w:r>
      <w:r w:rsidR="006E1380">
        <w:t>guided by the 2013 IESC priorities.</w:t>
      </w:r>
      <w:r w:rsidR="00630B3C" w:rsidRPr="00630B3C">
        <w:t xml:space="preserve"> </w:t>
      </w:r>
      <w:r w:rsidR="00E17409">
        <w:t>To date, r</w:t>
      </w:r>
      <w:r w:rsidR="00630B3C" w:rsidRPr="00630B3C">
        <w:t>eports from 17 projects have been published on the Department of the Environment</w:t>
      </w:r>
      <w:r w:rsidR="00817F53">
        <w:t xml:space="preserve"> and Energy website</w:t>
      </w:r>
      <w:r w:rsidR="00630B3C" w:rsidRPr="00630B3C">
        <w:t xml:space="preserve"> </w:t>
      </w:r>
      <w:r w:rsidR="000034E1">
        <w:t>(</w:t>
      </w:r>
      <w:hyperlink r:id="rId8" w:history="1">
        <w:r w:rsidR="000034E1" w:rsidRPr="000034E1">
          <w:rPr>
            <w:rStyle w:val="Hyperlink"/>
          </w:rPr>
          <w:t>Water publications and resources | Department of the Environment</w:t>
        </w:r>
      </w:hyperlink>
      <w:r w:rsidR="00817F53">
        <w:t>)</w:t>
      </w:r>
      <w:r w:rsidR="00630B3C" w:rsidRPr="00630B3C">
        <w:t xml:space="preserve">, and </w:t>
      </w:r>
      <w:r w:rsidR="00AA4AD7">
        <w:t>five</w:t>
      </w:r>
      <w:r w:rsidR="00630B3C" w:rsidRPr="00630B3C">
        <w:t xml:space="preserve"> reports </w:t>
      </w:r>
      <w:r w:rsidR="00603C94">
        <w:t xml:space="preserve">have been published by Geoscience Australia </w:t>
      </w:r>
      <w:r w:rsidR="000034E1">
        <w:t>(</w:t>
      </w:r>
      <w:hyperlink r:id="rId9" w:history="1">
        <w:r w:rsidR="000034E1" w:rsidRPr="000034E1">
          <w:rPr>
            <w:rStyle w:val="Hyperlink"/>
          </w:rPr>
          <w:t>Data &amp; Publications - Geoscience Australia</w:t>
        </w:r>
      </w:hyperlink>
      <w:r w:rsidR="000034E1">
        <w:t>)</w:t>
      </w:r>
      <w:r w:rsidR="00630B3C" w:rsidRPr="00630B3C">
        <w:t xml:space="preserve">. </w:t>
      </w:r>
      <w:r w:rsidR="008F3D37">
        <w:t xml:space="preserve">The national assessment of chemicals </w:t>
      </w:r>
      <w:r w:rsidR="007D2BC3">
        <w:t>associated with CSG extraction</w:t>
      </w:r>
      <w:r w:rsidR="007A3CCA">
        <w:t xml:space="preserve"> in Australia</w:t>
      </w:r>
      <w:r w:rsidR="008F3D37">
        <w:t xml:space="preserve"> is nearing completion. </w:t>
      </w:r>
      <w:r w:rsidR="000034E1">
        <w:t>T</w:t>
      </w:r>
      <w:r w:rsidR="00630B3C" w:rsidRPr="00630B3C">
        <w:t xml:space="preserve">hree </w:t>
      </w:r>
      <w:r w:rsidR="00D712BF">
        <w:t xml:space="preserve">further </w:t>
      </w:r>
      <w:r w:rsidR="00630B3C" w:rsidRPr="00630B3C">
        <w:t>research projects</w:t>
      </w:r>
      <w:r w:rsidR="000034E1">
        <w:t xml:space="preserve"> will be completed this year</w:t>
      </w:r>
      <w:r w:rsidR="00630B3C" w:rsidRPr="00630B3C">
        <w:t>: ‘Bore and well induced inter-aquifer groundwater connectivity: Consequence modelling and experimental design’ and ‘Provision of hydrology research to better include faults and aquitards in Australian regional groundwater models to improve assessment of imp</w:t>
      </w:r>
      <w:r w:rsidR="008F3D37">
        <w:t>acts of CSG extraction’ in the H</w:t>
      </w:r>
      <w:r w:rsidR="00630B3C" w:rsidRPr="00630B3C">
        <w:t xml:space="preserve">ydrology theme and ‘Research to inform the assessment of ecohydrological responses to coal seam gas extraction and coal mining’ in the </w:t>
      </w:r>
      <w:r w:rsidR="008F3D37">
        <w:t>E</w:t>
      </w:r>
      <w:r w:rsidR="00630B3C" w:rsidRPr="00630B3C">
        <w:t>cology theme (A</w:t>
      </w:r>
      <w:r w:rsidR="003B1275">
        <w:t>ppendix</w:t>
      </w:r>
      <w:r w:rsidR="00630B3C" w:rsidRPr="00630B3C">
        <w:t xml:space="preserve"> </w:t>
      </w:r>
      <w:r w:rsidR="00CB71BC">
        <w:t>A</w:t>
      </w:r>
      <w:r w:rsidR="00630B3C" w:rsidRPr="00630B3C">
        <w:t xml:space="preserve">). The bioregional assessments are underway and products are being published. </w:t>
      </w:r>
    </w:p>
    <w:p w14:paraId="73D2EEDC" w14:textId="1B660595" w:rsidR="007378A2" w:rsidRDefault="00817F53" w:rsidP="007378A2">
      <w:pPr>
        <w:spacing w:after="120"/>
      </w:pPr>
      <w:r>
        <w:lastRenderedPageBreak/>
        <w:t>Given the progress made in the</w:t>
      </w:r>
      <w:r w:rsidRPr="00817F53">
        <w:t xml:space="preserve"> </w:t>
      </w:r>
      <w:r w:rsidRPr="00630B3C">
        <w:t>Department of the Environment</w:t>
      </w:r>
      <w:r>
        <w:t xml:space="preserve"> and Energy </w:t>
      </w:r>
      <w:r w:rsidR="00630B3C">
        <w:t>research program</w:t>
      </w:r>
      <w:r w:rsidR="00E42445">
        <w:t xml:space="preserve">, </w:t>
      </w:r>
      <w:r w:rsidR="000034E1">
        <w:t xml:space="preserve">the IESC’s </w:t>
      </w:r>
      <w:r w:rsidR="00E42445">
        <w:t>experience over the last three years in providing advice on the impacts of coal mines and coal seam gas extraction projects</w:t>
      </w:r>
      <w:r w:rsidR="00753BB0">
        <w:t xml:space="preserve"> on water resources</w:t>
      </w:r>
      <w:r w:rsidR="00E42445">
        <w:t>, and other research</w:t>
      </w:r>
      <w:r w:rsidR="00630B3C">
        <w:t xml:space="preserve">, it is timely to review the IESC research priorities. </w:t>
      </w:r>
    </w:p>
    <w:p w14:paraId="73D2EEDD" w14:textId="77777777" w:rsidR="002B44D1" w:rsidRPr="00C14CEF" w:rsidRDefault="00CE704D" w:rsidP="00A16CE7">
      <w:pPr>
        <w:pStyle w:val="Heading1"/>
        <w:spacing w:before="120"/>
      </w:pPr>
      <w:r>
        <w:t>What i</w:t>
      </w:r>
      <w:r w:rsidR="002B44D1" w:rsidRPr="00C14CEF">
        <w:t xml:space="preserve">ssues </w:t>
      </w:r>
      <w:r>
        <w:t>should be</w:t>
      </w:r>
      <w:r w:rsidR="002B44D1" w:rsidRPr="00C14CEF">
        <w:t xml:space="preserve"> consider</w:t>
      </w:r>
      <w:r>
        <w:t>ed</w:t>
      </w:r>
      <w:r w:rsidR="002B44D1" w:rsidRPr="00C14CEF">
        <w:t xml:space="preserve"> in a revision of </w:t>
      </w:r>
      <w:r>
        <w:t xml:space="preserve">IESC research </w:t>
      </w:r>
      <w:r w:rsidR="002B44D1" w:rsidRPr="00C14CEF">
        <w:t>priorities</w:t>
      </w:r>
      <w:r>
        <w:t>?</w:t>
      </w:r>
    </w:p>
    <w:p w14:paraId="73D2EEDE" w14:textId="77777777" w:rsidR="002B44D1" w:rsidRDefault="002B44D1" w:rsidP="00A16CE7">
      <w:pPr>
        <w:pStyle w:val="Heading3"/>
        <w:spacing w:before="120"/>
      </w:pPr>
      <w:r>
        <w:t>The guiding principles</w:t>
      </w:r>
    </w:p>
    <w:p w14:paraId="73D2EEDF" w14:textId="77777777" w:rsidR="002B44D1" w:rsidRDefault="002B44D1" w:rsidP="007A68B7">
      <w:pPr>
        <w:spacing w:after="120"/>
      </w:pPr>
      <w:r>
        <w:t xml:space="preserve">In 2013 the IESC </w:t>
      </w:r>
      <w:r w:rsidR="008C4E4E">
        <w:t>identified guiding principles to inform</w:t>
      </w:r>
      <w:r>
        <w:t xml:space="preserve"> research priorities and research investments</w:t>
      </w:r>
      <w:r w:rsidR="008C4E4E">
        <w:t>,</w:t>
      </w:r>
      <w:r>
        <w:t xml:space="preserve"> namely that research should:</w:t>
      </w:r>
    </w:p>
    <w:p w14:paraId="73D2EEE0" w14:textId="77777777" w:rsidR="002B44D1" w:rsidRDefault="002B44D1" w:rsidP="007A68B7">
      <w:pPr>
        <w:pStyle w:val="ListParagraph"/>
        <w:numPr>
          <w:ilvl w:val="0"/>
          <w:numId w:val="13"/>
        </w:numPr>
        <w:spacing w:after="120"/>
      </w:pPr>
      <w:r>
        <w:t>strengthen regulatory decisions about coal seam gas and large coal mining development, including informing the advice the IESC provides to regulators</w:t>
      </w:r>
    </w:p>
    <w:p w14:paraId="73D2EEE1" w14:textId="77777777" w:rsidR="002B44D1" w:rsidRDefault="002B44D1" w:rsidP="007A68B7">
      <w:pPr>
        <w:pStyle w:val="ListParagraph"/>
        <w:numPr>
          <w:ilvl w:val="0"/>
          <w:numId w:val="13"/>
        </w:numPr>
        <w:spacing w:after="120"/>
      </w:pPr>
      <w:r>
        <w:t>prioritise areas where there is greatest scope to improve the necessary science</w:t>
      </w:r>
    </w:p>
    <w:p w14:paraId="73D2EEE2" w14:textId="77777777" w:rsidR="002B44D1" w:rsidRDefault="002B44D1" w:rsidP="007A68B7">
      <w:pPr>
        <w:pStyle w:val="ListParagraph"/>
        <w:numPr>
          <w:ilvl w:val="0"/>
          <w:numId w:val="13"/>
        </w:numPr>
        <w:spacing w:after="120"/>
      </w:pPr>
      <w:r>
        <w:t>focus on areas where the risk of getting decisions wrong is high</w:t>
      </w:r>
    </w:p>
    <w:p w14:paraId="73D2EEE3" w14:textId="77777777" w:rsidR="002B44D1" w:rsidRDefault="002B44D1" w:rsidP="007A68B7">
      <w:pPr>
        <w:pStyle w:val="ListParagraph"/>
        <w:numPr>
          <w:ilvl w:val="0"/>
          <w:numId w:val="13"/>
        </w:numPr>
        <w:spacing w:after="120"/>
      </w:pPr>
      <w:r>
        <w:t>produce outputs that are of national significance or capable of national relevance and where solutions require coordinated action across governments, and other sectors, at a national level</w:t>
      </w:r>
    </w:p>
    <w:p w14:paraId="73D2EEE4" w14:textId="77777777" w:rsidR="002B44D1" w:rsidRDefault="002B44D1" w:rsidP="007A68B7">
      <w:pPr>
        <w:pStyle w:val="ListParagraph"/>
        <w:numPr>
          <w:ilvl w:val="0"/>
          <w:numId w:val="13"/>
        </w:numPr>
        <w:spacing w:after="120"/>
      </w:pPr>
      <w:r>
        <w:t>be outcome-oriented and make a difference with</w:t>
      </w:r>
      <w:r w:rsidR="00D30669">
        <w:t>in</w:t>
      </w:r>
      <w:r>
        <w:t xml:space="preserve"> the next three years.</w:t>
      </w:r>
    </w:p>
    <w:p w14:paraId="73D2EEE5" w14:textId="77777777" w:rsidR="002B44D1" w:rsidRDefault="002B44D1" w:rsidP="002B44D1">
      <w:pPr>
        <w:pStyle w:val="Heading3"/>
      </w:pPr>
      <w:r>
        <w:t>Integration across themes and disciplines</w:t>
      </w:r>
    </w:p>
    <w:p w14:paraId="73D2EEE6" w14:textId="77777777" w:rsidR="002B44D1" w:rsidRPr="00507182" w:rsidRDefault="002B44D1" w:rsidP="002B44D1">
      <w:r>
        <w:t xml:space="preserve">The theme and sub-theme format of the 2013 research priorities helped to ensure investment </w:t>
      </w:r>
      <w:r w:rsidR="00F24CCC">
        <w:t xml:space="preserve">was spread </w:t>
      </w:r>
      <w:r>
        <w:t xml:space="preserve">across the span of topics.  </w:t>
      </w:r>
      <w:r w:rsidR="00F24CCC">
        <w:t xml:space="preserve">The thematic approach has been retained in the draft revised priorities, but the IESC recognises that research projects are interlinked and complementary. The IESC seeks stakeholder views on </w:t>
      </w:r>
      <w:r w:rsidR="00954192">
        <w:t xml:space="preserve">mechanisms for facilitating </w:t>
      </w:r>
      <w:r w:rsidR="007E1E2D">
        <w:t>t</w:t>
      </w:r>
      <w:r w:rsidR="00954192">
        <w:t>r</w:t>
      </w:r>
      <w:r w:rsidR="007E1E2D">
        <w:t>ans</w:t>
      </w:r>
      <w:r w:rsidR="00954192">
        <w:t>disciplinary and multi-disciplinary research</w:t>
      </w:r>
      <w:r w:rsidR="008C4E4E">
        <w:t xml:space="preserve">. One </w:t>
      </w:r>
      <w:r w:rsidR="00954192">
        <w:t xml:space="preserve">example </w:t>
      </w:r>
      <w:r w:rsidR="00063AD8">
        <w:t>is</w:t>
      </w:r>
      <w:r w:rsidR="008C4E4E">
        <w:t xml:space="preserve"> the</w:t>
      </w:r>
      <w:r w:rsidR="00954192">
        <w:t xml:space="preserve"> development of shared hypotheses and conceptual models.  </w:t>
      </w:r>
    </w:p>
    <w:p w14:paraId="73D2EEE7" w14:textId="77777777" w:rsidR="002B44D1" w:rsidRDefault="002B44D1" w:rsidP="002B44D1">
      <w:pPr>
        <w:pStyle w:val="Heading3"/>
      </w:pPr>
      <w:r>
        <w:t xml:space="preserve">Linkages with research conducted by others including </w:t>
      </w:r>
      <w:r w:rsidR="000034E1">
        <w:t>Commonwealth</w:t>
      </w:r>
      <w:r>
        <w:t xml:space="preserve"> and state agencies</w:t>
      </w:r>
    </w:p>
    <w:p w14:paraId="73D2EEE8" w14:textId="77777777" w:rsidR="002B44D1" w:rsidRDefault="002B44D1" w:rsidP="002B44D1">
      <w:r>
        <w:t xml:space="preserve">The </w:t>
      </w:r>
      <w:r w:rsidR="00954192">
        <w:t>IESC seeks advice from stakeholders on their existing research activities so that the IESC research priorities complement and do not duplicate current or planned work</w:t>
      </w:r>
      <w:r>
        <w:t xml:space="preserve">. </w:t>
      </w:r>
      <w:r w:rsidR="00954192">
        <w:t>Stakeholders</w:t>
      </w:r>
      <w:r w:rsidR="00CE704D">
        <w:t>’ experiences and advice are sought on</w:t>
      </w:r>
      <w:r w:rsidR="00954192">
        <w:t xml:space="preserve"> </w:t>
      </w:r>
      <w:r w:rsidR="00CE704D">
        <w:t>s</w:t>
      </w:r>
      <w:r>
        <w:t xml:space="preserve">trategies to achieve alignment and integration </w:t>
      </w:r>
      <w:r w:rsidR="00CE704D">
        <w:t>with research conducted by others</w:t>
      </w:r>
      <w:r>
        <w:t xml:space="preserve">.  </w:t>
      </w:r>
    </w:p>
    <w:p w14:paraId="73D2EEE9" w14:textId="77777777" w:rsidR="00E75B41" w:rsidRPr="002A35A6" w:rsidRDefault="00E75B41" w:rsidP="00E75B41">
      <w:pPr>
        <w:pStyle w:val="Heading3"/>
      </w:pPr>
      <w:r w:rsidRPr="002A35A6">
        <w:t>Emerging priorities</w:t>
      </w:r>
    </w:p>
    <w:p w14:paraId="73D2EEEA" w14:textId="77777777" w:rsidR="00E75B41" w:rsidRDefault="00E75B41" w:rsidP="00E75B41">
      <w:pPr>
        <w:spacing w:after="120"/>
      </w:pPr>
      <w:r>
        <w:t xml:space="preserve">The Australian Government has developed a set of science and research priorities and corresponding practical research challenges </w:t>
      </w:r>
      <w:r w:rsidR="009F426E">
        <w:fldChar w:fldCharType="begin"/>
      </w:r>
      <w:r>
        <w:instrText xml:space="preserve"> ADDIN EN.CITE &lt;EndNote&gt;&lt;Cite&gt;&lt;Author&gt;Australian Government&lt;/Author&gt;&lt;Year&gt;2015&lt;/Year&gt;&lt;RecNum&gt;1789&lt;/RecNum&gt;&lt;DisplayText&gt;(Australian Government 2015)&lt;/DisplayText&gt;&lt;record&gt;&lt;rec-number&gt;1789&lt;/rec-number&gt;&lt;foreign-keys&gt;&lt;key app="EN" db-id="xz5vrd20mz9trjezvzzvf9fhsxvzatfrr59v"&gt;1789&lt;/key&gt;&lt;/foreign-keys&gt;&lt;ref-type name="Report"&gt;27&lt;/ref-type&gt;&lt;contributors&gt;&lt;authors&gt;&lt;author&gt;Australian Government,&lt;/author&gt;&lt;/authors&gt;&lt;/contributors&gt;&lt;titles&gt;&lt;title&gt;Science and Research Priorities&lt;/title&gt;&lt;/titles&gt;&lt;dates&gt;&lt;year&gt;2015&lt;/year&gt;&lt;/dates&gt;&lt;urls&gt;&lt;related-urls&gt;&lt;url&gt;http://www.science.gov.au/scienceGov/ScienceAndResearchPriorities/Documents/15-49912%20Fact%20sheet%20for%20with%20National%20Science%20and%20Research%20Priorities_4.pdf&lt;/url&gt;&lt;/related-urls&gt;&lt;/urls&gt;&lt;/record&gt;&lt;/Cite&gt;&lt;/EndNote&gt;</w:instrText>
      </w:r>
      <w:r w:rsidR="009F426E">
        <w:fldChar w:fldCharType="separate"/>
      </w:r>
      <w:r>
        <w:rPr>
          <w:noProof/>
        </w:rPr>
        <w:t>(</w:t>
      </w:r>
      <w:hyperlink w:anchor="_ENREF_1" w:tooltip="Australian Government, 2015 #1789" w:history="1">
        <w:r w:rsidR="005D4DE5">
          <w:rPr>
            <w:noProof/>
          </w:rPr>
          <w:t>Australian Government 2015</w:t>
        </w:r>
      </w:hyperlink>
      <w:r>
        <w:rPr>
          <w:noProof/>
        </w:rPr>
        <w:t>)</w:t>
      </w:r>
      <w:r w:rsidR="009F426E">
        <w:fldChar w:fldCharType="end"/>
      </w:r>
      <w:r>
        <w:t>. Three of the nine priorities are directly relevant to the review of the IESC research priorities. Under the priority of ‘Soil and Water’ is ‘Research should therefore focus on critical assets such as the Great Barrier Reef, Northern Australia, key agricultural regions, aquifers and urban catchments, and build capacity for improved accuracy and precision in predicting change’. Under ‘Resources’, departments and agencies should give priority to research that will lead to ‘a fundamental understanding of the physical state of the Australian crust, its resource endowment and recovery;  knowledge of environmental issues associated with resource extraction; and lowering the risk to sedimentary basins and marine environments due to resource extraction’. Under ‘Environmental change’ the challenge is ‘improved accuracy and precision in predicting and measuring the impact of environmental changes caused by climate and local factors’.</w:t>
      </w:r>
    </w:p>
    <w:p w14:paraId="73D2EEEB" w14:textId="77777777" w:rsidR="006A16C6" w:rsidRDefault="00A05646" w:rsidP="001023BA">
      <w:pPr>
        <w:pStyle w:val="Heading3"/>
      </w:pPr>
      <w:r w:rsidRPr="00A05646">
        <w:t>Extent to which</w:t>
      </w:r>
      <w:r w:rsidR="007C6622">
        <w:t xml:space="preserve"> the 2013 IESC</w:t>
      </w:r>
      <w:r w:rsidRPr="00A05646">
        <w:t xml:space="preserve"> priorities have been addressed</w:t>
      </w:r>
      <w:r w:rsidR="007C2B74">
        <w:t xml:space="preserve"> </w:t>
      </w:r>
    </w:p>
    <w:p w14:paraId="73D2EEEC" w14:textId="239C806D" w:rsidR="00B15D12" w:rsidRDefault="00063AD8" w:rsidP="001E2A50">
      <w:pPr>
        <w:spacing w:after="120" w:line="264" w:lineRule="auto"/>
      </w:pPr>
      <w:r>
        <w:t xml:space="preserve">The research </w:t>
      </w:r>
      <w:r w:rsidR="00753BB0">
        <w:t xml:space="preserve">priorities </w:t>
      </w:r>
      <w:r>
        <w:t xml:space="preserve">identified by the IESC in 2013 encompassed the range of data and information needed to address its Information Guidelines </w:t>
      </w:r>
      <w:r w:rsidR="009F426E">
        <w:fldChar w:fldCharType="begin"/>
      </w:r>
      <w:r>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9F426E">
        <w:fldChar w:fldCharType="separate"/>
      </w:r>
      <w:r>
        <w:rPr>
          <w:noProof/>
        </w:rPr>
        <w:t>(</w:t>
      </w:r>
      <w:hyperlink w:anchor="_ENREF_8" w:tooltip="IESC, 2015 #1617" w:history="1">
        <w:r w:rsidR="005D4DE5">
          <w:rPr>
            <w:noProof/>
          </w:rPr>
          <w:t>IESC 2015</w:t>
        </w:r>
      </w:hyperlink>
      <w:r>
        <w:rPr>
          <w:noProof/>
        </w:rPr>
        <w:t>)</w:t>
      </w:r>
      <w:r w:rsidR="009F426E">
        <w:fldChar w:fldCharType="end"/>
      </w:r>
      <w:r>
        <w:t xml:space="preserve"> satisfactorily</w:t>
      </w:r>
      <w:r w:rsidR="00535B8D">
        <w:t xml:space="preserve">, and </w:t>
      </w:r>
      <w:r w:rsidR="007B7278">
        <w:t xml:space="preserve">were sufficiently broad that a suite of potential projects could have been formulated to address each </w:t>
      </w:r>
      <w:r w:rsidR="00FE0841">
        <w:t xml:space="preserve">topic. </w:t>
      </w:r>
      <w:r w:rsidR="007B7278">
        <w:t xml:space="preserve"> </w:t>
      </w:r>
      <w:r w:rsidR="002D709F">
        <w:t>A</w:t>
      </w:r>
      <w:r w:rsidR="007B7278">
        <w:t xml:space="preserve">ll the priorities have been </w:t>
      </w:r>
      <w:r w:rsidR="007B7278">
        <w:lastRenderedPageBreak/>
        <w:t>progressed to varying degrees</w:t>
      </w:r>
      <w:r w:rsidR="002D709F">
        <w:t>, but b</w:t>
      </w:r>
      <w:r w:rsidR="007B7278">
        <w:t>ecause of their broad relevance to assessment of water-related impacts of coal seam gas and coal mining dev</w:t>
      </w:r>
      <w:r w:rsidR="006C7932">
        <w:t xml:space="preserve">elopments, </w:t>
      </w:r>
      <w:r w:rsidR="007E6B79">
        <w:t>there is still a need for further research in each area</w:t>
      </w:r>
      <w:r w:rsidR="006C7932">
        <w:t xml:space="preserve">. </w:t>
      </w:r>
      <w:r w:rsidR="00381914">
        <w:t xml:space="preserve"> </w:t>
      </w:r>
      <w:r w:rsidR="001E2A50">
        <w:t xml:space="preserve">Each of the </w:t>
      </w:r>
      <w:r w:rsidR="006240B3" w:rsidRPr="00630B3C">
        <w:t>Department of the Environment</w:t>
      </w:r>
      <w:r w:rsidR="006240B3">
        <w:t xml:space="preserve"> and Energy</w:t>
      </w:r>
      <w:r w:rsidR="00753BB0">
        <w:t xml:space="preserve"> </w:t>
      </w:r>
      <w:r w:rsidR="001E2A50">
        <w:t>research reports identifie</w:t>
      </w:r>
      <w:r w:rsidR="007C6622">
        <w:t>s</w:t>
      </w:r>
      <w:r w:rsidR="001E2A50">
        <w:t xml:space="preserve"> further research needs. These may be divided into gaps in understanding of a system or process, including requirements for baseline data, and the development of management actions, methods or guidelines.</w:t>
      </w:r>
    </w:p>
    <w:p w14:paraId="73D2EEED" w14:textId="77777777" w:rsidR="00433205" w:rsidRDefault="00433205" w:rsidP="00A16CE7">
      <w:pPr>
        <w:pStyle w:val="Heading3"/>
        <w:spacing w:before="120"/>
      </w:pPr>
      <w:r>
        <w:t>The need for baseline data and data storage and management</w:t>
      </w:r>
    </w:p>
    <w:p w14:paraId="73D2EEEE" w14:textId="678D6C08" w:rsidR="00433205" w:rsidRDefault="00433205" w:rsidP="007A68B7">
      <w:pPr>
        <w:spacing w:after="120"/>
      </w:pPr>
      <w:r>
        <w:t xml:space="preserve">The need to collate and analyse empirical data on baseline conditions </w:t>
      </w:r>
      <w:r w:rsidR="00C3394A">
        <w:t>i</w:t>
      </w:r>
      <w:r>
        <w:t xml:space="preserve">s a consistent theme in the </w:t>
      </w:r>
      <w:r w:rsidR="006240B3" w:rsidRPr="00630B3C">
        <w:t>Department of the Environment</w:t>
      </w:r>
      <w:r w:rsidR="006240B3">
        <w:t xml:space="preserve"> and Energy</w:t>
      </w:r>
      <w:r w:rsidR="00753BB0">
        <w:t xml:space="preserve"> </w:t>
      </w:r>
      <w:r>
        <w:t>research reports</w:t>
      </w:r>
      <w:r w:rsidR="00D54F7A">
        <w:t>,</w:t>
      </w:r>
      <w:r>
        <w:t xml:space="preserve"> in the IESC’s advice on development projects</w:t>
      </w:r>
      <w:r w:rsidR="00D54F7A">
        <w:t>, and in</w:t>
      </w:r>
      <w:r w:rsidR="00D54F7A" w:rsidRPr="00D54F7A">
        <w:t xml:space="preserve"> </w:t>
      </w:r>
      <w:r w:rsidR="00D54F7A">
        <w:t>the scientific and grey literature</w:t>
      </w:r>
      <w:r>
        <w:t xml:space="preserve">. This lack of </w:t>
      </w:r>
      <w:r w:rsidR="00D30669">
        <w:t xml:space="preserve">understanding of </w:t>
      </w:r>
      <w:r>
        <w:t xml:space="preserve">baseline </w:t>
      </w:r>
      <w:r w:rsidR="00D30669">
        <w:t>conditions</w:t>
      </w:r>
      <w:r>
        <w:t xml:space="preserve"> is not strictly a research question, but it limits the scope of research and increases the associated uncertainties. </w:t>
      </w:r>
    </w:p>
    <w:p w14:paraId="73D2EEEF" w14:textId="77777777" w:rsidR="00433205" w:rsidRDefault="00433205" w:rsidP="007A68B7">
      <w:pPr>
        <w:spacing w:after="120"/>
      </w:pPr>
      <w:r>
        <w:t xml:space="preserve">Understanding of stratigraphy, the hydraulic properties of formations, and the presence and properties of faults remains a fundamental knowledge gap. Shallow alluvial aquifers are routinely overlooked in hydrogeological conceptualisation in environmental impact assessment, despite their ecological importance.  Inadequate hydrogeological conceptualisation hampers the efficacy of groundwater models to predict impacts on water resources. Inadequate or no wetland and vegetation mapping, and a lack of information on the sources of water used by ecosystems, mean that ecological impacts cannot be identified.  </w:t>
      </w:r>
    </w:p>
    <w:p w14:paraId="73D2EEF0" w14:textId="77777777" w:rsidR="007A68B7" w:rsidRDefault="00433205" w:rsidP="007A68B7">
      <w:pPr>
        <w:spacing w:after="120"/>
      </w:pPr>
      <w:r>
        <w:t xml:space="preserve">Jackson et al. </w:t>
      </w:r>
      <w:r w:rsidR="009F426E">
        <w:fldChar w:fldCharType="begin"/>
      </w:r>
      <w:r>
        <w:instrText xml:space="preserve"> ADDIN EN.CITE &lt;EndNote&gt;&lt;Cite ExcludeAuth="1"&gt;&lt;Author&gt;Jackson&lt;/Author&gt;&lt;Year&gt;2013&lt;/Year&gt;&lt;RecNum&gt;1773&lt;/RecNum&gt;&lt;DisplayText&gt;(2013)&lt;/DisplayText&gt;&lt;record&gt;&lt;rec-number&gt;1773&lt;/rec-number&gt;&lt;foreign-keys&gt;&lt;key app="EN" db-id="xz5vrd20mz9trjezvzzvf9fhsxvzatfrr59v"&gt;1773&lt;/key&gt;&lt;/foreign-keys&gt;&lt;ref-type name="Journal Article"&gt;17&lt;/ref-type&gt;&lt;contributors&gt;&lt;authors&gt;&lt;author&gt;Jackson, R. E.&lt;/author&gt;&lt;author&gt;Gorody, A. W.&lt;/author&gt;&lt;author&gt;Mayer, B.&lt;/author&gt;&lt;author&gt;Roy, J. W.&lt;/author&gt;&lt;author&gt;Ryan, M. C.&lt;/author&gt;&lt;author&gt;Van Stempvoort, D. R.&lt;/author&gt;&lt;/authors&gt;&lt;/contributors&gt;&lt;titles&gt;&lt;title&gt;Groundwater protection and unconventional gas extraction: the critical need for field-based hydrogeological research&lt;/title&gt;&lt;secondary-title&gt;Ground Water&lt;/secondary-title&gt;&lt;/titles&gt;&lt;periodical&gt;&lt;full-title&gt;Ground Water&lt;/full-title&gt;&lt;/periodical&gt;&lt;pages&gt;488-510&lt;/pages&gt;&lt;volume&gt;51&lt;/volume&gt;&lt;number&gt;4&lt;/number&gt;&lt;dates&gt;&lt;year&gt;2013&lt;/year&gt;&lt;pub-dates&gt;&lt;date&gt;Jul&lt;/date&gt;&lt;/pub-dates&gt;&lt;/dates&gt;&lt;isbn&gt;0017-467X&lt;/isbn&gt;&lt;accession-num&gt;WOS:000321258800005&lt;/accession-num&gt;&lt;urls&gt;&lt;related-urls&gt;&lt;url&gt;&amp;lt;Go to ISI&amp;gt;://WOS:000321258800005&lt;/url&gt;&lt;/related-urls&gt;&lt;/urls&gt;&lt;electronic-resource-num&gt;10.1111/gwat.12074&lt;/electronic-resource-num&gt;&lt;/record&gt;&lt;/Cite&gt;&lt;/EndNote&gt;</w:instrText>
      </w:r>
      <w:r w:rsidR="009F426E">
        <w:fldChar w:fldCharType="separate"/>
      </w:r>
      <w:r>
        <w:rPr>
          <w:noProof/>
        </w:rPr>
        <w:t>(</w:t>
      </w:r>
      <w:hyperlink w:anchor="_ENREF_9" w:tooltip="Jackson, 2013 #1773" w:history="1">
        <w:r w:rsidR="005D4DE5">
          <w:rPr>
            <w:noProof/>
          </w:rPr>
          <w:t>2013</w:t>
        </w:r>
      </w:hyperlink>
      <w:r>
        <w:rPr>
          <w:noProof/>
        </w:rPr>
        <w:t>)</w:t>
      </w:r>
      <w:r w:rsidR="009F426E">
        <w:fldChar w:fldCharType="end"/>
      </w:r>
      <w:r>
        <w:t xml:space="preserve"> identify baseline geochemical mapping (with time series sampling from a sufficient network of groundwater monitoring wells) as an area where field-focused research is urgently needed to fill current science gaps related to unconventional gas extraction. Davies et al. </w:t>
      </w:r>
      <w:r w:rsidR="009F426E">
        <w:fldChar w:fldCharType="begin"/>
      </w:r>
      <w:r>
        <w:instrText xml:space="preserve"> ADDIN EN.CITE &lt;EndNote&gt;&lt;Cite ExcludeAuth="1"&gt;&lt;Author&gt;Davies&lt;/Author&gt;&lt;Year&gt;2015&lt;/Year&gt;&lt;RecNum&gt;1774&lt;/RecNum&gt;&lt;DisplayText&gt;(2015)&lt;/DisplayText&gt;&lt;record&gt;&lt;rec-number&gt;1774&lt;/rec-number&gt;&lt;foreign-keys&gt;&lt;key app="EN" db-id="xz5vrd20mz9trjezvzzvf9fhsxvzatfrr59v"&gt;1774&lt;/key&gt;&lt;/foreign-keys&gt;&lt;ref-type name="Journal Article"&gt;17&lt;/ref-type&gt;&lt;contributors&gt;&lt;authors&gt;&lt;author&gt;Davies, P. J.&lt;/author&gt;&lt;author&gt;Gore, D. B.&lt;/author&gt;&lt;author&gt;Khan, S. J.&lt;/author&gt;&lt;/authors&gt;&lt;/contributors&gt;&lt;titles&gt;&lt;title&gt;Managing produced water from coal seam gas projects: implications for an emerging industry in Australia&lt;/title&gt;&lt;secondary-title&gt;Environmental Science and Pollution Research&lt;/secondary-title&gt;&lt;/titles&gt;&lt;periodical&gt;&lt;full-title&gt;Environmental Science and Pollution Research&lt;/full-title&gt;&lt;abbr-1&gt;Environ Sci Pollut Res&lt;/abbr-1&gt;&lt;/periodical&gt;&lt;pages&gt;10981-11000&lt;/pages&gt;&lt;volume&gt;22&lt;/volume&gt;&lt;number&gt;14&lt;/number&gt;&lt;dates&gt;&lt;year&gt;2015&lt;/year&gt;&lt;pub-dates&gt;&lt;date&gt;Jul&lt;/date&gt;&lt;/pub-dates&gt;&lt;/dates&gt;&lt;isbn&gt;0944-1344&lt;/isbn&gt;&lt;accession-num&gt;WOS:000357344300058&lt;/accession-num&gt;&lt;urls&gt;&lt;related-urls&gt;&lt;url&gt;&amp;lt;Go to ISI&amp;gt;://WOS:000357344300058&lt;/url&gt;&lt;/related-urls&gt;&lt;/urls&gt;&lt;electronic-resource-num&gt;10.1007/s11356-015-4254-8&lt;/electronic-resource-num&gt;&lt;/record&gt;&lt;/Cite&gt;&lt;/EndNote&gt;</w:instrText>
      </w:r>
      <w:r w:rsidR="009F426E">
        <w:fldChar w:fldCharType="separate"/>
      </w:r>
      <w:r>
        <w:rPr>
          <w:noProof/>
        </w:rPr>
        <w:t>(</w:t>
      </w:r>
      <w:hyperlink w:anchor="_ENREF_5" w:tooltip="Davies, 2015 #1774" w:history="1">
        <w:r w:rsidR="005D4DE5">
          <w:rPr>
            <w:noProof/>
          </w:rPr>
          <w:t>2015</w:t>
        </w:r>
      </w:hyperlink>
      <w:r>
        <w:rPr>
          <w:noProof/>
        </w:rPr>
        <w:t>)</w:t>
      </w:r>
      <w:r w:rsidR="009F426E">
        <w:fldChar w:fldCharType="end"/>
      </w:r>
      <w:r>
        <w:t xml:space="preserve"> highlight a lack of data, including issues of limited site-specific and longer-term groundwater monitoring, and  access to government and industry reports and data, among a range of research needs. The NSW Chief Scientist and Engineer’s report </w:t>
      </w:r>
      <w:r w:rsidR="009F426E">
        <w:fldChar w:fldCharType="begin"/>
      </w:r>
      <w:r>
        <w:instrText xml:space="preserve"> ADDIN EN.CITE &lt;EndNote&gt;&lt;Cite ExcludeAuth="1"&gt;&lt;Author&gt;Engineer&lt;/Author&gt;&lt;Year&gt;2014&lt;/Year&gt;&lt;RecNum&gt;1775&lt;/RecNum&gt;&lt;DisplayText&gt;(2014)&lt;/DisplayText&gt;&lt;record&gt;&lt;rec-number&gt;1775&lt;/rec-number&gt;&lt;foreign-keys&gt;&lt;key app="EN" db-id="xz5vrd20mz9trjezvzzvf9fhsxvzatfrr59v"&gt;1775&lt;/key&gt;&lt;/foreign-keys&gt;&lt;ref-type name="Report"&gt;27&lt;/ref-type&gt;&lt;contributors&gt;&lt;authors&gt;&lt;author&gt;New South Wales Chief Scientist and Engineer,&lt;/author&gt;&lt;/authors&gt;&lt;/contributors&gt;&lt;titles&gt;&lt;title&gt;Final report of the independent review of coal seam gas activities in NSW&lt;/title&gt;&lt;/titles&gt;&lt;dates&gt;&lt;year&gt;2014&lt;/year&gt;&lt;/dates&gt;&lt;urls&gt;&lt;/urls&gt;&lt;/record&gt;&lt;/Cite&gt;&lt;/EndNote&gt;</w:instrText>
      </w:r>
      <w:r w:rsidR="009F426E">
        <w:fldChar w:fldCharType="separate"/>
      </w:r>
      <w:r>
        <w:rPr>
          <w:noProof/>
        </w:rPr>
        <w:t>(</w:t>
      </w:r>
      <w:hyperlink w:anchor="_ENREF_10" w:tooltip="New South Wales Chief Scientist and Engineer, 2014 #1775" w:history="1">
        <w:r w:rsidR="005D4DE5">
          <w:rPr>
            <w:noProof/>
          </w:rPr>
          <w:t>2014</w:t>
        </w:r>
      </w:hyperlink>
      <w:r>
        <w:rPr>
          <w:noProof/>
        </w:rPr>
        <w:t>)</w:t>
      </w:r>
      <w:r w:rsidR="009F426E">
        <w:fldChar w:fldCharType="end"/>
      </w:r>
      <w:r>
        <w:t xml:space="preserve"> recommend</w:t>
      </w:r>
      <w:r w:rsidR="00437154">
        <w:t>ed</w:t>
      </w:r>
      <w:r>
        <w:t xml:space="preserve"> the creation of a State whole-of-environment data repository so that data from coal seam gas operations can be interrogated as needed. The Hawke report on hydraulic fracturing in the Northern Territory also identified concerns about insufficient baseline data and limited public availability of information, and recommended that monitoring data should be collated in standard formats in a publicly available central data repository, with accompanying analyses and interpretation </w:t>
      </w:r>
      <w:r w:rsidR="009F426E">
        <w:fldChar w:fldCharType="begin"/>
      </w:r>
      <w:r>
        <w:instrText xml:space="preserve"> ADDIN EN.CITE &lt;EndNote&gt;&lt;Cite&gt;&lt;Author&gt;Hawke&lt;/Author&gt;&lt;Year&gt;2014&lt;/Year&gt;&lt;RecNum&gt;1786&lt;/RecNum&gt;&lt;DisplayText&gt;(Hawke 2014)&lt;/DisplayText&gt;&lt;record&gt;&lt;rec-number&gt;1786&lt;/rec-number&gt;&lt;foreign-keys&gt;&lt;key app="EN" db-id="xz5vrd20mz9trjezvzzvf9fhsxvzatfrr59v"&gt;1786&lt;/key&gt;&lt;/foreign-keys&gt;&lt;ref-type name="Report"&gt;27&lt;/ref-type&gt;&lt;contributors&gt;&lt;authors&gt;&lt;author&gt;Hawke, A&lt;/author&gt;&lt;/authors&gt;&lt;/contributors&gt;&lt;titles&gt;&lt;title&gt;Report of the Independent Inquiry into Hydraulic Fracturing in the Northern Territory, 28 November 2014&lt;/title&gt;&lt;/titles&gt;&lt;dates&gt;&lt;year&gt;2014&lt;/year&gt;&lt;/dates&gt;&lt;urls&gt;&lt;/urls&gt;&lt;/record&gt;&lt;/Cite&gt;&lt;/EndNote&gt;</w:instrText>
      </w:r>
      <w:r w:rsidR="009F426E">
        <w:fldChar w:fldCharType="separate"/>
      </w:r>
      <w:r>
        <w:rPr>
          <w:noProof/>
        </w:rPr>
        <w:t>(</w:t>
      </w:r>
      <w:hyperlink w:anchor="_ENREF_7" w:tooltip="Hawke, 2014 #1786" w:history="1">
        <w:r w:rsidR="005D4DE5">
          <w:rPr>
            <w:noProof/>
          </w:rPr>
          <w:t>Hawke 2014</w:t>
        </w:r>
      </w:hyperlink>
      <w:r>
        <w:rPr>
          <w:noProof/>
        </w:rPr>
        <w:t>)</w:t>
      </w:r>
      <w:r w:rsidR="009F426E">
        <w:fldChar w:fldCharType="end"/>
      </w:r>
      <w:r>
        <w:t>.</w:t>
      </w:r>
      <w:r w:rsidR="007A68B7" w:rsidRPr="007A68B7">
        <w:t xml:space="preserve"> </w:t>
      </w:r>
    </w:p>
    <w:p w14:paraId="73D2EEF1" w14:textId="77777777" w:rsidR="00433205" w:rsidRDefault="007A68B7" w:rsidP="007A68B7">
      <w:pPr>
        <w:spacing w:after="120"/>
      </w:pPr>
      <w:r>
        <w:t xml:space="preserve">The need for baseline data </w:t>
      </w:r>
      <w:r w:rsidR="007C6622">
        <w:t xml:space="preserve">is being addressed through increasing availability </w:t>
      </w:r>
      <w:r w:rsidR="00C3394A">
        <w:t>of</w:t>
      </w:r>
      <w:r w:rsidR="007C6622">
        <w:t xml:space="preserve"> online data repositories such as </w:t>
      </w:r>
      <w:r>
        <w:t>the bioregional assessment information platform</w:t>
      </w:r>
      <w:r w:rsidR="007C6622">
        <w:t xml:space="preserve">. </w:t>
      </w:r>
    </w:p>
    <w:p w14:paraId="73D2EEF2" w14:textId="77777777" w:rsidR="00433205" w:rsidRDefault="00433205" w:rsidP="00A16CE7">
      <w:pPr>
        <w:pStyle w:val="Heading3"/>
        <w:spacing w:before="120"/>
      </w:pPr>
      <w:r>
        <w:t>Field-testing and comparison of methods</w:t>
      </w:r>
    </w:p>
    <w:p w14:paraId="73D2EEF3" w14:textId="77777777" w:rsidR="00433205" w:rsidRPr="00E50D4C" w:rsidRDefault="00753BB0" w:rsidP="00495207">
      <w:pPr>
        <w:spacing w:after="120"/>
      </w:pPr>
      <w:r>
        <w:t>There have been extensive</w:t>
      </w:r>
      <w:r w:rsidR="00433205">
        <w:t xml:space="preserve"> literature reviews that establish the background to matters of scientific interest and community concern regarding coal seam gas and coal mining developments. </w:t>
      </w:r>
      <w:r>
        <w:t>Future research</w:t>
      </w:r>
      <w:r w:rsidR="00433205">
        <w:t xml:space="preserve"> could move to a hypothesis-testing approach to improve understanding of systems and processes using field, laboratory, expert elicitation and modeling approaches with the aim of developing methods, tools and guidance for direct applicat</w:t>
      </w:r>
      <w:r w:rsidR="00C3394A">
        <w:t>ion in environmental assessment of the water-related impacts of coal seam gas and coal mining developments.</w:t>
      </w:r>
    </w:p>
    <w:p w14:paraId="73D2EEF4" w14:textId="77777777" w:rsidR="00433205" w:rsidRDefault="00D040F3" w:rsidP="00A16CE7">
      <w:pPr>
        <w:pStyle w:val="Heading3"/>
        <w:spacing w:before="120"/>
      </w:pPr>
      <w:r>
        <w:t xml:space="preserve">Scale and </w:t>
      </w:r>
      <w:r w:rsidR="00433205">
        <w:t xml:space="preserve"> the transfer and / or upscaling of results</w:t>
      </w:r>
    </w:p>
    <w:p w14:paraId="73D2EEF5" w14:textId="77777777" w:rsidR="005D4DE5" w:rsidRDefault="00433205" w:rsidP="00D040F3">
      <w:pPr>
        <w:spacing w:after="120"/>
      </w:pPr>
      <w:r>
        <w:t xml:space="preserve">The water-related impacts of coal seam gas and coal mining developments potentially span a hierarchy of spatial and temporal scales.  </w:t>
      </w:r>
      <w:r w:rsidR="005D4DE5">
        <w:t xml:space="preserve">Given the range of climatic and biophysical settings in which coal seam gas extraction and coal mining occur in Australia, and the knowledge gaps identified in the 2013 research priorities, the IESC frequently must rely on studies from outside the area of a specific project to formulate its advice. Understanding gained from literature review and site-specific research is frequently applied to other sites which may have different biophysical properties or spatial scales. Richardson et al. </w:t>
      </w:r>
      <w:r w:rsidR="009F426E">
        <w:fldChar w:fldCharType="begin"/>
      </w:r>
      <w:r w:rsidR="005D4DE5">
        <w:instrText xml:space="preserve"> ADDIN EN.CITE &lt;EndNote&gt;&lt;Cite ExcludeAuth="1"&gt;&lt;Author&gt;Richardson&lt;/Author&gt;&lt;Year&gt;2011&lt;/Year&gt;&lt;RecNum&gt;1787&lt;/RecNum&gt;&lt;DisplayText&gt;(2011b)&lt;/DisplayText&gt;&lt;record&gt;&lt;rec-number&gt;1787&lt;/rec-number&gt;&lt;foreign-keys&gt;&lt;key app="EN" db-id="xz5vrd20mz9trjezvzzvf9fhsxvzatfrr59v"&gt;1787&lt;/key&gt;&lt;/foreign-keys&gt;&lt;ref-type name="Report"&gt;27&lt;/ref-type&gt;&lt;contributors&gt;&lt;authors&gt;&lt;author&gt;Richardson, S.&lt;/author&gt;&lt;author&gt;Irvine, E. C.&lt;/author&gt;&lt;author&gt;Froend, R. H.&lt;/author&gt;&lt;author&gt;Boon, P.&lt;/author&gt;&lt;author&gt;Barber, S.&lt;/author&gt;&lt;author&gt;Bonneville, B.&lt;/author&gt;&lt;/authors&gt;&lt;/contributors&gt;&lt;titles&gt;&lt;title&gt;&lt;style face="italic" font="default" size="100%"&gt;Australian groundwater dependent ecosystem toolbox Part 1: assessment framework. &lt;/style&gt;&lt;style face="normal" font="default" size="100%"&gt;Waterlines report&lt;/style&gt;&lt;/title&gt;&lt;/titles&gt;&lt;dates&gt;&lt;year&gt;2011&lt;/year&gt;&lt;/dates&gt;&lt;pub-location&gt;National Water Commission&lt;/pub-location&gt;&lt;publisher&gt;Canberra&lt;/publisher&gt;&lt;urls&gt;&lt;related-urls&gt;&lt;url&gt;http://archive.nwc.gov.au/__data/assets/pdf_file/0006/19905/GDE-toolbox-part-1.pdf&lt;/url&gt;&lt;/related-urls&gt;&lt;/urls&gt;&lt;/record&gt;&lt;/Cite&gt;&lt;/EndNote&gt;</w:instrText>
      </w:r>
      <w:r w:rsidR="009F426E">
        <w:fldChar w:fldCharType="separate"/>
      </w:r>
      <w:r w:rsidR="005D4DE5">
        <w:rPr>
          <w:noProof/>
        </w:rPr>
        <w:t>(</w:t>
      </w:r>
      <w:hyperlink w:anchor="_ENREF_12" w:tooltip="Richardson, 2011 #1787" w:history="1">
        <w:r w:rsidR="005D4DE5">
          <w:rPr>
            <w:noProof/>
          </w:rPr>
          <w:t>2011b</w:t>
        </w:r>
      </w:hyperlink>
      <w:r w:rsidR="005D4DE5">
        <w:rPr>
          <w:noProof/>
        </w:rPr>
        <w:t>)</w:t>
      </w:r>
      <w:r w:rsidR="009F426E">
        <w:fldChar w:fldCharType="end"/>
      </w:r>
      <w:r w:rsidR="005D4DE5">
        <w:t xml:space="preserve"> suggest that </w:t>
      </w:r>
      <w:r w:rsidR="005D4DE5">
        <w:lastRenderedPageBreak/>
        <w:t xml:space="preserve">caution should be exercised when knowledge is transferred or upscaled, acknowledging the increasing heterogeneity of systems with increasing scale, the increased inherent uncertainty, and the importance of ground-truthing and validation of extrapolations. </w:t>
      </w:r>
    </w:p>
    <w:p w14:paraId="73D2EEF6" w14:textId="77777777" w:rsidR="00D040F3" w:rsidRDefault="00433205" w:rsidP="00D040F3">
      <w:pPr>
        <w:spacing w:after="120"/>
      </w:pPr>
      <w:r>
        <w:t xml:space="preserve">Consideration of scale is made complex by cross-scale linkages. For example, small-scale processes may have non-linear effects on large-scale processes </w:t>
      </w:r>
      <w:r w:rsidR="009F426E">
        <w:fldChar w:fldCharType="begin"/>
      </w:r>
      <w:r>
        <w:instrText xml:space="preserve"> ADDIN EN.CITE &lt;EndNote&gt;&lt;Cite&gt;&lt;Author&gt;Corwin&lt;/Author&gt;&lt;Year&gt;2006&lt;/Year&gt;&lt;RecNum&gt;298&lt;/RecNum&gt;&lt;DisplayText&gt;(Corwin et al. 2006)&lt;/DisplayText&gt;&lt;record&gt;&lt;rec-number&gt;298&lt;/rec-number&gt;&lt;foreign-keys&gt;&lt;key app="EN" db-id="xz5vrd20mz9trjezvzzvf9fhsxvzatfrr59v"&gt;298&lt;/key&gt;&lt;/foreign-keys&gt;&lt;ref-type name="Journal Article"&gt;17&lt;/ref-type&gt;&lt;contributors&gt;&lt;authors&gt;&lt;author&gt;Corwin, D. L.&lt;/author&gt;&lt;author&gt;Hopmans, J.&lt;/author&gt;&lt;author&gt;De Rooij, G. H.&lt;/author&gt;&lt;/authors&gt;&lt;/contributors&gt;&lt;titles&gt;&lt;title&gt;From field- to landscape-scale vadose zone processes: Scale issues, modeling, and monitoring&lt;/title&gt;&lt;secondary-title&gt;Vadose Zone Journal&lt;/secondary-title&gt;&lt;/titles&gt;&lt;pages&gt;129-139&lt;/pages&gt;&lt;volume&gt;5&lt;/volume&gt;&lt;number&gt;1&lt;/number&gt;&lt;dates&gt;&lt;year&gt;2006&lt;/year&gt;&lt;/dates&gt;&lt;urls&gt;&lt;related-urls&gt;&lt;url&gt;http://www.scopus.com/inward/record.url?eid=2-s2.0-34547918267&amp;amp;partnerID=40&amp;amp;md5=98e6211845d86550c31030f3059d82fa&lt;/url&gt;&lt;/related-urls&gt;&lt;/urls&gt;&lt;/record&gt;&lt;/Cite&gt;&lt;/EndNote&gt;</w:instrText>
      </w:r>
      <w:r w:rsidR="009F426E">
        <w:fldChar w:fldCharType="separate"/>
      </w:r>
      <w:r>
        <w:rPr>
          <w:noProof/>
        </w:rPr>
        <w:t>(</w:t>
      </w:r>
      <w:hyperlink w:anchor="_ENREF_3" w:tooltip="Corwin, 2006 #298" w:history="1">
        <w:r w:rsidR="005D4DE5">
          <w:rPr>
            <w:noProof/>
          </w:rPr>
          <w:t>Corwin et al. 2006</w:t>
        </w:r>
      </w:hyperlink>
      <w:r>
        <w:rPr>
          <w:noProof/>
        </w:rPr>
        <w:t>)</w:t>
      </w:r>
      <w:r w:rsidR="009F426E">
        <w:fldChar w:fldCharType="end"/>
      </w:r>
      <w:r>
        <w:t xml:space="preserve">. </w:t>
      </w:r>
      <w:r w:rsidR="00D040F3">
        <w:t xml:space="preserve">Conceptual models of system components and processes may facilitate transfer of findings and testing of hypotheses among sites </w:t>
      </w:r>
      <w:r w:rsidR="009F426E">
        <w:fldChar w:fldCharType="begin"/>
      </w:r>
      <w:r w:rsidR="00D040F3">
        <w:instrText xml:space="preserve"> ADDIN EN.CITE &lt;EndNote&gt;&lt;Cite&gt;&lt;Author&gt;Wondzell&lt;/Author&gt;&lt;Year&gt;2010&lt;/Year&gt;&lt;RecNum&gt;1509&lt;/RecNum&gt;&lt;DisplayText&gt;(Wondzell et al. 2010)&lt;/DisplayText&gt;&lt;record&gt;&lt;rec-number&gt;1509&lt;/rec-number&gt;&lt;foreign-keys&gt;&lt;key app="EN" db-id="xz5vrd20mz9trjezvzzvf9fhsxvzatfrr59v"&gt;1509&lt;/key&gt;&lt;/foreign-keys&gt;&lt;ref-type name="Journal Article"&gt;17&lt;/ref-type&gt;&lt;contributors&gt;&lt;authors&gt;&lt;author&gt;Wondzell, S. M.&lt;/author&gt;&lt;author&gt;Gooseff, M. N.&lt;/author&gt;&lt;author&gt;McGlynn, B. L.&lt;/author&gt;&lt;/authors&gt;&lt;/contributors&gt;&lt;titles&gt;&lt;title&gt;An analysis of alternative conceptual models relating hyporheic exchange flow to diel fluctuations in discharge during baseflow recession&lt;/title&gt;&lt;secondary-title&gt;Hydrological Processes&lt;/secondary-title&gt;&lt;/titles&gt;&lt;periodical&gt;&lt;full-title&gt;Hydrological Processes&lt;/full-title&gt;&lt;/periodical&gt;&lt;pages&gt;686-694&lt;/pages&gt;&lt;volume&gt;24&lt;/volume&gt;&lt;number&gt;6&lt;/number&gt;&lt;dates&gt;&lt;year&gt;2010&lt;/year&gt;&lt;/dates&gt;&lt;urls&gt;&lt;related-urls&gt;&lt;url&gt;http://www.scopus.com/inward/record.url?eid=2-s2.0-77949600997&amp;amp;partnerID=40&amp;amp;md5=b85b36bdb5a6f69707cbbb1909ada846&lt;/url&gt;&lt;/related-urls&gt;&lt;/urls&gt;&lt;/record&gt;&lt;/Cite&gt;&lt;/EndNote&gt;</w:instrText>
      </w:r>
      <w:r w:rsidR="009F426E">
        <w:fldChar w:fldCharType="separate"/>
      </w:r>
      <w:r w:rsidR="00D040F3">
        <w:rPr>
          <w:noProof/>
        </w:rPr>
        <w:t>(</w:t>
      </w:r>
      <w:hyperlink w:anchor="_ENREF_13" w:tooltip="Wondzell, 2010 #1509" w:history="1">
        <w:r w:rsidR="005D4DE5">
          <w:rPr>
            <w:noProof/>
          </w:rPr>
          <w:t>Wondzell et al. 2010</w:t>
        </w:r>
      </w:hyperlink>
      <w:r w:rsidR="00D040F3">
        <w:rPr>
          <w:noProof/>
        </w:rPr>
        <w:t>)</w:t>
      </w:r>
      <w:r w:rsidR="009F426E">
        <w:fldChar w:fldCharType="end"/>
      </w:r>
      <w:r w:rsidR="00D040F3">
        <w:t>.  Numerical models derived from conceptual models may be used to expand knowledge from individual research sites to other locations and regions, but monitoring data are required for calibration and testing.</w:t>
      </w:r>
      <w:r w:rsidR="00D040F3" w:rsidRPr="00237F35">
        <w:t xml:space="preserve"> </w:t>
      </w:r>
    </w:p>
    <w:p w14:paraId="73D2EEF7" w14:textId="77777777" w:rsidR="00433205" w:rsidRDefault="00D040F3" w:rsidP="007A68B7">
      <w:pPr>
        <w:spacing w:after="120"/>
      </w:pPr>
      <w:r>
        <w:t>To ensure that research outputs are useful for users, guidance on transfer and /or upscaling of findings could be included in the terms of reference for future research projects.</w:t>
      </w:r>
    </w:p>
    <w:p w14:paraId="73D2EEF8" w14:textId="77777777" w:rsidR="00472B95" w:rsidRDefault="00472B95" w:rsidP="00A16CE7">
      <w:pPr>
        <w:pStyle w:val="Heading3"/>
        <w:spacing w:before="120"/>
      </w:pPr>
      <w:r>
        <w:t>Cumulative impacts</w:t>
      </w:r>
    </w:p>
    <w:p w14:paraId="73D2EEF9" w14:textId="77777777" w:rsidR="005D4DE5" w:rsidRDefault="005D4DE5">
      <w:r>
        <w:t xml:space="preserve">Assessment of cumulative impacts continues to be an important issue that should be considered by research under the priority themes.  </w:t>
      </w:r>
      <w:r w:rsidR="00D040F3">
        <w:t xml:space="preserve">Franks et al. </w:t>
      </w:r>
      <w:r w:rsidR="009F426E">
        <w:fldChar w:fldCharType="begin"/>
      </w:r>
      <w:r w:rsidR="00D040F3">
        <w:instrText xml:space="preserve"> ADDIN EN.CITE &lt;EndNote&gt;&lt;Cite ExcludeAuth="1"&gt;&lt;Author&gt;Franks&lt;/Author&gt;&lt;Year&gt;2010&lt;/Year&gt;&lt;RecNum&gt;1788&lt;/RecNum&gt;&lt;DisplayText&gt;(2010)&lt;/DisplayText&gt;&lt;record&gt;&lt;rec-number&gt;1788&lt;/rec-number&gt;&lt;foreign-keys&gt;&lt;key app="EN" db-id="xz5vrd20mz9trjezvzzvf9fhsxvzatfrr59v"&gt;1788&lt;/key&gt;&lt;/foreign-keys&gt;&lt;ref-type name="Report"&gt;27&lt;/ref-type&gt;&lt;contributors&gt;&lt;authors&gt;&lt;author&gt;Franks, DM,&lt;/author&gt;&lt;author&gt;Brereton, D, &lt;/author&gt;&lt;author&gt;Moran, CJ, Sarker, T&lt;/author&gt;&lt;author&gt;Cohen, T&lt;/author&gt;&lt;/authors&gt;&lt;/contributors&gt;&lt;titles&gt;&lt;title&gt;&lt;style face="italic" font="default" size="100%"&gt;Cumulative Impacts: a good practice guide for the Australian coal mining industry&lt;/style&gt;&lt;style face="normal" font="default" size="100%"&gt;.&lt;/style&gt;&lt;/title&gt;&lt;/titles&gt;&lt;dates&gt;&lt;year&gt;2010&lt;/year&gt;&lt;/dates&gt;&lt;pub-location&gt;Brisbane&lt;/pub-location&gt;&lt;publisher&gt;Centre for Social Responsibility in Mining &amp;amp; Centre for Water in the Minerals Industry, Sustainable Minerals Institute, The University of Queensland&lt;/publisher&gt;&lt;urls&gt;&lt;/urls&gt;&lt;/record&gt;&lt;/Cite&gt;&lt;/EndNote&gt;</w:instrText>
      </w:r>
      <w:r w:rsidR="009F426E">
        <w:fldChar w:fldCharType="separate"/>
      </w:r>
      <w:r w:rsidR="00D040F3">
        <w:rPr>
          <w:noProof/>
        </w:rPr>
        <w:t>(</w:t>
      </w:r>
      <w:hyperlink w:anchor="_ENREF_6" w:tooltip="Franks, 2010 #1788" w:history="1">
        <w:r>
          <w:rPr>
            <w:noProof/>
          </w:rPr>
          <w:t>2010</w:t>
        </w:r>
      </w:hyperlink>
      <w:r w:rsidR="00D040F3">
        <w:rPr>
          <w:noProof/>
        </w:rPr>
        <w:t>)</w:t>
      </w:r>
      <w:r w:rsidR="009F426E">
        <w:fldChar w:fldCharType="end"/>
      </w:r>
      <w:r w:rsidR="00D040F3">
        <w:t xml:space="preserve"> define </w:t>
      </w:r>
      <w:r>
        <w:t xml:space="preserve">cumulative impacts </w:t>
      </w:r>
      <w:r w:rsidR="00D040F3">
        <w:t xml:space="preserve">as the successive, incremental and combined impacts of one or more activities. </w:t>
      </w:r>
      <w:r>
        <w:t xml:space="preserve">The bioregional assessment </w:t>
      </w:r>
      <w:r w:rsidRPr="00DC3A48">
        <w:t xml:space="preserve">framework </w:t>
      </w:r>
      <w:r>
        <w:t xml:space="preserve">is a way of considering cumulative impacts </w:t>
      </w:r>
      <w:r w:rsidRPr="00DC3A48">
        <w:t>in specific geographic areas</w:t>
      </w:r>
      <w:r>
        <w:t>.</w:t>
      </w:r>
    </w:p>
    <w:p w14:paraId="73D2EEFA" w14:textId="77777777" w:rsidR="00816CF2" w:rsidRDefault="00D040F3">
      <w:r>
        <w:t xml:space="preserve">Although the IESC Information Guidelines contain a checklist for consideration of cumulative impacts, further guidance is needed on specific methods for cumulative impact assessment. Daniel et al. </w:t>
      </w:r>
      <w:r w:rsidR="009F426E">
        <w:fldChar w:fldCharType="begin"/>
      </w:r>
      <w:r>
        <w:instrText xml:space="preserve"> ADDIN EN.CITE &lt;EndNote&gt;&lt;Cite ExcludeAuth="1"&gt;&lt;Author&gt;Daniel&lt;/Author&gt;&lt;Year&gt;2015&lt;/Year&gt;&lt;RecNum&gt;1777&lt;/RecNum&gt;&lt;DisplayText&gt;(2015)&lt;/DisplayText&gt;&lt;record&gt;&lt;rec-number&gt;1777&lt;/rec-number&gt;&lt;foreign-keys&gt;&lt;key app="EN" db-id="xz5vrd20mz9trjezvzzvf9fhsxvzatfrr59v"&gt;1777&lt;/key&gt;&lt;/foreign-keys&gt;&lt;ref-type name="Journal Article"&gt;17&lt;/ref-type&gt;&lt;contributors&gt;&lt;authors&gt;&lt;author&gt;Daniel, W. M.&lt;/author&gt;&lt;author&gt;Infante, D. M.&lt;/author&gt;&lt;author&gt;Hughes, R. M.&lt;/author&gt;&lt;author&gt;Tsang, Y. P.&lt;/author&gt;&lt;author&gt;Esselman, P. C.&lt;/author&gt;&lt;author&gt;Wieferich, D.&lt;/author&gt;&lt;author&gt;Herreman, K.&lt;/author&gt;&lt;author&gt;Cooper, A. R.&lt;/author&gt;&lt;author&gt;Wang, L. Z.&lt;/author&gt;&lt;author&gt;Taylor, W. W.&lt;/author&gt;&lt;/authors&gt;&lt;/contributors&gt;&lt;titles&gt;&lt;title&gt;Characterizing coal and mineral mines as a regional source of stress to stream fish assemblages&lt;/title&gt;&lt;secondary-title&gt;Ecological Indicators&lt;/secondary-title&gt;&lt;/titles&gt;&lt;periodical&gt;&lt;full-title&gt;Ecological Indicators&lt;/full-title&gt;&lt;/periodical&gt;&lt;pages&gt;50-61&lt;/pages&gt;&lt;volume&gt;50&lt;/volume&gt;&lt;dates&gt;&lt;year&gt;2015&lt;/year&gt;&lt;pub-dates&gt;&lt;date&gt;Mar&lt;/date&gt;&lt;/pub-dates&gt;&lt;/dates&gt;&lt;isbn&gt;1470-160X&lt;/isbn&gt;&lt;accession-num&gt;WOS:000348265200006&lt;/accession-num&gt;&lt;urls&gt;&lt;related-urls&gt;&lt;url&gt;&amp;lt;Go to ISI&amp;gt;://WOS:000348265200006&lt;/url&gt;&lt;/related-urls&gt;&lt;/urls&gt;&lt;electronic-resource-num&gt;10.1016/j.ecolind.2014.10.018&lt;/electronic-resource-num&gt;&lt;/record&gt;&lt;/Cite&gt;&lt;/EndNote&gt;</w:instrText>
      </w:r>
      <w:r w:rsidR="009F426E">
        <w:fldChar w:fldCharType="separate"/>
      </w:r>
      <w:r>
        <w:rPr>
          <w:noProof/>
        </w:rPr>
        <w:t>(</w:t>
      </w:r>
      <w:hyperlink w:anchor="_ENREF_4" w:tooltip="Daniel, 2015 #1777" w:history="1">
        <w:r w:rsidR="005D4DE5">
          <w:rPr>
            <w:noProof/>
          </w:rPr>
          <w:t>2015</w:t>
        </w:r>
      </w:hyperlink>
      <w:r>
        <w:rPr>
          <w:noProof/>
        </w:rPr>
        <w:t>)</w:t>
      </w:r>
      <w:r w:rsidR="009F426E">
        <w:fldChar w:fldCharType="end"/>
      </w:r>
      <w:r>
        <w:t xml:space="preserve"> tested two methods for detecting thresholds in fish assemblages associated with increasing levels of mining in catchments. Future IESC research priorities could include analysis of existing datasets to trial methods for detecting cumulative impacts. </w:t>
      </w:r>
    </w:p>
    <w:p w14:paraId="73D2EEFB" w14:textId="77777777" w:rsidR="00433205" w:rsidRDefault="00433205" w:rsidP="00A16CE7">
      <w:pPr>
        <w:pStyle w:val="Heading3"/>
        <w:spacing w:before="120"/>
      </w:pPr>
      <w:r>
        <w:t xml:space="preserve">Knowledge adoption </w:t>
      </w:r>
    </w:p>
    <w:p w14:paraId="73D2EEFC" w14:textId="77777777" w:rsidR="007C6622" w:rsidRPr="00C34243" w:rsidRDefault="00433205" w:rsidP="007C6622">
      <w:pPr>
        <w:spacing w:after="120"/>
      </w:pPr>
      <w:r>
        <w:t xml:space="preserve">Uptake of research </w:t>
      </w:r>
      <w:r w:rsidR="002E21F0">
        <w:t xml:space="preserve">findings </w:t>
      </w:r>
      <w:r>
        <w:t xml:space="preserve">requires planning and </w:t>
      </w:r>
      <w:r w:rsidR="002E21F0">
        <w:t>investment to</w:t>
      </w:r>
      <w:r>
        <w:t xml:space="preserve"> ensure that research products meet potential users’ needs, that potential users are aware of the products, and that they know how to apply them.</w:t>
      </w:r>
      <w:r w:rsidR="002E21F0">
        <w:t xml:space="preserve"> Research findings may be</w:t>
      </w:r>
      <w:r w:rsidR="00EE44ED">
        <w:t xml:space="preserve"> published in a variety of formats to suit users’ needs and to </w:t>
      </w:r>
      <w:r w:rsidR="00397A41">
        <w:t>allow ready</w:t>
      </w:r>
      <w:r w:rsidR="00EE44ED">
        <w:t xml:space="preserve"> </w:t>
      </w:r>
      <w:r w:rsidR="00D712BF">
        <w:t>application</w:t>
      </w:r>
      <w:r w:rsidR="00EE44ED">
        <w:t xml:space="preserve"> </w:t>
      </w:r>
      <w:r w:rsidR="00397A41">
        <w:t xml:space="preserve">in conjunction with </w:t>
      </w:r>
      <w:r w:rsidR="002E21F0">
        <w:t xml:space="preserve">existing guidance documents such as the </w:t>
      </w:r>
      <w:r w:rsidR="00822CA4">
        <w:t xml:space="preserve">Australian Groundwater Modelling Guidelines </w:t>
      </w:r>
      <w:r w:rsidR="009F426E">
        <w:fldChar w:fldCharType="begin"/>
      </w:r>
      <w:r w:rsidR="00822CA4">
        <w:instrText xml:space="preserve"> ADDIN EN.CITE &lt;EndNote&gt;&lt;Cite&gt;&lt;Author&gt;Barnett&lt;/Author&gt;&lt;Year&gt;2012&lt;/Year&gt;&lt;RecNum&gt;1817&lt;/RecNum&gt;&lt;DisplayText&gt;(Barnett et al. 2012)&lt;/DisplayText&gt;&lt;record&gt;&lt;rec-number&gt;1817&lt;/rec-number&gt;&lt;foreign-keys&gt;&lt;key app="EN" db-id="xz5vrd20mz9trjezvzzvf9fhsxvzatfrr59v"&gt;1817&lt;/key&gt;&lt;/foreign-keys&gt;&lt;ref-type name="Report"&gt;27&lt;/ref-type&gt;&lt;contributors&gt;&lt;authors&gt;&lt;author&gt;Barnett, B.&lt;/author&gt;&lt;author&gt;Townley, L.R.&lt;/author&gt;&lt;author&gt;Post, V.&lt;/author&gt;&lt;author&gt;Evans, R.E.&lt;/author&gt;&lt;author&gt;Hunt, R.J.&lt;/author&gt;&lt;author&gt;Peeters, L.&lt;/author&gt;&lt;author&gt;Richardson, S.&lt;/author&gt;&lt;author&gt;Werner, A.D.&lt;/author&gt;&lt;author&gt;Knapton, A.&lt;/author&gt;&lt;author&gt;Boronkay, A.&lt;/author&gt;&lt;/authors&gt;&lt;/contributors&gt;&lt;titles&gt;&lt;title&gt;Australian groundwater modelling guidelines, Waterlines report no. 82&lt;/title&gt;&lt;/titles&gt;&lt;dates&gt;&lt;year&gt;2012&lt;/year&gt;&lt;/dates&gt;&lt;pub-location&gt;Canberra&lt;/pub-location&gt;&lt;publisher&gt;National Water Commission&lt;/publisher&gt;&lt;urls&gt;&lt;related-urls&gt;&lt;url&gt;http://archive.nwc.gov.au/__data/assets/pdf_file/0016/22840/Waterlines-82-Australian-groundwater-modelling-guidelines.pdf&lt;/url&gt;&lt;/related-urls&gt;&lt;/urls&gt;&lt;/record&gt;&lt;/Cite&gt;&lt;/EndNote&gt;</w:instrText>
      </w:r>
      <w:r w:rsidR="009F426E">
        <w:fldChar w:fldCharType="separate"/>
      </w:r>
      <w:r w:rsidR="00822CA4">
        <w:rPr>
          <w:noProof/>
        </w:rPr>
        <w:t>(</w:t>
      </w:r>
      <w:hyperlink w:anchor="_ENREF_2" w:tooltip="Barnett, 2012 #1817" w:history="1">
        <w:r w:rsidR="005D4DE5">
          <w:rPr>
            <w:noProof/>
          </w:rPr>
          <w:t>Barnett et al. 2012</w:t>
        </w:r>
      </w:hyperlink>
      <w:r w:rsidR="00822CA4">
        <w:rPr>
          <w:noProof/>
        </w:rPr>
        <w:t>)</w:t>
      </w:r>
      <w:r w:rsidR="009F426E">
        <w:fldChar w:fldCharType="end"/>
      </w:r>
      <w:r w:rsidR="00822CA4">
        <w:t xml:space="preserve"> and the Australian Groundwater Dependent Ecosystems Toolbox </w:t>
      </w:r>
      <w:r w:rsidR="009F426E">
        <w:fldChar w:fldCharType="begin"/>
      </w:r>
      <w:r w:rsidR="00D040F3">
        <w:instrText xml:space="preserve"> ADDIN EN.CITE &lt;EndNote&gt;&lt;Cite&gt;&lt;Author&gt;Richardson&lt;/Author&gt;&lt;Year&gt;2011&lt;/Year&gt;&lt;RecNum&gt;1787&lt;/RecNum&gt;&lt;DisplayText&gt;(Richardson et al. 2011b, Richardson et al. 2011a)&lt;/DisplayText&gt;&lt;record&gt;&lt;rec-number&gt;1787&lt;/rec-number&gt;&lt;foreign-keys&gt;&lt;key app="EN" db-id="xz5vrd20mz9trjezvzzvf9fhsxvzatfrr59v"&gt;1787&lt;/key&gt;&lt;/foreign-keys&gt;&lt;ref-type name="Report"&gt;27&lt;/ref-type&gt;&lt;contributors&gt;&lt;authors&gt;&lt;author&gt;Richardson, S.&lt;/author&gt;&lt;author&gt;Irvine, E. C.&lt;/author&gt;&lt;author&gt;Froend, R. H.&lt;/author&gt;&lt;author&gt;Boon, P.&lt;/author&gt;&lt;author&gt;Barber, S.&lt;/author&gt;&lt;author&gt;Bonneville, B.&lt;/author&gt;&lt;/authors&gt;&lt;/contributors&gt;&lt;titles&gt;&lt;title&gt;&lt;style face="italic" font="default" size="100%"&gt;Australian groundwater dependent ecosystem toolbox Part 1: assessment framework. &lt;/style&gt;&lt;style face="normal" font="default" size="100%"&gt;Waterlines report&lt;/style&gt;&lt;/title&gt;&lt;/titles&gt;&lt;dates&gt;&lt;year&gt;2011&lt;/year&gt;&lt;/dates&gt;&lt;pub-location&gt;National Water Commission&lt;/pub-location&gt;&lt;publisher&gt;Canberra&lt;/publisher&gt;&lt;urls&gt;&lt;related-urls&gt;&lt;url&gt;http://archive.nwc.gov.au/__data/assets/pdf_file/0006/19905/GDE-toolbox-part-1.pdf&lt;/url&gt;&lt;/related-urls&gt;&lt;/urls&gt;&lt;/record&gt;&lt;/Cite&gt;&lt;Cite&gt;&lt;Author&gt;Richardson&lt;/Author&gt;&lt;Year&gt;2011&lt;/Year&gt;&lt;RecNum&gt;1181&lt;/RecNum&gt;&lt;record&gt;&lt;rec-number&gt;1181&lt;/rec-number&gt;&lt;foreign-keys&gt;&lt;key app="EN" db-id="xz5vrd20mz9trjezvzzvf9fhsxvzatfrr59v"&gt;1181&lt;/key&gt;&lt;/foreign-keys&gt;&lt;ref-type name="Report"&gt;27&lt;/ref-type&gt;&lt;contributors&gt;&lt;authors&gt;&lt;author&gt;Richardson, S.&lt;/author&gt;&lt;author&gt;Irvine, E. C.&lt;/author&gt;&lt;author&gt;Froend, R.&lt;/author&gt;&lt;author&gt;Boon, P.&lt;/author&gt;&lt;author&gt;Barber, S.&lt;/author&gt;&lt;author&gt;Bonneville, B.&lt;/author&gt;&lt;/authors&gt;&lt;/contributors&gt;&lt;titles&gt;&lt;title&gt;&lt;style face="italic" font="default" size="100%"&gt;Australian groundwater dependent ecosystems toolbox Part 2: assessment tools&lt;/style&gt;&lt;style face="normal" font="default" size="100%"&gt;. Waterlines report&lt;/style&gt;&lt;/title&gt;&lt;/titles&gt;&lt;number&gt;Report&lt;/number&gt;&lt;dates&gt;&lt;year&gt;2011&lt;/year&gt;&lt;/dates&gt;&lt;pub-location&gt;National Water Commission&lt;/pub-location&gt;&lt;publisher&gt;Canberra&lt;/publisher&gt;&lt;urls&gt;&lt;/urls&gt;&lt;/record&gt;&lt;/Cite&gt;&lt;/EndNote&gt;</w:instrText>
      </w:r>
      <w:r w:rsidR="009F426E">
        <w:fldChar w:fldCharType="separate"/>
      </w:r>
      <w:r w:rsidR="00822CA4">
        <w:rPr>
          <w:noProof/>
        </w:rPr>
        <w:t>(</w:t>
      </w:r>
      <w:hyperlink w:anchor="_ENREF_12" w:tooltip="Richardson, 2011 #1787" w:history="1">
        <w:r w:rsidR="005D4DE5">
          <w:rPr>
            <w:noProof/>
          </w:rPr>
          <w:t>Richardson et al. 2011b</w:t>
        </w:r>
      </w:hyperlink>
      <w:r w:rsidR="00822CA4">
        <w:rPr>
          <w:noProof/>
        </w:rPr>
        <w:t xml:space="preserve">, </w:t>
      </w:r>
      <w:hyperlink w:anchor="_ENREF_11" w:tooltip="Richardson, 2011 #1181" w:history="1">
        <w:r w:rsidR="005D4DE5">
          <w:rPr>
            <w:noProof/>
          </w:rPr>
          <w:t>Richardson et al. 2011a</w:t>
        </w:r>
      </w:hyperlink>
      <w:r w:rsidR="00822CA4">
        <w:rPr>
          <w:noProof/>
        </w:rPr>
        <w:t>)</w:t>
      </w:r>
      <w:r w:rsidR="009F426E">
        <w:fldChar w:fldCharType="end"/>
      </w:r>
      <w:r w:rsidR="002C5F8D">
        <w:t>.</w:t>
      </w:r>
      <w:r w:rsidR="007C6622" w:rsidRPr="007C6622">
        <w:t xml:space="preserve"> </w:t>
      </w:r>
    </w:p>
    <w:p w14:paraId="73D2EEFD" w14:textId="77777777" w:rsidR="00A94DE1" w:rsidRDefault="00B957B7" w:rsidP="00A16CE7">
      <w:pPr>
        <w:pStyle w:val="Heading1"/>
        <w:spacing w:before="120"/>
      </w:pPr>
      <w:r>
        <w:t>Draft r</w:t>
      </w:r>
      <w:r w:rsidR="00A94DE1" w:rsidRPr="00C14CEF">
        <w:t xml:space="preserve">evised </w:t>
      </w:r>
      <w:r>
        <w:t xml:space="preserve">IESC </w:t>
      </w:r>
      <w:r w:rsidR="00A94DE1" w:rsidRPr="00C14CEF">
        <w:t>priorities</w:t>
      </w:r>
      <w:r w:rsidRPr="00B957B7">
        <w:t xml:space="preserve"> </w:t>
      </w:r>
      <w:r>
        <w:t xml:space="preserve">for research </w:t>
      </w:r>
    </w:p>
    <w:p w14:paraId="73D2EEFE" w14:textId="77777777" w:rsidR="00A94DE1" w:rsidRPr="006C7CA9" w:rsidRDefault="00A94DE1" w:rsidP="00A16CE7">
      <w:pPr>
        <w:pStyle w:val="Heading3"/>
        <w:spacing w:before="120"/>
        <w:rPr>
          <w:rFonts w:asciiTheme="minorHAnsi" w:hAnsiTheme="minorHAnsi"/>
          <w:b w:val="0"/>
          <w:color w:val="auto"/>
        </w:rPr>
      </w:pPr>
      <w:r w:rsidRPr="006C7CA9">
        <w:rPr>
          <w:rFonts w:asciiTheme="minorHAnsi" w:hAnsiTheme="minorHAnsi"/>
          <w:b w:val="0"/>
          <w:color w:val="auto"/>
        </w:rPr>
        <w:t xml:space="preserve">The </w:t>
      </w:r>
      <w:r w:rsidR="00AF424D">
        <w:rPr>
          <w:rFonts w:asciiTheme="minorHAnsi" w:hAnsiTheme="minorHAnsi"/>
          <w:b w:val="0"/>
          <w:color w:val="auto"/>
        </w:rPr>
        <w:t xml:space="preserve">draft </w:t>
      </w:r>
      <w:r w:rsidR="00B957B7">
        <w:rPr>
          <w:rFonts w:asciiTheme="minorHAnsi" w:hAnsiTheme="minorHAnsi"/>
          <w:b w:val="0"/>
          <w:color w:val="auto"/>
        </w:rPr>
        <w:t xml:space="preserve">revised </w:t>
      </w:r>
      <w:r w:rsidRPr="006C7CA9">
        <w:rPr>
          <w:rFonts w:asciiTheme="minorHAnsi" w:hAnsiTheme="minorHAnsi"/>
          <w:b w:val="0"/>
          <w:color w:val="auto"/>
        </w:rPr>
        <w:t xml:space="preserve">IESC priorities for research </w:t>
      </w:r>
      <w:r w:rsidR="006C7CA9">
        <w:rPr>
          <w:rFonts w:asciiTheme="minorHAnsi" w:hAnsiTheme="minorHAnsi"/>
          <w:b w:val="0"/>
          <w:color w:val="auto"/>
        </w:rPr>
        <w:t xml:space="preserve">are at </w:t>
      </w:r>
      <w:r w:rsidR="008F49FF">
        <w:rPr>
          <w:rFonts w:asciiTheme="minorHAnsi" w:hAnsiTheme="minorHAnsi"/>
          <w:b w:val="0"/>
          <w:color w:val="auto"/>
        </w:rPr>
        <w:t>Appendix</w:t>
      </w:r>
      <w:r w:rsidR="00AF424D">
        <w:rPr>
          <w:rFonts w:asciiTheme="minorHAnsi" w:hAnsiTheme="minorHAnsi"/>
          <w:b w:val="0"/>
          <w:color w:val="auto"/>
        </w:rPr>
        <w:t xml:space="preserve"> </w:t>
      </w:r>
      <w:r w:rsidR="008400F6">
        <w:rPr>
          <w:rFonts w:asciiTheme="minorHAnsi" w:hAnsiTheme="minorHAnsi"/>
          <w:b w:val="0"/>
          <w:color w:val="auto"/>
        </w:rPr>
        <w:t>B</w:t>
      </w:r>
      <w:r w:rsidR="006C7CA9">
        <w:rPr>
          <w:rFonts w:asciiTheme="minorHAnsi" w:hAnsiTheme="minorHAnsi"/>
          <w:b w:val="0"/>
          <w:color w:val="auto"/>
        </w:rPr>
        <w:t>.</w:t>
      </w:r>
    </w:p>
    <w:p w14:paraId="73D2EEFF" w14:textId="77777777" w:rsidR="00E027F8" w:rsidRDefault="00E027F8">
      <w:r>
        <w:br w:type="page"/>
      </w:r>
    </w:p>
    <w:p w14:paraId="73D2EF00" w14:textId="77777777" w:rsidR="009A6EF4" w:rsidRDefault="009A6EF4" w:rsidP="00553ED8">
      <w:pPr>
        <w:pStyle w:val="Heading1"/>
        <w:tabs>
          <w:tab w:val="left" w:pos="5775"/>
        </w:tabs>
      </w:pPr>
      <w:r w:rsidRPr="009A6EF4">
        <w:lastRenderedPageBreak/>
        <w:t>References</w:t>
      </w:r>
      <w:r w:rsidR="00553ED8">
        <w:tab/>
      </w:r>
    </w:p>
    <w:p w14:paraId="73D2EF01" w14:textId="77777777" w:rsidR="005D4DE5" w:rsidRPr="005D4DE5" w:rsidRDefault="009F426E" w:rsidP="005D4DE5">
      <w:pPr>
        <w:spacing w:after="0" w:line="240" w:lineRule="auto"/>
        <w:ind w:left="720" w:hanging="720"/>
        <w:rPr>
          <w:rFonts w:ascii="Calibri" w:hAnsi="Calibri"/>
          <w:noProof/>
        </w:rPr>
      </w:pPr>
      <w:r>
        <w:fldChar w:fldCharType="begin"/>
      </w:r>
      <w:r w:rsidR="0011507E">
        <w:instrText xml:space="preserve"> ADDIN EN.REFLIST </w:instrText>
      </w:r>
      <w:r>
        <w:fldChar w:fldCharType="separate"/>
      </w:r>
      <w:bookmarkStart w:id="1" w:name="_ENREF_1"/>
      <w:r w:rsidR="005D4DE5" w:rsidRPr="005D4DE5">
        <w:rPr>
          <w:rFonts w:ascii="Calibri" w:hAnsi="Calibri"/>
          <w:noProof/>
        </w:rPr>
        <w:t>Australian Government 2015. Science and Research Priorities.</w:t>
      </w:r>
      <w:bookmarkEnd w:id="1"/>
    </w:p>
    <w:p w14:paraId="73D2EF02" w14:textId="77777777" w:rsidR="005D4DE5" w:rsidRPr="005D4DE5" w:rsidRDefault="005D4DE5" w:rsidP="005D4DE5">
      <w:pPr>
        <w:spacing w:after="0" w:line="240" w:lineRule="auto"/>
        <w:ind w:left="720" w:hanging="720"/>
        <w:rPr>
          <w:rFonts w:ascii="Calibri" w:hAnsi="Calibri"/>
          <w:noProof/>
        </w:rPr>
      </w:pPr>
      <w:bookmarkStart w:id="2" w:name="_ENREF_2"/>
      <w:r w:rsidRPr="005D4DE5">
        <w:rPr>
          <w:rFonts w:ascii="Calibri" w:hAnsi="Calibri"/>
          <w:noProof/>
        </w:rPr>
        <w:t>Barnett, B et al. 2012. Australian groundwater modelling guidelines, Waterlines report no. 82. Canberra: National Water Commission.</w:t>
      </w:r>
      <w:bookmarkEnd w:id="2"/>
    </w:p>
    <w:p w14:paraId="73D2EF03" w14:textId="77777777" w:rsidR="005D4DE5" w:rsidRPr="005D4DE5" w:rsidRDefault="005D4DE5" w:rsidP="005D4DE5">
      <w:pPr>
        <w:spacing w:after="0" w:line="240" w:lineRule="auto"/>
        <w:ind w:left="720" w:hanging="720"/>
        <w:rPr>
          <w:rFonts w:ascii="Calibri" w:hAnsi="Calibri"/>
          <w:noProof/>
        </w:rPr>
      </w:pPr>
      <w:bookmarkStart w:id="3" w:name="_ENREF_3"/>
      <w:r w:rsidRPr="005D4DE5">
        <w:rPr>
          <w:rFonts w:ascii="Calibri" w:hAnsi="Calibri"/>
          <w:noProof/>
        </w:rPr>
        <w:t xml:space="preserve">Corwin, DL et al. 2006. 'From field- to landscape-scale vadose zone processes: Scale issues, modeling, and monitoring'. </w:t>
      </w:r>
      <w:r w:rsidRPr="005D4DE5">
        <w:rPr>
          <w:rFonts w:ascii="Calibri" w:hAnsi="Calibri"/>
          <w:i/>
          <w:noProof/>
        </w:rPr>
        <w:t>Vadose Zone Journal,</w:t>
      </w:r>
      <w:r w:rsidRPr="005D4DE5">
        <w:rPr>
          <w:rFonts w:ascii="Calibri" w:hAnsi="Calibri"/>
          <w:noProof/>
        </w:rPr>
        <w:t xml:space="preserve"> vol. 5</w:t>
      </w:r>
      <w:r w:rsidRPr="005D4DE5">
        <w:rPr>
          <w:rFonts w:ascii="Calibri" w:hAnsi="Calibri"/>
          <w:b/>
          <w:noProof/>
        </w:rPr>
        <w:t>,</w:t>
      </w:r>
      <w:r w:rsidRPr="005D4DE5">
        <w:rPr>
          <w:rFonts w:ascii="Calibri" w:hAnsi="Calibri"/>
          <w:noProof/>
        </w:rPr>
        <w:t xml:space="preserve"> pp. 129-139.</w:t>
      </w:r>
      <w:bookmarkEnd w:id="3"/>
    </w:p>
    <w:p w14:paraId="73D2EF04" w14:textId="77777777" w:rsidR="005D4DE5" w:rsidRPr="005D4DE5" w:rsidRDefault="005D4DE5" w:rsidP="005D4DE5">
      <w:pPr>
        <w:spacing w:after="0" w:line="240" w:lineRule="auto"/>
        <w:ind w:left="720" w:hanging="720"/>
        <w:rPr>
          <w:rFonts w:ascii="Calibri" w:hAnsi="Calibri"/>
          <w:noProof/>
        </w:rPr>
      </w:pPr>
      <w:bookmarkStart w:id="4" w:name="_ENREF_4"/>
      <w:r w:rsidRPr="005D4DE5">
        <w:rPr>
          <w:rFonts w:ascii="Calibri" w:hAnsi="Calibri"/>
          <w:noProof/>
        </w:rPr>
        <w:t xml:space="preserve">Daniel, WM et al. 2015. 'Characterizing coal and mineral mines as a regional source of stress to stream fish assemblages'. </w:t>
      </w:r>
      <w:r w:rsidRPr="005D4DE5">
        <w:rPr>
          <w:rFonts w:ascii="Calibri" w:hAnsi="Calibri"/>
          <w:i/>
          <w:noProof/>
        </w:rPr>
        <w:t>Ecological Indicators,</w:t>
      </w:r>
      <w:r w:rsidRPr="005D4DE5">
        <w:rPr>
          <w:rFonts w:ascii="Calibri" w:hAnsi="Calibri"/>
          <w:noProof/>
        </w:rPr>
        <w:t xml:space="preserve"> vol. 50</w:t>
      </w:r>
      <w:r w:rsidRPr="005D4DE5">
        <w:rPr>
          <w:rFonts w:ascii="Calibri" w:hAnsi="Calibri"/>
          <w:b/>
          <w:noProof/>
        </w:rPr>
        <w:t>,</w:t>
      </w:r>
      <w:r w:rsidRPr="005D4DE5">
        <w:rPr>
          <w:rFonts w:ascii="Calibri" w:hAnsi="Calibri"/>
          <w:noProof/>
        </w:rPr>
        <w:t xml:space="preserve"> pp. 50-61.</w:t>
      </w:r>
      <w:bookmarkEnd w:id="4"/>
    </w:p>
    <w:p w14:paraId="73D2EF05" w14:textId="77777777" w:rsidR="005D4DE5" w:rsidRPr="005D4DE5" w:rsidRDefault="005D4DE5" w:rsidP="005D4DE5">
      <w:pPr>
        <w:spacing w:after="0" w:line="240" w:lineRule="auto"/>
        <w:ind w:left="720" w:hanging="720"/>
        <w:rPr>
          <w:rFonts w:ascii="Calibri" w:hAnsi="Calibri"/>
          <w:noProof/>
        </w:rPr>
      </w:pPr>
      <w:bookmarkStart w:id="5" w:name="_ENREF_5"/>
      <w:r w:rsidRPr="005D4DE5">
        <w:rPr>
          <w:rFonts w:ascii="Calibri" w:hAnsi="Calibri"/>
          <w:noProof/>
        </w:rPr>
        <w:t xml:space="preserve">Davies, PJ et al. 2015. 'Managing produced water from coal seam gas projects: implications for an emerging industry in Australia'. </w:t>
      </w:r>
      <w:r w:rsidRPr="005D4DE5">
        <w:rPr>
          <w:rFonts w:ascii="Calibri" w:hAnsi="Calibri"/>
          <w:i/>
          <w:noProof/>
        </w:rPr>
        <w:t>Environmental Science and Pollution Research,</w:t>
      </w:r>
      <w:r w:rsidRPr="005D4DE5">
        <w:rPr>
          <w:rFonts w:ascii="Calibri" w:hAnsi="Calibri"/>
          <w:noProof/>
        </w:rPr>
        <w:t xml:space="preserve"> vol. 22</w:t>
      </w:r>
      <w:r w:rsidRPr="005D4DE5">
        <w:rPr>
          <w:rFonts w:ascii="Calibri" w:hAnsi="Calibri"/>
          <w:b/>
          <w:noProof/>
        </w:rPr>
        <w:t>,</w:t>
      </w:r>
      <w:r w:rsidRPr="005D4DE5">
        <w:rPr>
          <w:rFonts w:ascii="Calibri" w:hAnsi="Calibri"/>
          <w:noProof/>
        </w:rPr>
        <w:t xml:space="preserve"> pp. 10981-11000.</w:t>
      </w:r>
      <w:bookmarkEnd w:id="5"/>
    </w:p>
    <w:p w14:paraId="73D2EF06" w14:textId="77777777" w:rsidR="005D4DE5" w:rsidRPr="005D4DE5" w:rsidRDefault="005D4DE5" w:rsidP="005D4DE5">
      <w:pPr>
        <w:spacing w:after="0" w:line="240" w:lineRule="auto"/>
        <w:ind w:left="720" w:hanging="720"/>
        <w:rPr>
          <w:rFonts w:ascii="Calibri" w:hAnsi="Calibri"/>
          <w:noProof/>
        </w:rPr>
      </w:pPr>
      <w:bookmarkStart w:id="6" w:name="_ENREF_6"/>
      <w:r w:rsidRPr="005D4DE5">
        <w:rPr>
          <w:rFonts w:ascii="Calibri" w:hAnsi="Calibri"/>
          <w:noProof/>
        </w:rPr>
        <w:t xml:space="preserve">Franks, D et al. 2010. </w:t>
      </w:r>
      <w:r w:rsidRPr="005D4DE5">
        <w:rPr>
          <w:rFonts w:ascii="Calibri" w:hAnsi="Calibri"/>
          <w:i/>
          <w:noProof/>
        </w:rPr>
        <w:t>Cumulative Impacts: a good practice guide for the Australian coal mining industry</w:t>
      </w:r>
      <w:r w:rsidRPr="005D4DE5">
        <w:rPr>
          <w:rFonts w:ascii="Calibri" w:hAnsi="Calibri"/>
          <w:noProof/>
        </w:rPr>
        <w:t>. Brisbane: Centre for Social Responsibility in Mining &amp; Centre for Water in the Minerals Industry, Sustainable Minerals Institute, The University of Queensland.</w:t>
      </w:r>
      <w:bookmarkEnd w:id="6"/>
    </w:p>
    <w:p w14:paraId="73D2EF07" w14:textId="77777777" w:rsidR="005D4DE5" w:rsidRPr="005D4DE5" w:rsidRDefault="005D4DE5" w:rsidP="005D4DE5">
      <w:pPr>
        <w:spacing w:after="0" w:line="240" w:lineRule="auto"/>
        <w:ind w:left="720" w:hanging="720"/>
        <w:rPr>
          <w:rFonts w:ascii="Calibri" w:hAnsi="Calibri"/>
          <w:noProof/>
        </w:rPr>
      </w:pPr>
      <w:bookmarkStart w:id="7" w:name="_ENREF_7"/>
      <w:r w:rsidRPr="005D4DE5">
        <w:rPr>
          <w:rFonts w:ascii="Calibri" w:hAnsi="Calibri"/>
          <w:noProof/>
        </w:rPr>
        <w:t>Hawke, A 2014. Report of the Independent Inquiry into Hydraulic Fracturing in the Northern Territory, 28 November 2014.</w:t>
      </w:r>
      <w:bookmarkEnd w:id="7"/>
    </w:p>
    <w:p w14:paraId="73D2EF08" w14:textId="77777777" w:rsidR="005D4DE5" w:rsidRPr="005D4DE5" w:rsidRDefault="005D4DE5" w:rsidP="005D4DE5">
      <w:pPr>
        <w:spacing w:after="0" w:line="240" w:lineRule="auto"/>
        <w:ind w:left="720" w:hanging="720"/>
        <w:rPr>
          <w:rFonts w:ascii="Calibri" w:hAnsi="Calibri"/>
          <w:noProof/>
        </w:rPr>
      </w:pPr>
      <w:bookmarkStart w:id="8" w:name="_ENREF_8"/>
      <w:r w:rsidRPr="005D4DE5">
        <w:rPr>
          <w:rFonts w:ascii="Calibri" w:hAnsi="Calibri"/>
          <w:noProof/>
        </w:rPr>
        <w:t xml:space="preserve">IESC. 2015. </w:t>
      </w:r>
      <w:r w:rsidRPr="005D4DE5">
        <w:rPr>
          <w:rFonts w:ascii="Calibri" w:hAnsi="Calibri"/>
          <w:i/>
          <w:noProof/>
        </w:rPr>
        <w:t xml:space="preserve">Information Guidelines for the Independent Expert Scientific Committee advice on coal seam gas and large coal mining development proposals </w:t>
      </w:r>
      <w:r w:rsidRPr="005D4DE5">
        <w:rPr>
          <w:rFonts w:ascii="Calibri" w:hAnsi="Calibri"/>
          <w:noProof/>
        </w:rPr>
        <w:t xml:space="preserve">[Online]. Available: </w:t>
      </w:r>
      <w:hyperlink r:id="rId10" w:history="1">
        <w:r w:rsidRPr="005D4DE5">
          <w:rPr>
            <w:rStyle w:val="Hyperlink"/>
            <w:rFonts w:ascii="Calibri" w:hAnsi="Calibri"/>
            <w:noProof/>
          </w:rPr>
          <w:t>http://www.iesc.environment.gov.au/system/files/resources/012fa918-ee79-4131-9c8d-02c9b2de65cf/files/iesc-information-guidelines-oct-2015.pdf</w:t>
        </w:r>
      </w:hyperlink>
      <w:r w:rsidRPr="005D4DE5">
        <w:rPr>
          <w:rFonts w:ascii="Calibri" w:hAnsi="Calibri"/>
          <w:noProof/>
        </w:rPr>
        <w:t>.</w:t>
      </w:r>
      <w:bookmarkEnd w:id="8"/>
    </w:p>
    <w:p w14:paraId="73D2EF09" w14:textId="77777777" w:rsidR="005D4DE5" w:rsidRPr="005D4DE5" w:rsidRDefault="005D4DE5" w:rsidP="005D4DE5">
      <w:pPr>
        <w:spacing w:after="0" w:line="240" w:lineRule="auto"/>
        <w:ind w:left="720" w:hanging="720"/>
        <w:rPr>
          <w:rFonts w:ascii="Calibri" w:hAnsi="Calibri"/>
          <w:noProof/>
        </w:rPr>
      </w:pPr>
      <w:bookmarkStart w:id="9" w:name="_ENREF_9"/>
      <w:r w:rsidRPr="005D4DE5">
        <w:rPr>
          <w:rFonts w:ascii="Calibri" w:hAnsi="Calibri"/>
          <w:noProof/>
        </w:rPr>
        <w:t xml:space="preserve">Jackson, RE et al. 2013. 'Groundwater protection and unconventional gas extraction: the critical need for field-based hydrogeological research'. </w:t>
      </w:r>
      <w:r w:rsidRPr="005D4DE5">
        <w:rPr>
          <w:rFonts w:ascii="Calibri" w:hAnsi="Calibri"/>
          <w:i/>
          <w:noProof/>
        </w:rPr>
        <w:t>Ground Water,</w:t>
      </w:r>
      <w:r w:rsidRPr="005D4DE5">
        <w:rPr>
          <w:rFonts w:ascii="Calibri" w:hAnsi="Calibri"/>
          <w:noProof/>
        </w:rPr>
        <w:t xml:space="preserve"> vol. 51</w:t>
      </w:r>
      <w:r w:rsidRPr="005D4DE5">
        <w:rPr>
          <w:rFonts w:ascii="Calibri" w:hAnsi="Calibri"/>
          <w:b/>
          <w:noProof/>
        </w:rPr>
        <w:t>,</w:t>
      </w:r>
      <w:r w:rsidRPr="005D4DE5">
        <w:rPr>
          <w:rFonts w:ascii="Calibri" w:hAnsi="Calibri"/>
          <w:noProof/>
        </w:rPr>
        <w:t xml:space="preserve"> pp. 488-510.</w:t>
      </w:r>
      <w:bookmarkEnd w:id="9"/>
    </w:p>
    <w:p w14:paraId="73D2EF0A" w14:textId="77777777" w:rsidR="005D4DE5" w:rsidRPr="005D4DE5" w:rsidRDefault="005D4DE5" w:rsidP="005D4DE5">
      <w:pPr>
        <w:spacing w:after="0" w:line="240" w:lineRule="auto"/>
        <w:ind w:left="720" w:hanging="720"/>
        <w:rPr>
          <w:rFonts w:ascii="Calibri" w:hAnsi="Calibri"/>
          <w:noProof/>
        </w:rPr>
      </w:pPr>
      <w:bookmarkStart w:id="10" w:name="_ENREF_10"/>
      <w:r w:rsidRPr="005D4DE5">
        <w:rPr>
          <w:rFonts w:ascii="Calibri" w:hAnsi="Calibri"/>
          <w:noProof/>
        </w:rPr>
        <w:t>New South Wales Chief Scientist and Engineer 2014. Final report of the independent review of coal seam gas activities in NSW.</w:t>
      </w:r>
      <w:bookmarkEnd w:id="10"/>
    </w:p>
    <w:p w14:paraId="73D2EF0B" w14:textId="77777777" w:rsidR="005D4DE5" w:rsidRPr="005D4DE5" w:rsidRDefault="005D4DE5" w:rsidP="005D4DE5">
      <w:pPr>
        <w:spacing w:after="0" w:line="240" w:lineRule="auto"/>
        <w:ind w:left="720" w:hanging="720"/>
        <w:rPr>
          <w:rFonts w:ascii="Calibri" w:hAnsi="Calibri"/>
          <w:noProof/>
        </w:rPr>
      </w:pPr>
      <w:bookmarkStart w:id="11" w:name="_ENREF_11"/>
      <w:r w:rsidRPr="005D4DE5">
        <w:rPr>
          <w:rFonts w:ascii="Calibri" w:hAnsi="Calibri"/>
          <w:noProof/>
        </w:rPr>
        <w:t xml:space="preserve">Richardson, S et al. 2011a. </w:t>
      </w:r>
      <w:r w:rsidRPr="005D4DE5">
        <w:rPr>
          <w:rFonts w:ascii="Calibri" w:hAnsi="Calibri"/>
          <w:i/>
          <w:noProof/>
        </w:rPr>
        <w:t>Australian groundwater dependent ecosystems toolbox Part 2: assessment tools</w:t>
      </w:r>
      <w:r w:rsidRPr="005D4DE5">
        <w:rPr>
          <w:rFonts w:ascii="Calibri" w:hAnsi="Calibri"/>
          <w:noProof/>
        </w:rPr>
        <w:t>. Waterlines report. National Water Commission: Canberra.</w:t>
      </w:r>
      <w:bookmarkEnd w:id="11"/>
    </w:p>
    <w:p w14:paraId="73D2EF0C" w14:textId="77777777" w:rsidR="005D4DE5" w:rsidRPr="005D4DE5" w:rsidRDefault="005D4DE5" w:rsidP="005D4DE5">
      <w:pPr>
        <w:spacing w:after="0" w:line="240" w:lineRule="auto"/>
        <w:ind w:left="720" w:hanging="720"/>
        <w:rPr>
          <w:rFonts w:ascii="Calibri" w:hAnsi="Calibri"/>
          <w:noProof/>
        </w:rPr>
      </w:pPr>
      <w:bookmarkStart w:id="12" w:name="_ENREF_12"/>
      <w:r w:rsidRPr="005D4DE5">
        <w:rPr>
          <w:rFonts w:ascii="Calibri" w:hAnsi="Calibri"/>
          <w:noProof/>
        </w:rPr>
        <w:t xml:space="preserve">Richardson, S et al. 2011b. </w:t>
      </w:r>
      <w:r w:rsidRPr="005D4DE5">
        <w:rPr>
          <w:rFonts w:ascii="Calibri" w:hAnsi="Calibri"/>
          <w:i/>
          <w:noProof/>
        </w:rPr>
        <w:t xml:space="preserve">Australian groundwater dependent ecosystem toolbox Part 1: assessment framework. </w:t>
      </w:r>
      <w:r w:rsidRPr="005D4DE5">
        <w:rPr>
          <w:rFonts w:ascii="Calibri" w:hAnsi="Calibri"/>
          <w:noProof/>
        </w:rPr>
        <w:t>Waterlines report. National Water Commission: Canberra.</w:t>
      </w:r>
      <w:bookmarkEnd w:id="12"/>
    </w:p>
    <w:p w14:paraId="73D2EF0D" w14:textId="77777777" w:rsidR="005D4DE5" w:rsidRPr="005D4DE5" w:rsidRDefault="005D4DE5" w:rsidP="005D4DE5">
      <w:pPr>
        <w:spacing w:line="240" w:lineRule="auto"/>
        <w:ind w:left="720" w:hanging="720"/>
        <w:rPr>
          <w:rFonts w:ascii="Calibri" w:hAnsi="Calibri"/>
          <w:noProof/>
        </w:rPr>
      </w:pPr>
      <w:bookmarkStart w:id="13" w:name="_ENREF_13"/>
      <w:r w:rsidRPr="005D4DE5">
        <w:rPr>
          <w:rFonts w:ascii="Calibri" w:hAnsi="Calibri"/>
          <w:noProof/>
        </w:rPr>
        <w:t xml:space="preserve">Wondzell, SM et al. 2010. 'An analysis of alternative conceptual models relating hyporheic exchange flow to diel fluctuations in discharge during baseflow recession'. </w:t>
      </w:r>
      <w:r w:rsidRPr="005D4DE5">
        <w:rPr>
          <w:rFonts w:ascii="Calibri" w:hAnsi="Calibri"/>
          <w:i/>
          <w:noProof/>
        </w:rPr>
        <w:t>Hydrological Processes,</w:t>
      </w:r>
      <w:r w:rsidRPr="005D4DE5">
        <w:rPr>
          <w:rFonts w:ascii="Calibri" w:hAnsi="Calibri"/>
          <w:noProof/>
        </w:rPr>
        <w:t xml:space="preserve"> vol. 24</w:t>
      </w:r>
      <w:r w:rsidRPr="005D4DE5">
        <w:rPr>
          <w:rFonts w:ascii="Calibri" w:hAnsi="Calibri"/>
          <w:b/>
          <w:noProof/>
        </w:rPr>
        <w:t>,</w:t>
      </w:r>
      <w:r w:rsidRPr="005D4DE5">
        <w:rPr>
          <w:rFonts w:ascii="Calibri" w:hAnsi="Calibri"/>
          <w:noProof/>
        </w:rPr>
        <w:t xml:space="preserve"> pp. 686-694.</w:t>
      </w:r>
      <w:bookmarkEnd w:id="13"/>
    </w:p>
    <w:p w14:paraId="73D2EF0E" w14:textId="77777777" w:rsidR="005D4DE5" w:rsidRDefault="005D4DE5" w:rsidP="005D4DE5">
      <w:pPr>
        <w:spacing w:line="240" w:lineRule="auto"/>
        <w:rPr>
          <w:rFonts w:ascii="Calibri" w:hAnsi="Calibri"/>
          <w:noProof/>
        </w:rPr>
      </w:pPr>
    </w:p>
    <w:p w14:paraId="73D2EF0F" w14:textId="77777777" w:rsidR="00A0587A" w:rsidRDefault="009F426E" w:rsidP="00A0587A">
      <w:pPr>
        <w:sectPr w:rsidR="00A0587A" w:rsidSect="00E12305">
          <w:headerReference w:type="default" r:id="rId11"/>
          <w:footerReference w:type="default" r:id="rId12"/>
          <w:pgSz w:w="11906" w:h="16838"/>
          <w:pgMar w:top="1440" w:right="1080" w:bottom="1440" w:left="1080" w:header="708" w:footer="708" w:gutter="0"/>
          <w:cols w:space="708"/>
          <w:docGrid w:linePitch="360"/>
        </w:sectPr>
      </w:pPr>
      <w:r>
        <w:fldChar w:fldCharType="end"/>
      </w:r>
    </w:p>
    <w:p w14:paraId="73D2EF10" w14:textId="77777777" w:rsidR="00273086" w:rsidRDefault="00273086" w:rsidP="00CA01DE">
      <w:pPr>
        <w:pStyle w:val="Heading1"/>
        <w:spacing w:before="0"/>
        <w:rPr>
          <w:rFonts w:asciiTheme="minorHAnsi" w:hAnsiTheme="minorHAnsi"/>
        </w:rPr>
      </w:pPr>
      <w:r>
        <w:rPr>
          <w:rFonts w:asciiTheme="minorHAnsi" w:hAnsiTheme="minorHAnsi"/>
        </w:rPr>
        <w:lastRenderedPageBreak/>
        <w:t>APPENDIX A</w:t>
      </w:r>
    </w:p>
    <w:p w14:paraId="73D2EF11" w14:textId="77777777" w:rsidR="00362639" w:rsidRPr="00EF2A91" w:rsidRDefault="00362639" w:rsidP="00CA01DE">
      <w:pPr>
        <w:pStyle w:val="Heading1"/>
        <w:spacing w:before="0"/>
        <w:rPr>
          <w:rFonts w:asciiTheme="minorHAnsi" w:hAnsiTheme="minorHAnsi"/>
        </w:rPr>
      </w:pPr>
      <w:r w:rsidRPr="00EF2A91">
        <w:rPr>
          <w:rFonts w:asciiTheme="minorHAnsi" w:hAnsiTheme="minorHAnsi"/>
        </w:rPr>
        <w:t>IESC 2013 Research priorities</w:t>
      </w:r>
      <w:r w:rsidR="0099068B">
        <w:rPr>
          <w:rFonts w:asciiTheme="minorHAnsi" w:hAnsiTheme="minorHAnsi"/>
        </w:rPr>
        <w:t xml:space="preserve"> and</w:t>
      </w:r>
      <w:r w:rsidRPr="00EF2A91">
        <w:rPr>
          <w:rFonts w:asciiTheme="minorHAnsi" w:hAnsiTheme="minorHAnsi"/>
        </w:rPr>
        <w:t xml:space="preserve"> OW</w:t>
      </w:r>
      <w:r w:rsidR="00A36F67" w:rsidRPr="00EF2A91">
        <w:rPr>
          <w:rFonts w:asciiTheme="minorHAnsi" w:hAnsiTheme="minorHAnsi"/>
        </w:rPr>
        <w:t>S</w:t>
      </w:r>
      <w:r w:rsidRPr="00EF2A91">
        <w:rPr>
          <w:rFonts w:asciiTheme="minorHAnsi" w:hAnsiTheme="minorHAnsi"/>
        </w:rPr>
        <w:t xml:space="preserve"> </w:t>
      </w:r>
      <w:r w:rsidR="0099068B">
        <w:rPr>
          <w:rFonts w:asciiTheme="minorHAnsi" w:hAnsiTheme="minorHAnsi"/>
        </w:rPr>
        <w:t xml:space="preserve">research </w:t>
      </w:r>
    </w:p>
    <w:tbl>
      <w:tblPr>
        <w:tblStyle w:val="TableGrid"/>
        <w:tblW w:w="5000" w:type="pct"/>
        <w:shd w:val="clear" w:color="auto" w:fill="FFFFFF" w:themeFill="background1"/>
        <w:tblLook w:val="04A0" w:firstRow="1" w:lastRow="0" w:firstColumn="1" w:lastColumn="0" w:noHBand="0" w:noVBand="1"/>
      </w:tblPr>
      <w:tblGrid>
        <w:gridCol w:w="2645"/>
        <w:gridCol w:w="5847"/>
        <w:gridCol w:w="5456"/>
      </w:tblGrid>
      <w:tr w:rsidR="0099068B" w:rsidRPr="009C1139" w14:paraId="73D2EF15" w14:textId="77777777" w:rsidTr="0099068B">
        <w:trPr>
          <w:cantSplit/>
          <w:tblHeader/>
        </w:trPr>
        <w:tc>
          <w:tcPr>
            <w:tcW w:w="948" w:type="pct"/>
            <w:shd w:val="clear" w:color="auto" w:fill="FFFFFF" w:themeFill="background1"/>
          </w:tcPr>
          <w:p w14:paraId="73D2EF12" w14:textId="77777777" w:rsidR="0099068B" w:rsidRPr="009C1139" w:rsidRDefault="0099068B" w:rsidP="0099068B">
            <w:pPr>
              <w:spacing w:before="60" w:after="60"/>
              <w:rPr>
                <w:rFonts w:cs="Arial"/>
                <w:b/>
              </w:rPr>
            </w:pPr>
            <w:r w:rsidRPr="009C1139">
              <w:rPr>
                <w:rFonts w:cs="Arial"/>
                <w:b/>
              </w:rPr>
              <w:t>Research Themes</w:t>
            </w:r>
          </w:p>
        </w:tc>
        <w:tc>
          <w:tcPr>
            <w:tcW w:w="2096" w:type="pct"/>
            <w:shd w:val="clear" w:color="auto" w:fill="FFFFFF" w:themeFill="background1"/>
          </w:tcPr>
          <w:p w14:paraId="73D2EF13" w14:textId="77777777" w:rsidR="0099068B" w:rsidRPr="009C1139" w:rsidRDefault="007E1E2D" w:rsidP="00FC1A34">
            <w:pPr>
              <w:spacing w:before="60" w:after="60"/>
              <w:ind w:left="540" w:hanging="540"/>
              <w:rPr>
                <w:rFonts w:cs="Arial"/>
                <w:b/>
              </w:rPr>
            </w:pPr>
            <w:r>
              <w:rPr>
                <w:rFonts w:cs="Arial"/>
                <w:b/>
              </w:rPr>
              <w:t>Research sub-themes</w:t>
            </w:r>
          </w:p>
        </w:tc>
        <w:tc>
          <w:tcPr>
            <w:tcW w:w="1956" w:type="pct"/>
            <w:shd w:val="clear" w:color="auto" w:fill="FFFFFF" w:themeFill="background1"/>
          </w:tcPr>
          <w:p w14:paraId="73D2EF14" w14:textId="77777777" w:rsidR="0099068B" w:rsidRPr="009C1139" w:rsidRDefault="0099068B" w:rsidP="009F2963">
            <w:pPr>
              <w:spacing w:before="60" w:after="60"/>
              <w:ind w:left="540" w:hanging="540"/>
              <w:rPr>
                <w:rFonts w:cs="Arial"/>
                <w:b/>
              </w:rPr>
            </w:pPr>
            <w:r>
              <w:rPr>
                <w:rFonts w:cs="Arial"/>
                <w:b/>
              </w:rPr>
              <w:t xml:space="preserve">OWS research </w:t>
            </w:r>
            <w:r w:rsidR="007E1E2D">
              <w:rPr>
                <w:rFonts w:cs="Arial"/>
                <w:b/>
              </w:rPr>
              <w:t>projects</w:t>
            </w:r>
          </w:p>
        </w:tc>
      </w:tr>
      <w:tr w:rsidR="0099068B" w:rsidRPr="009C1139" w14:paraId="73D2EF17" w14:textId="77777777" w:rsidTr="0099068B">
        <w:tc>
          <w:tcPr>
            <w:tcW w:w="5000" w:type="pct"/>
            <w:gridSpan w:val="3"/>
            <w:shd w:val="clear" w:color="auto" w:fill="FFFFFF" w:themeFill="background1"/>
          </w:tcPr>
          <w:p w14:paraId="73D2EF16" w14:textId="77777777" w:rsidR="0099068B" w:rsidRDefault="0099068B" w:rsidP="00C83BC2">
            <w:pPr>
              <w:spacing w:before="60" w:after="60"/>
              <w:rPr>
                <w:rFonts w:cs="Arial"/>
              </w:rPr>
            </w:pPr>
            <w:r>
              <w:rPr>
                <w:rFonts w:cs="Arial"/>
              </w:rPr>
              <w:t>HYDROLOGY</w:t>
            </w:r>
          </w:p>
        </w:tc>
      </w:tr>
      <w:tr w:rsidR="0099068B" w:rsidRPr="009C1139" w14:paraId="73D2EF1D" w14:textId="77777777" w:rsidTr="0099068B">
        <w:tc>
          <w:tcPr>
            <w:tcW w:w="948" w:type="pct"/>
            <w:vMerge w:val="restart"/>
            <w:shd w:val="clear" w:color="auto" w:fill="FFFFFF" w:themeFill="background1"/>
          </w:tcPr>
          <w:p w14:paraId="73D2EF18" w14:textId="77777777" w:rsidR="0099068B" w:rsidRPr="009C1139" w:rsidRDefault="0099068B" w:rsidP="00C83BC2">
            <w:pPr>
              <w:spacing w:before="60" w:after="60"/>
              <w:rPr>
                <w:rFonts w:cs="Arial"/>
              </w:rPr>
            </w:pPr>
            <w:r w:rsidRPr="009C1139">
              <w:rPr>
                <w:rFonts w:cs="Arial"/>
              </w:rPr>
              <w:t xml:space="preserve">Sub-Theme: Surface water and </w:t>
            </w:r>
            <w:r>
              <w:rPr>
                <w:rFonts w:cs="Arial"/>
              </w:rPr>
              <w:t>groundwater</w:t>
            </w:r>
            <w:r w:rsidRPr="009C1139">
              <w:rPr>
                <w:rFonts w:cs="Arial"/>
              </w:rPr>
              <w:t xml:space="preserve"> connectivity</w:t>
            </w:r>
          </w:p>
        </w:tc>
        <w:tc>
          <w:tcPr>
            <w:tcW w:w="2096" w:type="pct"/>
            <w:shd w:val="clear" w:color="auto" w:fill="FFFFFF" w:themeFill="background1"/>
          </w:tcPr>
          <w:p w14:paraId="73D2EF19" w14:textId="77777777" w:rsidR="0099068B" w:rsidRPr="009C1139" w:rsidRDefault="0099068B" w:rsidP="00C83BC2">
            <w:pPr>
              <w:spacing w:before="60" w:after="60"/>
              <w:rPr>
                <w:rFonts w:cs="Arial"/>
                <w:color w:val="000000" w:themeColor="text1"/>
              </w:rPr>
            </w:pPr>
            <w:r w:rsidRPr="009C1139">
              <w:rPr>
                <w:rFonts w:cs="Arial"/>
              </w:rPr>
              <w:t xml:space="preserve">Selection, </w:t>
            </w:r>
            <w:r>
              <w:rPr>
                <w:rFonts w:cs="Arial"/>
                <w:color w:val="000000" w:themeColor="text1"/>
              </w:rPr>
              <w:t>a</w:t>
            </w:r>
            <w:r w:rsidRPr="009C1139">
              <w:rPr>
                <w:rFonts w:cs="Arial"/>
                <w:color w:val="000000" w:themeColor="text1"/>
              </w:rPr>
              <w:t>pplication</w:t>
            </w:r>
            <w:r>
              <w:rPr>
                <w:rFonts w:cs="Arial"/>
                <w:color w:val="000000" w:themeColor="text1"/>
              </w:rPr>
              <w:t>, and e</w:t>
            </w:r>
            <w:r w:rsidRPr="009C1139">
              <w:rPr>
                <w:rFonts w:cs="Arial"/>
                <w:color w:val="000000" w:themeColor="text1"/>
              </w:rPr>
              <w:t xml:space="preserve">valuation of </w:t>
            </w:r>
            <w:r>
              <w:rPr>
                <w:rFonts w:cs="Arial"/>
                <w:color w:val="000000" w:themeColor="text1"/>
              </w:rPr>
              <w:t>groundwater</w:t>
            </w:r>
            <w:r w:rsidRPr="009C1139">
              <w:rPr>
                <w:rFonts w:cs="Arial"/>
                <w:color w:val="000000" w:themeColor="text1"/>
              </w:rPr>
              <w:t xml:space="preserve"> models to assess the impacts of coal seam gas and coal mining activities</w:t>
            </w:r>
          </w:p>
        </w:tc>
        <w:tc>
          <w:tcPr>
            <w:tcW w:w="1956" w:type="pct"/>
            <w:vMerge w:val="restart"/>
            <w:shd w:val="clear" w:color="auto" w:fill="FFFFFF" w:themeFill="background1"/>
          </w:tcPr>
          <w:p w14:paraId="73D2EF1A" w14:textId="77777777" w:rsidR="0099068B" w:rsidRPr="009C1139" w:rsidRDefault="0099068B" w:rsidP="00C83BC2">
            <w:pPr>
              <w:spacing w:before="60" w:after="60"/>
              <w:rPr>
                <w:rFonts w:cs="Arial"/>
              </w:rPr>
            </w:pPr>
            <w:r>
              <w:rPr>
                <w:rFonts w:cs="Arial"/>
              </w:rPr>
              <w:t xml:space="preserve">Knowledge report: </w:t>
            </w:r>
            <w:r w:rsidRPr="00DF0086">
              <w:rPr>
                <w:rFonts w:cs="Arial"/>
              </w:rPr>
              <w:t>Coal seam gas extraction: modelling groundwater impacts</w:t>
            </w:r>
          </w:p>
          <w:p w14:paraId="73D2EF1B" w14:textId="77777777" w:rsidR="0099068B" w:rsidRPr="009C1139" w:rsidRDefault="0099068B" w:rsidP="00C83BC2">
            <w:pPr>
              <w:spacing w:before="60" w:after="60"/>
              <w:rPr>
                <w:rFonts w:cs="Arial"/>
              </w:rPr>
            </w:pPr>
            <w:r>
              <w:rPr>
                <w:rFonts w:cs="Arial"/>
              </w:rPr>
              <w:t xml:space="preserve">In scope of </w:t>
            </w:r>
            <w:r w:rsidR="009F2963">
              <w:rPr>
                <w:rFonts w:cs="Arial"/>
              </w:rPr>
              <w:t xml:space="preserve">current </w:t>
            </w:r>
            <w:r>
              <w:rPr>
                <w:rFonts w:cs="Arial"/>
              </w:rPr>
              <w:t>hydrogeological project ‘Faults, aquitards and modelling’ to be completed by December 2016.</w:t>
            </w:r>
          </w:p>
          <w:p w14:paraId="73D2EF1C" w14:textId="77777777" w:rsidR="0099068B" w:rsidRPr="009C1139" w:rsidRDefault="0099068B" w:rsidP="00C83BC2">
            <w:pPr>
              <w:spacing w:before="60" w:after="60"/>
              <w:rPr>
                <w:rFonts w:cs="Arial"/>
              </w:rPr>
            </w:pPr>
          </w:p>
        </w:tc>
      </w:tr>
      <w:tr w:rsidR="0099068B" w:rsidRPr="009C1139" w14:paraId="73D2EF21" w14:textId="77777777" w:rsidTr="0099068B">
        <w:tc>
          <w:tcPr>
            <w:tcW w:w="948" w:type="pct"/>
            <w:vMerge/>
            <w:shd w:val="clear" w:color="auto" w:fill="FFFFFF" w:themeFill="background1"/>
          </w:tcPr>
          <w:p w14:paraId="73D2EF1E" w14:textId="77777777" w:rsidR="0099068B" w:rsidRPr="009C1139" w:rsidRDefault="0099068B" w:rsidP="00C83BC2">
            <w:pPr>
              <w:spacing w:before="60" w:after="60"/>
              <w:rPr>
                <w:rFonts w:cs="Arial"/>
              </w:rPr>
            </w:pPr>
          </w:p>
        </w:tc>
        <w:tc>
          <w:tcPr>
            <w:tcW w:w="2096" w:type="pct"/>
            <w:shd w:val="clear" w:color="auto" w:fill="FFFFFF" w:themeFill="background1"/>
          </w:tcPr>
          <w:p w14:paraId="73D2EF1F" w14:textId="77777777" w:rsidR="0099068B" w:rsidRPr="009C1139" w:rsidRDefault="0099068B" w:rsidP="00C83BC2">
            <w:pPr>
              <w:spacing w:before="60" w:after="60"/>
              <w:rPr>
                <w:rFonts w:cs="Arial"/>
              </w:rPr>
            </w:pPr>
            <w:r w:rsidRPr="009C1139">
              <w:rPr>
                <w:rFonts w:cs="Arial"/>
                <w:color w:val="000000" w:themeColor="text1"/>
              </w:rPr>
              <w:t xml:space="preserve">Quantifying the impact of faulting and fracturing on </w:t>
            </w:r>
            <w:r>
              <w:rPr>
                <w:rFonts w:cs="Arial"/>
                <w:color w:val="000000" w:themeColor="text1"/>
              </w:rPr>
              <w:t>groundwater</w:t>
            </w:r>
            <w:r w:rsidRPr="009C1139">
              <w:rPr>
                <w:rFonts w:cs="Arial"/>
                <w:color w:val="000000" w:themeColor="text1"/>
              </w:rPr>
              <w:t xml:space="preserve"> flows and aquifer connectivity at local and regional scales</w:t>
            </w:r>
          </w:p>
        </w:tc>
        <w:tc>
          <w:tcPr>
            <w:tcW w:w="1956" w:type="pct"/>
            <w:vMerge/>
            <w:shd w:val="clear" w:color="auto" w:fill="FFFFFF" w:themeFill="background1"/>
          </w:tcPr>
          <w:p w14:paraId="73D2EF20" w14:textId="77777777" w:rsidR="0099068B" w:rsidRPr="009C1139" w:rsidRDefault="0099068B" w:rsidP="00C83BC2">
            <w:pPr>
              <w:spacing w:before="60" w:after="60"/>
              <w:rPr>
                <w:rFonts w:cs="Arial"/>
              </w:rPr>
            </w:pPr>
          </w:p>
        </w:tc>
      </w:tr>
      <w:tr w:rsidR="0099068B" w:rsidRPr="009C1139" w14:paraId="73D2EF25" w14:textId="77777777" w:rsidTr="0099068B">
        <w:tc>
          <w:tcPr>
            <w:tcW w:w="948" w:type="pct"/>
            <w:vMerge/>
            <w:shd w:val="clear" w:color="auto" w:fill="FFFFFF" w:themeFill="background1"/>
          </w:tcPr>
          <w:p w14:paraId="73D2EF22" w14:textId="77777777" w:rsidR="0099068B" w:rsidRPr="009C1139" w:rsidRDefault="0099068B" w:rsidP="00C83BC2">
            <w:pPr>
              <w:spacing w:before="60" w:after="60"/>
              <w:rPr>
                <w:rFonts w:cs="Arial"/>
              </w:rPr>
            </w:pPr>
          </w:p>
        </w:tc>
        <w:tc>
          <w:tcPr>
            <w:tcW w:w="2096" w:type="pct"/>
            <w:shd w:val="clear" w:color="auto" w:fill="FFFFFF" w:themeFill="background1"/>
          </w:tcPr>
          <w:p w14:paraId="73D2EF23" w14:textId="77777777" w:rsidR="0099068B" w:rsidRPr="009C1139" w:rsidRDefault="0099068B" w:rsidP="00C83BC2">
            <w:pPr>
              <w:spacing w:before="60" w:after="60"/>
              <w:rPr>
                <w:rFonts w:cs="Arial"/>
              </w:rPr>
            </w:pPr>
            <w:r w:rsidRPr="009C1139">
              <w:rPr>
                <w:rFonts w:cs="Arial"/>
              </w:rPr>
              <w:t>Development and testing of methods for assessing inter-aquifer connectivity and aquitard leakage rates</w:t>
            </w:r>
          </w:p>
        </w:tc>
        <w:tc>
          <w:tcPr>
            <w:tcW w:w="1956" w:type="pct"/>
            <w:vMerge/>
            <w:shd w:val="clear" w:color="auto" w:fill="FFFFFF" w:themeFill="background1"/>
          </w:tcPr>
          <w:p w14:paraId="73D2EF24" w14:textId="77777777" w:rsidR="0099068B" w:rsidRPr="009C1139" w:rsidRDefault="0099068B" w:rsidP="00C83BC2">
            <w:pPr>
              <w:spacing w:before="60" w:after="60"/>
              <w:rPr>
                <w:rFonts w:cs="Arial"/>
              </w:rPr>
            </w:pPr>
          </w:p>
        </w:tc>
      </w:tr>
      <w:tr w:rsidR="0099068B" w:rsidRPr="009C1139" w14:paraId="73D2EF29" w14:textId="77777777" w:rsidTr="0099068B">
        <w:trPr>
          <w:cantSplit/>
        </w:trPr>
        <w:tc>
          <w:tcPr>
            <w:tcW w:w="948" w:type="pct"/>
            <w:shd w:val="clear" w:color="auto" w:fill="FFFFFF" w:themeFill="background1"/>
          </w:tcPr>
          <w:p w14:paraId="73D2EF26" w14:textId="77777777" w:rsidR="0099068B" w:rsidRPr="009C1139" w:rsidRDefault="0099068B" w:rsidP="00C83BC2">
            <w:pPr>
              <w:spacing w:before="60" w:after="60"/>
              <w:rPr>
                <w:rFonts w:cs="Arial"/>
              </w:rPr>
            </w:pPr>
            <w:r w:rsidRPr="009C1139">
              <w:rPr>
                <w:rFonts w:cs="Arial"/>
              </w:rPr>
              <w:t>Sub-Theme: Bore integrity</w:t>
            </w:r>
          </w:p>
        </w:tc>
        <w:tc>
          <w:tcPr>
            <w:tcW w:w="2096" w:type="pct"/>
            <w:shd w:val="clear" w:color="auto" w:fill="FFFFFF" w:themeFill="background1"/>
          </w:tcPr>
          <w:p w14:paraId="73D2EF27" w14:textId="77777777" w:rsidR="0099068B" w:rsidRPr="009C1139" w:rsidRDefault="0099068B" w:rsidP="00C83BC2">
            <w:pPr>
              <w:spacing w:before="60" w:after="60"/>
              <w:rPr>
                <w:rFonts w:cs="Arial"/>
                <w:color w:val="000000" w:themeColor="text1"/>
              </w:rPr>
            </w:pPr>
            <w:r w:rsidRPr="009C1139">
              <w:rPr>
                <w:rFonts w:cs="Arial"/>
                <w:color w:val="000000" w:themeColor="text1"/>
              </w:rPr>
              <w:t>Legacy and failed bores and the implications for aquifer interconnectivity</w:t>
            </w:r>
          </w:p>
        </w:tc>
        <w:tc>
          <w:tcPr>
            <w:tcW w:w="1956" w:type="pct"/>
            <w:shd w:val="clear" w:color="auto" w:fill="FFFFFF" w:themeFill="background1"/>
          </w:tcPr>
          <w:p w14:paraId="73D2EF28" w14:textId="77777777" w:rsidR="0099068B" w:rsidRPr="009C1139" w:rsidRDefault="0099068B" w:rsidP="00C83BC2">
            <w:pPr>
              <w:spacing w:before="60" w:after="60"/>
              <w:rPr>
                <w:rFonts w:cs="Arial"/>
              </w:rPr>
            </w:pPr>
            <w:r>
              <w:rPr>
                <w:rFonts w:cs="Arial"/>
              </w:rPr>
              <w:t>Background review: bore integrity; partially in scope of new project ‘Bore and well induced inter-aquifer connectivity’ to be completed by December 2016.</w:t>
            </w:r>
          </w:p>
        </w:tc>
      </w:tr>
      <w:tr w:rsidR="0099068B" w:rsidRPr="009C1139" w14:paraId="73D2EF2D" w14:textId="77777777" w:rsidTr="0099068B">
        <w:tc>
          <w:tcPr>
            <w:tcW w:w="948" w:type="pct"/>
            <w:shd w:val="clear" w:color="auto" w:fill="FFFFFF" w:themeFill="background1"/>
          </w:tcPr>
          <w:p w14:paraId="73D2EF2A" w14:textId="77777777" w:rsidR="0099068B" w:rsidRPr="009C1139" w:rsidRDefault="0099068B" w:rsidP="00C83BC2">
            <w:pPr>
              <w:spacing w:before="60" w:after="60"/>
              <w:rPr>
                <w:rFonts w:cs="Arial"/>
              </w:rPr>
            </w:pPr>
            <w:r>
              <w:rPr>
                <w:rFonts w:cs="Arial"/>
              </w:rPr>
              <w:t>Sub-Theme</w:t>
            </w:r>
            <w:r w:rsidRPr="009C1139">
              <w:rPr>
                <w:rFonts w:cs="Arial"/>
              </w:rPr>
              <w:t>: Mine site and gas field remediation</w:t>
            </w:r>
          </w:p>
        </w:tc>
        <w:tc>
          <w:tcPr>
            <w:tcW w:w="2096" w:type="pct"/>
            <w:shd w:val="clear" w:color="auto" w:fill="FFFFFF" w:themeFill="background1"/>
          </w:tcPr>
          <w:p w14:paraId="73D2EF2B" w14:textId="77777777" w:rsidR="0099068B" w:rsidRPr="009C1139" w:rsidRDefault="0099068B" w:rsidP="00C83BC2">
            <w:pPr>
              <w:spacing w:before="60" w:after="60"/>
              <w:rPr>
                <w:rFonts w:cs="Arial"/>
              </w:rPr>
            </w:pPr>
            <w:r w:rsidRPr="009C1139">
              <w:rPr>
                <w:rFonts w:cs="Arial"/>
                <w:color w:val="000000" w:themeColor="text1"/>
              </w:rPr>
              <w:t>Time-frames for aquifers to return to their natural state post coal seam gas and coal mining production</w:t>
            </w:r>
          </w:p>
        </w:tc>
        <w:tc>
          <w:tcPr>
            <w:tcW w:w="1956" w:type="pct"/>
            <w:shd w:val="clear" w:color="auto" w:fill="FFFFFF" w:themeFill="background1"/>
          </w:tcPr>
          <w:p w14:paraId="73D2EF2C" w14:textId="77777777" w:rsidR="0099068B" w:rsidRPr="009C1139" w:rsidRDefault="0099068B" w:rsidP="00C83BC2">
            <w:pPr>
              <w:spacing w:before="60" w:after="60"/>
              <w:ind w:left="550" w:hanging="550"/>
              <w:rPr>
                <w:rFonts w:cs="Arial"/>
                <w:color w:val="000000" w:themeColor="text1"/>
              </w:rPr>
            </w:pPr>
          </w:p>
        </w:tc>
      </w:tr>
      <w:tr w:rsidR="0099068B" w:rsidRPr="009C1139" w14:paraId="73D2EF31" w14:textId="77777777" w:rsidTr="0099068B">
        <w:trPr>
          <w:trHeight w:val="424"/>
        </w:trPr>
        <w:tc>
          <w:tcPr>
            <w:tcW w:w="948" w:type="pct"/>
            <w:vMerge w:val="restart"/>
            <w:shd w:val="clear" w:color="auto" w:fill="FFFFFF" w:themeFill="background1"/>
          </w:tcPr>
          <w:p w14:paraId="73D2EF2E" w14:textId="77777777" w:rsidR="0099068B" w:rsidRPr="009C1139" w:rsidRDefault="0099068B" w:rsidP="00C83BC2">
            <w:pPr>
              <w:spacing w:before="60" w:after="60"/>
              <w:rPr>
                <w:rFonts w:cs="Arial"/>
              </w:rPr>
            </w:pPr>
            <w:r w:rsidRPr="009C1139">
              <w:rPr>
                <w:rFonts w:cs="Arial"/>
              </w:rPr>
              <w:t>Sub-Theme: Water quantity and quality, flow regimes</w:t>
            </w:r>
          </w:p>
        </w:tc>
        <w:tc>
          <w:tcPr>
            <w:tcW w:w="2096" w:type="pct"/>
            <w:shd w:val="clear" w:color="auto" w:fill="FFFFFF" w:themeFill="background1"/>
          </w:tcPr>
          <w:p w14:paraId="73D2EF2F" w14:textId="77777777" w:rsidR="0099068B" w:rsidRPr="009C1139" w:rsidRDefault="0099068B" w:rsidP="00C83BC2">
            <w:pPr>
              <w:spacing w:before="60" w:after="60"/>
              <w:rPr>
                <w:rFonts w:cs="Arial"/>
                <w:color w:val="000000" w:themeColor="text1"/>
              </w:rPr>
            </w:pPr>
            <w:r w:rsidRPr="009C1139">
              <w:rPr>
                <w:rFonts w:cs="Arial"/>
                <w:color w:val="000000" w:themeColor="text1"/>
              </w:rPr>
              <w:t xml:space="preserve">Assessment of surface and </w:t>
            </w:r>
            <w:r>
              <w:rPr>
                <w:rFonts w:cs="Arial"/>
                <w:color w:val="000000" w:themeColor="text1"/>
              </w:rPr>
              <w:t>groundwater</w:t>
            </w:r>
            <w:r w:rsidRPr="009C1139">
              <w:rPr>
                <w:rFonts w:cs="Arial"/>
                <w:color w:val="000000" w:themeColor="text1"/>
              </w:rPr>
              <w:t xml:space="preserve"> interconnectivity, exchanges, and fluxes</w:t>
            </w:r>
          </w:p>
        </w:tc>
        <w:tc>
          <w:tcPr>
            <w:tcW w:w="1956" w:type="pct"/>
            <w:vMerge w:val="restart"/>
            <w:shd w:val="clear" w:color="auto" w:fill="FFFFFF" w:themeFill="background1"/>
          </w:tcPr>
          <w:p w14:paraId="73D2EF30" w14:textId="77777777" w:rsidR="0099068B" w:rsidRPr="009C1139" w:rsidRDefault="0099068B" w:rsidP="0099068B">
            <w:pPr>
              <w:spacing w:before="60" w:after="60"/>
              <w:rPr>
                <w:rFonts w:cs="Arial"/>
              </w:rPr>
            </w:pPr>
            <w:r>
              <w:rPr>
                <w:rFonts w:cs="Arial"/>
                <w:color w:val="000000" w:themeColor="text1"/>
              </w:rPr>
              <w:t>In scope of current ecological project: ‘Research to inform assessment of ecohydrological responses to coal seam gas extraction and coal mining’ to be completed by Dec 2016</w:t>
            </w:r>
          </w:p>
        </w:tc>
      </w:tr>
      <w:tr w:rsidR="0099068B" w:rsidRPr="009C1139" w14:paraId="73D2EF35" w14:textId="77777777" w:rsidTr="0099068B">
        <w:trPr>
          <w:trHeight w:val="879"/>
        </w:trPr>
        <w:tc>
          <w:tcPr>
            <w:tcW w:w="948" w:type="pct"/>
            <w:vMerge/>
            <w:shd w:val="clear" w:color="auto" w:fill="FFFFFF" w:themeFill="background1"/>
          </w:tcPr>
          <w:p w14:paraId="73D2EF32" w14:textId="77777777" w:rsidR="0099068B" w:rsidRPr="009C1139" w:rsidRDefault="0099068B" w:rsidP="00C83BC2">
            <w:pPr>
              <w:spacing w:before="60" w:after="60"/>
              <w:rPr>
                <w:rFonts w:cs="Arial"/>
              </w:rPr>
            </w:pPr>
          </w:p>
        </w:tc>
        <w:tc>
          <w:tcPr>
            <w:tcW w:w="2096" w:type="pct"/>
            <w:shd w:val="clear" w:color="auto" w:fill="FFFFFF" w:themeFill="background1"/>
          </w:tcPr>
          <w:p w14:paraId="73D2EF33" w14:textId="77777777" w:rsidR="0099068B" w:rsidRPr="009C1139" w:rsidRDefault="0099068B" w:rsidP="00C83BC2">
            <w:pPr>
              <w:spacing w:before="60" w:after="60"/>
              <w:rPr>
                <w:rFonts w:cs="Arial"/>
                <w:color w:val="000000" w:themeColor="text1"/>
              </w:rPr>
            </w:pPr>
            <w:r w:rsidRPr="009C1139">
              <w:rPr>
                <w:rFonts w:cs="Arial"/>
                <w:color w:val="000000" w:themeColor="text1"/>
              </w:rPr>
              <w:t xml:space="preserve">Tolerances of key species and ecological communities to changes in surface and </w:t>
            </w:r>
            <w:r>
              <w:rPr>
                <w:rFonts w:cs="Arial"/>
                <w:color w:val="000000" w:themeColor="text1"/>
              </w:rPr>
              <w:t>groundwater</w:t>
            </w:r>
            <w:r w:rsidRPr="009C1139">
              <w:rPr>
                <w:rFonts w:cs="Arial"/>
                <w:color w:val="000000" w:themeColor="text1"/>
              </w:rPr>
              <w:t xml:space="preserve"> flow regimes and water quality associated with coal seam gas and coal mining</w:t>
            </w:r>
          </w:p>
        </w:tc>
        <w:tc>
          <w:tcPr>
            <w:tcW w:w="1956" w:type="pct"/>
            <w:vMerge/>
            <w:shd w:val="clear" w:color="auto" w:fill="FFFFFF" w:themeFill="background1"/>
          </w:tcPr>
          <w:p w14:paraId="73D2EF34" w14:textId="77777777" w:rsidR="0099068B" w:rsidRPr="009C1139" w:rsidRDefault="0099068B" w:rsidP="00C83BC2">
            <w:pPr>
              <w:spacing w:before="60" w:after="60"/>
              <w:rPr>
                <w:rFonts w:cs="Arial"/>
              </w:rPr>
            </w:pPr>
          </w:p>
        </w:tc>
      </w:tr>
      <w:tr w:rsidR="0099068B" w:rsidRPr="009C1139" w14:paraId="73D2EF37" w14:textId="77777777" w:rsidTr="00CE2AFC">
        <w:tc>
          <w:tcPr>
            <w:tcW w:w="5000" w:type="pct"/>
            <w:gridSpan w:val="3"/>
            <w:tcBorders>
              <w:bottom w:val="single" w:sz="4" w:space="0" w:color="auto"/>
            </w:tcBorders>
            <w:shd w:val="clear" w:color="auto" w:fill="FFFFFF" w:themeFill="background1"/>
          </w:tcPr>
          <w:p w14:paraId="73D2EF36" w14:textId="77777777" w:rsidR="0099068B" w:rsidRPr="009C1139" w:rsidRDefault="0099068B" w:rsidP="00C83BC2">
            <w:pPr>
              <w:spacing w:before="60" w:after="60"/>
              <w:ind w:left="550" w:hanging="550"/>
              <w:rPr>
                <w:rFonts w:cs="Arial"/>
              </w:rPr>
            </w:pPr>
            <w:r>
              <w:rPr>
                <w:rFonts w:cs="Arial"/>
              </w:rPr>
              <w:t>CHEMICALS</w:t>
            </w:r>
          </w:p>
        </w:tc>
      </w:tr>
      <w:tr w:rsidR="0099068B" w:rsidRPr="009C1139" w14:paraId="73D2EF3B" w14:textId="77777777" w:rsidTr="00CE2AFC">
        <w:tc>
          <w:tcPr>
            <w:tcW w:w="948" w:type="pct"/>
            <w:tcBorders>
              <w:bottom w:val="nil"/>
            </w:tcBorders>
            <w:shd w:val="clear" w:color="auto" w:fill="FFFFFF" w:themeFill="background1"/>
          </w:tcPr>
          <w:p w14:paraId="73D2EF38" w14:textId="77777777" w:rsidR="0099068B" w:rsidRPr="009C1139" w:rsidRDefault="0099068B" w:rsidP="0099068B">
            <w:pPr>
              <w:spacing w:before="60" w:after="60"/>
              <w:rPr>
                <w:rFonts w:cs="Arial"/>
              </w:rPr>
            </w:pPr>
            <w:r w:rsidRPr="009C1139">
              <w:rPr>
                <w:rFonts w:cs="Arial"/>
              </w:rPr>
              <w:t>Sub-Theme: Chemical migration, contamination, and toxicity</w:t>
            </w:r>
          </w:p>
        </w:tc>
        <w:tc>
          <w:tcPr>
            <w:tcW w:w="2096" w:type="pct"/>
            <w:tcBorders>
              <w:bottom w:val="nil"/>
            </w:tcBorders>
            <w:shd w:val="clear" w:color="auto" w:fill="FFFFFF" w:themeFill="background1"/>
          </w:tcPr>
          <w:p w14:paraId="73D2EF39" w14:textId="77777777" w:rsidR="0099068B" w:rsidRPr="00E3733A" w:rsidRDefault="0099068B" w:rsidP="0099068B">
            <w:pPr>
              <w:spacing w:before="60" w:after="60"/>
              <w:rPr>
                <w:rFonts w:cs="Arial"/>
              </w:rPr>
            </w:pPr>
            <w:r w:rsidRPr="009C1139">
              <w:rPr>
                <w:rFonts w:cs="Arial"/>
                <w:color w:val="000000" w:themeColor="text1"/>
              </w:rPr>
              <w:t>Chemical tracers to identify contamination of water resources from coal seam gas and coal mining</w:t>
            </w:r>
          </w:p>
        </w:tc>
        <w:tc>
          <w:tcPr>
            <w:tcW w:w="1956" w:type="pct"/>
            <w:tcBorders>
              <w:bottom w:val="nil"/>
            </w:tcBorders>
            <w:shd w:val="clear" w:color="auto" w:fill="FFFFFF" w:themeFill="background1"/>
          </w:tcPr>
          <w:p w14:paraId="73D2EF3A" w14:textId="77777777" w:rsidR="0099068B" w:rsidRPr="009C1139" w:rsidRDefault="0099068B" w:rsidP="0099068B">
            <w:pPr>
              <w:spacing w:before="60" w:after="60"/>
              <w:ind w:left="550" w:hanging="550"/>
              <w:rPr>
                <w:rFonts w:cs="Arial"/>
              </w:rPr>
            </w:pPr>
          </w:p>
        </w:tc>
      </w:tr>
      <w:tr w:rsidR="00CE2AFC" w:rsidRPr="009C1139" w14:paraId="73D2EF3F" w14:textId="77777777" w:rsidTr="00CE2AFC">
        <w:tc>
          <w:tcPr>
            <w:tcW w:w="948" w:type="pct"/>
            <w:tcBorders>
              <w:top w:val="nil"/>
            </w:tcBorders>
            <w:shd w:val="clear" w:color="auto" w:fill="FFFFFF" w:themeFill="background1"/>
          </w:tcPr>
          <w:p w14:paraId="73D2EF3C" w14:textId="77777777" w:rsidR="00CE2AFC" w:rsidRPr="009C1139" w:rsidRDefault="00CE2AFC" w:rsidP="0099068B">
            <w:pPr>
              <w:spacing w:before="60" w:after="60"/>
              <w:rPr>
                <w:rFonts w:cs="Arial"/>
              </w:rPr>
            </w:pPr>
          </w:p>
        </w:tc>
        <w:tc>
          <w:tcPr>
            <w:tcW w:w="2096" w:type="pct"/>
            <w:tcBorders>
              <w:top w:val="nil"/>
            </w:tcBorders>
            <w:shd w:val="clear" w:color="auto" w:fill="FFFFFF" w:themeFill="background1"/>
          </w:tcPr>
          <w:p w14:paraId="73D2EF3D" w14:textId="77777777" w:rsidR="00CE2AFC" w:rsidRPr="009C1139" w:rsidRDefault="00CE2AFC" w:rsidP="0099068B">
            <w:pPr>
              <w:spacing w:before="60" w:after="60"/>
              <w:rPr>
                <w:rFonts w:cs="Arial"/>
                <w:color w:val="000000" w:themeColor="text1"/>
              </w:rPr>
            </w:pPr>
          </w:p>
        </w:tc>
        <w:tc>
          <w:tcPr>
            <w:tcW w:w="1956" w:type="pct"/>
            <w:tcBorders>
              <w:top w:val="nil"/>
            </w:tcBorders>
            <w:shd w:val="clear" w:color="auto" w:fill="FFFFFF" w:themeFill="background1"/>
          </w:tcPr>
          <w:p w14:paraId="73D2EF3E" w14:textId="77777777" w:rsidR="00CE2AFC" w:rsidRPr="009C1139" w:rsidRDefault="00CE2AFC" w:rsidP="0099068B">
            <w:pPr>
              <w:spacing w:before="60" w:after="60"/>
              <w:ind w:left="550" w:hanging="550"/>
              <w:rPr>
                <w:rFonts w:cs="Arial"/>
              </w:rPr>
            </w:pPr>
          </w:p>
        </w:tc>
      </w:tr>
      <w:tr w:rsidR="0099068B" w:rsidRPr="009C1139" w14:paraId="73D2EF41" w14:textId="77777777" w:rsidTr="0099068B">
        <w:tc>
          <w:tcPr>
            <w:tcW w:w="5000" w:type="pct"/>
            <w:gridSpan w:val="3"/>
            <w:shd w:val="clear" w:color="auto" w:fill="FFFFFF" w:themeFill="background1"/>
          </w:tcPr>
          <w:p w14:paraId="73D2EF40" w14:textId="77777777" w:rsidR="0099068B" w:rsidRPr="009C1139" w:rsidRDefault="0099068B" w:rsidP="00C83BC2">
            <w:pPr>
              <w:spacing w:before="60" w:after="60"/>
              <w:ind w:left="550" w:hanging="550"/>
              <w:rPr>
                <w:rFonts w:cs="Arial"/>
              </w:rPr>
            </w:pPr>
            <w:r>
              <w:rPr>
                <w:rFonts w:cs="Arial"/>
              </w:rPr>
              <w:lastRenderedPageBreak/>
              <w:t>ECOLOGY</w:t>
            </w:r>
          </w:p>
        </w:tc>
      </w:tr>
      <w:tr w:rsidR="0099068B" w:rsidRPr="009C1139" w14:paraId="73D2EF45" w14:textId="77777777" w:rsidTr="0099068B">
        <w:tc>
          <w:tcPr>
            <w:tcW w:w="948" w:type="pct"/>
            <w:shd w:val="clear" w:color="auto" w:fill="FFFFFF" w:themeFill="background1"/>
          </w:tcPr>
          <w:p w14:paraId="73D2EF42" w14:textId="77777777" w:rsidR="0099068B" w:rsidRPr="009C1139" w:rsidRDefault="0099068B" w:rsidP="00C83BC2">
            <w:pPr>
              <w:spacing w:before="60" w:after="60"/>
              <w:rPr>
                <w:rFonts w:cs="Arial"/>
              </w:rPr>
            </w:pPr>
            <w:r w:rsidRPr="009C1139">
              <w:rPr>
                <w:rFonts w:cs="Arial"/>
              </w:rPr>
              <w:t>Sub-Theme: Ecosystem effects and monitoring</w:t>
            </w:r>
          </w:p>
        </w:tc>
        <w:tc>
          <w:tcPr>
            <w:tcW w:w="2096" w:type="pct"/>
            <w:shd w:val="clear" w:color="auto" w:fill="FFFFFF" w:themeFill="background1"/>
          </w:tcPr>
          <w:p w14:paraId="73D2EF43" w14:textId="77777777" w:rsidR="0099068B" w:rsidRPr="009C1139" w:rsidRDefault="0099068B" w:rsidP="00C83BC2">
            <w:pPr>
              <w:spacing w:before="60" w:after="60"/>
              <w:rPr>
                <w:rFonts w:cs="Arial"/>
              </w:rPr>
            </w:pPr>
            <w:r w:rsidRPr="009C1139">
              <w:rPr>
                <w:rFonts w:cs="Arial"/>
                <w:color w:val="000000" w:themeColor="text1"/>
              </w:rPr>
              <w:t>Is the current monitoring undertaken by proponents sufficient to detect the changes in ecosystem condition and trends</w:t>
            </w:r>
            <w:r w:rsidRPr="009C1139">
              <w:rPr>
                <w:rFonts w:cs="Arial"/>
              </w:rPr>
              <w:t xml:space="preserve"> associated with coal seam gas and coal mining water</w:t>
            </w:r>
          </w:p>
        </w:tc>
        <w:tc>
          <w:tcPr>
            <w:tcW w:w="1956" w:type="pct"/>
            <w:shd w:val="clear" w:color="auto" w:fill="FFFFFF" w:themeFill="background1"/>
          </w:tcPr>
          <w:p w14:paraId="73D2EF44" w14:textId="77777777" w:rsidR="0099068B" w:rsidRPr="009C1139" w:rsidRDefault="0099068B" w:rsidP="00C83BC2">
            <w:pPr>
              <w:spacing w:before="60" w:after="60"/>
              <w:ind w:left="550" w:hanging="550"/>
              <w:rPr>
                <w:rFonts w:cs="Arial"/>
              </w:rPr>
            </w:pPr>
          </w:p>
        </w:tc>
      </w:tr>
      <w:tr w:rsidR="0099068B" w:rsidRPr="009C1139" w14:paraId="73D2EF4A" w14:textId="77777777" w:rsidTr="0099068B">
        <w:trPr>
          <w:trHeight w:val="756"/>
        </w:trPr>
        <w:tc>
          <w:tcPr>
            <w:tcW w:w="948" w:type="pct"/>
            <w:vMerge w:val="restart"/>
            <w:shd w:val="clear" w:color="auto" w:fill="FFFFFF" w:themeFill="background1"/>
          </w:tcPr>
          <w:p w14:paraId="73D2EF46" w14:textId="77777777" w:rsidR="0099068B" w:rsidRPr="009C1139" w:rsidRDefault="0099068B" w:rsidP="00C83BC2">
            <w:pPr>
              <w:spacing w:before="60" w:after="60"/>
              <w:rPr>
                <w:rFonts w:cs="Arial"/>
              </w:rPr>
            </w:pPr>
            <w:r w:rsidRPr="009C1139">
              <w:rPr>
                <w:rFonts w:cs="Arial"/>
              </w:rPr>
              <w:t>Sub-Theme: Ecosystem response and mitigation measures</w:t>
            </w:r>
          </w:p>
        </w:tc>
        <w:tc>
          <w:tcPr>
            <w:tcW w:w="2096" w:type="pct"/>
            <w:shd w:val="clear" w:color="auto" w:fill="FFFFFF" w:themeFill="background1"/>
          </w:tcPr>
          <w:p w14:paraId="73D2EF47" w14:textId="77777777" w:rsidR="0099068B" w:rsidRPr="009C1139" w:rsidRDefault="0099068B" w:rsidP="00C83BC2">
            <w:pPr>
              <w:spacing w:before="60" w:after="60"/>
              <w:rPr>
                <w:rFonts w:cs="Arial"/>
                <w:color w:val="000000" w:themeColor="text1"/>
              </w:rPr>
            </w:pPr>
            <w:r w:rsidRPr="009C1139">
              <w:rPr>
                <w:rFonts w:cs="Arial"/>
                <w:color w:val="000000" w:themeColor="text1"/>
              </w:rPr>
              <w:t>Evaluation of methods for mitigating or remediating impacts of coal seam gas and coal mining activities on aquatic ecosystems</w:t>
            </w:r>
          </w:p>
        </w:tc>
        <w:tc>
          <w:tcPr>
            <w:tcW w:w="1956" w:type="pct"/>
            <w:vMerge w:val="restart"/>
            <w:shd w:val="clear" w:color="auto" w:fill="FFFFFF" w:themeFill="background1"/>
          </w:tcPr>
          <w:p w14:paraId="73D2EF48" w14:textId="77777777" w:rsidR="0099068B" w:rsidRPr="00303EFF" w:rsidRDefault="0099068B" w:rsidP="00C83BC2">
            <w:pPr>
              <w:spacing w:before="60" w:after="60"/>
              <w:rPr>
                <w:rFonts w:cs="Arial"/>
              </w:rPr>
            </w:pPr>
            <w:r w:rsidRPr="00303EFF">
              <w:rPr>
                <w:rFonts w:cs="Arial"/>
              </w:rPr>
              <w:t>Knowledge report:</w:t>
            </w:r>
            <w:r w:rsidRPr="00303EFF">
              <w:t xml:space="preserve"> </w:t>
            </w:r>
            <w:r w:rsidRPr="00303EFF">
              <w:rPr>
                <w:iCs/>
              </w:rPr>
              <w:t>Temperate Highland Peat Swamps on Sandstone: evaluation of mitigation and remediation techniques</w:t>
            </w:r>
            <w:r w:rsidRPr="00303EFF">
              <w:rPr>
                <w:i/>
                <w:iCs/>
              </w:rPr>
              <w:t>,</w:t>
            </w:r>
            <w:r w:rsidRPr="00303EFF">
              <w:t xml:space="preserve"> WR</w:t>
            </w:r>
            <w:r>
              <w:t>L</w:t>
            </w:r>
            <w:r w:rsidRPr="00303EFF">
              <w:t>, UNSW</w:t>
            </w:r>
          </w:p>
          <w:p w14:paraId="73D2EF49" w14:textId="77777777" w:rsidR="0099068B" w:rsidRPr="00303EFF" w:rsidRDefault="0099068B" w:rsidP="0099068B">
            <w:pPr>
              <w:spacing w:before="60" w:after="60"/>
              <w:rPr>
                <w:rFonts w:cs="Arial"/>
              </w:rPr>
            </w:pPr>
            <w:r>
              <w:rPr>
                <w:rFonts w:cs="Arial"/>
                <w:color w:val="000000" w:themeColor="text1"/>
              </w:rPr>
              <w:t xml:space="preserve"> In scope of current ecological project: ‘Research to inform assessment of ecohydrological responses to coal seam gas extraction and coal mining’ to be completed by Dec 2016.</w:t>
            </w:r>
          </w:p>
        </w:tc>
      </w:tr>
      <w:tr w:rsidR="0099068B" w:rsidRPr="009C1139" w14:paraId="73D2EF4E" w14:textId="77777777" w:rsidTr="0099068B">
        <w:tc>
          <w:tcPr>
            <w:tcW w:w="948" w:type="pct"/>
            <w:vMerge/>
            <w:shd w:val="clear" w:color="auto" w:fill="FFFFFF" w:themeFill="background1"/>
          </w:tcPr>
          <w:p w14:paraId="73D2EF4B" w14:textId="77777777" w:rsidR="0099068B" w:rsidRPr="009C1139" w:rsidRDefault="0099068B" w:rsidP="00C83BC2">
            <w:pPr>
              <w:spacing w:before="60" w:after="60"/>
              <w:rPr>
                <w:rFonts w:cs="Arial"/>
              </w:rPr>
            </w:pPr>
          </w:p>
        </w:tc>
        <w:tc>
          <w:tcPr>
            <w:tcW w:w="2096" w:type="pct"/>
            <w:shd w:val="clear" w:color="auto" w:fill="FFFFFF" w:themeFill="background1"/>
          </w:tcPr>
          <w:p w14:paraId="73D2EF4C" w14:textId="77777777" w:rsidR="0099068B" w:rsidRPr="009C1139" w:rsidRDefault="0099068B" w:rsidP="00C83BC2">
            <w:pPr>
              <w:spacing w:before="60" w:after="60"/>
              <w:rPr>
                <w:rFonts w:cs="Arial"/>
              </w:rPr>
            </w:pPr>
            <w:r w:rsidRPr="009C1139">
              <w:rPr>
                <w:rFonts w:cs="Arial"/>
                <w:color w:val="000000" w:themeColor="text1"/>
              </w:rPr>
              <w:t xml:space="preserve">Impacts and thresholds of watertable drawdown on </w:t>
            </w:r>
            <w:r>
              <w:rPr>
                <w:rFonts w:cs="Arial"/>
                <w:color w:val="000000" w:themeColor="text1"/>
              </w:rPr>
              <w:t>groundwater</w:t>
            </w:r>
            <w:r w:rsidRPr="009C1139">
              <w:rPr>
                <w:rFonts w:cs="Arial"/>
                <w:color w:val="000000" w:themeColor="text1"/>
              </w:rPr>
              <w:t xml:space="preserve"> dependent vegetation</w:t>
            </w:r>
          </w:p>
        </w:tc>
        <w:tc>
          <w:tcPr>
            <w:tcW w:w="1956" w:type="pct"/>
            <w:vMerge/>
            <w:shd w:val="clear" w:color="auto" w:fill="FFFFFF" w:themeFill="background1"/>
          </w:tcPr>
          <w:p w14:paraId="73D2EF4D" w14:textId="77777777" w:rsidR="0099068B" w:rsidRPr="009C1139" w:rsidRDefault="0099068B" w:rsidP="00C83BC2">
            <w:pPr>
              <w:spacing w:before="60" w:after="60"/>
              <w:rPr>
                <w:rFonts w:cs="Arial"/>
                <w:color w:val="000000" w:themeColor="text1"/>
              </w:rPr>
            </w:pPr>
          </w:p>
        </w:tc>
      </w:tr>
      <w:tr w:rsidR="0099068B" w:rsidRPr="00E3733A" w14:paraId="73D2EF50" w14:textId="77777777" w:rsidTr="0099068B">
        <w:trPr>
          <w:trHeight w:val="424"/>
        </w:trPr>
        <w:tc>
          <w:tcPr>
            <w:tcW w:w="5000" w:type="pct"/>
            <w:gridSpan w:val="3"/>
            <w:shd w:val="clear" w:color="auto" w:fill="FFFFFF" w:themeFill="background1"/>
          </w:tcPr>
          <w:p w14:paraId="73D2EF4F" w14:textId="77777777" w:rsidR="0099068B" w:rsidRPr="009C1139" w:rsidRDefault="0099068B" w:rsidP="00C83BC2">
            <w:pPr>
              <w:spacing w:before="60" w:after="60"/>
              <w:ind w:left="550" w:hanging="550"/>
              <w:rPr>
                <w:rFonts w:cs="Arial"/>
              </w:rPr>
            </w:pPr>
            <w:r>
              <w:rPr>
                <w:rFonts w:cs="Arial"/>
              </w:rPr>
              <w:t>CUMULATIVE IMPACTS</w:t>
            </w:r>
          </w:p>
        </w:tc>
      </w:tr>
      <w:tr w:rsidR="0099068B" w:rsidRPr="00E3733A" w14:paraId="73D2EF54" w14:textId="77777777" w:rsidTr="0099068B">
        <w:trPr>
          <w:trHeight w:val="487"/>
        </w:trPr>
        <w:tc>
          <w:tcPr>
            <w:tcW w:w="948" w:type="pct"/>
            <w:shd w:val="clear" w:color="auto" w:fill="FFFFFF" w:themeFill="background1"/>
          </w:tcPr>
          <w:p w14:paraId="73D2EF51" w14:textId="77777777" w:rsidR="0099068B" w:rsidRPr="009C1139" w:rsidRDefault="0099068B" w:rsidP="00C83BC2">
            <w:pPr>
              <w:spacing w:before="60" w:after="60"/>
              <w:rPr>
                <w:rFonts w:cs="Arial"/>
              </w:rPr>
            </w:pPr>
            <w:r w:rsidRPr="009C1139">
              <w:rPr>
                <w:rFonts w:cs="Arial"/>
              </w:rPr>
              <w:t>Sub-Theme: Evaluation of cumulative impact assessment</w:t>
            </w:r>
          </w:p>
        </w:tc>
        <w:tc>
          <w:tcPr>
            <w:tcW w:w="2096" w:type="pct"/>
            <w:shd w:val="clear" w:color="auto" w:fill="FFFFFF" w:themeFill="background1"/>
          </w:tcPr>
          <w:p w14:paraId="73D2EF52" w14:textId="77777777" w:rsidR="0099068B" w:rsidRPr="00E3733A" w:rsidRDefault="0099068B" w:rsidP="00C83BC2">
            <w:pPr>
              <w:spacing w:before="60" w:after="60"/>
              <w:rPr>
                <w:rFonts w:cs="Arial"/>
              </w:rPr>
            </w:pPr>
            <w:r w:rsidRPr="0065451C">
              <w:rPr>
                <w:rFonts w:cs="Arial"/>
              </w:rPr>
              <w:t>Framework for evaluating Cumulative Impact Assessments – evaluation criteria, tools, and techniques</w:t>
            </w:r>
          </w:p>
        </w:tc>
        <w:tc>
          <w:tcPr>
            <w:tcW w:w="1956" w:type="pct"/>
            <w:shd w:val="clear" w:color="auto" w:fill="FFFFFF" w:themeFill="background1"/>
          </w:tcPr>
          <w:p w14:paraId="73D2EF53" w14:textId="77777777" w:rsidR="0099068B" w:rsidRPr="0065451C" w:rsidRDefault="0099068B" w:rsidP="00C83BC2">
            <w:pPr>
              <w:spacing w:before="60" w:after="60"/>
              <w:rPr>
                <w:rFonts w:cs="Arial"/>
              </w:rPr>
            </w:pPr>
            <w:r>
              <w:rPr>
                <w:rFonts w:cs="Arial"/>
              </w:rPr>
              <w:t>Methodology for bioregional assessments of the impacts of coal seam gas and coal mining development on water resources</w:t>
            </w:r>
          </w:p>
        </w:tc>
      </w:tr>
    </w:tbl>
    <w:p w14:paraId="73D2EF55" w14:textId="77777777" w:rsidR="00923A8C" w:rsidRDefault="00923A8C" w:rsidP="00923A8C">
      <w:pPr>
        <w:spacing w:after="120"/>
      </w:pPr>
    </w:p>
    <w:p w14:paraId="73D2EF56" w14:textId="77777777" w:rsidR="00923A8C" w:rsidRDefault="00923A8C">
      <w:r>
        <w:br w:type="page"/>
      </w:r>
    </w:p>
    <w:p w14:paraId="73D2EF57" w14:textId="77777777" w:rsidR="00923A8C" w:rsidRDefault="00923A8C" w:rsidP="00923A8C">
      <w:pPr>
        <w:spacing w:after="120"/>
        <w:sectPr w:rsidR="00923A8C" w:rsidSect="00A0587A">
          <w:pgSz w:w="16838" w:h="11906" w:orient="landscape"/>
          <w:pgMar w:top="1080" w:right="1440" w:bottom="1080" w:left="1440" w:header="708" w:footer="708" w:gutter="0"/>
          <w:cols w:space="708"/>
          <w:docGrid w:linePitch="360"/>
        </w:sectPr>
      </w:pPr>
    </w:p>
    <w:p w14:paraId="73D2EF58" w14:textId="77777777" w:rsidR="00F917CB" w:rsidRDefault="00F917CB" w:rsidP="00F917CB">
      <w:pPr>
        <w:pStyle w:val="Heading1"/>
        <w:spacing w:before="0"/>
        <w:rPr>
          <w:rFonts w:asciiTheme="minorHAnsi" w:hAnsiTheme="minorHAnsi"/>
        </w:rPr>
      </w:pPr>
      <w:r>
        <w:rPr>
          <w:rFonts w:asciiTheme="minorHAnsi" w:hAnsiTheme="minorHAnsi"/>
        </w:rPr>
        <w:lastRenderedPageBreak/>
        <w:t>APPENDIX B</w:t>
      </w:r>
    </w:p>
    <w:p w14:paraId="73D2EF59" w14:textId="77777777" w:rsidR="00923A8C" w:rsidRPr="00F917CB" w:rsidRDefault="00F917CB" w:rsidP="00923A8C">
      <w:pPr>
        <w:spacing w:after="120"/>
        <w:rPr>
          <w:b/>
          <w:color w:val="365F91" w:themeColor="accent1" w:themeShade="BF"/>
          <w:sz w:val="28"/>
          <w:szCs w:val="28"/>
          <w:lang w:val="en-AU"/>
        </w:rPr>
      </w:pPr>
      <w:r w:rsidRPr="00F917CB">
        <w:rPr>
          <w:b/>
          <w:color w:val="365F91" w:themeColor="accent1" w:themeShade="BF"/>
          <w:sz w:val="28"/>
          <w:szCs w:val="28"/>
          <w:lang w:val="en-AU"/>
        </w:rPr>
        <w:t>Draft revised research priorities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7187"/>
      </w:tblGrid>
      <w:tr w:rsidR="00923A8C" w:rsidRPr="00923A8C" w14:paraId="73D2EF5C" w14:textId="77777777" w:rsidTr="00923A8C">
        <w:trPr>
          <w:cantSplit/>
          <w:trHeight w:val="283"/>
          <w:tblHeader/>
        </w:trPr>
        <w:tc>
          <w:tcPr>
            <w:tcW w:w="1266" w:type="pct"/>
            <w:tcBorders>
              <w:bottom w:val="single" w:sz="4" w:space="0" w:color="auto"/>
            </w:tcBorders>
            <w:shd w:val="clear" w:color="auto" w:fill="BFBFBF" w:themeFill="background1" w:themeFillShade="BF"/>
            <w:vAlign w:val="center"/>
          </w:tcPr>
          <w:p w14:paraId="73D2EF5A" w14:textId="77777777" w:rsidR="00923A8C" w:rsidRPr="00923A8C" w:rsidRDefault="00923A8C" w:rsidP="00923A8C">
            <w:pPr>
              <w:spacing w:after="120"/>
              <w:rPr>
                <w:b/>
                <w:lang w:val="en-AU"/>
              </w:rPr>
            </w:pPr>
            <w:bookmarkStart w:id="14" w:name="_Toc447096818"/>
            <w:bookmarkStart w:id="15" w:name="_Toc447097115"/>
            <w:bookmarkStart w:id="16" w:name="_Toc447532931"/>
            <w:bookmarkStart w:id="17" w:name="_Toc447895374"/>
            <w:r w:rsidRPr="00923A8C">
              <w:rPr>
                <w:b/>
                <w:lang w:val="en-AU"/>
              </w:rPr>
              <w:t>Research priority</w:t>
            </w:r>
            <w:bookmarkEnd w:id="14"/>
            <w:bookmarkEnd w:id="15"/>
            <w:bookmarkEnd w:id="16"/>
            <w:bookmarkEnd w:id="17"/>
          </w:p>
        </w:tc>
        <w:tc>
          <w:tcPr>
            <w:tcW w:w="3734" w:type="pct"/>
            <w:shd w:val="clear" w:color="auto" w:fill="BFBFBF" w:themeFill="background1" w:themeFillShade="BF"/>
          </w:tcPr>
          <w:p w14:paraId="73D2EF5B" w14:textId="77777777" w:rsidR="00923A8C" w:rsidRPr="00923A8C" w:rsidRDefault="00923A8C" w:rsidP="00923A8C">
            <w:pPr>
              <w:spacing w:after="120"/>
              <w:rPr>
                <w:b/>
                <w:bCs/>
                <w:lang w:val="en-AU"/>
              </w:rPr>
            </w:pPr>
            <w:r w:rsidRPr="00923A8C">
              <w:rPr>
                <w:b/>
                <w:bCs/>
                <w:lang w:val="en-AU"/>
              </w:rPr>
              <w:t>Key research needs</w:t>
            </w:r>
          </w:p>
        </w:tc>
      </w:tr>
      <w:tr w:rsidR="00923A8C" w:rsidRPr="00923A8C" w14:paraId="73D2EF5F" w14:textId="77777777" w:rsidTr="00923A8C">
        <w:trPr>
          <w:cantSplit/>
          <w:trHeight w:val="283"/>
        </w:trPr>
        <w:tc>
          <w:tcPr>
            <w:tcW w:w="1266" w:type="pct"/>
            <w:tcBorders>
              <w:right w:val="nil"/>
            </w:tcBorders>
            <w:shd w:val="clear" w:color="auto" w:fill="C6D9F1" w:themeFill="text2" w:themeFillTint="33"/>
          </w:tcPr>
          <w:p w14:paraId="73D2EF5D" w14:textId="77777777" w:rsidR="00923A8C" w:rsidRPr="00923A8C" w:rsidRDefault="00923A8C" w:rsidP="00923A8C">
            <w:pPr>
              <w:spacing w:after="120"/>
              <w:rPr>
                <w:b/>
                <w:bCs/>
                <w:lang w:val="en-AU"/>
              </w:rPr>
            </w:pPr>
            <w:bookmarkStart w:id="18" w:name="_Toc447895375"/>
            <w:r w:rsidRPr="00923A8C">
              <w:rPr>
                <w:b/>
                <w:bCs/>
                <w:lang w:val="en-AU"/>
              </w:rPr>
              <w:t>HYDROLOGY</w:t>
            </w:r>
            <w:bookmarkEnd w:id="18"/>
          </w:p>
        </w:tc>
        <w:tc>
          <w:tcPr>
            <w:tcW w:w="3734" w:type="pct"/>
            <w:tcBorders>
              <w:left w:val="nil"/>
            </w:tcBorders>
            <w:shd w:val="clear" w:color="auto" w:fill="C6D9F1" w:themeFill="text2" w:themeFillTint="33"/>
          </w:tcPr>
          <w:p w14:paraId="73D2EF5E" w14:textId="77777777" w:rsidR="00923A8C" w:rsidRPr="00923A8C" w:rsidRDefault="00923A8C" w:rsidP="00923A8C">
            <w:pPr>
              <w:spacing w:after="120"/>
              <w:rPr>
                <w:lang w:val="en-AU"/>
              </w:rPr>
            </w:pPr>
          </w:p>
        </w:tc>
      </w:tr>
      <w:tr w:rsidR="00923A8C" w:rsidRPr="00923A8C" w14:paraId="73D2EF62" w14:textId="77777777" w:rsidTr="00923A8C">
        <w:trPr>
          <w:cantSplit/>
        </w:trPr>
        <w:tc>
          <w:tcPr>
            <w:tcW w:w="1266" w:type="pct"/>
            <w:shd w:val="clear" w:color="auto" w:fill="FFFFFF" w:themeFill="background1"/>
          </w:tcPr>
          <w:p w14:paraId="73D2EF60" w14:textId="77777777" w:rsidR="00923A8C" w:rsidRPr="00923A8C" w:rsidRDefault="00923A8C" w:rsidP="00923A8C">
            <w:pPr>
              <w:spacing w:after="120"/>
              <w:rPr>
                <w:b/>
                <w:bCs/>
                <w:lang w:val="en-AU"/>
              </w:rPr>
            </w:pPr>
            <w:bookmarkStart w:id="19" w:name="_Toc447895376"/>
            <w:r w:rsidRPr="00923A8C">
              <w:rPr>
                <w:b/>
                <w:bCs/>
                <w:lang w:val="en-AU"/>
              </w:rPr>
              <w:t>1  Characterising hydraulic properties of aquifers and aquitards</w:t>
            </w:r>
            <w:bookmarkEnd w:id="19"/>
          </w:p>
        </w:tc>
        <w:tc>
          <w:tcPr>
            <w:tcW w:w="3734" w:type="pct"/>
            <w:shd w:val="clear" w:color="auto" w:fill="auto"/>
          </w:tcPr>
          <w:p w14:paraId="73D2EF61" w14:textId="77777777" w:rsidR="00923A8C" w:rsidRPr="00923A8C" w:rsidRDefault="00923A8C" w:rsidP="00923A8C">
            <w:pPr>
              <w:spacing w:after="120"/>
              <w:rPr>
                <w:lang w:val="en-AU"/>
              </w:rPr>
            </w:pPr>
            <w:r w:rsidRPr="00923A8C">
              <w:rPr>
                <w:lang w:val="en-AU"/>
              </w:rPr>
              <w:t>Modelling of the impacts of coal seam gas extraction and coal mining on groundwater requires an understanding of the lithology, hydrogeological characteristics and geological structures of aquifers and aquitards.  A better understanding is needed at local and regional scales of hydrogeological characteristics including values of storage properties and vertical hydraulic conductivity for key aquifers and aquitards.</w:t>
            </w:r>
          </w:p>
        </w:tc>
      </w:tr>
      <w:tr w:rsidR="00923A8C" w:rsidRPr="00923A8C" w14:paraId="73D2EF65" w14:textId="77777777" w:rsidTr="00923A8C">
        <w:trPr>
          <w:cantSplit/>
        </w:trPr>
        <w:tc>
          <w:tcPr>
            <w:tcW w:w="1266" w:type="pct"/>
            <w:shd w:val="clear" w:color="auto" w:fill="FFFFFF" w:themeFill="background1"/>
          </w:tcPr>
          <w:p w14:paraId="73D2EF63" w14:textId="77777777" w:rsidR="00923A8C" w:rsidRPr="00923A8C" w:rsidRDefault="00923A8C" w:rsidP="00923A8C">
            <w:pPr>
              <w:spacing w:after="120"/>
              <w:rPr>
                <w:b/>
                <w:bCs/>
                <w:lang w:val="en-AU"/>
              </w:rPr>
            </w:pPr>
            <w:bookmarkStart w:id="20" w:name="_Toc447895377"/>
            <w:r w:rsidRPr="00923A8C">
              <w:rPr>
                <w:b/>
                <w:bCs/>
                <w:lang w:val="en-AU"/>
              </w:rPr>
              <w:t>1a Leveraging from petroleum engineering and geology data</w:t>
            </w:r>
            <w:bookmarkEnd w:id="20"/>
          </w:p>
        </w:tc>
        <w:tc>
          <w:tcPr>
            <w:tcW w:w="3734" w:type="pct"/>
            <w:shd w:val="clear" w:color="auto" w:fill="auto"/>
          </w:tcPr>
          <w:p w14:paraId="73D2EF64" w14:textId="77777777" w:rsidR="00923A8C" w:rsidRPr="00923A8C" w:rsidRDefault="00923A8C" w:rsidP="00923A8C">
            <w:pPr>
              <w:spacing w:after="120"/>
              <w:rPr>
                <w:lang w:val="en-AU"/>
              </w:rPr>
            </w:pPr>
            <w:r w:rsidRPr="00923A8C">
              <w:rPr>
                <w:lang w:val="en-AU"/>
              </w:rPr>
              <w:t>The petroleum industry has detailed information and data on the properties of petroleum reservoirs. There is a research opportunity to improve understanding of deep aquifers by better linking hydrogeology and petroleum data. A process is needed to capture data on hydrogeological characteristics from both sources in national databases.</w:t>
            </w:r>
          </w:p>
        </w:tc>
      </w:tr>
      <w:tr w:rsidR="00923A8C" w:rsidRPr="00923A8C" w14:paraId="73D2EF68" w14:textId="77777777" w:rsidTr="00923A8C">
        <w:trPr>
          <w:cantSplit/>
        </w:trPr>
        <w:tc>
          <w:tcPr>
            <w:tcW w:w="1266" w:type="pct"/>
            <w:shd w:val="clear" w:color="auto" w:fill="FFFFFF" w:themeFill="background1"/>
          </w:tcPr>
          <w:p w14:paraId="73D2EF66" w14:textId="77777777" w:rsidR="00923A8C" w:rsidRPr="00923A8C" w:rsidRDefault="00923A8C" w:rsidP="00923A8C">
            <w:pPr>
              <w:spacing w:after="120"/>
              <w:rPr>
                <w:b/>
                <w:bCs/>
                <w:lang w:val="en-AU"/>
              </w:rPr>
            </w:pPr>
            <w:bookmarkStart w:id="21" w:name="_Toc446431660"/>
            <w:bookmarkStart w:id="22" w:name="_Toc447895378"/>
            <w:r w:rsidRPr="00923A8C">
              <w:rPr>
                <w:b/>
                <w:bCs/>
                <w:lang w:val="en-AU"/>
              </w:rPr>
              <w:t>1b Linking groundwater models of different scales</w:t>
            </w:r>
            <w:bookmarkEnd w:id="21"/>
            <w:bookmarkEnd w:id="22"/>
          </w:p>
        </w:tc>
        <w:tc>
          <w:tcPr>
            <w:tcW w:w="3734" w:type="pct"/>
            <w:shd w:val="clear" w:color="auto" w:fill="auto"/>
          </w:tcPr>
          <w:p w14:paraId="73D2EF67" w14:textId="77777777" w:rsidR="00923A8C" w:rsidRPr="00923A8C" w:rsidRDefault="00923A8C" w:rsidP="00923A8C">
            <w:pPr>
              <w:spacing w:after="120"/>
              <w:rPr>
                <w:lang w:val="en-AU"/>
              </w:rPr>
            </w:pPr>
            <w:r w:rsidRPr="00923A8C">
              <w:rPr>
                <w:lang w:val="en-AU"/>
              </w:rPr>
              <w:t>Groundwater models used in assessment of impacts of coal seam gas extraction and coal mining are often at different spatial scales. A review of methods to link groundwater models of different scales would assist in analysing potential cumulative impacts of multiple developments. Linked to Hydrology priority 5c.</w:t>
            </w:r>
          </w:p>
        </w:tc>
      </w:tr>
      <w:tr w:rsidR="00923A8C" w:rsidRPr="00923A8C" w14:paraId="73D2EF6B" w14:textId="77777777" w:rsidTr="00923A8C">
        <w:trPr>
          <w:cantSplit/>
        </w:trPr>
        <w:tc>
          <w:tcPr>
            <w:tcW w:w="1266" w:type="pct"/>
            <w:shd w:val="clear" w:color="auto" w:fill="FFFFFF" w:themeFill="background1"/>
          </w:tcPr>
          <w:p w14:paraId="73D2EF69" w14:textId="77777777" w:rsidR="00923A8C" w:rsidRPr="00923A8C" w:rsidRDefault="00923A8C" w:rsidP="00923A8C">
            <w:pPr>
              <w:spacing w:after="120"/>
              <w:rPr>
                <w:b/>
                <w:bCs/>
                <w:lang w:val="en-AU"/>
              </w:rPr>
            </w:pPr>
            <w:bookmarkStart w:id="23" w:name="_Toc447895379"/>
            <w:r w:rsidRPr="00923A8C">
              <w:rPr>
                <w:b/>
                <w:bCs/>
                <w:lang w:val="en-AU"/>
              </w:rPr>
              <w:t>1c Dual phase and dual porosity flow and geomechanical effects in groundwater models</w:t>
            </w:r>
            <w:bookmarkEnd w:id="23"/>
          </w:p>
        </w:tc>
        <w:tc>
          <w:tcPr>
            <w:tcW w:w="3734" w:type="pct"/>
            <w:shd w:val="clear" w:color="auto" w:fill="auto"/>
          </w:tcPr>
          <w:p w14:paraId="73D2EF6A" w14:textId="77777777" w:rsidR="00923A8C" w:rsidRPr="00923A8C" w:rsidRDefault="00923A8C" w:rsidP="00923A8C">
            <w:pPr>
              <w:spacing w:after="120"/>
              <w:rPr>
                <w:b/>
                <w:lang w:val="en-AU"/>
              </w:rPr>
            </w:pPr>
            <w:r w:rsidRPr="00923A8C">
              <w:rPr>
                <w:lang w:val="en-AU"/>
              </w:rPr>
              <w:t>The research needs are to identify methods for representing these processes in a simplified way for regional modelling and estimating the magnitude of the consequent errors; assess the extent to which these factors influence regional modelling and prediction of the volumes of produced water; and develop relationships to identify the areas/environments and times for which these factors are important for regional groundwater modelling.</w:t>
            </w:r>
          </w:p>
        </w:tc>
      </w:tr>
      <w:tr w:rsidR="00923A8C" w:rsidRPr="00923A8C" w14:paraId="73D2EF6E" w14:textId="77777777" w:rsidTr="00923A8C">
        <w:trPr>
          <w:cantSplit/>
        </w:trPr>
        <w:tc>
          <w:tcPr>
            <w:tcW w:w="1266" w:type="pct"/>
            <w:shd w:val="clear" w:color="auto" w:fill="FFFFFF" w:themeFill="background1"/>
          </w:tcPr>
          <w:p w14:paraId="73D2EF6C" w14:textId="77777777" w:rsidR="00923A8C" w:rsidRPr="00923A8C" w:rsidRDefault="00923A8C" w:rsidP="00923A8C">
            <w:pPr>
              <w:spacing w:after="120"/>
              <w:rPr>
                <w:b/>
                <w:bCs/>
                <w:lang w:val="en-AU"/>
              </w:rPr>
            </w:pPr>
            <w:bookmarkStart w:id="24" w:name="_Toc447895380"/>
            <w:r w:rsidRPr="00923A8C">
              <w:rPr>
                <w:b/>
                <w:bCs/>
                <w:lang w:val="en-AU"/>
              </w:rPr>
              <w:t>2  Impacts to upland peat swamps and water bodies associated with coal mining</w:t>
            </w:r>
            <w:bookmarkEnd w:id="24"/>
          </w:p>
        </w:tc>
        <w:tc>
          <w:tcPr>
            <w:tcW w:w="3734" w:type="pct"/>
            <w:shd w:val="clear" w:color="auto" w:fill="auto"/>
          </w:tcPr>
          <w:p w14:paraId="73D2EF6D" w14:textId="77777777" w:rsidR="00923A8C" w:rsidRPr="00923A8C" w:rsidRDefault="00923A8C" w:rsidP="00923A8C">
            <w:pPr>
              <w:spacing w:after="120"/>
              <w:rPr>
                <w:lang w:val="en-AU"/>
              </w:rPr>
            </w:pPr>
            <w:r w:rsidRPr="00923A8C">
              <w:rPr>
                <w:lang w:val="en-AU"/>
              </w:rPr>
              <w:t xml:space="preserve">Temperate Highland Peat Swamps on Sandstone and Coastal Upland Swamps in the Sydney Basin Bioregion (collectively termed upland peat swamps) are listed as endangered ecological communities under the </w:t>
            </w:r>
            <w:r w:rsidRPr="00923A8C">
              <w:rPr>
                <w:i/>
                <w:lang w:val="en-AU"/>
              </w:rPr>
              <w:t>Environment Protection and Biodiversity Conservation Act 1999</w:t>
            </w:r>
            <w:r w:rsidRPr="00923A8C">
              <w:rPr>
                <w:lang w:val="en-AU"/>
              </w:rPr>
              <w:t>. Longwall coal mining beneath upland peat swamps may fracture the sandstone substrate and alter the swamps’ water balance. An improved geomechanical understanding is needed of cracking and subsidence risks due to dewatering in coal mining, including the role of shallow cracking in impacts to the water holding capacity of the swamps.</w:t>
            </w:r>
          </w:p>
        </w:tc>
      </w:tr>
      <w:tr w:rsidR="00923A8C" w:rsidRPr="00923A8C" w14:paraId="73D2EF71" w14:textId="77777777" w:rsidTr="00923A8C">
        <w:trPr>
          <w:cantSplit/>
        </w:trPr>
        <w:tc>
          <w:tcPr>
            <w:tcW w:w="1266" w:type="pct"/>
            <w:shd w:val="clear" w:color="auto" w:fill="FFFFFF" w:themeFill="background1"/>
          </w:tcPr>
          <w:p w14:paraId="73D2EF6F" w14:textId="77777777" w:rsidR="00923A8C" w:rsidRPr="00923A8C" w:rsidRDefault="00923A8C" w:rsidP="00923A8C">
            <w:pPr>
              <w:spacing w:after="120"/>
              <w:rPr>
                <w:b/>
                <w:bCs/>
                <w:lang w:val="en-AU"/>
              </w:rPr>
            </w:pPr>
            <w:bookmarkStart w:id="25" w:name="_Toc447895381"/>
            <w:r w:rsidRPr="00923A8C">
              <w:rPr>
                <w:b/>
                <w:bCs/>
                <w:lang w:val="en-AU"/>
              </w:rPr>
              <w:t>3 Hydraulic fracturing</w:t>
            </w:r>
            <w:bookmarkEnd w:id="25"/>
          </w:p>
        </w:tc>
        <w:tc>
          <w:tcPr>
            <w:tcW w:w="3734" w:type="pct"/>
            <w:shd w:val="clear" w:color="auto" w:fill="auto"/>
          </w:tcPr>
          <w:p w14:paraId="73D2EF70" w14:textId="77777777" w:rsidR="00923A8C" w:rsidRPr="00923A8C" w:rsidRDefault="00923A8C" w:rsidP="00923A8C">
            <w:pPr>
              <w:spacing w:after="120"/>
              <w:rPr>
                <w:lang w:val="en-AU"/>
              </w:rPr>
            </w:pPr>
            <w:r w:rsidRPr="00923A8C">
              <w:rPr>
                <w:lang w:val="en-AU"/>
              </w:rPr>
              <w:t>The experience of hydraulic fracturing in Australian coal seams could be reviewed to assess the impact of fracture stimulation activities on well integrity, the failure rates associated with coal seam targeting during perforation, and to improve understanding of fracture growth in and beyond coal seams. This could potentially include developing leading practice guidelines for fracture growth modelling.</w:t>
            </w:r>
          </w:p>
        </w:tc>
      </w:tr>
      <w:tr w:rsidR="00923A8C" w:rsidRPr="00923A8C" w14:paraId="73D2EF74" w14:textId="77777777" w:rsidTr="00923A8C">
        <w:trPr>
          <w:cantSplit/>
        </w:trPr>
        <w:tc>
          <w:tcPr>
            <w:tcW w:w="1266" w:type="pct"/>
            <w:shd w:val="clear" w:color="auto" w:fill="FFFFFF" w:themeFill="background1"/>
          </w:tcPr>
          <w:p w14:paraId="73D2EF72" w14:textId="77777777" w:rsidR="00923A8C" w:rsidRPr="00923A8C" w:rsidRDefault="00923A8C" w:rsidP="00923A8C">
            <w:pPr>
              <w:spacing w:after="120"/>
              <w:rPr>
                <w:b/>
                <w:bCs/>
                <w:lang w:val="en-AU"/>
              </w:rPr>
            </w:pPr>
            <w:bookmarkStart w:id="26" w:name="_Toc447895382"/>
            <w:r w:rsidRPr="00923A8C">
              <w:rPr>
                <w:b/>
                <w:bCs/>
                <w:lang w:val="en-AU"/>
              </w:rPr>
              <w:lastRenderedPageBreak/>
              <w:t>4 Voids</w:t>
            </w:r>
            <w:bookmarkEnd w:id="26"/>
          </w:p>
        </w:tc>
        <w:tc>
          <w:tcPr>
            <w:tcW w:w="3734" w:type="pct"/>
            <w:shd w:val="clear" w:color="auto" w:fill="auto"/>
          </w:tcPr>
          <w:p w14:paraId="73D2EF73" w14:textId="77777777" w:rsidR="00923A8C" w:rsidRPr="00923A8C" w:rsidRDefault="00923A8C" w:rsidP="00923A8C">
            <w:pPr>
              <w:spacing w:after="120"/>
              <w:rPr>
                <w:lang w:val="en-AU"/>
              </w:rPr>
            </w:pPr>
            <w:r w:rsidRPr="00923A8C">
              <w:rPr>
                <w:lang w:val="en-AU"/>
              </w:rPr>
              <w:t>There is a lack of knowledge of the status and impact of voids associated with open cut coal mines. The  research need is to determine the number of voids; their types; water qualities; surrounding groundwater qualities; comparison of water qualities/quantities with model predictions; interaction between voids; impacts on surrounding environments; depth profiles of redox in voids and the effect on groundwater quality and flow characteristics.</w:t>
            </w:r>
          </w:p>
        </w:tc>
      </w:tr>
      <w:tr w:rsidR="00923A8C" w:rsidRPr="00923A8C" w14:paraId="73D2EF77" w14:textId="77777777" w:rsidTr="00923A8C">
        <w:trPr>
          <w:cantSplit/>
        </w:trPr>
        <w:tc>
          <w:tcPr>
            <w:tcW w:w="1266" w:type="pct"/>
            <w:shd w:val="clear" w:color="auto" w:fill="FFFFFF" w:themeFill="background1"/>
          </w:tcPr>
          <w:p w14:paraId="73D2EF75" w14:textId="77777777" w:rsidR="00923A8C" w:rsidRPr="00923A8C" w:rsidRDefault="00923A8C" w:rsidP="00923A8C">
            <w:pPr>
              <w:spacing w:after="120"/>
              <w:rPr>
                <w:b/>
                <w:bCs/>
                <w:lang w:val="en-AU"/>
              </w:rPr>
            </w:pPr>
            <w:bookmarkStart w:id="27" w:name="_Toc447895383"/>
            <w:r w:rsidRPr="00923A8C">
              <w:rPr>
                <w:b/>
                <w:bCs/>
                <w:lang w:val="en-AU"/>
              </w:rPr>
              <w:t>5 Assessment and modelling of groundwater and surface water connectivity</w:t>
            </w:r>
            <w:bookmarkEnd w:id="27"/>
          </w:p>
        </w:tc>
        <w:tc>
          <w:tcPr>
            <w:tcW w:w="3734" w:type="pct"/>
            <w:shd w:val="clear" w:color="auto" w:fill="auto"/>
          </w:tcPr>
          <w:p w14:paraId="73D2EF76" w14:textId="77777777" w:rsidR="00923A8C" w:rsidRPr="00923A8C" w:rsidRDefault="00923A8C" w:rsidP="00923A8C">
            <w:pPr>
              <w:spacing w:after="120"/>
              <w:rPr>
                <w:lang w:val="en-AU"/>
              </w:rPr>
            </w:pPr>
            <w:r w:rsidRPr="00923A8C">
              <w:rPr>
                <w:lang w:val="en-AU"/>
              </w:rPr>
              <w:t xml:space="preserve">Groundwater extraction may lead to changes in the flow regimes in connected stream and wetlands. Prediction of the </w:t>
            </w:r>
            <w:r w:rsidR="00E065C7">
              <w:rPr>
                <w:lang w:val="en-AU"/>
              </w:rPr>
              <w:t xml:space="preserve">cumulative </w:t>
            </w:r>
            <w:r w:rsidRPr="00923A8C">
              <w:rPr>
                <w:lang w:val="en-AU"/>
              </w:rPr>
              <w:t xml:space="preserve">water-related impacts of coal seam gas extraction and coal mining relies on understanding the nature of the groundwater and surface water connectivity regime. </w:t>
            </w:r>
          </w:p>
        </w:tc>
      </w:tr>
      <w:tr w:rsidR="00923A8C" w:rsidRPr="00923A8C" w14:paraId="73D2EF7A" w14:textId="77777777" w:rsidTr="00923A8C">
        <w:trPr>
          <w:cantSplit/>
        </w:trPr>
        <w:tc>
          <w:tcPr>
            <w:tcW w:w="1266" w:type="pct"/>
            <w:shd w:val="clear" w:color="auto" w:fill="FFFFFF" w:themeFill="background1"/>
          </w:tcPr>
          <w:p w14:paraId="73D2EF78" w14:textId="77777777" w:rsidR="00923A8C" w:rsidRPr="00923A8C" w:rsidRDefault="00923A8C" w:rsidP="00923A8C">
            <w:pPr>
              <w:spacing w:after="120"/>
              <w:rPr>
                <w:b/>
                <w:bCs/>
                <w:lang w:val="en-AU"/>
              </w:rPr>
            </w:pPr>
            <w:bookmarkStart w:id="28" w:name="_Toc447895384"/>
            <w:r w:rsidRPr="00923A8C">
              <w:rPr>
                <w:b/>
                <w:bCs/>
                <w:lang w:val="en-AU"/>
              </w:rPr>
              <w:t>5a Improving understanding of groundwater recharge from surface water bodies</w:t>
            </w:r>
            <w:bookmarkEnd w:id="28"/>
          </w:p>
        </w:tc>
        <w:tc>
          <w:tcPr>
            <w:tcW w:w="3734" w:type="pct"/>
            <w:shd w:val="clear" w:color="auto" w:fill="auto"/>
          </w:tcPr>
          <w:p w14:paraId="73D2EF79" w14:textId="77777777" w:rsidR="00923A8C" w:rsidRPr="00923A8C" w:rsidRDefault="00923A8C" w:rsidP="00923A8C">
            <w:pPr>
              <w:spacing w:after="120"/>
              <w:rPr>
                <w:lang w:val="en-AU"/>
              </w:rPr>
            </w:pPr>
            <w:r w:rsidRPr="00923A8C">
              <w:rPr>
                <w:lang w:val="en-AU"/>
              </w:rPr>
              <w:t>Groundwater recharge from floods is a major component of recharge to alluvial systems, but few groundwater models include flooding. A first step is a review of techniques to estimate flood recharge to alluvial systems near existing or proposed coal and coal seam gas operations, and consequent leakage to deeper aquifers.</w:t>
            </w:r>
          </w:p>
        </w:tc>
      </w:tr>
      <w:tr w:rsidR="00923A8C" w:rsidRPr="00923A8C" w14:paraId="73D2EF7D" w14:textId="77777777" w:rsidTr="00923A8C">
        <w:trPr>
          <w:cantSplit/>
        </w:trPr>
        <w:tc>
          <w:tcPr>
            <w:tcW w:w="1266" w:type="pct"/>
            <w:shd w:val="clear" w:color="auto" w:fill="FFFFFF" w:themeFill="background1"/>
          </w:tcPr>
          <w:p w14:paraId="73D2EF7B" w14:textId="77777777" w:rsidR="00923A8C" w:rsidRPr="00923A8C" w:rsidRDefault="00923A8C" w:rsidP="00923A8C">
            <w:pPr>
              <w:spacing w:after="120"/>
              <w:rPr>
                <w:b/>
                <w:bCs/>
                <w:lang w:val="en-AU"/>
              </w:rPr>
            </w:pPr>
            <w:bookmarkStart w:id="29" w:name="_Toc447895385"/>
            <w:r w:rsidRPr="00923A8C">
              <w:rPr>
                <w:b/>
                <w:bCs/>
                <w:lang w:val="en-AU"/>
              </w:rPr>
              <w:t>5b Seepage relationships between surface water and groundwater</w:t>
            </w:r>
            <w:bookmarkEnd w:id="29"/>
          </w:p>
        </w:tc>
        <w:tc>
          <w:tcPr>
            <w:tcW w:w="3734" w:type="pct"/>
            <w:shd w:val="clear" w:color="auto" w:fill="auto"/>
          </w:tcPr>
          <w:p w14:paraId="73D2EF7C" w14:textId="77777777" w:rsidR="00923A8C" w:rsidRPr="00923A8C" w:rsidRDefault="00923A8C" w:rsidP="00923A8C">
            <w:pPr>
              <w:spacing w:after="120"/>
              <w:rPr>
                <w:lang w:val="en-AU"/>
              </w:rPr>
            </w:pPr>
            <w:r w:rsidRPr="00923A8C">
              <w:rPr>
                <w:lang w:val="en-AU"/>
              </w:rPr>
              <w:t xml:space="preserve">Seepage relationships between groundwater and surface water bodies are poorly quantified. Integrated modelling and measurements of seepage in priority areas will improve understanding of potential water-related impacts of coal seam gas extraction and coal mining. </w:t>
            </w:r>
          </w:p>
        </w:tc>
      </w:tr>
      <w:tr w:rsidR="00923A8C" w:rsidRPr="00923A8C" w14:paraId="73D2EF80" w14:textId="77777777" w:rsidTr="00923A8C">
        <w:trPr>
          <w:cantSplit/>
        </w:trPr>
        <w:tc>
          <w:tcPr>
            <w:tcW w:w="1266" w:type="pct"/>
            <w:shd w:val="clear" w:color="auto" w:fill="FFFFFF" w:themeFill="background1"/>
          </w:tcPr>
          <w:p w14:paraId="73D2EF7E" w14:textId="77777777" w:rsidR="00923A8C" w:rsidRPr="00923A8C" w:rsidRDefault="00923A8C" w:rsidP="00923A8C">
            <w:pPr>
              <w:spacing w:after="120"/>
              <w:rPr>
                <w:b/>
                <w:bCs/>
                <w:lang w:val="en-AU"/>
              </w:rPr>
            </w:pPr>
            <w:bookmarkStart w:id="30" w:name="_Toc447895386"/>
            <w:r w:rsidRPr="00923A8C">
              <w:rPr>
                <w:b/>
                <w:bCs/>
                <w:lang w:val="en-AU"/>
              </w:rPr>
              <w:t>5c Linking surface water and groundwater models</w:t>
            </w:r>
            <w:bookmarkEnd w:id="30"/>
          </w:p>
        </w:tc>
        <w:tc>
          <w:tcPr>
            <w:tcW w:w="3734" w:type="pct"/>
            <w:shd w:val="clear" w:color="auto" w:fill="auto"/>
          </w:tcPr>
          <w:p w14:paraId="73D2EF7F" w14:textId="77777777" w:rsidR="00923A8C" w:rsidRPr="00923A8C" w:rsidRDefault="00923A8C" w:rsidP="00923A8C">
            <w:pPr>
              <w:spacing w:after="120"/>
              <w:rPr>
                <w:lang w:val="en-AU"/>
              </w:rPr>
            </w:pPr>
            <w:r w:rsidRPr="00923A8C">
              <w:rPr>
                <w:lang w:val="en-AU"/>
              </w:rPr>
              <w:t>Surface water and groundwater models are usually at different spatial and temporal scales. This research priority would investigate ways to improve modelling of surface water impacts at finer scales. Linked to Hydrology priority 1b.</w:t>
            </w:r>
          </w:p>
        </w:tc>
      </w:tr>
    </w:tbl>
    <w:p w14:paraId="73D2EF81" w14:textId="77777777" w:rsidR="00923A8C" w:rsidRPr="00923A8C" w:rsidRDefault="00923A8C" w:rsidP="00923A8C">
      <w:pPr>
        <w:spacing w:after="120"/>
        <w:rPr>
          <w:b/>
          <w:bCs/>
          <w:lang w:val="en-AU"/>
        </w:rPr>
        <w:sectPr w:rsidR="00923A8C" w:rsidRPr="00923A8C" w:rsidSect="00923A8C">
          <w:headerReference w:type="default" r:id="rId13"/>
          <w:footerReference w:type="default" r:id="rId14"/>
          <w:pgSz w:w="11900" w:h="16840"/>
          <w:pgMar w:top="1134" w:right="1134" w:bottom="1134" w:left="1134" w:header="708" w:footer="708" w:gutter="0"/>
          <w:cols w:space="708"/>
          <w:docGrid w:linePitch="36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7187"/>
      </w:tblGrid>
      <w:tr w:rsidR="00923A8C" w:rsidRPr="00923A8C" w14:paraId="73D2EF84" w14:textId="77777777" w:rsidTr="00923A8C">
        <w:trPr>
          <w:cantSplit/>
          <w:tblHeader/>
        </w:trPr>
        <w:tc>
          <w:tcPr>
            <w:tcW w:w="1266" w:type="pct"/>
            <w:tcBorders>
              <w:bottom w:val="single" w:sz="4" w:space="0" w:color="auto"/>
              <w:right w:val="single" w:sz="4" w:space="0" w:color="auto"/>
            </w:tcBorders>
            <w:shd w:val="clear" w:color="auto" w:fill="A6A6A6" w:themeFill="background1" w:themeFillShade="A6"/>
            <w:vAlign w:val="center"/>
          </w:tcPr>
          <w:p w14:paraId="73D2EF82" w14:textId="77777777" w:rsidR="00923A8C" w:rsidRPr="00923A8C" w:rsidRDefault="00923A8C" w:rsidP="00923A8C">
            <w:pPr>
              <w:spacing w:after="120"/>
              <w:rPr>
                <w:b/>
                <w:lang w:val="en-AU"/>
              </w:rPr>
            </w:pPr>
            <w:bookmarkStart w:id="31" w:name="_Toc447895387"/>
            <w:r w:rsidRPr="00923A8C">
              <w:rPr>
                <w:b/>
                <w:lang w:val="en-AU"/>
              </w:rPr>
              <w:lastRenderedPageBreak/>
              <w:t>Research priority</w:t>
            </w:r>
            <w:bookmarkEnd w:id="31"/>
          </w:p>
        </w:tc>
        <w:tc>
          <w:tcPr>
            <w:tcW w:w="3734" w:type="pct"/>
            <w:tcBorders>
              <w:left w:val="single" w:sz="4" w:space="0" w:color="auto"/>
            </w:tcBorders>
            <w:shd w:val="clear" w:color="auto" w:fill="A6A6A6" w:themeFill="background1" w:themeFillShade="A6"/>
          </w:tcPr>
          <w:p w14:paraId="73D2EF83" w14:textId="77777777" w:rsidR="00923A8C" w:rsidRPr="00923A8C" w:rsidRDefault="00923A8C" w:rsidP="00923A8C">
            <w:pPr>
              <w:spacing w:after="120"/>
              <w:rPr>
                <w:b/>
                <w:bCs/>
                <w:lang w:val="en-AU"/>
              </w:rPr>
            </w:pPr>
            <w:r w:rsidRPr="00923A8C">
              <w:rPr>
                <w:b/>
                <w:bCs/>
                <w:lang w:val="en-AU"/>
              </w:rPr>
              <w:t>Key research needs</w:t>
            </w:r>
          </w:p>
        </w:tc>
      </w:tr>
      <w:tr w:rsidR="00923A8C" w:rsidRPr="00923A8C" w14:paraId="73D2EF87" w14:textId="77777777" w:rsidTr="00923A8C">
        <w:trPr>
          <w:cantSplit/>
          <w:tblHeader/>
        </w:trPr>
        <w:tc>
          <w:tcPr>
            <w:tcW w:w="1266" w:type="pct"/>
            <w:tcBorders>
              <w:bottom w:val="single" w:sz="4" w:space="0" w:color="auto"/>
              <w:right w:val="nil"/>
            </w:tcBorders>
            <w:shd w:val="clear" w:color="auto" w:fill="9BBB59" w:themeFill="accent3"/>
          </w:tcPr>
          <w:p w14:paraId="73D2EF85" w14:textId="77777777" w:rsidR="00923A8C" w:rsidRPr="00923A8C" w:rsidRDefault="00923A8C" w:rsidP="00923A8C">
            <w:pPr>
              <w:spacing w:after="120"/>
              <w:rPr>
                <w:b/>
                <w:bCs/>
                <w:lang w:val="en-AU"/>
              </w:rPr>
            </w:pPr>
            <w:bookmarkStart w:id="32" w:name="_Toc447895388"/>
            <w:r w:rsidRPr="00923A8C">
              <w:rPr>
                <w:b/>
                <w:bCs/>
                <w:lang w:val="en-AU"/>
              </w:rPr>
              <w:t>CHEMICALS</w:t>
            </w:r>
            <w:bookmarkEnd w:id="32"/>
          </w:p>
        </w:tc>
        <w:tc>
          <w:tcPr>
            <w:tcW w:w="3734" w:type="pct"/>
            <w:tcBorders>
              <w:left w:val="nil"/>
            </w:tcBorders>
            <w:shd w:val="clear" w:color="auto" w:fill="9BBB59" w:themeFill="accent3"/>
          </w:tcPr>
          <w:p w14:paraId="73D2EF86" w14:textId="77777777" w:rsidR="00923A8C" w:rsidRPr="00923A8C" w:rsidRDefault="00923A8C" w:rsidP="00923A8C">
            <w:pPr>
              <w:spacing w:after="120"/>
              <w:rPr>
                <w:lang w:val="en-AU"/>
              </w:rPr>
            </w:pPr>
          </w:p>
        </w:tc>
      </w:tr>
      <w:tr w:rsidR="00923A8C" w:rsidRPr="00923A8C" w14:paraId="73D2EF8A" w14:textId="77777777" w:rsidTr="00923A8C">
        <w:trPr>
          <w:cantSplit/>
          <w:tblHeader/>
        </w:trPr>
        <w:tc>
          <w:tcPr>
            <w:tcW w:w="1266" w:type="pct"/>
            <w:shd w:val="clear" w:color="auto" w:fill="FFFFFF" w:themeFill="background1"/>
          </w:tcPr>
          <w:p w14:paraId="73D2EF88" w14:textId="77777777" w:rsidR="00923A8C" w:rsidRPr="00923A8C" w:rsidRDefault="00923A8C" w:rsidP="00923A8C">
            <w:pPr>
              <w:spacing w:after="120"/>
              <w:rPr>
                <w:b/>
                <w:bCs/>
                <w:lang w:val="en-AU"/>
              </w:rPr>
            </w:pPr>
            <w:bookmarkStart w:id="33" w:name="_Toc447895389"/>
            <w:r w:rsidRPr="00923A8C">
              <w:rPr>
                <w:b/>
                <w:bCs/>
                <w:lang w:val="en-AU"/>
              </w:rPr>
              <w:t>1 The fate, transformation and degradation of hydraulic fracturing fluids</w:t>
            </w:r>
            <w:bookmarkEnd w:id="33"/>
          </w:p>
        </w:tc>
        <w:tc>
          <w:tcPr>
            <w:tcW w:w="3734" w:type="pct"/>
            <w:shd w:val="clear" w:color="auto" w:fill="auto"/>
          </w:tcPr>
          <w:p w14:paraId="73D2EF89" w14:textId="77777777" w:rsidR="00923A8C" w:rsidRPr="0098785D" w:rsidRDefault="00923A8C" w:rsidP="00923A8C">
            <w:pPr>
              <w:spacing w:after="120"/>
              <w:rPr>
                <w:lang w:val="en-AU"/>
              </w:rPr>
            </w:pPr>
            <w:r w:rsidRPr="00923A8C">
              <w:rPr>
                <w:lang w:val="en-AU"/>
              </w:rPr>
              <w:t>There is limited information about liquid and gas migration from production wells to sub surface aquifers (particularly at depth), and long-term liquid and gas migration from the fracture zone via pathways in sub surface rock formations.  Developing and applying stable isotope methods to detect contamination in aquifers is one possible research strategy.</w:t>
            </w:r>
          </w:p>
        </w:tc>
      </w:tr>
      <w:tr w:rsidR="00923A8C" w:rsidRPr="00923A8C" w14:paraId="73D2EF8D" w14:textId="77777777" w:rsidTr="00923A8C">
        <w:trPr>
          <w:cantSplit/>
          <w:tblHeader/>
        </w:trPr>
        <w:tc>
          <w:tcPr>
            <w:tcW w:w="1266" w:type="pct"/>
            <w:shd w:val="clear" w:color="auto" w:fill="FFFFFF" w:themeFill="background1"/>
          </w:tcPr>
          <w:p w14:paraId="73D2EF8B" w14:textId="77777777" w:rsidR="00923A8C" w:rsidRPr="00923A8C" w:rsidRDefault="00923A8C" w:rsidP="00923A8C">
            <w:pPr>
              <w:spacing w:after="120"/>
              <w:rPr>
                <w:b/>
                <w:bCs/>
                <w:lang w:val="en-AU"/>
              </w:rPr>
            </w:pPr>
            <w:bookmarkStart w:id="34" w:name="_Toc447895390"/>
            <w:r w:rsidRPr="00923A8C">
              <w:rPr>
                <w:b/>
                <w:bCs/>
                <w:lang w:val="en-AU"/>
              </w:rPr>
              <w:t>2 The effects of fracturing fluids on the release behaviour of geogenic contaminants</w:t>
            </w:r>
            <w:bookmarkEnd w:id="34"/>
          </w:p>
        </w:tc>
        <w:tc>
          <w:tcPr>
            <w:tcW w:w="3734" w:type="pct"/>
            <w:shd w:val="clear" w:color="auto" w:fill="auto"/>
          </w:tcPr>
          <w:p w14:paraId="73D2EF8C" w14:textId="77777777" w:rsidR="00923A8C" w:rsidRPr="00923A8C" w:rsidRDefault="00923A8C" w:rsidP="00923A8C">
            <w:pPr>
              <w:spacing w:after="120"/>
              <w:rPr>
                <w:lang w:val="en-AU"/>
              </w:rPr>
            </w:pPr>
            <w:r w:rsidRPr="00923A8C">
              <w:rPr>
                <w:lang w:val="en-AU"/>
              </w:rPr>
              <w:t>Hydraulic fracturing fluids have the potential to mobilise geogenic contaminants.  Potential mobilisation is affected by elevated temperature, pressure, coal type and fracturing fluid composition.  It would be valuable to improve understanding of the transformation and fate of geogenics, including volatile geogenics and new products formed during fracturing, under different physico-chemical conditions.</w:t>
            </w:r>
          </w:p>
        </w:tc>
      </w:tr>
      <w:tr w:rsidR="00923A8C" w:rsidRPr="00923A8C" w14:paraId="73D2EF90" w14:textId="77777777" w:rsidTr="00923A8C">
        <w:trPr>
          <w:cantSplit/>
          <w:tblHeader/>
        </w:trPr>
        <w:tc>
          <w:tcPr>
            <w:tcW w:w="1266" w:type="pct"/>
            <w:shd w:val="clear" w:color="auto" w:fill="FFFFFF" w:themeFill="background1"/>
          </w:tcPr>
          <w:p w14:paraId="73D2EF8E" w14:textId="77777777" w:rsidR="00923A8C" w:rsidRPr="00923A8C" w:rsidRDefault="00923A8C" w:rsidP="00923A8C">
            <w:pPr>
              <w:spacing w:after="120"/>
              <w:rPr>
                <w:b/>
                <w:bCs/>
                <w:lang w:val="en-AU"/>
              </w:rPr>
            </w:pPr>
            <w:bookmarkStart w:id="35" w:name="_Toc447895391"/>
            <w:r w:rsidRPr="00923A8C">
              <w:rPr>
                <w:b/>
                <w:bCs/>
                <w:lang w:val="en-AU"/>
              </w:rPr>
              <w:t>3 Flowback and produced water</w:t>
            </w:r>
            <w:bookmarkEnd w:id="35"/>
          </w:p>
        </w:tc>
        <w:tc>
          <w:tcPr>
            <w:tcW w:w="3734" w:type="pct"/>
            <w:shd w:val="clear" w:color="auto" w:fill="auto"/>
          </w:tcPr>
          <w:p w14:paraId="73D2EF8F" w14:textId="77777777" w:rsidR="00923A8C" w:rsidRPr="00923A8C" w:rsidRDefault="00923A8C" w:rsidP="00A8613A">
            <w:pPr>
              <w:spacing w:after="120"/>
              <w:rPr>
                <w:lang w:val="en-AU"/>
              </w:rPr>
            </w:pPr>
            <w:r w:rsidRPr="00923A8C">
              <w:rPr>
                <w:lang w:val="en-AU"/>
              </w:rPr>
              <w:t>A better understanding is needed of the composition and effects of flowback and produced water. The research priority is to develop analytical laboratory methods for detecting and quantifying the chemical additives in hydraulic fracturing fluids and their concentrations, characterise their physico-chemical, chemical and ecotoxicological properties, identify factors that influence their composition (e.g.  formation type, fracturing fluids used, sub-surface processes, interaction with mobilised geogenics and residence time</w:t>
            </w:r>
            <w:r w:rsidR="0098785D">
              <w:rPr>
                <w:lang w:val="en-AU"/>
              </w:rPr>
              <w:t xml:space="preserve">, </w:t>
            </w:r>
            <w:r w:rsidR="00A8613A">
              <w:rPr>
                <w:lang w:val="en-AU"/>
              </w:rPr>
              <w:t>effects of</w:t>
            </w:r>
            <w:r w:rsidR="0098785D">
              <w:rPr>
                <w:lang w:val="en-AU"/>
              </w:rPr>
              <w:t xml:space="preserve"> microbially enhanced CSG production</w:t>
            </w:r>
            <w:r w:rsidRPr="00923A8C">
              <w:rPr>
                <w:lang w:val="en-AU"/>
              </w:rPr>
              <w:t>) and determine their effects on aquatic ecosystems.  The toxicity of mixtures and the interactive effects of chemical additives also need investigation.</w:t>
            </w:r>
          </w:p>
        </w:tc>
      </w:tr>
      <w:tr w:rsidR="00923A8C" w:rsidRPr="00923A8C" w14:paraId="73D2EF93" w14:textId="77777777" w:rsidTr="00923A8C">
        <w:trPr>
          <w:cantSplit/>
          <w:tblHeader/>
        </w:trPr>
        <w:tc>
          <w:tcPr>
            <w:tcW w:w="1266" w:type="pct"/>
            <w:tcBorders>
              <w:bottom w:val="single" w:sz="4" w:space="0" w:color="auto"/>
            </w:tcBorders>
            <w:shd w:val="clear" w:color="auto" w:fill="FFFFFF" w:themeFill="background1"/>
          </w:tcPr>
          <w:p w14:paraId="73D2EF91" w14:textId="77777777" w:rsidR="00923A8C" w:rsidRPr="00923A8C" w:rsidRDefault="00923A8C" w:rsidP="00923A8C">
            <w:pPr>
              <w:spacing w:after="120"/>
              <w:rPr>
                <w:b/>
                <w:bCs/>
                <w:lang w:val="en-AU"/>
              </w:rPr>
            </w:pPr>
            <w:bookmarkStart w:id="36" w:name="_Toc447895392"/>
            <w:r w:rsidRPr="00923A8C">
              <w:rPr>
                <w:b/>
                <w:bCs/>
                <w:lang w:val="en-AU"/>
              </w:rPr>
              <w:t>4 Waste water management</w:t>
            </w:r>
            <w:bookmarkEnd w:id="36"/>
          </w:p>
        </w:tc>
        <w:tc>
          <w:tcPr>
            <w:tcW w:w="3734" w:type="pct"/>
            <w:tcBorders>
              <w:bottom w:val="single" w:sz="4" w:space="0" w:color="auto"/>
            </w:tcBorders>
            <w:shd w:val="clear" w:color="auto" w:fill="auto"/>
          </w:tcPr>
          <w:p w14:paraId="73D2EF92" w14:textId="77777777" w:rsidR="00923A8C" w:rsidRPr="00923A8C" w:rsidRDefault="00923A8C" w:rsidP="00923A8C">
            <w:pPr>
              <w:spacing w:after="120"/>
              <w:rPr>
                <w:lang w:val="en-AU"/>
              </w:rPr>
            </w:pPr>
            <w:r w:rsidRPr="00923A8C">
              <w:rPr>
                <w:lang w:val="en-AU"/>
              </w:rPr>
              <w:t>There are a number of potential treatment options (e.g. reverse osmosis) for waste water from coal seam gas and coal mining operations. A review of these treatment methods could consider: their effectiveness especially for total dissolved solids and endocrine-disrupting chemicals; effects of conductivity and total dissolved solids on freshwater aquatic biota (e.g. stygofauna, turtles, frogs); the persistence and mobilisation in soil/sediments of naturally occurring radioactive material decay products; and effects-directed screening approaches to assess endocrine-disrupting and other effects of mixtures.</w:t>
            </w:r>
          </w:p>
        </w:tc>
      </w:tr>
    </w:tbl>
    <w:p w14:paraId="73D2EF94" w14:textId="77777777" w:rsidR="00923A8C" w:rsidRPr="00923A8C" w:rsidRDefault="00923A8C" w:rsidP="00923A8C">
      <w:pPr>
        <w:spacing w:after="120"/>
        <w:rPr>
          <w:b/>
          <w:bCs/>
          <w:lang w:val="en-AU"/>
        </w:rPr>
        <w:sectPr w:rsidR="00923A8C" w:rsidRPr="00923A8C" w:rsidSect="00923A8C">
          <w:pgSz w:w="11900" w:h="16840"/>
          <w:pgMar w:top="1134" w:right="1134" w:bottom="1134" w:left="1134" w:header="708" w:footer="708" w:gutter="0"/>
          <w:cols w:space="708"/>
          <w:docGrid w:linePitch="36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7187"/>
      </w:tblGrid>
      <w:tr w:rsidR="00923A8C" w:rsidRPr="00923A8C" w14:paraId="73D2EF97" w14:textId="77777777" w:rsidTr="00923A8C">
        <w:trPr>
          <w:cantSplit/>
        </w:trPr>
        <w:tc>
          <w:tcPr>
            <w:tcW w:w="1266" w:type="pct"/>
            <w:tcBorders>
              <w:bottom w:val="single" w:sz="4" w:space="0" w:color="auto"/>
              <w:right w:val="single" w:sz="4" w:space="0" w:color="auto"/>
            </w:tcBorders>
            <w:shd w:val="clear" w:color="auto" w:fill="BFBFBF" w:themeFill="background1" w:themeFillShade="BF"/>
            <w:vAlign w:val="center"/>
          </w:tcPr>
          <w:p w14:paraId="73D2EF95" w14:textId="77777777" w:rsidR="00923A8C" w:rsidRPr="00923A8C" w:rsidRDefault="00923A8C" w:rsidP="00923A8C">
            <w:pPr>
              <w:spacing w:after="120"/>
              <w:rPr>
                <w:b/>
                <w:lang w:val="en-AU"/>
              </w:rPr>
            </w:pPr>
            <w:bookmarkStart w:id="37" w:name="_Toc447895393"/>
            <w:r w:rsidRPr="00923A8C">
              <w:rPr>
                <w:b/>
                <w:lang w:val="en-AU"/>
              </w:rPr>
              <w:lastRenderedPageBreak/>
              <w:t>Research priority</w:t>
            </w:r>
            <w:bookmarkEnd w:id="37"/>
          </w:p>
        </w:tc>
        <w:tc>
          <w:tcPr>
            <w:tcW w:w="3734" w:type="pct"/>
            <w:tcBorders>
              <w:left w:val="single" w:sz="4" w:space="0" w:color="auto"/>
            </w:tcBorders>
            <w:shd w:val="clear" w:color="auto" w:fill="BFBFBF" w:themeFill="background1" w:themeFillShade="BF"/>
          </w:tcPr>
          <w:p w14:paraId="73D2EF96" w14:textId="77777777" w:rsidR="00923A8C" w:rsidRPr="00923A8C" w:rsidRDefault="00923A8C" w:rsidP="00923A8C">
            <w:pPr>
              <w:spacing w:after="120"/>
              <w:rPr>
                <w:b/>
                <w:bCs/>
                <w:lang w:val="en-AU"/>
              </w:rPr>
            </w:pPr>
            <w:r w:rsidRPr="00923A8C">
              <w:rPr>
                <w:b/>
                <w:bCs/>
                <w:lang w:val="en-AU"/>
              </w:rPr>
              <w:t>Key research needs</w:t>
            </w:r>
          </w:p>
        </w:tc>
      </w:tr>
      <w:tr w:rsidR="00923A8C" w:rsidRPr="00923A8C" w14:paraId="73D2EF9A" w14:textId="77777777" w:rsidTr="00923A8C">
        <w:trPr>
          <w:cantSplit/>
        </w:trPr>
        <w:tc>
          <w:tcPr>
            <w:tcW w:w="1266" w:type="pct"/>
            <w:tcBorders>
              <w:bottom w:val="single" w:sz="4" w:space="0" w:color="auto"/>
              <w:right w:val="nil"/>
            </w:tcBorders>
            <w:shd w:val="clear" w:color="auto" w:fill="E5DFEC" w:themeFill="accent4" w:themeFillTint="33"/>
          </w:tcPr>
          <w:p w14:paraId="73D2EF98" w14:textId="77777777" w:rsidR="00923A8C" w:rsidRPr="00923A8C" w:rsidRDefault="00923A8C" w:rsidP="00923A8C">
            <w:pPr>
              <w:spacing w:after="120"/>
              <w:rPr>
                <w:b/>
                <w:bCs/>
                <w:lang w:val="en-AU"/>
              </w:rPr>
            </w:pPr>
            <w:bookmarkStart w:id="38" w:name="_Toc447895394"/>
            <w:r w:rsidRPr="00923A8C">
              <w:rPr>
                <w:b/>
                <w:bCs/>
                <w:lang w:val="en-AU"/>
              </w:rPr>
              <w:t>ECOLOGY</w:t>
            </w:r>
            <w:bookmarkEnd w:id="38"/>
          </w:p>
        </w:tc>
        <w:tc>
          <w:tcPr>
            <w:tcW w:w="3734" w:type="pct"/>
            <w:tcBorders>
              <w:left w:val="nil"/>
            </w:tcBorders>
            <w:shd w:val="clear" w:color="auto" w:fill="E5DFEC" w:themeFill="accent4" w:themeFillTint="33"/>
          </w:tcPr>
          <w:p w14:paraId="73D2EF99" w14:textId="77777777" w:rsidR="00923A8C" w:rsidRPr="00923A8C" w:rsidRDefault="00923A8C" w:rsidP="00923A8C">
            <w:pPr>
              <w:spacing w:after="120"/>
              <w:rPr>
                <w:lang w:val="en-AU"/>
              </w:rPr>
            </w:pPr>
          </w:p>
        </w:tc>
      </w:tr>
      <w:tr w:rsidR="00923A8C" w:rsidRPr="00923A8C" w14:paraId="73D2EF9D" w14:textId="77777777" w:rsidTr="00923A8C">
        <w:trPr>
          <w:cantSplit/>
        </w:trPr>
        <w:tc>
          <w:tcPr>
            <w:tcW w:w="1266" w:type="pct"/>
            <w:shd w:val="clear" w:color="auto" w:fill="FFFFFF" w:themeFill="background1"/>
          </w:tcPr>
          <w:p w14:paraId="73D2EF9B" w14:textId="77777777" w:rsidR="00923A8C" w:rsidRPr="00923A8C" w:rsidRDefault="00923A8C" w:rsidP="00923A8C">
            <w:pPr>
              <w:spacing w:after="120"/>
              <w:rPr>
                <w:b/>
                <w:bCs/>
                <w:lang w:val="en-AU"/>
              </w:rPr>
            </w:pPr>
            <w:bookmarkStart w:id="39" w:name="_Toc447895395"/>
            <w:r w:rsidRPr="00923A8C">
              <w:rPr>
                <w:b/>
                <w:bCs/>
                <w:lang w:val="en-AU"/>
              </w:rPr>
              <w:t>1 Assessment of water-related habitat requirements for selected species and ecosystems</w:t>
            </w:r>
            <w:bookmarkEnd w:id="39"/>
          </w:p>
        </w:tc>
        <w:tc>
          <w:tcPr>
            <w:tcW w:w="3734" w:type="pct"/>
            <w:shd w:val="clear" w:color="auto" w:fill="FFFFFF" w:themeFill="background1"/>
          </w:tcPr>
          <w:p w14:paraId="73D2EF9C" w14:textId="77777777" w:rsidR="00923A8C" w:rsidRPr="00923A8C" w:rsidRDefault="00923A8C" w:rsidP="00923A8C">
            <w:pPr>
              <w:spacing w:after="120"/>
              <w:rPr>
                <w:lang w:val="en-AU"/>
              </w:rPr>
            </w:pPr>
            <w:r w:rsidRPr="00923A8C">
              <w:rPr>
                <w:lang w:val="en-AU"/>
              </w:rPr>
              <w:t xml:space="preserve">Prediction of responses of species and ecosystems to hydrological change remains a research need which is hampered by paucity of data at adequate spatial and temporal scales. Predicted responses derived from modelling approaches need to be validated using field data. This research would articulate a set of specific hypotheses and supporting conceptual models for field-testing predicted responses of priority ecological endpoints (taxa, communities or ecological processes) to hydrological variables. </w:t>
            </w:r>
          </w:p>
        </w:tc>
      </w:tr>
      <w:tr w:rsidR="00923A8C" w:rsidRPr="00923A8C" w14:paraId="73D2EFA0" w14:textId="77777777" w:rsidTr="00923A8C">
        <w:trPr>
          <w:cantSplit/>
        </w:trPr>
        <w:tc>
          <w:tcPr>
            <w:tcW w:w="1266" w:type="pct"/>
            <w:shd w:val="clear" w:color="auto" w:fill="FFFFFF" w:themeFill="background1"/>
          </w:tcPr>
          <w:p w14:paraId="73D2EF9E" w14:textId="77777777" w:rsidR="00923A8C" w:rsidRPr="00923A8C" w:rsidRDefault="00923A8C" w:rsidP="00923A8C">
            <w:pPr>
              <w:spacing w:after="120"/>
              <w:rPr>
                <w:b/>
                <w:bCs/>
                <w:lang w:val="en-AU"/>
              </w:rPr>
            </w:pPr>
            <w:bookmarkStart w:id="40" w:name="_Toc447895396"/>
            <w:r w:rsidRPr="00923A8C">
              <w:rPr>
                <w:b/>
                <w:bCs/>
                <w:lang w:val="en-AU"/>
              </w:rPr>
              <w:t>2 Linking hydrogeological and ecological conceptual models</w:t>
            </w:r>
            <w:bookmarkEnd w:id="40"/>
          </w:p>
        </w:tc>
        <w:tc>
          <w:tcPr>
            <w:tcW w:w="3734" w:type="pct"/>
            <w:shd w:val="clear" w:color="auto" w:fill="FFFFFF" w:themeFill="background1"/>
          </w:tcPr>
          <w:p w14:paraId="73D2EF9F" w14:textId="77777777" w:rsidR="00923A8C" w:rsidRPr="00923A8C" w:rsidRDefault="00923A8C" w:rsidP="00923A8C">
            <w:pPr>
              <w:spacing w:after="120"/>
              <w:rPr>
                <w:b/>
                <w:lang w:val="en-AU"/>
              </w:rPr>
            </w:pPr>
            <w:r w:rsidRPr="00923A8C">
              <w:rPr>
                <w:lang w:val="en-AU"/>
              </w:rPr>
              <w:t xml:space="preserve">Conceptual modelling is a fundamental tool which facilitates shared multidisciplinary working, makes assumptions explicit and informs hypothesis generation. Hydrogeological and ecological conceptual models are usually at very different scales. Development of a  protocol for linking ecological and hydrogeological conceptual models would enable identification and assessment of vulnerable biota and their ecological responses to hydrological changes associated with coal seam gas and coal mining development. </w:t>
            </w:r>
          </w:p>
        </w:tc>
      </w:tr>
    </w:tbl>
    <w:p w14:paraId="73D2EFA1" w14:textId="77777777" w:rsidR="00923A8C" w:rsidRPr="00923A8C" w:rsidRDefault="00923A8C" w:rsidP="00923A8C">
      <w:pPr>
        <w:spacing w:after="120"/>
        <w:rPr>
          <w:b/>
          <w:lang w:val="en-AU"/>
        </w:rPr>
      </w:pPr>
    </w:p>
    <w:p w14:paraId="73D2EFA2" w14:textId="4FB6CBCE" w:rsidR="00572490" w:rsidRPr="00A05646" w:rsidRDefault="00572490" w:rsidP="00923A8C">
      <w:pPr>
        <w:spacing w:after="120"/>
      </w:pPr>
    </w:p>
    <w:sectPr w:rsidR="00572490" w:rsidRPr="00A05646" w:rsidSect="00923A8C">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2EFA5" w14:textId="77777777" w:rsidR="0098785D" w:rsidRDefault="0098785D" w:rsidP="006A16C6">
      <w:pPr>
        <w:spacing w:after="0" w:line="240" w:lineRule="auto"/>
      </w:pPr>
      <w:r>
        <w:separator/>
      </w:r>
    </w:p>
  </w:endnote>
  <w:endnote w:type="continuationSeparator" w:id="0">
    <w:p w14:paraId="73D2EFA6" w14:textId="77777777" w:rsidR="0098785D" w:rsidRDefault="0098785D" w:rsidP="006A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2EFA9" w14:textId="77777777" w:rsidR="0098785D" w:rsidRPr="00521E5F" w:rsidRDefault="0098785D" w:rsidP="00404954">
    <w:pPr>
      <w:pStyle w:val="Footer"/>
      <w:pBdr>
        <w:top w:val="single" w:sz="4" w:space="1" w:color="auto"/>
      </w:pBdr>
      <w:tabs>
        <w:tab w:val="clear" w:pos="4513"/>
        <w:tab w:val="clear" w:pos="9026"/>
        <w:tab w:val="right" w:pos="9350"/>
      </w:tabs>
      <w:rPr>
        <w:rFonts w:cs="Arial"/>
        <w:sz w:val="16"/>
        <w:szCs w:val="16"/>
      </w:rPr>
    </w:pPr>
    <w:r w:rsidRPr="00521E5F">
      <w:rPr>
        <w:rFonts w:cs="Arial"/>
        <w:sz w:val="16"/>
        <w:szCs w:val="16"/>
      </w:rPr>
      <w:t xml:space="preserve">Page </w:t>
    </w:r>
    <w:r w:rsidRPr="00521E5F">
      <w:rPr>
        <w:rFonts w:cs="Arial"/>
        <w:sz w:val="16"/>
        <w:szCs w:val="16"/>
      </w:rPr>
      <w:fldChar w:fldCharType="begin"/>
    </w:r>
    <w:r w:rsidRPr="00521E5F">
      <w:rPr>
        <w:rFonts w:cs="Arial"/>
        <w:sz w:val="16"/>
        <w:szCs w:val="16"/>
      </w:rPr>
      <w:instrText xml:space="preserve"> PAGE </w:instrText>
    </w:r>
    <w:r w:rsidRPr="00521E5F">
      <w:rPr>
        <w:rFonts w:cs="Arial"/>
        <w:sz w:val="16"/>
        <w:szCs w:val="16"/>
      </w:rPr>
      <w:fldChar w:fldCharType="separate"/>
    </w:r>
    <w:r w:rsidR="00A81BDC">
      <w:rPr>
        <w:rFonts w:cs="Arial"/>
        <w:noProof/>
        <w:sz w:val="16"/>
        <w:szCs w:val="16"/>
      </w:rPr>
      <w:t>1</w:t>
    </w:r>
    <w:r w:rsidRPr="00521E5F">
      <w:rPr>
        <w:rFonts w:cs="Arial"/>
        <w:sz w:val="16"/>
        <w:szCs w:val="16"/>
      </w:rPr>
      <w:fldChar w:fldCharType="end"/>
    </w:r>
    <w:r w:rsidRPr="00521E5F">
      <w:rPr>
        <w:rFonts w:cs="Arial"/>
        <w:sz w:val="16"/>
        <w:szCs w:val="16"/>
      </w:rPr>
      <w:t xml:space="preserve"> of </w:t>
    </w:r>
    <w:r w:rsidRPr="00521E5F">
      <w:rPr>
        <w:rFonts w:cs="Arial"/>
        <w:sz w:val="16"/>
        <w:szCs w:val="16"/>
      </w:rPr>
      <w:fldChar w:fldCharType="begin"/>
    </w:r>
    <w:r w:rsidRPr="00521E5F">
      <w:rPr>
        <w:rFonts w:cs="Arial"/>
        <w:sz w:val="16"/>
        <w:szCs w:val="16"/>
      </w:rPr>
      <w:instrText xml:space="preserve"> NUMPAGES </w:instrText>
    </w:r>
    <w:r w:rsidRPr="00521E5F">
      <w:rPr>
        <w:rFonts w:cs="Arial"/>
        <w:sz w:val="16"/>
        <w:szCs w:val="16"/>
      </w:rPr>
      <w:fldChar w:fldCharType="separate"/>
    </w:r>
    <w:r w:rsidR="00A81BDC">
      <w:rPr>
        <w:rFonts w:cs="Arial"/>
        <w:noProof/>
        <w:sz w:val="16"/>
        <w:szCs w:val="16"/>
      </w:rPr>
      <w:t>11</w:t>
    </w:r>
    <w:r w:rsidRPr="00521E5F">
      <w:rPr>
        <w:rFonts w:cs="Arial"/>
        <w:sz w:val="16"/>
        <w:szCs w:val="16"/>
      </w:rPr>
      <w:fldChar w:fldCharType="end"/>
    </w:r>
  </w:p>
  <w:p w14:paraId="73D2EFAA" w14:textId="77777777" w:rsidR="0098785D" w:rsidRDefault="00987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2EFAC" w14:textId="77777777" w:rsidR="0098785D" w:rsidRDefault="0098785D" w:rsidP="00923A8C">
    <w:pPr>
      <w:pStyle w:val="Footer"/>
      <w:tabs>
        <w:tab w:val="clear" w:pos="4513"/>
        <w:tab w:val="clear" w:pos="9026"/>
        <w:tab w:val="right" w:pos="14601"/>
      </w:tabs>
      <w:rPr>
        <w:rFonts w:ascii="Arial" w:hAnsi="Arial" w:cs="Arial"/>
        <w:sz w:val="20"/>
        <w:szCs w:val="20"/>
      </w:rPr>
    </w:pPr>
    <w:r w:rsidRPr="00B979BE">
      <w:rPr>
        <w:rFonts w:ascii="Arial" w:hAnsi="Arial" w:cs="Arial"/>
        <w:sz w:val="20"/>
        <w:szCs w:val="20"/>
      </w:rPr>
      <w:t xml:space="preserve">Page </w:t>
    </w:r>
    <w:r w:rsidRPr="00B979BE">
      <w:rPr>
        <w:rFonts w:ascii="Arial" w:hAnsi="Arial" w:cs="Arial"/>
        <w:sz w:val="20"/>
        <w:szCs w:val="20"/>
      </w:rPr>
      <w:fldChar w:fldCharType="begin"/>
    </w:r>
    <w:r w:rsidRPr="00B979BE">
      <w:rPr>
        <w:rFonts w:ascii="Arial" w:hAnsi="Arial" w:cs="Arial"/>
        <w:sz w:val="20"/>
        <w:szCs w:val="20"/>
      </w:rPr>
      <w:instrText xml:space="preserve"> PAGE  \* Arabic  \* MERGEFORMAT </w:instrText>
    </w:r>
    <w:r w:rsidRPr="00B979BE">
      <w:rPr>
        <w:rFonts w:ascii="Arial" w:hAnsi="Arial" w:cs="Arial"/>
        <w:sz w:val="20"/>
        <w:szCs w:val="20"/>
      </w:rPr>
      <w:fldChar w:fldCharType="separate"/>
    </w:r>
    <w:r w:rsidR="00A81BDC">
      <w:rPr>
        <w:rFonts w:ascii="Arial" w:hAnsi="Arial" w:cs="Arial"/>
        <w:noProof/>
        <w:sz w:val="20"/>
        <w:szCs w:val="20"/>
      </w:rPr>
      <w:t>11</w:t>
    </w:r>
    <w:r w:rsidRPr="00B979BE">
      <w:rPr>
        <w:rFonts w:ascii="Arial" w:hAnsi="Arial" w:cs="Arial"/>
        <w:sz w:val="20"/>
        <w:szCs w:val="20"/>
      </w:rPr>
      <w:fldChar w:fldCharType="end"/>
    </w:r>
    <w:r w:rsidRPr="00B979BE">
      <w:rPr>
        <w:rFonts w:ascii="Arial" w:hAnsi="Arial" w:cs="Arial"/>
        <w:sz w:val="20"/>
        <w:szCs w:val="20"/>
      </w:rPr>
      <w:t xml:space="preserve"> of </w:t>
    </w:r>
    <w:r w:rsidRPr="00B979BE">
      <w:rPr>
        <w:rFonts w:ascii="Arial" w:hAnsi="Arial" w:cs="Arial"/>
        <w:sz w:val="20"/>
        <w:szCs w:val="20"/>
      </w:rPr>
      <w:fldChar w:fldCharType="begin"/>
    </w:r>
    <w:r w:rsidRPr="00B979BE">
      <w:rPr>
        <w:rFonts w:ascii="Arial" w:hAnsi="Arial" w:cs="Arial"/>
        <w:sz w:val="20"/>
        <w:szCs w:val="20"/>
      </w:rPr>
      <w:instrText xml:space="preserve"> NUMPAGES  \# "0" \* Arabic  \* MERGEFORMAT </w:instrText>
    </w:r>
    <w:r w:rsidRPr="00B979BE">
      <w:rPr>
        <w:rFonts w:ascii="Arial" w:hAnsi="Arial" w:cs="Arial"/>
        <w:sz w:val="20"/>
        <w:szCs w:val="20"/>
      </w:rPr>
      <w:fldChar w:fldCharType="separate"/>
    </w:r>
    <w:r w:rsidR="00A81BDC">
      <w:rPr>
        <w:rFonts w:ascii="Arial" w:hAnsi="Arial" w:cs="Arial"/>
        <w:noProof/>
        <w:sz w:val="20"/>
        <w:szCs w:val="20"/>
      </w:rPr>
      <w:t>11</w:t>
    </w:r>
    <w:r w:rsidRPr="00B979B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EFA3" w14:textId="77777777" w:rsidR="0098785D" w:rsidRDefault="0098785D" w:rsidP="006A16C6">
      <w:pPr>
        <w:spacing w:after="0" w:line="240" w:lineRule="auto"/>
      </w:pPr>
      <w:r>
        <w:separator/>
      </w:r>
    </w:p>
  </w:footnote>
  <w:footnote w:type="continuationSeparator" w:id="0">
    <w:p w14:paraId="73D2EFA4" w14:textId="77777777" w:rsidR="0098785D" w:rsidRDefault="0098785D" w:rsidP="006A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2EFA7" w14:textId="77777777" w:rsidR="0098785D" w:rsidRPr="00B979BE" w:rsidRDefault="0098785D" w:rsidP="00F917CB">
    <w:pPr>
      <w:pStyle w:val="Header"/>
      <w:spacing w:after="360"/>
      <w:jc w:val="center"/>
      <w:rPr>
        <w:rFonts w:ascii="Arial" w:hAnsi="Arial" w:cs="Arial"/>
        <w:b/>
      </w:rPr>
    </w:pPr>
    <w:r w:rsidRPr="00B979BE">
      <w:rPr>
        <w:rFonts w:ascii="Arial" w:hAnsi="Arial" w:cs="Arial"/>
        <w:b/>
      </w:rPr>
      <w:t>INDEPENDENT EXPERT SCIENTIFIC COMMITTEE ON COAL SEAM GAS AND LARGE COAL MINING</w:t>
    </w:r>
    <w:r>
      <w:rPr>
        <w:rFonts w:ascii="Arial" w:hAnsi="Arial" w:cs="Arial"/>
        <w:b/>
      </w:rPr>
      <w:t xml:space="preserve"> DEVELOPMENT</w:t>
    </w:r>
  </w:p>
  <w:p w14:paraId="73D2EFA8" w14:textId="77777777" w:rsidR="0098785D" w:rsidRDefault="0098785D" w:rsidP="00F917C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2EFAB" w14:textId="77777777" w:rsidR="0098785D" w:rsidRPr="00B979BE" w:rsidRDefault="0098785D" w:rsidP="00923A8C">
    <w:pPr>
      <w:pStyle w:val="Header"/>
      <w:spacing w:after="360"/>
      <w:jc w:val="center"/>
      <w:rPr>
        <w:rFonts w:ascii="Arial" w:hAnsi="Arial" w:cs="Arial"/>
        <w:b/>
      </w:rPr>
    </w:pPr>
    <w:r w:rsidRPr="00B979BE">
      <w:rPr>
        <w:rFonts w:ascii="Arial" w:hAnsi="Arial" w:cs="Arial"/>
        <w:b/>
      </w:rPr>
      <w:t>INDEPENDENT EXPERT SCIENTIFIC COMMITTEE ON COAL SEAM GAS AND LARGE COAL MINING</w:t>
    </w:r>
    <w:r>
      <w:rPr>
        <w:rFonts w:ascii="Arial" w:hAnsi="Arial" w:cs="Arial"/>
        <w:b/>
      </w:rPr>
      <w:t xml:space="preserve">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8162CF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9EE071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65E595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05F6A0F"/>
    <w:multiLevelType w:val="hybridMultilevel"/>
    <w:tmpl w:val="3BA6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0FA1ED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15F92"/>
    <w:multiLevelType w:val="hybridMultilevel"/>
    <w:tmpl w:val="9B7A4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838A7"/>
    <w:multiLevelType w:val="hybridMultilevel"/>
    <w:tmpl w:val="2DBA9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C6B20"/>
    <w:multiLevelType w:val="hybridMultilevel"/>
    <w:tmpl w:val="0FE4FC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40CA7"/>
    <w:multiLevelType w:val="hybridMultilevel"/>
    <w:tmpl w:val="5F6880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D184F54"/>
    <w:multiLevelType w:val="hybridMultilevel"/>
    <w:tmpl w:val="17E29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DD3F74"/>
    <w:multiLevelType w:val="hybridMultilevel"/>
    <w:tmpl w:val="FAA4F55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2" w15:restartNumberingAfterBreak="0">
    <w:nsid w:val="235241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096AB1"/>
    <w:multiLevelType w:val="hybridMultilevel"/>
    <w:tmpl w:val="C09C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483058"/>
    <w:multiLevelType w:val="hybridMultilevel"/>
    <w:tmpl w:val="D40A110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hint="default"/>
      </w:rPr>
    </w:lvl>
    <w:lvl w:ilvl="2" w:tplc="04090001">
      <w:start w:val="1"/>
      <w:numFmt w:val="bullet"/>
      <w:lvlText w:val=""/>
      <w:lvlJc w:val="left"/>
      <w:pPr>
        <w:ind w:left="2217" w:hanging="360"/>
      </w:pPr>
      <w:rPr>
        <w:rFonts w:ascii="Symbol" w:hAnsi="Symbol" w:hint="default"/>
      </w:rPr>
    </w:lvl>
    <w:lvl w:ilvl="3" w:tplc="0409000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B93A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272820"/>
    <w:multiLevelType w:val="hybridMultilevel"/>
    <w:tmpl w:val="0C86C760"/>
    <w:lvl w:ilvl="0" w:tplc="FA5A0C0C">
      <w:start w:val="1"/>
      <w:numFmt w:val="bullet"/>
      <w:lvlText w:val=""/>
      <w:lvlJc w:val="left"/>
      <w:pPr>
        <w:ind w:left="720" w:hanging="360"/>
      </w:pPr>
      <w:rPr>
        <w:rFonts w:ascii="Symbol" w:hAnsi="Symbol" w:hint="default"/>
      </w:rPr>
    </w:lvl>
    <w:lvl w:ilvl="1" w:tplc="6B3EA442" w:tentative="1">
      <w:start w:val="1"/>
      <w:numFmt w:val="bullet"/>
      <w:lvlText w:val="o"/>
      <w:lvlJc w:val="left"/>
      <w:pPr>
        <w:ind w:left="1440" w:hanging="360"/>
      </w:pPr>
      <w:rPr>
        <w:rFonts w:ascii="Courier New" w:hAnsi="Courier New" w:cs="Courier New" w:hint="default"/>
      </w:rPr>
    </w:lvl>
    <w:lvl w:ilvl="2" w:tplc="EE8E6082" w:tentative="1">
      <w:start w:val="1"/>
      <w:numFmt w:val="bullet"/>
      <w:lvlText w:val=""/>
      <w:lvlJc w:val="left"/>
      <w:pPr>
        <w:ind w:left="2160" w:hanging="360"/>
      </w:pPr>
      <w:rPr>
        <w:rFonts w:ascii="Wingdings" w:hAnsi="Wingdings" w:hint="default"/>
      </w:rPr>
    </w:lvl>
    <w:lvl w:ilvl="3" w:tplc="CCD004C0" w:tentative="1">
      <w:start w:val="1"/>
      <w:numFmt w:val="bullet"/>
      <w:lvlText w:val=""/>
      <w:lvlJc w:val="left"/>
      <w:pPr>
        <w:ind w:left="2880" w:hanging="360"/>
      </w:pPr>
      <w:rPr>
        <w:rFonts w:ascii="Symbol" w:hAnsi="Symbol" w:hint="default"/>
      </w:rPr>
    </w:lvl>
    <w:lvl w:ilvl="4" w:tplc="B0B83332" w:tentative="1">
      <w:start w:val="1"/>
      <w:numFmt w:val="bullet"/>
      <w:lvlText w:val="o"/>
      <w:lvlJc w:val="left"/>
      <w:pPr>
        <w:ind w:left="3600" w:hanging="360"/>
      </w:pPr>
      <w:rPr>
        <w:rFonts w:ascii="Courier New" w:hAnsi="Courier New" w:cs="Courier New" w:hint="default"/>
      </w:rPr>
    </w:lvl>
    <w:lvl w:ilvl="5" w:tplc="6EF29978" w:tentative="1">
      <w:start w:val="1"/>
      <w:numFmt w:val="bullet"/>
      <w:lvlText w:val=""/>
      <w:lvlJc w:val="left"/>
      <w:pPr>
        <w:ind w:left="4320" w:hanging="360"/>
      </w:pPr>
      <w:rPr>
        <w:rFonts w:ascii="Wingdings" w:hAnsi="Wingdings" w:hint="default"/>
      </w:rPr>
    </w:lvl>
    <w:lvl w:ilvl="6" w:tplc="2DFA253E" w:tentative="1">
      <w:start w:val="1"/>
      <w:numFmt w:val="bullet"/>
      <w:lvlText w:val=""/>
      <w:lvlJc w:val="left"/>
      <w:pPr>
        <w:ind w:left="5040" w:hanging="360"/>
      </w:pPr>
      <w:rPr>
        <w:rFonts w:ascii="Symbol" w:hAnsi="Symbol" w:hint="default"/>
      </w:rPr>
    </w:lvl>
    <w:lvl w:ilvl="7" w:tplc="47F050F8" w:tentative="1">
      <w:start w:val="1"/>
      <w:numFmt w:val="bullet"/>
      <w:lvlText w:val="o"/>
      <w:lvlJc w:val="left"/>
      <w:pPr>
        <w:ind w:left="5760" w:hanging="360"/>
      </w:pPr>
      <w:rPr>
        <w:rFonts w:ascii="Courier New" w:hAnsi="Courier New" w:cs="Courier New" w:hint="default"/>
      </w:rPr>
    </w:lvl>
    <w:lvl w:ilvl="8" w:tplc="92762DD0" w:tentative="1">
      <w:start w:val="1"/>
      <w:numFmt w:val="bullet"/>
      <w:lvlText w:val=""/>
      <w:lvlJc w:val="left"/>
      <w:pPr>
        <w:ind w:left="6480" w:hanging="360"/>
      </w:pPr>
      <w:rPr>
        <w:rFonts w:ascii="Wingdings" w:hAnsi="Wingdings" w:hint="default"/>
      </w:rPr>
    </w:lvl>
  </w:abstractNum>
  <w:abstractNum w:abstractNumId="18" w15:restartNumberingAfterBreak="0">
    <w:nsid w:val="3E6C7A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0F7FD5"/>
    <w:multiLevelType w:val="hybridMultilevel"/>
    <w:tmpl w:val="C9788B5A"/>
    <w:lvl w:ilvl="0" w:tplc="2028E956">
      <w:start w:val="1"/>
      <w:numFmt w:val="bullet"/>
      <w:lvlText w:val=""/>
      <w:lvlJc w:val="left"/>
      <w:pPr>
        <w:ind w:left="720" w:hanging="360"/>
      </w:pPr>
      <w:rPr>
        <w:rFonts w:ascii="Symbol" w:hAnsi="Symbol" w:hint="default"/>
      </w:rPr>
    </w:lvl>
    <w:lvl w:ilvl="1" w:tplc="34365B0A" w:tentative="1">
      <w:start w:val="1"/>
      <w:numFmt w:val="bullet"/>
      <w:lvlText w:val="o"/>
      <w:lvlJc w:val="left"/>
      <w:pPr>
        <w:ind w:left="1440" w:hanging="360"/>
      </w:pPr>
      <w:rPr>
        <w:rFonts w:ascii="Courier New" w:hAnsi="Courier New" w:cs="Courier New" w:hint="default"/>
      </w:rPr>
    </w:lvl>
    <w:lvl w:ilvl="2" w:tplc="FBC68AA8" w:tentative="1">
      <w:start w:val="1"/>
      <w:numFmt w:val="bullet"/>
      <w:lvlText w:val=""/>
      <w:lvlJc w:val="left"/>
      <w:pPr>
        <w:ind w:left="2160" w:hanging="360"/>
      </w:pPr>
      <w:rPr>
        <w:rFonts w:ascii="Wingdings" w:hAnsi="Wingdings" w:hint="default"/>
      </w:rPr>
    </w:lvl>
    <w:lvl w:ilvl="3" w:tplc="C778F592" w:tentative="1">
      <w:start w:val="1"/>
      <w:numFmt w:val="bullet"/>
      <w:lvlText w:val=""/>
      <w:lvlJc w:val="left"/>
      <w:pPr>
        <w:ind w:left="2880" w:hanging="360"/>
      </w:pPr>
      <w:rPr>
        <w:rFonts w:ascii="Symbol" w:hAnsi="Symbol" w:hint="default"/>
      </w:rPr>
    </w:lvl>
    <w:lvl w:ilvl="4" w:tplc="9BE4F6D8" w:tentative="1">
      <w:start w:val="1"/>
      <w:numFmt w:val="bullet"/>
      <w:lvlText w:val="o"/>
      <w:lvlJc w:val="left"/>
      <w:pPr>
        <w:ind w:left="3600" w:hanging="360"/>
      </w:pPr>
      <w:rPr>
        <w:rFonts w:ascii="Courier New" w:hAnsi="Courier New" w:cs="Courier New" w:hint="default"/>
      </w:rPr>
    </w:lvl>
    <w:lvl w:ilvl="5" w:tplc="7F2C44BC" w:tentative="1">
      <w:start w:val="1"/>
      <w:numFmt w:val="bullet"/>
      <w:lvlText w:val=""/>
      <w:lvlJc w:val="left"/>
      <w:pPr>
        <w:ind w:left="4320" w:hanging="360"/>
      </w:pPr>
      <w:rPr>
        <w:rFonts w:ascii="Wingdings" w:hAnsi="Wingdings" w:hint="default"/>
      </w:rPr>
    </w:lvl>
    <w:lvl w:ilvl="6" w:tplc="6C3EDF22" w:tentative="1">
      <w:start w:val="1"/>
      <w:numFmt w:val="bullet"/>
      <w:lvlText w:val=""/>
      <w:lvlJc w:val="left"/>
      <w:pPr>
        <w:ind w:left="5040" w:hanging="360"/>
      </w:pPr>
      <w:rPr>
        <w:rFonts w:ascii="Symbol" w:hAnsi="Symbol" w:hint="default"/>
      </w:rPr>
    </w:lvl>
    <w:lvl w:ilvl="7" w:tplc="AF6C6D86" w:tentative="1">
      <w:start w:val="1"/>
      <w:numFmt w:val="bullet"/>
      <w:lvlText w:val="o"/>
      <w:lvlJc w:val="left"/>
      <w:pPr>
        <w:ind w:left="5760" w:hanging="360"/>
      </w:pPr>
      <w:rPr>
        <w:rFonts w:ascii="Courier New" w:hAnsi="Courier New" w:cs="Courier New" w:hint="default"/>
      </w:rPr>
    </w:lvl>
    <w:lvl w:ilvl="8" w:tplc="36A23372" w:tentative="1">
      <w:start w:val="1"/>
      <w:numFmt w:val="bullet"/>
      <w:lvlText w:val=""/>
      <w:lvlJc w:val="left"/>
      <w:pPr>
        <w:ind w:left="6480" w:hanging="360"/>
      </w:pPr>
      <w:rPr>
        <w:rFonts w:ascii="Wingdings" w:hAnsi="Wingdings" w:hint="default"/>
      </w:rPr>
    </w:lvl>
  </w:abstractNum>
  <w:abstractNum w:abstractNumId="20" w15:restartNumberingAfterBreak="0">
    <w:nsid w:val="48192A57"/>
    <w:multiLevelType w:val="hybridMultilevel"/>
    <w:tmpl w:val="25523ACA"/>
    <w:lvl w:ilvl="0" w:tplc="04090001">
      <w:start w:val="1"/>
      <w:numFmt w:val="bullet"/>
      <w:lvlText w:val=""/>
      <w:lvlJc w:val="left"/>
      <w:pPr>
        <w:ind w:left="777" w:hanging="360"/>
      </w:pPr>
      <w:rPr>
        <w:rFonts w:ascii="Symbol" w:hAnsi="Symbol" w:hint="default"/>
      </w:rPr>
    </w:lvl>
    <w:lvl w:ilvl="1" w:tplc="0BE23A72">
      <w:start w:val="1"/>
      <w:numFmt w:val="bullet"/>
      <w:lvlText w:val="–"/>
      <w:lvlJc w:val="left"/>
      <w:pPr>
        <w:ind w:left="1497" w:hanging="360"/>
      </w:pPr>
      <w:rPr>
        <w:rFonts w:ascii="Calibri" w:hAnsi="Calibri" w:hint="default"/>
      </w:rPr>
    </w:lvl>
    <w:lvl w:ilvl="2" w:tplc="04090001">
      <w:start w:val="1"/>
      <w:numFmt w:val="bullet"/>
      <w:lvlText w:val=""/>
      <w:lvlJc w:val="left"/>
      <w:pPr>
        <w:ind w:left="2217" w:hanging="360"/>
      </w:pPr>
      <w:rPr>
        <w:rFonts w:ascii="Symbol" w:hAnsi="Symbol" w:hint="default"/>
      </w:rPr>
    </w:lvl>
    <w:lvl w:ilvl="3" w:tplc="0409000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48E824BD"/>
    <w:multiLevelType w:val="hybridMultilevel"/>
    <w:tmpl w:val="340A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853BC"/>
    <w:multiLevelType w:val="hybridMultilevel"/>
    <w:tmpl w:val="20D4C536"/>
    <w:lvl w:ilvl="0" w:tplc="3BDA84C8">
      <w:start w:val="1"/>
      <w:numFmt w:val="bullet"/>
      <w:lvlText w:val=""/>
      <w:lvlJc w:val="left"/>
      <w:pPr>
        <w:ind w:left="720" w:hanging="360"/>
      </w:pPr>
      <w:rPr>
        <w:rFonts w:ascii="Symbol" w:hAnsi="Symbol" w:hint="default"/>
      </w:rPr>
    </w:lvl>
    <w:lvl w:ilvl="1" w:tplc="5B44ADD0" w:tentative="1">
      <w:start w:val="1"/>
      <w:numFmt w:val="bullet"/>
      <w:lvlText w:val="o"/>
      <w:lvlJc w:val="left"/>
      <w:pPr>
        <w:ind w:left="1440" w:hanging="360"/>
      </w:pPr>
      <w:rPr>
        <w:rFonts w:ascii="Courier New" w:hAnsi="Courier New" w:cs="Courier New" w:hint="default"/>
      </w:rPr>
    </w:lvl>
    <w:lvl w:ilvl="2" w:tplc="85C07DD0" w:tentative="1">
      <w:start w:val="1"/>
      <w:numFmt w:val="bullet"/>
      <w:lvlText w:val=""/>
      <w:lvlJc w:val="left"/>
      <w:pPr>
        <w:ind w:left="2160" w:hanging="360"/>
      </w:pPr>
      <w:rPr>
        <w:rFonts w:ascii="Wingdings" w:hAnsi="Wingdings" w:hint="default"/>
      </w:rPr>
    </w:lvl>
    <w:lvl w:ilvl="3" w:tplc="3B78BE6C" w:tentative="1">
      <w:start w:val="1"/>
      <w:numFmt w:val="bullet"/>
      <w:lvlText w:val=""/>
      <w:lvlJc w:val="left"/>
      <w:pPr>
        <w:ind w:left="2880" w:hanging="360"/>
      </w:pPr>
      <w:rPr>
        <w:rFonts w:ascii="Symbol" w:hAnsi="Symbol" w:hint="default"/>
      </w:rPr>
    </w:lvl>
    <w:lvl w:ilvl="4" w:tplc="E21021B0" w:tentative="1">
      <w:start w:val="1"/>
      <w:numFmt w:val="bullet"/>
      <w:lvlText w:val="o"/>
      <w:lvlJc w:val="left"/>
      <w:pPr>
        <w:ind w:left="3600" w:hanging="360"/>
      </w:pPr>
      <w:rPr>
        <w:rFonts w:ascii="Courier New" w:hAnsi="Courier New" w:cs="Courier New" w:hint="default"/>
      </w:rPr>
    </w:lvl>
    <w:lvl w:ilvl="5" w:tplc="A5448F44" w:tentative="1">
      <w:start w:val="1"/>
      <w:numFmt w:val="bullet"/>
      <w:lvlText w:val=""/>
      <w:lvlJc w:val="left"/>
      <w:pPr>
        <w:ind w:left="4320" w:hanging="360"/>
      </w:pPr>
      <w:rPr>
        <w:rFonts w:ascii="Wingdings" w:hAnsi="Wingdings" w:hint="default"/>
      </w:rPr>
    </w:lvl>
    <w:lvl w:ilvl="6" w:tplc="AF944118" w:tentative="1">
      <w:start w:val="1"/>
      <w:numFmt w:val="bullet"/>
      <w:lvlText w:val=""/>
      <w:lvlJc w:val="left"/>
      <w:pPr>
        <w:ind w:left="5040" w:hanging="360"/>
      </w:pPr>
      <w:rPr>
        <w:rFonts w:ascii="Symbol" w:hAnsi="Symbol" w:hint="default"/>
      </w:rPr>
    </w:lvl>
    <w:lvl w:ilvl="7" w:tplc="91724228" w:tentative="1">
      <w:start w:val="1"/>
      <w:numFmt w:val="bullet"/>
      <w:lvlText w:val="o"/>
      <w:lvlJc w:val="left"/>
      <w:pPr>
        <w:ind w:left="5760" w:hanging="360"/>
      </w:pPr>
      <w:rPr>
        <w:rFonts w:ascii="Courier New" w:hAnsi="Courier New" w:cs="Courier New" w:hint="default"/>
      </w:rPr>
    </w:lvl>
    <w:lvl w:ilvl="8" w:tplc="59CEB952" w:tentative="1">
      <w:start w:val="1"/>
      <w:numFmt w:val="bullet"/>
      <w:lvlText w:val=""/>
      <w:lvlJc w:val="left"/>
      <w:pPr>
        <w:ind w:left="6480" w:hanging="360"/>
      </w:pPr>
      <w:rPr>
        <w:rFonts w:ascii="Wingdings" w:hAnsi="Wingdings" w:hint="default"/>
      </w:rPr>
    </w:lvl>
  </w:abstractNum>
  <w:abstractNum w:abstractNumId="23" w15:restartNumberingAfterBreak="0">
    <w:nsid w:val="53B8082D"/>
    <w:multiLevelType w:val="hybridMultilevel"/>
    <w:tmpl w:val="8D0EF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2409EF"/>
    <w:multiLevelType w:val="hybridMultilevel"/>
    <w:tmpl w:val="C846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A75E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B573F0"/>
    <w:multiLevelType w:val="hybridMultilevel"/>
    <w:tmpl w:val="0AC2141C"/>
    <w:lvl w:ilvl="0" w:tplc="1C6CDA78">
      <w:start w:val="1"/>
      <w:numFmt w:val="bullet"/>
      <w:lvlText w:val=""/>
      <w:lvlJc w:val="left"/>
      <w:pPr>
        <w:ind w:left="720" w:hanging="360"/>
      </w:pPr>
      <w:rPr>
        <w:rFonts w:ascii="Symbol" w:hAnsi="Symbol" w:hint="default"/>
      </w:rPr>
    </w:lvl>
    <w:lvl w:ilvl="1" w:tplc="EEEA21E6" w:tentative="1">
      <w:start w:val="1"/>
      <w:numFmt w:val="bullet"/>
      <w:lvlText w:val="o"/>
      <w:lvlJc w:val="left"/>
      <w:pPr>
        <w:ind w:left="1440" w:hanging="360"/>
      </w:pPr>
      <w:rPr>
        <w:rFonts w:ascii="Courier New" w:hAnsi="Courier New" w:cs="Courier New" w:hint="default"/>
      </w:rPr>
    </w:lvl>
    <w:lvl w:ilvl="2" w:tplc="FFC0F5CA" w:tentative="1">
      <w:start w:val="1"/>
      <w:numFmt w:val="bullet"/>
      <w:lvlText w:val=""/>
      <w:lvlJc w:val="left"/>
      <w:pPr>
        <w:ind w:left="2160" w:hanging="360"/>
      </w:pPr>
      <w:rPr>
        <w:rFonts w:ascii="Wingdings" w:hAnsi="Wingdings" w:hint="default"/>
      </w:rPr>
    </w:lvl>
    <w:lvl w:ilvl="3" w:tplc="D21AD3BE" w:tentative="1">
      <w:start w:val="1"/>
      <w:numFmt w:val="bullet"/>
      <w:lvlText w:val=""/>
      <w:lvlJc w:val="left"/>
      <w:pPr>
        <w:ind w:left="2880" w:hanging="360"/>
      </w:pPr>
      <w:rPr>
        <w:rFonts w:ascii="Symbol" w:hAnsi="Symbol" w:hint="default"/>
      </w:rPr>
    </w:lvl>
    <w:lvl w:ilvl="4" w:tplc="C57A57D6" w:tentative="1">
      <w:start w:val="1"/>
      <w:numFmt w:val="bullet"/>
      <w:lvlText w:val="o"/>
      <w:lvlJc w:val="left"/>
      <w:pPr>
        <w:ind w:left="3600" w:hanging="360"/>
      </w:pPr>
      <w:rPr>
        <w:rFonts w:ascii="Courier New" w:hAnsi="Courier New" w:cs="Courier New" w:hint="default"/>
      </w:rPr>
    </w:lvl>
    <w:lvl w:ilvl="5" w:tplc="2F60C9F0" w:tentative="1">
      <w:start w:val="1"/>
      <w:numFmt w:val="bullet"/>
      <w:lvlText w:val=""/>
      <w:lvlJc w:val="left"/>
      <w:pPr>
        <w:ind w:left="4320" w:hanging="360"/>
      </w:pPr>
      <w:rPr>
        <w:rFonts w:ascii="Wingdings" w:hAnsi="Wingdings" w:hint="default"/>
      </w:rPr>
    </w:lvl>
    <w:lvl w:ilvl="6" w:tplc="A2925C26" w:tentative="1">
      <w:start w:val="1"/>
      <w:numFmt w:val="bullet"/>
      <w:lvlText w:val=""/>
      <w:lvlJc w:val="left"/>
      <w:pPr>
        <w:ind w:left="5040" w:hanging="360"/>
      </w:pPr>
      <w:rPr>
        <w:rFonts w:ascii="Symbol" w:hAnsi="Symbol" w:hint="default"/>
      </w:rPr>
    </w:lvl>
    <w:lvl w:ilvl="7" w:tplc="B99E948A" w:tentative="1">
      <w:start w:val="1"/>
      <w:numFmt w:val="bullet"/>
      <w:lvlText w:val="o"/>
      <w:lvlJc w:val="left"/>
      <w:pPr>
        <w:ind w:left="5760" w:hanging="360"/>
      </w:pPr>
      <w:rPr>
        <w:rFonts w:ascii="Courier New" w:hAnsi="Courier New" w:cs="Courier New" w:hint="default"/>
      </w:rPr>
    </w:lvl>
    <w:lvl w:ilvl="8" w:tplc="F238E9C4" w:tentative="1">
      <w:start w:val="1"/>
      <w:numFmt w:val="bullet"/>
      <w:lvlText w:val=""/>
      <w:lvlJc w:val="left"/>
      <w:pPr>
        <w:ind w:left="6480" w:hanging="360"/>
      </w:pPr>
      <w:rPr>
        <w:rFonts w:ascii="Wingdings" w:hAnsi="Wingdings" w:hint="default"/>
      </w:rPr>
    </w:lvl>
  </w:abstractNum>
  <w:abstractNum w:abstractNumId="27" w15:restartNumberingAfterBreak="0">
    <w:nsid w:val="5C9C1BEF"/>
    <w:multiLevelType w:val="hybridMultilevel"/>
    <w:tmpl w:val="C86A1E92"/>
    <w:lvl w:ilvl="0" w:tplc="04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8" w15:restartNumberingAfterBreak="0">
    <w:nsid w:val="622148DF"/>
    <w:multiLevelType w:val="hybridMultilevel"/>
    <w:tmpl w:val="60C0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B30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456429"/>
    <w:multiLevelType w:val="multilevel"/>
    <w:tmpl w:val="E898CC72"/>
    <w:numStyleLink w:val="KeyPoints"/>
  </w:abstractNum>
  <w:abstractNum w:abstractNumId="31" w15:restartNumberingAfterBreak="0">
    <w:nsid w:val="6BD776B7"/>
    <w:multiLevelType w:val="hybridMultilevel"/>
    <w:tmpl w:val="2150729E"/>
    <w:lvl w:ilvl="0" w:tplc="53FC7D66">
      <w:start w:val="1"/>
      <w:numFmt w:val="bullet"/>
      <w:pStyle w:val="Bullet"/>
      <w:lvlText w:val=""/>
      <w:lvlJc w:val="left"/>
      <w:pPr>
        <w:ind w:left="-396" w:hanging="360"/>
      </w:pPr>
      <w:rPr>
        <w:rFonts w:ascii="Symbol" w:hAnsi="Symbol" w:hint="default"/>
      </w:rPr>
    </w:lvl>
    <w:lvl w:ilvl="1" w:tplc="470ABACC" w:tentative="1">
      <w:start w:val="1"/>
      <w:numFmt w:val="bullet"/>
      <w:lvlText w:val="o"/>
      <w:lvlJc w:val="left"/>
      <w:pPr>
        <w:ind w:left="324" w:hanging="360"/>
      </w:pPr>
      <w:rPr>
        <w:rFonts w:ascii="Courier New" w:hAnsi="Courier New" w:hint="default"/>
      </w:rPr>
    </w:lvl>
    <w:lvl w:ilvl="2" w:tplc="BC78EB6A" w:tentative="1">
      <w:start w:val="1"/>
      <w:numFmt w:val="bullet"/>
      <w:lvlText w:val=""/>
      <w:lvlJc w:val="left"/>
      <w:pPr>
        <w:ind w:left="1044" w:hanging="360"/>
      </w:pPr>
      <w:rPr>
        <w:rFonts w:ascii="Wingdings" w:hAnsi="Wingdings" w:hint="default"/>
      </w:rPr>
    </w:lvl>
    <w:lvl w:ilvl="3" w:tplc="C846BEE0" w:tentative="1">
      <w:start w:val="1"/>
      <w:numFmt w:val="bullet"/>
      <w:lvlText w:val=""/>
      <w:lvlJc w:val="left"/>
      <w:pPr>
        <w:ind w:left="1764" w:hanging="360"/>
      </w:pPr>
      <w:rPr>
        <w:rFonts w:ascii="Symbol" w:hAnsi="Symbol" w:hint="default"/>
      </w:rPr>
    </w:lvl>
    <w:lvl w:ilvl="4" w:tplc="186890FC" w:tentative="1">
      <w:start w:val="1"/>
      <w:numFmt w:val="bullet"/>
      <w:lvlText w:val="o"/>
      <w:lvlJc w:val="left"/>
      <w:pPr>
        <w:ind w:left="2484" w:hanging="360"/>
      </w:pPr>
      <w:rPr>
        <w:rFonts w:ascii="Courier New" w:hAnsi="Courier New" w:hint="default"/>
      </w:rPr>
    </w:lvl>
    <w:lvl w:ilvl="5" w:tplc="90604AFE" w:tentative="1">
      <w:start w:val="1"/>
      <w:numFmt w:val="bullet"/>
      <w:lvlText w:val=""/>
      <w:lvlJc w:val="left"/>
      <w:pPr>
        <w:ind w:left="3204" w:hanging="360"/>
      </w:pPr>
      <w:rPr>
        <w:rFonts w:ascii="Wingdings" w:hAnsi="Wingdings" w:hint="default"/>
      </w:rPr>
    </w:lvl>
    <w:lvl w:ilvl="6" w:tplc="430480CA" w:tentative="1">
      <w:start w:val="1"/>
      <w:numFmt w:val="bullet"/>
      <w:lvlText w:val=""/>
      <w:lvlJc w:val="left"/>
      <w:pPr>
        <w:ind w:left="3924" w:hanging="360"/>
      </w:pPr>
      <w:rPr>
        <w:rFonts w:ascii="Symbol" w:hAnsi="Symbol" w:hint="default"/>
      </w:rPr>
    </w:lvl>
    <w:lvl w:ilvl="7" w:tplc="4D1A5074" w:tentative="1">
      <w:start w:val="1"/>
      <w:numFmt w:val="bullet"/>
      <w:lvlText w:val="o"/>
      <w:lvlJc w:val="left"/>
      <w:pPr>
        <w:ind w:left="4644" w:hanging="360"/>
      </w:pPr>
      <w:rPr>
        <w:rFonts w:ascii="Courier New" w:hAnsi="Courier New" w:hint="default"/>
      </w:rPr>
    </w:lvl>
    <w:lvl w:ilvl="8" w:tplc="DB6A1CF4" w:tentative="1">
      <w:start w:val="1"/>
      <w:numFmt w:val="bullet"/>
      <w:lvlText w:val=""/>
      <w:lvlJc w:val="left"/>
      <w:pPr>
        <w:ind w:left="5364" w:hanging="360"/>
      </w:pPr>
      <w:rPr>
        <w:rFonts w:ascii="Wingdings" w:hAnsi="Wingdings" w:hint="default"/>
      </w:rPr>
    </w:lvl>
  </w:abstractNum>
  <w:abstractNum w:abstractNumId="32" w15:restartNumberingAfterBreak="0">
    <w:nsid w:val="6EC832F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5C75CF"/>
    <w:multiLevelType w:val="hybridMultilevel"/>
    <w:tmpl w:val="719A93A2"/>
    <w:lvl w:ilvl="0" w:tplc="A62C8FE6">
      <w:start w:val="1"/>
      <w:numFmt w:val="bullet"/>
      <w:lvlText w:val=""/>
      <w:lvlJc w:val="left"/>
      <w:pPr>
        <w:ind w:left="720" w:hanging="360"/>
      </w:pPr>
      <w:rPr>
        <w:rFonts w:ascii="Symbol" w:hAnsi="Symbol" w:hint="default"/>
      </w:rPr>
    </w:lvl>
    <w:lvl w:ilvl="1" w:tplc="DDC6AE16" w:tentative="1">
      <w:start w:val="1"/>
      <w:numFmt w:val="bullet"/>
      <w:lvlText w:val="o"/>
      <w:lvlJc w:val="left"/>
      <w:pPr>
        <w:ind w:left="1440" w:hanging="360"/>
      </w:pPr>
      <w:rPr>
        <w:rFonts w:ascii="Courier New" w:hAnsi="Courier New" w:cs="Courier New" w:hint="default"/>
      </w:rPr>
    </w:lvl>
    <w:lvl w:ilvl="2" w:tplc="013A7F56" w:tentative="1">
      <w:start w:val="1"/>
      <w:numFmt w:val="bullet"/>
      <w:lvlText w:val=""/>
      <w:lvlJc w:val="left"/>
      <w:pPr>
        <w:ind w:left="2160" w:hanging="360"/>
      </w:pPr>
      <w:rPr>
        <w:rFonts w:ascii="Wingdings" w:hAnsi="Wingdings" w:hint="default"/>
      </w:rPr>
    </w:lvl>
    <w:lvl w:ilvl="3" w:tplc="75187612" w:tentative="1">
      <w:start w:val="1"/>
      <w:numFmt w:val="bullet"/>
      <w:lvlText w:val=""/>
      <w:lvlJc w:val="left"/>
      <w:pPr>
        <w:ind w:left="2880" w:hanging="360"/>
      </w:pPr>
      <w:rPr>
        <w:rFonts w:ascii="Symbol" w:hAnsi="Symbol" w:hint="default"/>
      </w:rPr>
    </w:lvl>
    <w:lvl w:ilvl="4" w:tplc="335CA896" w:tentative="1">
      <w:start w:val="1"/>
      <w:numFmt w:val="bullet"/>
      <w:lvlText w:val="o"/>
      <w:lvlJc w:val="left"/>
      <w:pPr>
        <w:ind w:left="3600" w:hanging="360"/>
      </w:pPr>
      <w:rPr>
        <w:rFonts w:ascii="Courier New" w:hAnsi="Courier New" w:cs="Courier New" w:hint="default"/>
      </w:rPr>
    </w:lvl>
    <w:lvl w:ilvl="5" w:tplc="1A14D3E0" w:tentative="1">
      <w:start w:val="1"/>
      <w:numFmt w:val="bullet"/>
      <w:lvlText w:val=""/>
      <w:lvlJc w:val="left"/>
      <w:pPr>
        <w:ind w:left="4320" w:hanging="360"/>
      </w:pPr>
      <w:rPr>
        <w:rFonts w:ascii="Wingdings" w:hAnsi="Wingdings" w:hint="default"/>
      </w:rPr>
    </w:lvl>
    <w:lvl w:ilvl="6" w:tplc="F60605C6" w:tentative="1">
      <w:start w:val="1"/>
      <w:numFmt w:val="bullet"/>
      <w:lvlText w:val=""/>
      <w:lvlJc w:val="left"/>
      <w:pPr>
        <w:ind w:left="5040" w:hanging="360"/>
      </w:pPr>
      <w:rPr>
        <w:rFonts w:ascii="Symbol" w:hAnsi="Symbol" w:hint="default"/>
      </w:rPr>
    </w:lvl>
    <w:lvl w:ilvl="7" w:tplc="CC6E391C" w:tentative="1">
      <w:start w:val="1"/>
      <w:numFmt w:val="bullet"/>
      <w:lvlText w:val="o"/>
      <w:lvlJc w:val="left"/>
      <w:pPr>
        <w:ind w:left="5760" w:hanging="360"/>
      </w:pPr>
      <w:rPr>
        <w:rFonts w:ascii="Courier New" w:hAnsi="Courier New" w:cs="Courier New" w:hint="default"/>
      </w:rPr>
    </w:lvl>
    <w:lvl w:ilvl="8" w:tplc="432C42CC" w:tentative="1">
      <w:start w:val="1"/>
      <w:numFmt w:val="bullet"/>
      <w:lvlText w:val=""/>
      <w:lvlJc w:val="left"/>
      <w:pPr>
        <w:ind w:left="6480" w:hanging="360"/>
      </w:pPr>
      <w:rPr>
        <w:rFonts w:ascii="Wingdings" w:hAnsi="Wingdings" w:hint="default"/>
      </w:rPr>
    </w:lvl>
  </w:abstractNum>
  <w:abstractNum w:abstractNumId="34" w15:restartNumberingAfterBreak="0">
    <w:nsid w:val="73991408"/>
    <w:multiLevelType w:val="hybridMultilevel"/>
    <w:tmpl w:val="E63E99A8"/>
    <w:lvl w:ilvl="0" w:tplc="0C090001">
      <w:start w:val="1"/>
      <w:numFmt w:val="decimal"/>
      <w:lvlText w:val="%1."/>
      <w:lvlJc w:val="left"/>
      <w:pPr>
        <w:ind w:left="720" w:hanging="360"/>
      </w:pPr>
      <w:rPr>
        <w:rFonts w:hint="default"/>
      </w:r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799F0CDF"/>
    <w:multiLevelType w:val="hybridMultilevel"/>
    <w:tmpl w:val="00D0665A"/>
    <w:lvl w:ilvl="0" w:tplc="8D2EC42C">
      <w:start w:val="1"/>
      <w:numFmt w:val="decimal"/>
      <w:lvlText w:val="%1."/>
      <w:lvlJc w:val="left"/>
      <w:pPr>
        <w:ind w:left="720" w:hanging="360"/>
      </w:pPr>
      <w:rPr>
        <w:rFonts w:hint="default"/>
      </w:rPr>
    </w:lvl>
    <w:lvl w:ilvl="1" w:tplc="566AA92A" w:tentative="1">
      <w:start w:val="1"/>
      <w:numFmt w:val="bullet"/>
      <w:lvlText w:val="o"/>
      <w:lvlJc w:val="left"/>
      <w:pPr>
        <w:ind w:left="1440" w:hanging="360"/>
      </w:pPr>
      <w:rPr>
        <w:rFonts w:ascii="Courier New" w:hAnsi="Courier New" w:cs="Courier New" w:hint="default"/>
      </w:rPr>
    </w:lvl>
    <w:lvl w:ilvl="2" w:tplc="3BB0298A" w:tentative="1">
      <w:start w:val="1"/>
      <w:numFmt w:val="bullet"/>
      <w:lvlText w:val=""/>
      <w:lvlJc w:val="left"/>
      <w:pPr>
        <w:ind w:left="2160" w:hanging="360"/>
      </w:pPr>
      <w:rPr>
        <w:rFonts w:ascii="Wingdings" w:hAnsi="Wingdings" w:hint="default"/>
      </w:rPr>
    </w:lvl>
    <w:lvl w:ilvl="3" w:tplc="13B8C038" w:tentative="1">
      <w:start w:val="1"/>
      <w:numFmt w:val="bullet"/>
      <w:lvlText w:val=""/>
      <w:lvlJc w:val="left"/>
      <w:pPr>
        <w:ind w:left="2880" w:hanging="360"/>
      </w:pPr>
      <w:rPr>
        <w:rFonts w:ascii="Symbol" w:hAnsi="Symbol" w:hint="default"/>
      </w:rPr>
    </w:lvl>
    <w:lvl w:ilvl="4" w:tplc="9C3880BE" w:tentative="1">
      <w:start w:val="1"/>
      <w:numFmt w:val="bullet"/>
      <w:lvlText w:val="o"/>
      <w:lvlJc w:val="left"/>
      <w:pPr>
        <w:ind w:left="3600" w:hanging="360"/>
      </w:pPr>
      <w:rPr>
        <w:rFonts w:ascii="Courier New" w:hAnsi="Courier New" w:cs="Courier New" w:hint="default"/>
      </w:rPr>
    </w:lvl>
    <w:lvl w:ilvl="5" w:tplc="871A6A2E" w:tentative="1">
      <w:start w:val="1"/>
      <w:numFmt w:val="bullet"/>
      <w:lvlText w:val=""/>
      <w:lvlJc w:val="left"/>
      <w:pPr>
        <w:ind w:left="4320" w:hanging="360"/>
      </w:pPr>
      <w:rPr>
        <w:rFonts w:ascii="Wingdings" w:hAnsi="Wingdings" w:hint="default"/>
      </w:rPr>
    </w:lvl>
    <w:lvl w:ilvl="6" w:tplc="08D65F20" w:tentative="1">
      <w:start w:val="1"/>
      <w:numFmt w:val="bullet"/>
      <w:lvlText w:val=""/>
      <w:lvlJc w:val="left"/>
      <w:pPr>
        <w:ind w:left="5040" w:hanging="360"/>
      </w:pPr>
      <w:rPr>
        <w:rFonts w:ascii="Symbol" w:hAnsi="Symbol" w:hint="default"/>
      </w:rPr>
    </w:lvl>
    <w:lvl w:ilvl="7" w:tplc="BB589154" w:tentative="1">
      <w:start w:val="1"/>
      <w:numFmt w:val="bullet"/>
      <w:lvlText w:val="o"/>
      <w:lvlJc w:val="left"/>
      <w:pPr>
        <w:ind w:left="5760" w:hanging="360"/>
      </w:pPr>
      <w:rPr>
        <w:rFonts w:ascii="Courier New" w:hAnsi="Courier New" w:cs="Courier New" w:hint="default"/>
      </w:rPr>
    </w:lvl>
    <w:lvl w:ilvl="8" w:tplc="CC02EE08" w:tentative="1">
      <w:start w:val="1"/>
      <w:numFmt w:val="bullet"/>
      <w:lvlText w:val=""/>
      <w:lvlJc w:val="left"/>
      <w:pPr>
        <w:ind w:left="6480" w:hanging="360"/>
      </w:pPr>
      <w:rPr>
        <w:rFonts w:ascii="Wingdings" w:hAnsi="Wingdings" w:hint="default"/>
      </w:rPr>
    </w:lvl>
  </w:abstractNum>
  <w:abstractNum w:abstractNumId="37" w15:restartNumberingAfterBreak="0">
    <w:nsid w:val="7C9000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C50EE5"/>
    <w:multiLevelType w:val="hybridMultilevel"/>
    <w:tmpl w:val="556C8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29"/>
  </w:num>
  <w:num w:numId="5">
    <w:abstractNumId w:val="25"/>
  </w:num>
  <w:num w:numId="6">
    <w:abstractNumId w:val="32"/>
  </w:num>
  <w:num w:numId="7">
    <w:abstractNumId w:val="16"/>
  </w:num>
  <w:num w:numId="8">
    <w:abstractNumId w:val="37"/>
  </w:num>
  <w:num w:numId="9">
    <w:abstractNumId w:val="18"/>
  </w:num>
  <w:num w:numId="10">
    <w:abstractNumId w:val="12"/>
  </w:num>
  <w:num w:numId="11">
    <w:abstractNumId w:val="11"/>
  </w:num>
  <w:num w:numId="12">
    <w:abstractNumId w:val="10"/>
  </w:num>
  <w:num w:numId="13">
    <w:abstractNumId w:val="7"/>
  </w:num>
  <w:num w:numId="14">
    <w:abstractNumId w:val="1"/>
  </w:num>
  <w:num w:numId="15">
    <w:abstractNumId w:val="0"/>
  </w:num>
  <w:num w:numId="16">
    <w:abstractNumId w:val="35"/>
  </w:num>
  <w:num w:numId="17">
    <w:abstractNumId w:val="3"/>
  </w:num>
  <w:num w:numId="18">
    <w:abstractNumId w:val="15"/>
  </w:num>
  <w:num w:numId="19">
    <w:abstractNumId w:val="30"/>
  </w:num>
  <w:num w:numId="20">
    <w:abstractNumId w:val="31"/>
  </w:num>
  <w:num w:numId="21">
    <w:abstractNumId w:val="36"/>
  </w:num>
  <w:num w:numId="22">
    <w:abstractNumId w:val="21"/>
  </w:num>
  <w:num w:numId="23">
    <w:abstractNumId w:val="34"/>
  </w:num>
  <w:num w:numId="24">
    <w:abstractNumId w:val="9"/>
  </w:num>
  <w:num w:numId="25">
    <w:abstractNumId w:val="6"/>
  </w:num>
  <w:num w:numId="26">
    <w:abstractNumId w:val="13"/>
  </w:num>
  <w:num w:numId="27">
    <w:abstractNumId w:val="19"/>
  </w:num>
  <w:num w:numId="28">
    <w:abstractNumId w:val="23"/>
  </w:num>
  <w:num w:numId="29">
    <w:abstractNumId w:val="22"/>
  </w:num>
  <w:num w:numId="30">
    <w:abstractNumId w:val="4"/>
  </w:num>
  <w:num w:numId="31">
    <w:abstractNumId w:val="33"/>
  </w:num>
  <w:num w:numId="32">
    <w:abstractNumId w:val="28"/>
  </w:num>
  <w:num w:numId="33">
    <w:abstractNumId w:val="24"/>
  </w:num>
  <w:num w:numId="34">
    <w:abstractNumId w:val="27"/>
  </w:num>
  <w:num w:numId="35">
    <w:abstractNumId w:val="14"/>
  </w:num>
  <w:num w:numId="36">
    <w:abstractNumId w:val="26"/>
  </w:num>
  <w:num w:numId="37">
    <w:abstractNumId w:val="8"/>
  </w:num>
  <w:num w:numId="38">
    <w:abstractNumId w:val="2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BD"/>
    <w:rsid w:val="00000EE3"/>
    <w:rsid w:val="000034E1"/>
    <w:rsid w:val="00006494"/>
    <w:rsid w:val="00011F6B"/>
    <w:rsid w:val="00012DA7"/>
    <w:rsid w:val="000150FF"/>
    <w:rsid w:val="00022322"/>
    <w:rsid w:val="000269D2"/>
    <w:rsid w:val="000345DA"/>
    <w:rsid w:val="00043862"/>
    <w:rsid w:val="00047213"/>
    <w:rsid w:val="00052856"/>
    <w:rsid w:val="0005425F"/>
    <w:rsid w:val="00063AD8"/>
    <w:rsid w:val="00065F3B"/>
    <w:rsid w:val="00067672"/>
    <w:rsid w:val="00075ADE"/>
    <w:rsid w:val="00077222"/>
    <w:rsid w:val="00081F58"/>
    <w:rsid w:val="00094C5D"/>
    <w:rsid w:val="000A1E2E"/>
    <w:rsid w:val="000A2F27"/>
    <w:rsid w:val="000B6009"/>
    <w:rsid w:val="000B793A"/>
    <w:rsid w:val="000D7165"/>
    <w:rsid w:val="000E54A7"/>
    <w:rsid w:val="000F48C0"/>
    <w:rsid w:val="001023BA"/>
    <w:rsid w:val="001051B6"/>
    <w:rsid w:val="001067A9"/>
    <w:rsid w:val="00111A03"/>
    <w:rsid w:val="0011507E"/>
    <w:rsid w:val="00116182"/>
    <w:rsid w:val="001306BB"/>
    <w:rsid w:val="00130869"/>
    <w:rsid w:val="00132CB5"/>
    <w:rsid w:val="00133B96"/>
    <w:rsid w:val="001415A2"/>
    <w:rsid w:val="001570CC"/>
    <w:rsid w:val="0016192B"/>
    <w:rsid w:val="00161ACE"/>
    <w:rsid w:val="001727AD"/>
    <w:rsid w:val="00173C0B"/>
    <w:rsid w:val="00176BB2"/>
    <w:rsid w:val="001772DA"/>
    <w:rsid w:val="001776CA"/>
    <w:rsid w:val="00182FEA"/>
    <w:rsid w:val="00186E2F"/>
    <w:rsid w:val="001903EA"/>
    <w:rsid w:val="0019351C"/>
    <w:rsid w:val="0019398B"/>
    <w:rsid w:val="001A07A4"/>
    <w:rsid w:val="001A1710"/>
    <w:rsid w:val="001A4A7C"/>
    <w:rsid w:val="001A74BF"/>
    <w:rsid w:val="001B1A08"/>
    <w:rsid w:val="001C0071"/>
    <w:rsid w:val="001D1A97"/>
    <w:rsid w:val="001D21B9"/>
    <w:rsid w:val="001D57E8"/>
    <w:rsid w:val="001E13A3"/>
    <w:rsid w:val="001E2A50"/>
    <w:rsid w:val="001E695C"/>
    <w:rsid w:val="001F5310"/>
    <w:rsid w:val="001F7E07"/>
    <w:rsid w:val="00203E10"/>
    <w:rsid w:val="00215FBB"/>
    <w:rsid w:val="0022206C"/>
    <w:rsid w:val="00223BFE"/>
    <w:rsid w:val="002242A7"/>
    <w:rsid w:val="002255AF"/>
    <w:rsid w:val="0022673C"/>
    <w:rsid w:val="002275ED"/>
    <w:rsid w:val="00231608"/>
    <w:rsid w:val="00236795"/>
    <w:rsid w:val="00236A2B"/>
    <w:rsid w:val="00237F35"/>
    <w:rsid w:val="00240EA5"/>
    <w:rsid w:val="00242F17"/>
    <w:rsid w:val="002511AC"/>
    <w:rsid w:val="0025371C"/>
    <w:rsid w:val="00261A3C"/>
    <w:rsid w:val="00264BB5"/>
    <w:rsid w:val="00265A66"/>
    <w:rsid w:val="00267D41"/>
    <w:rsid w:val="00271ECB"/>
    <w:rsid w:val="00273086"/>
    <w:rsid w:val="00277D6B"/>
    <w:rsid w:val="0028190F"/>
    <w:rsid w:val="0029558F"/>
    <w:rsid w:val="0029727C"/>
    <w:rsid w:val="002A13CD"/>
    <w:rsid w:val="002A35A6"/>
    <w:rsid w:val="002A3C6A"/>
    <w:rsid w:val="002A6B41"/>
    <w:rsid w:val="002B0DC8"/>
    <w:rsid w:val="002B2A5F"/>
    <w:rsid w:val="002B2D27"/>
    <w:rsid w:val="002B44D1"/>
    <w:rsid w:val="002B6B41"/>
    <w:rsid w:val="002C00FA"/>
    <w:rsid w:val="002C4B0E"/>
    <w:rsid w:val="002C5F8D"/>
    <w:rsid w:val="002C6A3D"/>
    <w:rsid w:val="002C7B6A"/>
    <w:rsid w:val="002C7FC5"/>
    <w:rsid w:val="002D36EE"/>
    <w:rsid w:val="002D709F"/>
    <w:rsid w:val="002E21F0"/>
    <w:rsid w:val="002E631B"/>
    <w:rsid w:val="002F1A1F"/>
    <w:rsid w:val="002F1DD7"/>
    <w:rsid w:val="002F3680"/>
    <w:rsid w:val="002F457F"/>
    <w:rsid w:val="00300F46"/>
    <w:rsid w:val="00306DD2"/>
    <w:rsid w:val="003104A0"/>
    <w:rsid w:val="00313628"/>
    <w:rsid w:val="0031429B"/>
    <w:rsid w:val="00315317"/>
    <w:rsid w:val="00316BC4"/>
    <w:rsid w:val="003172E7"/>
    <w:rsid w:val="00333A7D"/>
    <w:rsid w:val="00334727"/>
    <w:rsid w:val="00336DAF"/>
    <w:rsid w:val="003403A1"/>
    <w:rsid w:val="0034195E"/>
    <w:rsid w:val="00362639"/>
    <w:rsid w:val="0037077B"/>
    <w:rsid w:val="00381914"/>
    <w:rsid w:val="003829DD"/>
    <w:rsid w:val="00391C49"/>
    <w:rsid w:val="00392352"/>
    <w:rsid w:val="00393580"/>
    <w:rsid w:val="00394AA3"/>
    <w:rsid w:val="00397A41"/>
    <w:rsid w:val="003A21E6"/>
    <w:rsid w:val="003A3A42"/>
    <w:rsid w:val="003A3C5E"/>
    <w:rsid w:val="003A4833"/>
    <w:rsid w:val="003B1275"/>
    <w:rsid w:val="003B4E90"/>
    <w:rsid w:val="003B61F8"/>
    <w:rsid w:val="003C1D9F"/>
    <w:rsid w:val="003D65AE"/>
    <w:rsid w:val="003E7D99"/>
    <w:rsid w:val="003F49A7"/>
    <w:rsid w:val="003F4FCE"/>
    <w:rsid w:val="003F6F14"/>
    <w:rsid w:val="003F7C20"/>
    <w:rsid w:val="00404954"/>
    <w:rsid w:val="004060D2"/>
    <w:rsid w:val="004145B9"/>
    <w:rsid w:val="00416D8A"/>
    <w:rsid w:val="00421A24"/>
    <w:rsid w:val="00424A26"/>
    <w:rsid w:val="00427489"/>
    <w:rsid w:val="004314BF"/>
    <w:rsid w:val="00433205"/>
    <w:rsid w:val="00437154"/>
    <w:rsid w:val="00441E37"/>
    <w:rsid w:val="004439CF"/>
    <w:rsid w:val="00447FBF"/>
    <w:rsid w:val="004519B8"/>
    <w:rsid w:val="00451D5C"/>
    <w:rsid w:val="0045593C"/>
    <w:rsid w:val="00457981"/>
    <w:rsid w:val="00457B69"/>
    <w:rsid w:val="004704DC"/>
    <w:rsid w:val="00472B95"/>
    <w:rsid w:val="004763A7"/>
    <w:rsid w:val="00480ED6"/>
    <w:rsid w:val="0048203E"/>
    <w:rsid w:val="0048273D"/>
    <w:rsid w:val="00482A96"/>
    <w:rsid w:val="004843BC"/>
    <w:rsid w:val="00485664"/>
    <w:rsid w:val="00485999"/>
    <w:rsid w:val="0049179E"/>
    <w:rsid w:val="00495207"/>
    <w:rsid w:val="004A1EE2"/>
    <w:rsid w:val="004A68F2"/>
    <w:rsid w:val="004D15E0"/>
    <w:rsid w:val="004D61DC"/>
    <w:rsid w:val="004E1BBA"/>
    <w:rsid w:val="004E4907"/>
    <w:rsid w:val="004E7DFB"/>
    <w:rsid w:val="005016DB"/>
    <w:rsid w:val="005019D2"/>
    <w:rsid w:val="00507182"/>
    <w:rsid w:val="00507231"/>
    <w:rsid w:val="00514BF7"/>
    <w:rsid w:val="0051591B"/>
    <w:rsid w:val="00520AB5"/>
    <w:rsid w:val="0052347F"/>
    <w:rsid w:val="005260BB"/>
    <w:rsid w:val="00535B8D"/>
    <w:rsid w:val="00545056"/>
    <w:rsid w:val="005525BB"/>
    <w:rsid w:val="00553ED8"/>
    <w:rsid w:val="00562174"/>
    <w:rsid w:val="00564B4B"/>
    <w:rsid w:val="005652CA"/>
    <w:rsid w:val="00572490"/>
    <w:rsid w:val="005A029A"/>
    <w:rsid w:val="005A3CAA"/>
    <w:rsid w:val="005A7D1E"/>
    <w:rsid w:val="005B62F1"/>
    <w:rsid w:val="005C02E7"/>
    <w:rsid w:val="005C0802"/>
    <w:rsid w:val="005C11A1"/>
    <w:rsid w:val="005C22E4"/>
    <w:rsid w:val="005C2F23"/>
    <w:rsid w:val="005C5A9C"/>
    <w:rsid w:val="005D31CC"/>
    <w:rsid w:val="005D4DE5"/>
    <w:rsid w:val="005D5499"/>
    <w:rsid w:val="005E7CD7"/>
    <w:rsid w:val="005F0E02"/>
    <w:rsid w:val="005F2CB5"/>
    <w:rsid w:val="0060154A"/>
    <w:rsid w:val="006033E1"/>
    <w:rsid w:val="00603C94"/>
    <w:rsid w:val="00604F72"/>
    <w:rsid w:val="00616DBE"/>
    <w:rsid w:val="0062296A"/>
    <w:rsid w:val="006240B3"/>
    <w:rsid w:val="00630B3C"/>
    <w:rsid w:val="00631560"/>
    <w:rsid w:val="00632AC3"/>
    <w:rsid w:val="00634C67"/>
    <w:rsid w:val="0064158C"/>
    <w:rsid w:val="00646C22"/>
    <w:rsid w:val="00657658"/>
    <w:rsid w:val="006577B9"/>
    <w:rsid w:val="00660EAE"/>
    <w:rsid w:val="006922C9"/>
    <w:rsid w:val="00694F74"/>
    <w:rsid w:val="006A16C6"/>
    <w:rsid w:val="006A3F39"/>
    <w:rsid w:val="006A5EA4"/>
    <w:rsid w:val="006B01F5"/>
    <w:rsid w:val="006C1EB4"/>
    <w:rsid w:val="006C64FB"/>
    <w:rsid w:val="006C7932"/>
    <w:rsid w:val="006C7CA9"/>
    <w:rsid w:val="006D4541"/>
    <w:rsid w:val="006E0FF8"/>
    <w:rsid w:val="006E1380"/>
    <w:rsid w:val="006E5A8F"/>
    <w:rsid w:val="006F0747"/>
    <w:rsid w:val="006F5F4B"/>
    <w:rsid w:val="006F7AAF"/>
    <w:rsid w:val="007226D7"/>
    <w:rsid w:val="00723FFF"/>
    <w:rsid w:val="00724D01"/>
    <w:rsid w:val="00727573"/>
    <w:rsid w:val="0073072E"/>
    <w:rsid w:val="00730D03"/>
    <w:rsid w:val="00731320"/>
    <w:rsid w:val="00731DEF"/>
    <w:rsid w:val="0073694D"/>
    <w:rsid w:val="007378A2"/>
    <w:rsid w:val="0074532F"/>
    <w:rsid w:val="0075241D"/>
    <w:rsid w:val="00753BB0"/>
    <w:rsid w:val="0076216B"/>
    <w:rsid w:val="007634E4"/>
    <w:rsid w:val="00764F8E"/>
    <w:rsid w:val="00786DEF"/>
    <w:rsid w:val="00790B99"/>
    <w:rsid w:val="00790BB7"/>
    <w:rsid w:val="00790BFC"/>
    <w:rsid w:val="00793892"/>
    <w:rsid w:val="00794514"/>
    <w:rsid w:val="007A239C"/>
    <w:rsid w:val="007A3CCA"/>
    <w:rsid w:val="007A4CBD"/>
    <w:rsid w:val="007A68B7"/>
    <w:rsid w:val="007A7BCC"/>
    <w:rsid w:val="007B7278"/>
    <w:rsid w:val="007B792E"/>
    <w:rsid w:val="007C2B74"/>
    <w:rsid w:val="007C57B9"/>
    <w:rsid w:val="007C6622"/>
    <w:rsid w:val="007D2BC3"/>
    <w:rsid w:val="007D5711"/>
    <w:rsid w:val="007D79DD"/>
    <w:rsid w:val="007E1416"/>
    <w:rsid w:val="007E1E2D"/>
    <w:rsid w:val="007E3A5F"/>
    <w:rsid w:val="007E45BF"/>
    <w:rsid w:val="007E6B79"/>
    <w:rsid w:val="007E6C72"/>
    <w:rsid w:val="007F026D"/>
    <w:rsid w:val="007F704E"/>
    <w:rsid w:val="008003BE"/>
    <w:rsid w:val="0080048C"/>
    <w:rsid w:val="008069B8"/>
    <w:rsid w:val="00806EDE"/>
    <w:rsid w:val="008078C6"/>
    <w:rsid w:val="00815ED8"/>
    <w:rsid w:val="00816CF2"/>
    <w:rsid w:val="00817F53"/>
    <w:rsid w:val="0082086F"/>
    <w:rsid w:val="00822CA4"/>
    <w:rsid w:val="008249F7"/>
    <w:rsid w:val="008400F6"/>
    <w:rsid w:val="00840C26"/>
    <w:rsid w:val="00843D2E"/>
    <w:rsid w:val="0086270B"/>
    <w:rsid w:val="00882DD6"/>
    <w:rsid w:val="0088359B"/>
    <w:rsid w:val="00890785"/>
    <w:rsid w:val="00893C09"/>
    <w:rsid w:val="00895764"/>
    <w:rsid w:val="00896192"/>
    <w:rsid w:val="008A33ED"/>
    <w:rsid w:val="008A4DB4"/>
    <w:rsid w:val="008B0A6B"/>
    <w:rsid w:val="008B3205"/>
    <w:rsid w:val="008B53D8"/>
    <w:rsid w:val="008C0E35"/>
    <w:rsid w:val="008C4E4E"/>
    <w:rsid w:val="008E2198"/>
    <w:rsid w:val="008E5B3B"/>
    <w:rsid w:val="008E7032"/>
    <w:rsid w:val="008E7931"/>
    <w:rsid w:val="008F0849"/>
    <w:rsid w:val="008F0CD4"/>
    <w:rsid w:val="008F3D37"/>
    <w:rsid w:val="008F49FF"/>
    <w:rsid w:val="0090010C"/>
    <w:rsid w:val="0090221C"/>
    <w:rsid w:val="00923A8C"/>
    <w:rsid w:val="00924232"/>
    <w:rsid w:val="0094666D"/>
    <w:rsid w:val="00946990"/>
    <w:rsid w:val="00953E53"/>
    <w:rsid w:val="00954192"/>
    <w:rsid w:val="009572B7"/>
    <w:rsid w:val="00957F4B"/>
    <w:rsid w:val="00972F41"/>
    <w:rsid w:val="0098785D"/>
    <w:rsid w:val="009905E2"/>
    <w:rsid w:val="0099068B"/>
    <w:rsid w:val="00992459"/>
    <w:rsid w:val="00995364"/>
    <w:rsid w:val="009A4926"/>
    <w:rsid w:val="009A6EF4"/>
    <w:rsid w:val="009B0FF7"/>
    <w:rsid w:val="009B33FE"/>
    <w:rsid w:val="009C3CF3"/>
    <w:rsid w:val="009D378F"/>
    <w:rsid w:val="009D3BBA"/>
    <w:rsid w:val="009D4A11"/>
    <w:rsid w:val="009E103A"/>
    <w:rsid w:val="009E2C32"/>
    <w:rsid w:val="009E7AAB"/>
    <w:rsid w:val="009F0656"/>
    <w:rsid w:val="009F2963"/>
    <w:rsid w:val="009F426E"/>
    <w:rsid w:val="009F4795"/>
    <w:rsid w:val="00A009B5"/>
    <w:rsid w:val="00A05646"/>
    <w:rsid w:val="00A0587A"/>
    <w:rsid w:val="00A0664E"/>
    <w:rsid w:val="00A11D12"/>
    <w:rsid w:val="00A14C2F"/>
    <w:rsid w:val="00A15DDB"/>
    <w:rsid w:val="00A1636A"/>
    <w:rsid w:val="00A16CE7"/>
    <w:rsid w:val="00A22B42"/>
    <w:rsid w:val="00A276E3"/>
    <w:rsid w:val="00A306E5"/>
    <w:rsid w:val="00A31444"/>
    <w:rsid w:val="00A3257C"/>
    <w:rsid w:val="00A33CB4"/>
    <w:rsid w:val="00A347A9"/>
    <w:rsid w:val="00A36F67"/>
    <w:rsid w:val="00A413A1"/>
    <w:rsid w:val="00A51E1A"/>
    <w:rsid w:val="00A52679"/>
    <w:rsid w:val="00A54305"/>
    <w:rsid w:val="00A656A1"/>
    <w:rsid w:val="00A801E4"/>
    <w:rsid w:val="00A81BDC"/>
    <w:rsid w:val="00A8348C"/>
    <w:rsid w:val="00A85731"/>
    <w:rsid w:val="00A8613A"/>
    <w:rsid w:val="00A91CA1"/>
    <w:rsid w:val="00A91FEE"/>
    <w:rsid w:val="00A94DE1"/>
    <w:rsid w:val="00AA4AD7"/>
    <w:rsid w:val="00AA645D"/>
    <w:rsid w:val="00AB336B"/>
    <w:rsid w:val="00AC6E38"/>
    <w:rsid w:val="00AC6E8E"/>
    <w:rsid w:val="00AC7F1F"/>
    <w:rsid w:val="00AD31D2"/>
    <w:rsid w:val="00AD3F48"/>
    <w:rsid w:val="00AD78E4"/>
    <w:rsid w:val="00AE517B"/>
    <w:rsid w:val="00AF424D"/>
    <w:rsid w:val="00AF5129"/>
    <w:rsid w:val="00AF6371"/>
    <w:rsid w:val="00B023AE"/>
    <w:rsid w:val="00B1598F"/>
    <w:rsid w:val="00B15D12"/>
    <w:rsid w:val="00B36B14"/>
    <w:rsid w:val="00B4018A"/>
    <w:rsid w:val="00B42651"/>
    <w:rsid w:val="00B4588C"/>
    <w:rsid w:val="00B471F8"/>
    <w:rsid w:val="00B51F71"/>
    <w:rsid w:val="00B52E1A"/>
    <w:rsid w:val="00B63B30"/>
    <w:rsid w:val="00B676EF"/>
    <w:rsid w:val="00B71E57"/>
    <w:rsid w:val="00B7358A"/>
    <w:rsid w:val="00B7628F"/>
    <w:rsid w:val="00B839AA"/>
    <w:rsid w:val="00B909C2"/>
    <w:rsid w:val="00B926F4"/>
    <w:rsid w:val="00B92724"/>
    <w:rsid w:val="00B9442D"/>
    <w:rsid w:val="00B957B7"/>
    <w:rsid w:val="00BB3F1E"/>
    <w:rsid w:val="00BB4DBA"/>
    <w:rsid w:val="00BB53FA"/>
    <w:rsid w:val="00BC0388"/>
    <w:rsid w:val="00BC0549"/>
    <w:rsid w:val="00BC5E15"/>
    <w:rsid w:val="00BC6763"/>
    <w:rsid w:val="00BD12A5"/>
    <w:rsid w:val="00BE3402"/>
    <w:rsid w:val="00BF2AEB"/>
    <w:rsid w:val="00BF3174"/>
    <w:rsid w:val="00C028C8"/>
    <w:rsid w:val="00C0569E"/>
    <w:rsid w:val="00C130F3"/>
    <w:rsid w:val="00C14CEF"/>
    <w:rsid w:val="00C155F6"/>
    <w:rsid w:val="00C17E07"/>
    <w:rsid w:val="00C20678"/>
    <w:rsid w:val="00C24414"/>
    <w:rsid w:val="00C32C79"/>
    <w:rsid w:val="00C3394A"/>
    <w:rsid w:val="00C34243"/>
    <w:rsid w:val="00C42B65"/>
    <w:rsid w:val="00C509AC"/>
    <w:rsid w:val="00C51D79"/>
    <w:rsid w:val="00C55F4C"/>
    <w:rsid w:val="00C56C95"/>
    <w:rsid w:val="00C63104"/>
    <w:rsid w:val="00C64914"/>
    <w:rsid w:val="00C64DEE"/>
    <w:rsid w:val="00C75989"/>
    <w:rsid w:val="00C8098F"/>
    <w:rsid w:val="00C834B7"/>
    <w:rsid w:val="00C8394E"/>
    <w:rsid w:val="00C83BC2"/>
    <w:rsid w:val="00C843E7"/>
    <w:rsid w:val="00C875CA"/>
    <w:rsid w:val="00CA01DE"/>
    <w:rsid w:val="00CB021E"/>
    <w:rsid w:val="00CB2BD3"/>
    <w:rsid w:val="00CB71BC"/>
    <w:rsid w:val="00CD22A4"/>
    <w:rsid w:val="00CE2AFC"/>
    <w:rsid w:val="00CE5E0C"/>
    <w:rsid w:val="00CE704D"/>
    <w:rsid w:val="00CF4FAD"/>
    <w:rsid w:val="00CF5CA9"/>
    <w:rsid w:val="00CF7798"/>
    <w:rsid w:val="00D03289"/>
    <w:rsid w:val="00D0340A"/>
    <w:rsid w:val="00D040F3"/>
    <w:rsid w:val="00D12F77"/>
    <w:rsid w:val="00D13929"/>
    <w:rsid w:val="00D27C9A"/>
    <w:rsid w:val="00D30669"/>
    <w:rsid w:val="00D32454"/>
    <w:rsid w:val="00D33BF8"/>
    <w:rsid w:val="00D47C01"/>
    <w:rsid w:val="00D54F7A"/>
    <w:rsid w:val="00D55489"/>
    <w:rsid w:val="00D712BF"/>
    <w:rsid w:val="00D76C20"/>
    <w:rsid w:val="00D8081A"/>
    <w:rsid w:val="00D81626"/>
    <w:rsid w:val="00D828FE"/>
    <w:rsid w:val="00DA6A1E"/>
    <w:rsid w:val="00DB0529"/>
    <w:rsid w:val="00DB2D2B"/>
    <w:rsid w:val="00DB3FAE"/>
    <w:rsid w:val="00DB5B32"/>
    <w:rsid w:val="00DB7B8B"/>
    <w:rsid w:val="00DC1BA5"/>
    <w:rsid w:val="00DC2940"/>
    <w:rsid w:val="00DC3A48"/>
    <w:rsid w:val="00DC6932"/>
    <w:rsid w:val="00DD1921"/>
    <w:rsid w:val="00DD7F5A"/>
    <w:rsid w:val="00DE0D68"/>
    <w:rsid w:val="00DE33A6"/>
    <w:rsid w:val="00DE503B"/>
    <w:rsid w:val="00DE5DCF"/>
    <w:rsid w:val="00DF37B3"/>
    <w:rsid w:val="00DF5384"/>
    <w:rsid w:val="00E027F8"/>
    <w:rsid w:val="00E04B4D"/>
    <w:rsid w:val="00E05C97"/>
    <w:rsid w:val="00E065C7"/>
    <w:rsid w:val="00E0745E"/>
    <w:rsid w:val="00E12305"/>
    <w:rsid w:val="00E17409"/>
    <w:rsid w:val="00E17C87"/>
    <w:rsid w:val="00E25658"/>
    <w:rsid w:val="00E343FA"/>
    <w:rsid w:val="00E42445"/>
    <w:rsid w:val="00E44285"/>
    <w:rsid w:val="00E45136"/>
    <w:rsid w:val="00E47396"/>
    <w:rsid w:val="00E50D4C"/>
    <w:rsid w:val="00E50FE0"/>
    <w:rsid w:val="00E67C59"/>
    <w:rsid w:val="00E757C3"/>
    <w:rsid w:val="00E75B41"/>
    <w:rsid w:val="00E82407"/>
    <w:rsid w:val="00E851F6"/>
    <w:rsid w:val="00E86765"/>
    <w:rsid w:val="00EA1506"/>
    <w:rsid w:val="00EB3312"/>
    <w:rsid w:val="00EB4515"/>
    <w:rsid w:val="00EC04E1"/>
    <w:rsid w:val="00EE06D6"/>
    <w:rsid w:val="00EE23AA"/>
    <w:rsid w:val="00EE2619"/>
    <w:rsid w:val="00EE44ED"/>
    <w:rsid w:val="00EE7365"/>
    <w:rsid w:val="00EF2A91"/>
    <w:rsid w:val="00F2069A"/>
    <w:rsid w:val="00F24CCC"/>
    <w:rsid w:val="00F37689"/>
    <w:rsid w:val="00F41030"/>
    <w:rsid w:val="00F441CC"/>
    <w:rsid w:val="00F5093C"/>
    <w:rsid w:val="00F6638B"/>
    <w:rsid w:val="00F67099"/>
    <w:rsid w:val="00F70E65"/>
    <w:rsid w:val="00F85DBB"/>
    <w:rsid w:val="00F86481"/>
    <w:rsid w:val="00F917CB"/>
    <w:rsid w:val="00F91DA9"/>
    <w:rsid w:val="00F93C8E"/>
    <w:rsid w:val="00F96E08"/>
    <w:rsid w:val="00FA003D"/>
    <w:rsid w:val="00FA30FB"/>
    <w:rsid w:val="00FA7E8D"/>
    <w:rsid w:val="00FB1F99"/>
    <w:rsid w:val="00FB6F69"/>
    <w:rsid w:val="00FC0E33"/>
    <w:rsid w:val="00FC1A34"/>
    <w:rsid w:val="00FC551F"/>
    <w:rsid w:val="00FC5FD5"/>
    <w:rsid w:val="00FD0E6F"/>
    <w:rsid w:val="00FE0841"/>
    <w:rsid w:val="00FE1B72"/>
    <w:rsid w:val="00FF0C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D2EECE"/>
  <w15:docId w15:val="{9D6E6737-E91F-479A-8B3D-B3E93D0B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EA"/>
  </w:style>
  <w:style w:type="paragraph" w:styleId="Heading1">
    <w:name w:val="heading 1"/>
    <w:basedOn w:val="Normal"/>
    <w:next w:val="Normal"/>
    <w:link w:val="Heading1Char"/>
    <w:uiPriority w:val="9"/>
    <w:qFormat/>
    <w:rsid w:val="00182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2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2F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F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2FE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2F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F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F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2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FEA"/>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qFormat/>
    <w:rsid w:val="006A16C6"/>
    <w:pPr>
      <w:numPr>
        <w:numId w:val="1"/>
      </w:numPr>
      <w:contextualSpacing/>
    </w:pPr>
    <w:rPr>
      <w:rFonts w:ascii="Calibri" w:eastAsia="Calibri" w:hAnsi="Calibri" w:cs="Times New Roman"/>
    </w:rPr>
  </w:style>
  <w:style w:type="paragraph" w:styleId="Header">
    <w:name w:val="header"/>
    <w:basedOn w:val="Normal"/>
    <w:link w:val="HeaderChar"/>
    <w:uiPriority w:val="99"/>
    <w:unhideWhenUsed/>
    <w:rsid w:val="006A1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6C6"/>
  </w:style>
  <w:style w:type="paragraph" w:styleId="Footer">
    <w:name w:val="footer"/>
    <w:aliases w:val="Footer1"/>
    <w:basedOn w:val="Normal"/>
    <w:link w:val="FooterChar"/>
    <w:uiPriority w:val="99"/>
    <w:unhideWhenUsed/>
    <w:rsid w:val="00B676EF"/>
    <w:pPr>
      <w:tabs>
        <w:tab w:val="center" w:pos="4513"/>
        <w:tab w:val="right" w:pos="9026"/>
      </w:tabs>
      <w:spacing w:after="0" w:line="240" w:lineRule="auto"/>
      <w:jc w:val="center"/>
    </w:pPr>
  </w:style>
  <w:style w:type="character" w:customStyle="1" w:styleId="FooterChar">
    <w:name w:val="Footer Char"/>
    <w:aliases w:val="Footer1 Char"/>
    <w:basedOn w:val="DefaultParagraphFont"/>
    <w:link w:val="Footer"/>
    <w:uiPriority w:val="99"/>
    <w:rsid w:val="00B676EF"/>
  </w:style>
  <w:style w:type="paragraph" w:styleId="ListParagraph">
    <w:name w:val="List Paragraph"/>
    <w:basedOn w:val="Normal"/>
    <w:uiPriority w:val="34"/>
    <w:qFormat/>
    <w:rsid w:val="00182FEA"/>
    <w:pPr>
      <w:ind w:left="720"/>
      <w:contextualSpacing/>
    </w:pPr>
  </w:style>
  <w:style w:type="paragraph" w:styleId="NoSpacing">
    <w:name w:val="No Spacing"/>
    <w:uiPriority w:val="1"/>
    <w:qFormat/>
    <w:rsid w:val="00182FEA"/>
    <w:pPr>
      <w:spacing w:after="0" w:line="240" w:lineRule="auto"/>
    </w:pPr>
  </w:style>
  <w:style w:type="character" w:customStyle="1" w:styleId="Heading2Char">
    <w:name w:val="Heading 2 Char"/>
    <w:basedOn w:val="DefaultParagraphFont"/>
    <w:link w:val="Heading2"/>
    <w:uiPriority w:val="9"/>
    <w:rsid w:val="00182F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2F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2F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2F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82F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82F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82FE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82F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82FEA"/>
    <w:pPr>
      <w:spacing w:line="240" w:lineRule="auto"/>
    </w:pPr>
    <w:rPr>
      <w:b/>
      <w:bCs/>
      <w:color w:val="4F81BD" w:themeColor="accent1"/>
      <w:sz w:val="18"/>
      <w:szCs w:val="18"/>
    </w:rPr>
  </w:style>
  <w:style w:type="paragraph" w:styleId="Title">
    <w:name w:val="Title"/>
    <w:basedOn w:val="Normal"/>
    <w:next w:val="Normal"/>
    <w:link w:val="TitleChar"/>
    <w:uiPriority w:val="10"/>
    <w:qFormat/>
    <w:rsid w:val="00182F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2F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2F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2FE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82FEA"/>
    <w:rPr>
      <w:b/>
      <w:bCs/>
    </w:rPr>
  </w:style>
  <w:style w:type="character" w:styleId="Emphasis">
    <w:name w:val="Emphasis"/>
    <w:basedOn w:val="DefaultParagraphFont"/>
    <w:uiPriority w:val="20"/>
    <w:qFormat/>
    <w:rsid w:val="00182FEA"/>
    <w:rPr>
      <w:i/>
      <w:iCs/>
    </w:rPr>
  </w:style>
  <w:style w:type="paragraph" w:styleId="Quote">
    <w:name w:val="Quote"/>
    <w:basedOn w:val="Normal"/>
    <w:next w:val="Normal"/>
    <w:link w:val="QuoteChar"/>
    <w:uiPriority w:val="29"/>
    <w:qFormat/>
    <w:rsid w:val="00182FEA"/>
    <w:rPr>
      <w:i/>
      <w:iCs/>
      <w:color w:val="000000" w:themeColor="text1"/>
    </w:rPr>
  </w:style>
  <w:style w:type="character" w:customStyle="1" w:styleId="QuoteChar">
    <w:name w:val="Quote Char"/>
    <w:basedOn w:val="DefaultParagraphFont"/>
    <w:link w:val="Quote"/>
    <w:uiPriority w:val="29"/>
    <w:rsid w:val="00182FEA"/>
    <w:rPr>
      <w:i/>
      <w:iCs/>
      <w:color w:val="000000" w:themeColor="text1"/>
    </w:rPr>
  </w:style>
  <w:style w:type="paragraph" w:styleId="IntenseQuote">
    <w:name w:val="Intense Quote"/>
    <w:basedOn w:val="Normal"/>
    <w:next w:val="Normal"/>
    <w:link w:val="IntenseQuoteChar"/>
    <w:uiPriority w:val="30"/>
    <w:qFormat/>
    <w:rsid w:val="00182FE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82FEA"/>
    <w:rPr>
      <w:b/>
      <w:bCs/>
      <w:i/>
      <w:iCs/>
      <w:color w:val="4F81BD" w:themeColor="accent1"/>
    </w:rPr>
  </w:style>
  <w:style w:type="character" w:styleId="SubtleEmphasis">
    <w:name w:val="Subtle Emphasis"/>
    <w:basedOn w:val="DefaultParagraphFont"/>
    <w:uiPriority w:val="19"/>
    <w:qFormat/>
    <w:rsid w:val="00182FEA"/>
    <w:rPr>
      <w:i/>
      <w:iCs/>
      <w:color w:val="808080" w:themeColor="text1" w:themeTint="7F"/>
    </w:rPr>
  </w:style>
  <w:style w:type="character" w:styleId="IntenseEmphasis">
    <w:name w:val="Intense Emphasis"/>
    <w:basedOn w:val="DefaultParagraphFont"/>
    <w:uiPriority w:val="21"/>
    <w:qFormat/>
    <w:rsid w:val="00182FEA"/>
    <w:rPr>
      <w:b/>
      <w:bCs/>
      <w:i/>
      <w:iCs/>
      <w:color w:val="4F81BD" w:themeColor="accent1"/>
    </w:rPr>
  </w:style>
  <w:style w:type="character" w:styleId="SubtleReference">
    <w:name w:val="Subtle Reference"/>
    <w:basedOn w:val="DefaultParagraphFont"/>
    <w:uiPriority w:val="31"/>
    <w:qFormat/>
    <w:rsid w:val="00182FEA"/>
    <w:rPr>
      <w:smallCaps/>
      <w:color w:val="C0504D" w:themeColor="accent2"/>
      <w:u w:val="single"/>
    </w:rPr>
  </w:style>
  <w:style w:type="character" w:styleId="IntenseReference">
    <w:name w:val="Intense Reference"/>
    <w:basedOn w:val="DefaultParagraphFont"/>
    <w:uiPriority w:val="32"/>
    <w:qFormat/>
    <w:rsid w:val="00182FEA"/>
    <w:rPr>
      <w:b/>
      <w:bCs/>
      <w:smallCaps/>
      <w:color w:val="C0504D" w:themeColor="accent2"/>
      <w:spacing w:val="5"/>
      <w:u w:val="single"/>
    </w:rPr>
  </w:style>
  <w:style w:type="character" w:styleId="BookTitle">
    <w:name w:val="Book Title"/>
    <w:basedOn w:val="DefaultParagraphFont"/>
    <w:uiPriority w:val="33"/>
    <w:qFormat/>
    <w:rsid w:val="00182FEA"/>
    <w:rPr>
      <w:b/>
      <w:bCs/>
      <w:smallCaps/>
      <w:spacing w:val="5"/>
    </w:rPr>
  </w:style>
  <w:style w:type="paragraph" w:styleId="TOCHeading">
    <w:name w:val="TOC Heading"/>
    <w:basedOn w:val="Heading1"/>
    <w:next w:val="Normal"/>
    <w:uiPriority w:val="39"/>
    <w:semiHidden/>
    <w:unhideWhenUsed/>
    <w:qFormat/>
    <w:rsid w:val="00182FEA"/>
    <w:pPr>
      <w:outlineLvl w:val="9"/>
    </w:pPr>
  </w:style>
  <w:style w:type="character" w:styleId="Hyperlink">
    <w:name w:val="Hyperlink"/>
    <w:basedOn w:val="DefaultParagraphFont"/>
    <w:uiPriority w:val="99"/>
    <w:unhideWhenUsed/>
    <w:rsid w:val="0011507E"/>
    <w:rPr>
      <w:color w:val="0000FF" w:themeColor="hyperlink"/>
      <w:u w:val="single"/>
    </w:rPr>
  </w:style>
  <w:style w:type="table" w:styleId="TableGrid">
    <w:name w:val="Table Grid"/>
    <w:basedOn w:val="TableNormal"/>
    <w:uiPriority w:val="59"/>
    <w:rsid w:val="0041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145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2">
    <w:name w:val="List Bullet 2"/>
    <w:basedOn w:val="Normal"/>
    <w:uiPriority w:val="99"/>
    <w:unhideWhenUsed/>
    <w:rsid w:val="00416D8A"/>
    <w:pPr>
      <w:numPr>
        <w:numId w:val="14"/>
      </w:numPr>
      <w:contextualSpacing/>
    </w:pPr>
  </w:style>
  <w:style w:type="paragraph" w:styleId="ListBullet5">
    <w:name w:val="List Bullet 5"/>
    <w:basedOn w:val="Normal"/>
    <w:uiPriority w:val="99"/>
    <w:unhideWhenUsed/>
    <w:rsid w:val="00416D8A"/>
    <w:pPr>
      <w:numPr>
        <w:numId w:val="15"/>
      </w:numPr>
      <w:contextualSpacing/>
    </w:pPr>
  </w:style>
  <w:style w:type="paragraph" w:styleId="BalloonText">
    <w:name w:val="Balloon Text"/>
    <w:basedOn w:val="Normal"/>
    <w:link w:val="BalloonTextChar"/>
    <w:uiPriority w:val="99"/>
    <w:semiHidden/>
    <w:unhideWhenUsed/>
    <w:rsid w:val="00416D8A"/>
    <w:pPr>
      <w:spacing w:after="0" w:line="240" w:lineRule="auto"/>
    </w:pPr>
    <w:rPr>
      <w:rFonts w:ascii="Tahoma" w:eastAsia="Calibri" w:hAnsi="Tahoma" w:cs="Tahoma"/>
      <w:sz w:val="16"/>
      <w:szCs w:val="16"/>
      <w:lang w:val="en-AU" w:bidi="ar-SA"/>
    </w:rPr>
  </w:style>
  <w:style w:type="character" w:customStyle="1" w:styleId="BalloonTextChar">
    <w:name w:val="Balloon Text Char"/>
    <w:basedOn w:val="DefaultParagraphFont"/>
    <w:link w:val="BalloonText"/>
    <w:uiPriority w:val="99"/>
    <w:semiHidden/>
    <w:rsid w:val="00416D8A"/>
    <w:rPr>
      <w:rFonts w:ascii="Tahoma" w:eastAsia="Calibri" w:hAnsi="Tahoma" w:cs="Tahoma"/>
      <w:sz w:val="16"/>
      <w:szCs w:val="16"/>
      <w:lang w:val="en-AU" w:bidi="ar-SA"/>
    </w:rPr>
  </w:style>
  <w:style w:type="numbering" w:customStyle="1" w:styleId="KeyPoints">
    <w:name w:val="Key Points"/>
    <w:basedOn w:val="NoList"/>
    <w:uiPriority w:val="99"/>
    <w:rsid w:val="00416D8A"/>
    <w:pPr>
      <w:numPr>
        <w:numId w:val="16"/>
      </w:numPr>
    </w:pPr>
  </w:style>
  <w:style w:type="paragraph" w:customStyle="1" w:styleId="1NumberedPointsStyle">
    <w:name w:val="1. Numbered Points Style"/>
    <w:basedOn w:val="ListParagraph"/>
    <w:rsid w:val="00416D8A"/>
    <w:pPr>
      <w:ind w:left="0"/>
      <w:contextualSpacing w:val="0"/>
    </w:pPr>
    <w:rPr>
      <w:rFonts w:ascii="Arial" w:eastAsia="Calibri" w:hAnsi="Arial" w:cs="Times New Roman"/>
      <w:lang w:val="en-AU" w:bidi="ar-SA"/>
    </w:rPr>
  </w:style>
  <w:style w:type="numbering" w:customStyle="1" w:styleId="BulletList">
    <w:name w:val="Bullet List"/>
    <w:uiPriority w:val="99"/>
    <w:rsid w:val="00416D8A"/>
    <w:pPr>
      <w:numPr>
        <w:numId w:val="17"/>
      </w:numPr>
    </w:pPr>
  </w:style>
  <w:style w:type="paragraph" w:customStyle="1" w:styleId="1BulletStyleList">
    <w:name w:val="1. Bullet Style List"/>
    <w:basedOn w:val="Normal"/>
    <w:rsid w:val="00416D8A"/>
    <w:pPr>
      <w:spacing w:line="240" w:lineRule="auto"/>
    </w:pPr>
    <w:rPr>
      <w:rFonts w:ascii="Arial" w:eastAsia="Times New Roman" w:hAnsi="Arial" w:cs="Times New Roman"/>
      <w:szCs w:val="20"/>
      <w:lang w:val="en-AU" w:eastAsia="en-AU" w:bidi="ar-SA"/>
    </w:rPr>
  </w:style>
  <w:style w:type="paragraph" w:styleId="ListBullet3">
    <w:name w:val="List Bullet 3"/>
    <w:basedOn w:val="Normal"/>
    <w:uiPriority w:val="99"/>
    <w:unhideWhenUsed/>
    <w:rsid w:val="00416D8A"/>
    <w:pPr>
      <w:ind w:left="1106" w:hanging="369"/>
    </w:pPr>
    <w:rPr>
      <w:rFonts w:ascii="Arial" w:eastAsia="Calibri" w:hAnsi="Arial" w:cs="Times New Roman"/>
      <w:lang w:val="en-AU" w:bidi="ar-SA"/>
    </w:rPr>
  </w:style>
  <w:style w:type="paragraph" w:styleId="ListBullet4">
    <w:name w:val="List Bullet 4"/>
    <w:basedOn w:val="Normal"/>
    <w:uiPriority w:val="99"/>
    <w:unhideWhenUsed/>
    <w:rsid w:val="00416D8A"/>
    <w:pPr>
      <w:ind w:left="1474" w:hanging="368"/>
    </w:pPr>
    <w:rPr>
      <w:rFonts w:ascii="Arial" w:eastAsia="Calibri" w:hAnsi="Arial" w:cs="Times New Roman"/>
      <w:lang w:val="en-AU" w:bidi="ar-SA"/>
    </w:rPr>
  </w:style>
  <w:style w:type="numbering" w:customStyle="1" w:styleId="Attach">
    <w:name w:val="Attach"/>
    <w:basedOn w:val="NoList"/>
    <w:uiPriority w:val="99"/>
    <w:rsid w:val="00416D8A"/>
    <w:pPr>
      <w:numPr>
        <w:numId w:val="18"/>
      </w:numPr>
    </w:pPr>
  </w:style>
  <w:style w:type="paragraph" w:customStyle="1" w:styleId="Classification">
    <w:name w:val="Classification"/>
    <w:basedOn w:val="Normal"/>
    <w:uiPriority w:val="10"/>
    <w:qFormat/>
    <w:rsid w:val="00416D8A"/>
    <w:pPr>
      <w:tabs>
        <w:tab w:val="center" w:pos="4536"/>
        <w:tab w:val="center" w:pos="4819"/>
        <w:tab w:val="right" w:pos="9356"/>
      </w:tabs>
      <w:spacing w:after="240"/>
      <w:jc w:val="center"/>
    </w:pPr>
    <w:rPr>
      <w:rFonts w:ascii="Arial" w:eastAsia="Times New Roman" w:hAnsi="Arial" w:cs="Arial"/>
      <w:color w:val="FF0000"/>
      <w:sz w:val="28"/>
      <w:szCs w:val="28"/>
      <w:lang w:val="en-AU" w:eastAsia="en-AU" w:bidi="ar-SA"/>
    </w:rPr>
  </w:style>
  <w:style w:type="paragraph" w:styleId="ListNumber">
    <w:name w:val="List Number"/>
    <w:basedOn w:val="Normal"/>
    <w:uiPriority w:val="99"/>
    <w:qFormat/>
    <w:rsid w:val="00416D8A"/>
    <w:pPr>
      <w:numPr>
        <w:numId w:val="19"/>
      </w:numPr>
    </w:pPr>
    <w:rPr>
      <w:rFonts w:ascii="Arial" w:eastAsia="Calibri" w:hAnsi="Arial" w:cs="Times New Roman"/>
      <w:lang w:val="en-AU" w:bidi="ar-SA"/>
    </w:rPr>
  </w:style>
  <w:style w:type="paragraph" w:styleId="ListNumber2">
    <w:name w:val="List Number 2"/>
    <w:basedOn w:val="Normal"/>
    <w:uiPriority w:val="99"/>
    <w:rsid w:val="00416D8A"/>
    <w:pPr>
      <w:numPr>
        <w:ilvl w:val="1"/>
        <w:numId w:val="19"/>
      </w:numPr>
    </w:pPr>
    <w:rPr>
      <w:rFonts w:ascii="Arial" w:eastAsia="Calibri" w:hAnsi="Arial" w:cs="Times New Roman"/>
      <w:lang w:val="en-AU" w:bidi="ar-SA"/>
    </w:rPr>
  </w:style>
  <w:style w:type="paragraph" w:styleId="ListNumber3">
    <w:name w:val="List Number 3"/>
    <w:basedOn w:val="Normal"/>
    <w:uiPriority w:val="99"/>
    <w:rsid w:val="00416D8A"/>
    <w:pPr>
      <w:numPr>
        <w:ilvl w:val="2"/>
        <w:numId w:val="19"/>
      </w:numPr>
    </w:pPr>
    <w:rPr>
      <w:rFonts w:ascii="Arial" w:eastAsia="Calibri" w:hAnsi="Arial" w:cs="Times New Roman"/>
      <w:lang w:val="en-AU" w:bidi="ar-SA"/>
    </w:rPr>
  </w:style>
  <w:style w:type="paragraph" w:styleId="ListNumber4">
    <w:name w:val="List Number 4"/>
    <w:basedOn w:val="Normal"/>
    <w:uiPriority w:val="99"/>
    <w:rsid w:val="00416D8A"/>
    <w:pPr>
      <w:numPr>
        <w:ilvl w:val="3"/>
        <w:numId w:val="19"/>
      </w:numPr>
    </w:pPr>
    <w:rPr>
      <w:rFonts w:ascii="Arial" w:eastAsia="Calibri" w:hAnsi="Arial" w:cs="Times New Roman"/>
      <w:lang w:val="en-AU" w:bidi="ar-SA"/>
    </w:rPr>
  </w:style>
  <w:style w:type="paragraph" w:styleId="ListNumber5">
    <w:name w:val="List Number 5"/>
    <w:basedOn w:val="Normal"/>
    <w:uiPriority w:val="99"/>
    <w:rsid w:val="00416D8A"/>
    <w:pPr>
      <w:numPr>
        <w:ilvl w:val="4"/>
        <w:numId w:val="19"/>
      </w:numPr>
    </w:pPr>
    <w:rPr>
      <w:rFonts w:ascii="Arial" w:eastAsia="Calibri" w:hAnsi="Arial" w:cs="Times New Roman"/>
      <w:lang w:val="en-AU" w:bidi="ar-SA"/>
    </w:rPr>
  </w:style>
  <w:style w:type="paragraph" w:customStyle="1" w:styleId="Footerclassification">
    <w:name w:val="Footer classification"/>
    <w:basedOn w:val="Classification"/>
    <w:rsid w:val="00416D8A"/>
    <w:pPr>
      <w:spacing w:before="240" w:after="0"/>
    </w:pPr>
  </w:style>
  <w:style w:type="paragraph" w:customStyle="1" w:styleId="Tabletext">
    <w:name w:val="Table text"/>
    <w:basedOn w:val="Normal"/>
    <w:uiPriority w:val="9"/>
    <w:qFormat/>
    <w:rsid w:val="00416D8A"/>
    <w:pPr>
      <w:spacing w:after="0"/>
    </w:pPr>
    <w:rPr>
      <w:rFonts w:ascii="Arial" w:eastAsia="Calibri" w:hAnsi="Arial" w:cs="Times New Roman"/>
      <w:lang w:val="en-AU" w:bidi="ar-SA"/>
    </w:rPr>
  </w:style>
  <w:style w:type="paragraph" w:customStyle="1" w:styleId="Classificationsensitivity">
    <w:name w:val="Classification sensitivity"/>
    <w:basedOn w:val="Classification"/>
    <w:rsid w:val="00416D8A"/>
    <w:rPr>
      <w:sz w:val="22"/>
    </w:rPr>
  </w:style>
  <w:style w:type="paragraph" w:styleId="EndnoteText">
    <w:name w:val="endnote text"/>
    <w:basedOn w:val="Normal"/>
    <w:link w:val="EndnoteTextChar"/>
    <w:uiPriority w:val="99"/>
    <w:unhideWhenUsed/>
    <w:rsid w:val="00416D8A"/>
    <w:pPr>
      <w:spacing w:after="0" w:line="240" w:lineRule="auto"/>
    </w:pPr>
    <w:rPr>
      <w:rFonts w:ascii="Calibri" w:eastAsia="Calibri" w:hAnsi="Calibri" w:cs="Times New Roman"/>
      <w:sz w:val="20"/>
      <w:szCs w:val="20"/>
      <w:lang w:val="en-AU" w:bidi="ar-SA"/>
    </w:rPr>
  </w:style>
  <w:style w:type="character" w:customStyle="1" w:styleId="EndnoteTextChar">
    <w:name w:val="Endnote Text Char"/>
    <w:basedOn w:val="DefaultParagraphFont"/>
    <w:link w:val="EndnoteText"/>
    <w:uiPriority w:val="99"/>
    <w:rsid w:val="00416D8A"/>
    <w:rPr>
      <w:rFonts w:ascii="Calibri" w:eastAsia="Calibri" w:hAnsi="Calibri" w:cs="Times New Roman"/>
      <w:sz w:val="20"/>
      <w:szCs w:val="20"/>
      <w:lang w:val="en-AU" w:bidi="ar-SA"/>
    </w:rPr>
  </w:style>
  <w:style w:type="character" w:styleId="EndnoteReference">
    <w:name w:val="endnote reference"/>
    <w:basedOn w:val="DefaultParagraphFont"/>
    <w:uiPriority w:val="99"/>
    <w:semiHidden/>
    <w:unhideWhenUsed/>
    <w:rsid w:val="00416D8A"/>
    <w:rPr>
      <w:vertAlign w:val="superscript"/>
    </w:rPr>
  </w:style>
  <w:style w:type="paragraph" w:customStyle="1" w:styleId="Bullet">
    <w:name w:val="Bullet"/>
    <w:basedOn w:val="Normal"/>
    <w:link w:val="BulletChar"/>
    <w:qFormat/>
    <w:rsid w:val="00416D8A"/>
    <w:pPr>
      <w:widowControl w:val="0"/>
      <w:numPr>
        <w:numId w:val="20"/>
      </w:numPr>
      <w:suppressAutoHyphens/>
      <w:autoSpaceDE w:val="0"/>
      <w:autoSpaceDN w:val="0"/>
      <w:adjustRightInd w:val="0"/>
      <w:spacing w:after="113" w:line="280" w:lineRule="atLeast"/>
      <w:ind w:left="709"/>
      <w:textAlignment w:val="center"/>
    </w:pPr>
    <w:rPr>
      <w:rFonts w:ascii="Calibri" w:hAnsi="Calibri" w:cs="Calibri"/>
      <w:color w:val="000000"/>
      <w:sz w:val="18"/>
      <w:szCs w:val="18"/>
      <w:lang w:val="en-GB" w:eastAsia="ja-JP" w:bidi="ar-SA"/>
    </w:rPr>
  </w:style>
  <w:style w:type="character" w:customStyle="1" w:styleId="BulletChar">
    <w:name w:val="Bullet Char"/>
    <w:basedOn w:val="DefaultParagraphFont"/>
    <w:link w:val="Bullet"/>
    <w:rsid w:val="00416D8A"/>
    <w:rPr>
      <w:rFonts w:ascii="Calibri" w:hAnsi="Calibri" w:cs="Calibri"/>
      <w:color w:val="000000"/>
      <w:sz w:val="18"/>
      <w:szCs w:val="18"/>
      <w:lang w:val="en-GB" w:eastAsia="ja-JP" w:bidi="ar-SA"/>
    </w:rPr>
  </w:style>
  <w:style w:type="paragraph" w:styleId="BodyText">
    <w:name w:val="Body Text"/>
    <w:basedOn w:val="Normal"/>
    <w:link w:val="BodyTextChar"/>
    <w:uiPriority w:val="99"/>
    <w:qFormat/>
    <w:rsid w:val="00416D8A"/>
    <w:pPr>
      <w:spacing w:after="120" w:line="280" w:lineRule="atLeast"/>
      <w:jc w:val="both"/>
    </w:pPr>
    <w:rPr>
      <w:rFonts w:ascii="Arial" w:eastAsia="Times New Roman" w:hAnsi="Arial" w:cs="Times New Roman"/>
      <w:sz w:val="20"/>
      <w:szCs w:val="24"/>
      <w:lang w:val="en-AU" w:eastAsia="en-AU" w:bidi="ar-SA"/>
    </w:rPr>
  </w:style>
  <w:style w:type="character" w:customStyle="1" w:styleId="BodyTextChar">
    <w:name w:val="Body Text Char"/>
    <w:basedOn w:val="DefaultParagraphFont"/>
    <w:link w:val="BodyText"/>
    <w:uiPriority w:val="99"/>
    <w:rsid w:val="00416D8A"/>
    <w:rPr>
      <w:rFonts w:ascii="Arial" w:eastAsia="Times New Roman" w:hAnsi="Arial" w:cs="Times New Roman"/>
      <w:sz w:val="20"/>
      <w:szCs w:val="24"/>
      <w:lang w:val="en-AU" w:eastAsia="en-AU" w:bidi="ar-SA"/>
    </w:rPr>
  </w:style>
  <w:style w:type="paragraph" w:styleId="CommentText">
    <w:name w:val="annotation text"/>
    <w:basedOn w:val="Normal"/>
    <w:link w:val="CommentTextChar"/>
    <w:uiPriority w:val="99"/>
    <w:unhideWhenUsed/>
    <w:rsid w:val="00416D8A"/>
    <w:pPr>
      <w:spacing w:line="240" w:lineRule="auto"/>
    </w:pPr>
    <w:rPr>
      <w:rFonts w:ascii="Calibri" w:eastAsia="Calibri" w:hAnsi="Calibri" w:cs="Times New Roman"/>
      <w:sz w:val="20"/>
      <w:szCs w:val="20"/>
      <w:lang w:val="en-AU" w:bidi="ar-SA"/>
    </w:rPr>
  </w:style>
  <w:style w:type="character" w:customStyle="1" w:styleId="CommentTextChar">
    <w:name w:val="Comment Text Char"/>
    <w:basedOn w:val="DefaultParagraphFont"/>
    <w:link w:val="CommentText"/>
    <w:uiPriority w:val="99"/>
    <w:rsid w:val="00416D8A"/>
    <w:rPr>
      <w:rFonts w:ascii="Calibri" w:eastAsia="Calibri" w:hAnsi="Calibri" w:cs="Times New Roman"/>
      <w:sz w:val="20"/>
      <w:szCs w:val="20"/>
      <w:lang w:val="en-AU" w:bidi="ar-SA"/>
    </w:rPr>
  </w:style>
  <w:style w:type="character" w:styleId="CommentReference">
    <w:name w:val="annotation reference"/>
    <w:basedOn w:val="DefaultParagraphFont"/>
    <w:uiPriority w:val="99"/>
    <w:semiHidden/>
    <w:unhideWhenUsed/>
    <w:rsid w:val="00416D8A"/>
    <w:rPr>
      <w:sz w:val="16"/>
      <w:szCs w:val="16"/>
    </w:rPr>
  </w:style>
  <w:style w:type="paragraph" w:styleId="CommentSubject">
    <w:name w:val="annotation subject"/>
    <w:basedOn w:val="CommentText"/>
    <w:next w:val="CommentText"/>
    <w:link w:val="CommentSubjectChar"/>
    <w:uiPriority w:val="99"/>
    <w:semiHidden/>
    <w:unhideWhenUsed/>
    <w:rsid w:val="00416D8A"/>
    <w:rPr>
      <w:rFonts w:ascii="Arial" w:hAnsi="Arial"/>
      <w:b/>
      <w:bCs/>
    </w:rPr>
  </w:style>
  <w:style w:type="character" w:customStyle="1" w:styleId="CommentSubjectChar">
    <w:name w:val="Comment Subject Char"/>
    <w:basedOn w:val="CommentTextChar"/>
    <w:link w:val="CommentSubject"/>
    <w:uiPriority w:val="99"/>
    <w:semiHidden/>
    <w:rsid w:val="00416D8A"/>
    <w:rPr>
      <w:rFonts w:ascii="Arial" w:eastAsia="Calibri" w:hAnsi="Arial" w:cs="Times New Roman"/>
      <w:b/>
      <w:bCs/>
      <w:sz w:val="20"/>
      <w:szCs w:val="20"/>
      <w:lang w:val="en-AU" w:bidi="ar-SA"/>
    </w:rPr>
  </w:style>
  <w:style w:type="paragraph" w:styleId="NormalWeb">
    <w:name w:val="Normal (Web)"/>
    <w:basedOn w:val="Normal"/>
    <w:uiPriority w:val="99"/>
    <w:unhideWhenUsed/>
    <w:rsid w:val="00416D8A"/>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numbering" w:customStyle="1" w:styleId="BulletList0">
    <w:name w:val="BulletList"/>
    <w:uiPriority w:val="99"/>
    <w:rsid w:val="00416D8A"/>
  </w:style>
  <w:style w:type="paragraph" w:customStyle="1" w:styleId="issues">
    <w:name w:val="issues"/>
    <w:basedOn w:val="Normal"/>
    <w:uiPriority w:val="99"/>
    <w:rsid w:val="00416D8A"/>
    <w:pPr>
      <w:widowControl w:val="0"/>
      <w:tabs>
        <w:tab w:val="left" w:pos="170"/>
      </w:tabs>
      <w:suppressAutoHyphens/>
      <w:autoSpaceDE w:val="0"/>
      <w:autoSpaceDN w:val="0"/>
      <w:adjustRightInd w:val="0"/>
      <w:spacing w:before="120" w:after="0" w:line="200" w:lineRule="atLeast"/>
      <w:textAlignment w:val="center"/>
    </w:pPr>
    <w:rPr>
      <w:rFonts w:ascii="Calibri" w:hAnsi="Calibri" w:cs="Calibri"/>
      <w:color w:val="000000"/>
      <w:sz w:val="20"/>
      <w:szCs w:val="18"/>
      <w:lang w:val="en-AU" w:bidi="ar-SA"/>
    </w:rPr>
  </w:style>
  <w:style w:type="character" w:styleId="FollowedHyperlink">
    <w:name w:val="FollowedHyperlink"/>
    <w:basedOn w:val="DefaultParagraphFont"/>
    <w:uiPriority w:val="99"/>
    <w:semiHidden/>
    <w:unhideWhenUsed/>
    <w:rsid w:val="00416D8A"/>
    <w:rPr>
      <w:color w:val="800080" w:themeColor="followedHyperlink"/>
      <w:u w:val="single"/>
    </w:rPr>
  </w:style>
  <w:style w:type="paragraph" w:customStyle="1" w:styleId="Body">
    <w:name w:val="Body"/>
    <w:basedOn w:val="Normal"/>
    <w:link w:val="BodyChar"/>
    <w:qFormat/>
    <w:rsid w:val="00416D8A"/>
    <w:pPr>
      <w:widowControl w:val="0"/>
      <w:suppressAutoHyphens/>
      <w:autoSpaceDE w:val="0"/>
      <w:autoSpaceDN w:val="0"/>
      <w:adjustRightInd w:val="0"/>
      <w:spacing w:after="113" w:line="280" w:lineRule="atLeast"/>
      <w:textAlignment w:val="center"/>
    </w:pPr>
    <w:rPr>
      <w:rFonts w:ascii="Calibri" w:hAnsi="Calibri" w:cs="Calibri"/>
      <w:color w:val="000000"/>
      <w:sz w:val="18"/>
      <w:szCs w:val="18"/>
      <w:lang w:val="en-GB" w:eastAsia="ja-JP" w:bidi="ar-SA"/>
    </w:rPr>
  </w:style>
  <w:style w:type="character" w:customStyle="1" w:styleId="BodyChar">
    <w:name w:val="Body Char"/>
    <w:basedOn w:val="DefaultParagraphFont"/>
    <w:link w:val="Body"/>
    <w:rsid w:val="00416D8A"/>
    <w:rPr>
      <w:rFonts w:ascii="Calibri" w:hAnsi="Calibri" w:cs="Calibri"/>
      <w:color w:val="000000"/>
      <w:sz w:val="18"/>
      <w:szCs w:val="18"/>
      <w:lang w:val="en-GB" w:eastAsia="ja-JP" w:bidi="ar-SA"/>
    </w:rPr>
  </w:style>
  <w:style w:type="paragraph" w:customStyle="1" w:styleId="SectionHeading1">
    <w:name w:val="Section Heading 1"/>
    <w:basedOn w:val="Normal"/>
    <w:link w:val="SectionHeading1Char"/>
    <w:qFormat/>
    <w:rsid w:val="00416D8A"/>
    <w:pPr>
      <w:shd w:val="clear" w:color="auto" w:fill="365F91" w:themeFill="accent1" w:themeFillShade="BF"/>
      <w:tabs>
        <w:tab w:val="left" w:pos="556"/>
        <w:tab w:val="center" w:pos="4606"/>
      </w:tabs>
    </w:pPr>
    <w:rPr>
      <w:rFonts w:ascii="Arial" w:eastAsia="Calibri" w:hAnsi="Arial" w:cs="Times New Roman"/>
      <w:b/>
      <w:color w:val="FFFFFF" w:themeColor="background1"/>
      <w:sz w:val="28"/>
      <w:szCs w:val="28"/>
      <w:lang w:val="en-AU" w:bidi="ar-SA"/>
    </w:rPr>
  </w:style>
  <w:style w:type="character" w:customStyle="1" w:styleId="SectionHeading1Char">
    <w:name w:val="Section Heading 1 Char"/>
    <w:basedOn w:val="DefaultParagraphFont"/>
    <w:link w:val="SectionHeading1"/>
    <w:rsid w:val="00416D8A"/>
    <w:rPr>
      <w:rFonts w:ascii="Arial" w:eastAsia="Calibri" w:hAnsi="Arial" w:cs="Times New Roman"/>
      <w:b/>
      <w:color w:val="FFFFFF" w:themeColor="background1"/>
      <w:sz w:val="28"/>
      <w:szCs w:val="28"/>
      <w:shd w:val="clear" w:color="auto" w:fill="365F91" w:themeFill="accent1" w:themeFillShade="BF"/>
      <w:lang w:val="en-AU" w:bidi="ar-SA"/>
    </w:rPr>
  </w:style>
  <w:style w:type="paragraph" w:styleId="FootnoteText">
    <w:name w:val="footnote text"/>
    <w:basedOn w:val="Normal"/>
    <w:link w:val="FootnoteTextChar"/>
    <w:uiPriority w:val="99"/>
    <w:semiHidden/>
    <w:unhideWhenUsed/>
    <w:rsid w:val="00416D8A"/>
    <w:pPr>
      <w:spacing w:after="0" w:line="240" w:lineRule="auto"/>
    </w:pPr>
    <w:rPr>
      <w:rFonts w:ascii="Arial" w:eastAsia="Calibri" w:hAnsi="Arial" w:cs="Times New Roman"/>
      <w:sz w:val="20"/>
      <w:szCs w:val="20"/>
      <w:lang w:val="en-AU" w:bidi="ar-SA"/>
    </w:rPr>
  </w:style>
  <w:style w:type="character" w:customStyle="1" w:styleId="FootnoteTextChar">
    <w:name w:val="Footnote Text Char"/>
    <w:basedOn w:val="DefaultParagraphFont"/>
    <w:link w:val="FootnoteText"/>
    <w:uiPriority w:val="99"/>
    <w:semiHidden/>
    <w:rsid w:val="00416D8A"/>
    <w:rPr>
      <w:rFonts w:ascii="Arial" w:eastAsia="Calibri" w:hAnsi="Arial" w:cs="Times New Roman"/>
      <w:sz w:val="20"/>
      <w:szCs w:val="20"/>
      <w:lang w:val="en-AU" w:bidi="ar-SA"/>
    </w:rPr>
  </w:style>
  <w:style w:type="character" w:styleId="FootnoteReference">
    <w:name w:val="footnote reference"/>
    <w:basedOn w:val="DefaultParagraphFont"/>
    <w:uiPriority w:val="99"/>
    <w:semiHidden/>
    <w:unhideWhenUsed/>
    <w:rsid w:val="00416D8A"/>
    <w:rPr>
      <w:vertAlign w:val="superscript"/>
    </w:rPr>
  </w:style>
  <w:style w:type="paragraph" w:customStyle="1" w:styleId="Default">
    <w:name w:val="Default"/>
    <w:rsid w:val="00416D8A"/>
    <w:pPr>
      <w:autoSpaceDE w:val="0"/>
      <w:autoSpaceDN w:val="0"/>
      <w:adjustRightInd w:val="0"/>
      <w:spacing w:after="0" w:line="240" w:lineRule="auto"/>
    </w:pPr>
    <w:rPr>
      <w:rFonts w:ascii="Times New Roman" w:eastAsia="Calibri" w:hAnsi="Times New Roman" w:cs="Times New Roman"/>
      <w:color w:val="000000"/>
      <w:sz w:val="24"/>
      <w:szCs w:val="24"/>
      <w:lang w:val="en-AU" w:eastAsia="en-AU" w:bidi="ar-SA"/>
    </w:rPr>
  </w:style>
  <w:style w:type="paragraph" w:customStyle="1" w:styleId="Headingblue">
    <w:name w:val="Heading blue"/>
    <w:basedOn w:val="Normal"/>
    <w:link w:val="HeadingblueChar"/>
    <w:qFormat/>
    <w:rsid w:val="00416D8A"/>
    <w:pPr>
      <w:spacing w:before="60" w:after="60" w:line="240" w:lineRule="auto"/>
    </w:pPr>
    <w:rPr>
      <w:rFonts w:ascii="Arial" w:eastAsia="Calibri" w:hAnsi="Arial" w:cs="Arial"/>
      <w:b/>
      <w:color w:val="FFFFFF" w:themeColor="background1"/>
      <w:sz w:val="28"/>
      <w:szCs w:val="28"/>
      <w:lang w:val="en-AU" w:bidi="ar-SA"/>
    </w:rPr>
  </w:style>
  <w:style w:type="character" w:customStyle="1" w:styleId="HeadingblueChar">
    <w:name w:val="Heading blue Char"/>
    <w:basedOn w:val="DefaultParagraphFont"/>
    <w:link w:val="Headingblue"/>
    <w:rsid w:val="00416D8A"/>
    <w:rPr>
      <w:rFonts w:ascii="Arial" w:eastAsia="Calibri" w:hAnsi="Arial" w:cs="Arial"/>
      <w:b/>
      <w:color w:val="FFFFFF" w:themeColor="background1"/>
      <w:sz w:val="28"/>
      <w:szCs w:val="28"/>
      <w:lang w:val="en-AU" w:bidi="ar-SA"/>
    </w:rPr>
  </w:style>
  <w:style w:type="character" w:styleId="PageNumber">
    <w:name w:val="page number"/>
    <w:basedOn w:val="DefaultParagraphFont"/>
    <w:uiPriority w:val="99"/>
    <w:semiHidden/>
    <w:unhideWhenUsed/>
    <w:rsid w:val="0029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publicat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esc.environment.gov.au/publications/iesc-priorities-for-research-projec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esc.environment.gov.au/system/files/resources/012fa918-ee79-4131-9c8d-02c9b2de65cf/files/iesc-information-guidelines-oct-2015.pdf" TargetMode="External"/><Relationship Id="rId4" Type="http://schemas.openxmlformats.org/officeDocument/2006/relationships/webSettings" Target="webSettings.xml"/><Relationship Id="rId9" Type="http://schemas.openxmlformats.org/officeDocument/2006/relationships/hyperlink" Target="http://www.ga.gov.au/data-pu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E49BD233.dotm</Template>
  <TotalTime>0</TotalTime>
  <Pages>11</Pages>
  <Words>6228</Words>
  <Characters>35505</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 on the IESC draft research priorities</dc:title>
  <dc:creator>IESC</dc:creator>
  <cp:lastModifiedBy>Durack, Bec</cp:lastModifiedBy>
  <cp:revision>2</cp:revision>
  <dcterms:created xsi:type="dcterms:W3CDTF">2016-10-04T07:06:00Z</dcterms:created>
  <dcterms:modified xsi:type="dcterms:W3CDTF">2016-10-04T07:06:00Z</dcterms:modified>
</cp:coreProperties>
</file>