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EA" w:rsidRPr="00B55249" w:rsidRDefault="00432BEA" w:rsidP="0092244A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 xml:space="preserve">MINUTES </w:t>
      </w:r>
    </w:p>
    <w:p w:rsidR="00432BEA" w:rsidRPr="00B55249" w:rsidRDefault="003D232B" w:rsidP="0092244A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>
        <w:rPr>
          <w:rFonts w:ascii="Calibri" w:hAnsi="Calibri" w:cs="Arial"/>
          <w:b/>
        </w:rPr>
        <w:t>Dialogue Business Centre</w:t>
      </w:r>
      <w:r w:rsidR="00432BEA" w:rsidRPr="00B55249">
        <w:rPr>
          <w:rFonts w:ascii="Calibri" w:hAnsi="Calibri" w:cs="Arial"/>
          <w:b/>
        </w:rPr>
        <w:t>, Canberra ACT</w:t>
      </w:r>
      <w:r w:rsidR="001211E7" w:rsidRPr="001211E7">
        <w:rPr>
          <w:rFonts w:ascii="Calibri" w:hAnsi="Calibri" w:cs="Arial"/>
        </w:rPr>
        <w:pict>
          <v:rect id="_x0000_i1025" style="width:0;height:1.5pt" o:hralign="center" o:hrstd="t" o:hr="t" fillcolor="#a0a0a0" stroked="f"/>
        </w:pict>
      </w:r>
    </w:p>
    <w:p w:rsidR="00432BEA" w:rsidRPr="00B55249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>Attendance and Apologies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IN ATTENDANCE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Ms Lisa Corbyn (Chair)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Professor Craig Simmons (Deputy Chair)</w:t>
      </w:r>
      <w:r w:rsidR="00CA4EF3">
        <w:rPr>
          <w:rFonts w:ascii="Calibri" w:hAnsi="Calibri" w:cs="Arial"/>
        </w:rPr>
        <w:t xml:space="preserve"> (by tele</w:t>
      </w:r>
      <w:r w:rsidR="0094790B">
        <w:rPr>
          <w:rFonts w:ascii="Calibri" w:hAnsi="Calibri" w:cs="Arial"/>
        </w:rPr>
        <w:t>conference)</w:t>
      </w:r>
    </w:p>
    <w:p w:rsidR="000232AE" w:rsidRDefault="000232AE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Andrew Boulton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Ms Jane Coram 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Emeritus Professor Peter Flood </w:t>
      </w:r>
    </w:p>
    <w:p w:rsidR="000232AE" w:rsidRDefault="000232AE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Dr Tom Hatton </w:t>
      </w:r>
    </w:p>
    <w:p w:rsidR="00432BEA" w:rsidRDefault="000232AE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Jenny Stauber</w:t>
      </w:r>
    </w:p>
    <w:p w:rsidR="0094790B" w:rsidRDefault="0094790B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Dr Andrew Johnson </w:t>
      </w:r>
      <w:r w:rsidR="00CA4EF3">
        <w:rPr>
          <w:rFonts w:ascii="Calibri" w:hAnsi="Calibri" w:cs="Arial"/>
        </w:rPr>
        <w:t>(by tele</w:t>
      </w:r>
      <w:r>
        <w:rPr>
          <w:rFonts w:ascii="Calibri" w:hAnsi="Calibri" w:cs="Arial"/>
        </w:rPr>
        <w:t>conference)</w:t>
      </w:r>
    </w:p>
    <w:p w:rsidR="0094790B" w:rsidRDefault="0094790B" w:rsidP="0092244A">
      <w:pPr>
        <w:tabs>
          <w:tab w:val="left" w:pos="426"/>
        </w:tabs>
        <w:rPr>
          <w:rFonts w:ascii="Calibri" w:hAnsi="Calibri" w:cs="Arial"/>
        </w:rPr>
      </w:pPr>
    </w:p>
    <w:p w:rsidR="00432BEA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APOLOGIES</w:t>
      </w:r>
    </w:p>
    <w:p w:rsidR="0094790B" w:rsidRPr="00B55249" w:rsidRDefault="0094790B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Nil</w:t>
      </w:r>
    </w:p>
    <w:p w:rsidR="00432BEA" w:rsidRPr="00B55249" w:rsidRDefault="00432BEA" w:rsidP="0092244A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B55249">
        <w:rPr>
          <w:rFonts w:ascii="Calibri" w:hAnsi="Calibri" w:cs="Arial"/>
        </w:rPr>
        <w:t>OFFICE OF WATER SCIENCE (OWS) - SECRETARIAT AND SUPPORT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1A56FE">
        <w:rPr>
          <w:rFonts w:ascii="Calibri" w:hAnsi="Calibri" w:cs="Arial"/>
        </w:rPr>
        <w:t>Gayle Milnes</w:t>
      </w:r>
    </w:p>
    <w:p w:rsidR="00432BEA" w:rsidRPr="00B5524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Sean Lane </w:t>
      </w:r>
    </w:p>
    <w:p w:rsidR="003C72FE" w:rsidRDefault="003C72FE" w:rsidP="0092244A">
      <w:pPr>
        <w:tabs>
          <w:tab w:val="left" w:pos="426"/>
        </w:tabs>
        <w:rPr>
          <w:rFonts w:ascii="Calibri" w:hAnsi="Calibri" w:cs="Arial"/>
        </w:rPr>
      </w:pPr>
      <w:r w:rsidRPr="001414BA">
        <w:rPr>
          <w:rFonts w:ascii="Calibri" w:hAnsi="Calibri" w:cs="Arial"/>
        </w:rPr>
        <w:t>Jason Smith</w:t>
      </w:r>
    </w:p>
    <w:p w:rsidR="00432BEA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B55249">
        <w:rPr>
          <w:rFonts w:ascii="Calibri" w:hAnsi="Calibri" w:cs="Arial"/>
        </w:rPr>
        <w:t>Helen Vooren</w:t>
      </w:r>
    </w:p>
    <w:p w:rsidR="0094790B" w:rsidRPr="00B55249" w:rsidRDefault="0094790B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Veronica Grobben</w:t>
      </w:r>
    </w:p>
    <w:p w:rsidR="00432BEA" w:rsidRPr="00B55249" w:rsidRDefault="00432BEA" w:rsidP="0092244A">
      <w:pPr>
        <w:tabs>
          <w:tab w:val="left" w:pos="426"/>
          <w:tab w:val="left" w:pos="5250"/>
        </w:tabs>
        <w:spacing w:before="240"/>
        <w:rPr>
          <w:rFonts w:ascii="Calibri" w:hAnsi="Calibri" w:cs="Arial"/>
        </w:rPr>
      </w:pPr>
      <w:r w:rsidRPr="00B55249">
        <w:rPr>
          <w:rFonts w:ascii="Calibri" w:hAnsi="Calibri" w:cs="Arial"/>
        </w:rPr>
        <w:t xml:space="preserve">OTHER STAFF OF THE DEPARTMENT OF THE ENVIRONMENT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678"/>
      </w:tblGrid>
      <w:tr w:rsidR="000232AE" w:rsidRPr="007667F8" w:rsidTr="003C72FE">
        <w:tc>
          <w:tcPr>
            <w:tcW w:w="4820" w:type="dxa"/>
            <w:tcBorders>
              <w:top w:val="single" w:sz="4" w:space="0" w:color="auto"/>
            </w:tcBorders>
          </w:tcPr>
          <w:p w:rsidR="000D5C1C" w:rsidRPr="000232AE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0232AE">
              <w:rPr>
                <w:rFonts w:asciiTheme="minorHAnsi" w:hAnsiTheme="minorHAnsi" w:cs="Arial"/>
              </w:rPr>
              <w:t xml:space="preserve">Craig Moore (Item 2) </w:t>
            </w:r>
          </w:p>
          <w:p w:rsidR="000232AE" w:rsidRPr="003D232B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0232AE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605A8F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0D5C1C">
              <w:rPr>
                <w:rFonts w:asciiTheme="minorHAnsi" w:hAnsiTheme="minorHAnsi" w:cs="Arial"/>
              </w:rPr>
              <w:t>Scott Lawson</w:t>
            </w:r>
            <w:r>
              <w:rPr>
                <w:rFonts w:asciiTheme="minorHAnsi" w:hAnsiTheme="minorHAnsi" w:cs="Arial"/>
              </w:rPr>
              <w:t xml:space="preserve"> (Item 2)</w:t>
            </w:r>
          </w:p>
          <w:p w:rsidR="000D5C1C" w:rsidRPr="003D232B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432BEA" w:rsidRPr="007667F8" w:rsidTr="003C72FE">
        <w:tc>
          <w:tcPr>
            <w:tcW w:w="4820" w:type="dxa"/>
            <w:tcBorders>
              <w:top w:val="single" w:sz="4" w:space="0" w:color="auto"/>
            </w:tcBorders>
          </w:tcPr>
          <w:p w:rsidR="000D5C1C" w:rsidRPr="00605A8F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>Rod Dann (Item 2)</w:t>
            </w:r>
          </w:p>
          <w:p w:rsidR="00432BEA" w:rsidRPr="000232AE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D5C1C" w:rsidRPr="00605A8F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 xml:space="preserve">Moya Tomlinson (Item </w:t>
            </w:r>
            <w:r>
              <w:rPr>
                <w:rFonts w:asciiTheme="minorHAnsi" w:hAnsiTheme="minorHAnsi" w:cs="Arial"/>
              </w:rPr>
              <w:t>2</w:t>
            </w:r>
            <w:r w:rsidRPr="00605A8F">
              <w:rPr>
                <w:rFonts w:asciiTheme="minorHAnsi" w:hAnsiTheme="minorHAnsi" w:cs="Arial"/>
              </w:rPr>
              <w:t>)</w:t>
            </w:r>
          </w:p>
          <w:p w:rsidR="00432BEA" w:rsidRPr="000232AE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>Office of Water Science</w:t>
            </w:r>
          </w:p>
        </w:tc>
      </w:tr>
      <w:tr w:rsidR="00432BEA" w:rsidRPr="007667F8" w:rsidTr="003C72FE">
        <w:tc>
          <w:tcPr>
            <w:tcW w:w="4820" w:type="dxa"/>
            <w:tcBorders>
              <w:top w:val="single" w:sz="4" w:space="0" w:color="auto"/>
            </w:tcBorders>
          </w:tcPr>
          <w:p w:rsidR="00432BEA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Emma Wi</w:t>
            </w:r>
            <w:r w:rsidR="00746869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>drowski (Item 2)</w:t>
            </w:r>
          </w:p>
          <w:p w:rsidR="000D5C1C" w:rsidRPr="00315340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</w:tcPr>
          <w:p w:rsidR="000D5C1C" w:rsidRPr="00605A8F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>Peter Baker (Item 3)</w:t>
            </w:r>
          </w:p>
          <w:p w:rsidR="00432BEA" w:rsidRPr="003D232B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605A8F">
              <w:rPr>
                <w:rFonts w:asciiTheme="minorHAnsi" w:hAnsiTheme="minorHAnsi" w:cs="Arial"/>
              </w:rPr>
              <w:t>Office of Water Science</w:t>
            </w:r>
          </w:p>
        </w:tc>
      </w:tr>
      <w:tr w:rsidR="008F14BE" w:rsidRPr="007667F8" w:rsidTr="003C72FE">
        <w:tc>
          <w:tcPr>
            <w:tcW w:w="4820" w:type="dxa"/>
          </w:tcPr>
          <w:p w:rsidR="008F14BE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James Hill (Item 3)</w:t>
            </w:r>
          </w:p>
          <w:p w:rsidR="000D5C1C" w:rsidRPr="00315340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</w:tcPr>
          <w:p w:rsidR="00315340" w:rsidRPr="000D5C1C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0D5C1C">
              <w:rPr>
                <w:rFonts w:asciiTheme="minorHAnsi" w:hAnsiTheme="minorHAnsi" w:cs="Arial"/>
              </w:rPr>
              <w:t>Penn</w:t>
            </w:r>
            <w:r w:rsidR="00967C10">
              <w:rPr>
                <w:rFonts w:asciiTheme="minorHAnsi" w:hAnsiTheme="minorHAnsi" w:cs="Arial"/>
              </w:rPr>
              <w:t>e</w:t>
            </w:r>
            <w:r w:rsidRPr="000D5C1C">
              <w:rPr>
                <w:rFonts w:asciiTheme="minorHAnsi" w:hAnsiTheme="minorHAnsi" w:cs="Arial"/>
              </w:rPr>
              <w:t>y Wood (Item 3)</w:t>
            </w:r>
          </w:p>
          <w:p w:rsidR="000D5C1C" w:rsidRPr="003D232B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  <w:highlight w:val="yellow"/>
              </w:rPr>
            </w:pPr>
            <w:r w:rsidRPr="000D5C1C">
              <w:rPr>
                <w:rFonts w:asciiTheme="minorHAnsi" w:hAnsiTheme="minorHAnsi" w:cs="Arial"/>
              </w:rPr>
              <w:t>Office of Water Science</w:t>
            </w:r>
          </w:p>
        </w:tc>
      </w:tr>
      <w:tr w:rsidR="00315340" w:rsidRPr="007667F8" w:rsidTr="00312DC1">
        <w:tc>
          <w:tcPr>
            <w:tcW w:w="4820" w:type="dxa"/>
          </w:tcPr>
          <w:p w:rsidR="000D5C1C" w:rsidRPr="00605A8F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 xml:space="preserve">Anthony Swirepik (Item 3, 4) </w:t>
            </w:r>
          </w:p>
          <w:p w:rsidR="00315340" w:rsidRPr="000232AE" w:rsidRDefault="000D5C1C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605A8F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shd w:val="clear" w:color="auto" w:fill="auto"/>
          </w:tcPr>
          <w:p w:rsidR="00EF7B35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Shane Hogan (Item 4)</w:t>
            </w:r>
          </w:p>
          <w:p w:rsidR="006531BB" w:rsidRPr="00605A8F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8F14BE" w:rsidRPr="007667F8" w:rsidTr="00312DC1">
        <w:tc>
          <w:tcPr>
            <w:tcW w:w="4820" w:type="dxa"/>
          </w:tcPr>
          <w:p w:rsidR="00EF7B35" w:rsidRDefault="006753FD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Anna</w:t>
            </w:r>
            <w:r w:rsidR="006531BB">
              <w:rPr>
                <w:rFonts w:asciiTheme="minorHAnsi" w:hAnsiTheme="minorHAnsi" w:cs="Arial"/>
              </w:rPr>
              <w:t xml:space="preserve"> Newton-Walters (Item 4)</w:t>
            </w:r>
          </w:p>
          <w:p w:rsidR="006531BB" w:rsidRPr="00605A8F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shd w:val="clear" w:color="auto" w:fill="auto"/>
          </w:tcPr>
          <w:p w:rsidR="008F14BE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Olga Braga (Item 4)</w:t>
            </w:r>
          </w:p>
          <w:p w:rsidR="006531BB" w:rsidRPr="00605A8F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</w:tr>
      <w:tr w:rsidR="00315340" w:rsidRPr="007667F8" w:rsidTr="00312DC1">
        <w:tc>
          <w:tcPr>
            <w:tcW w:w="4820" w:type="dxa"/>
          </w:tcPr>
          <w:p w:rsidR="00EF7B35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Bruce Gray (Item 4)</w:t>
            </w:r>
          </w:p>
          <w:p w:rsidR="006531BB" w:rsidRPr="00605A8F" w:rsidRDefault="006531BB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shd w:val="clear" w:color="auto" w:fill="auto"/>
          </w:tcPr>
          <w:p w:rsidR="00315340" w:rsidRPr="00605A8F" w:rsidRDefault="00315340" w:rsidP="0092244A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:rsidR="008F14BE" w:rsidRDefault="008F14BE" w:rsidP="0092244A"/>
    <w:p w:rsidR="00432BEA" w:rsidRDefault="00432BEA" w:rsidP="0092244A"/>
    <w:p w:rsidR="00432BEA" w:rsidRPr="00B55249" w:rsidRDefault="00432BEA" w:rsidP="0092244A">
      <w:pPr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Pr="00B55249">
        <w:rPr>
          <w:rFonts w:ascii="Calibri" w:hAnsi="Calibri" w:cs="Arial"/>
        </w:rPr>
        <w:t xml:space="preserve">he meeting commenced </w:t>
      </w:r>
      <w:r w:rsidRPr="00315340">
        <w:rPr>
          <w:rFonts w:ascii="Calibri" w:hAnsi="Calibri" w:cs="Arial"/>
        </w:rPr>
        <w:t xml:space="preserve">at </w:t>
      </w:r>
      <w:r w:rsidRPr="000D6248">
        <w:rPr>
          <w:rFonts w:ascii="Calibri" w:hAnsi="Calibri" w:cs="Arial"/>
        </w:rPr>
        <w:t>9</w:t>
      </w:r>
      <w:r w:rsidR="00315340" w:rsidRPr="000D6248">
        <w:rPr>
          <w:rFonts w:ascii="Calibri" w:hAnsi="Calibri" w:cs="Arial"/>
        </w:rPr>
        <w:t>.00</w:t>
      </w:r>
      <w:r w:rsidRPr="000D6248">
        <w:rPr>
          <w:rFonts w:ascii="Calibri" w:hAnsi="Calibri" w:cs="Arial"/>
        </w:rPr>
        <w:t xml:space="preserve"> am</w:t>
      </w:r>
      <w:r w:rsidRPr="00B55249">
        <w:rPr>
          <w:rFonts w:ascii="Calibri" w:hAnsi="Calibri" w:cs="Arial"/>
        </w:rPr>
        <w:t xml:space="preserve"> on </w:t>
      </w:r>
      <w:r w:rsidR="0094790B">
        <w:rPr>
          <w:rFonts w:ascii="Calibri" w:hAnsi="Calibri" w:cs="Arial"/>
        </w:rPr>
        <w:t>20 February 2015</w:t>
      </w:r>
      <w:r w:rsidRPr="00B55249">
        <w:rPr>
          <w:rFonts w:ascii="Calibri" w:hAnsi="Calibri" w:cs="Arial"/>
        </w:rPr>
        <w:t xml:space="preserve">. </w:t>
      </w:r>
    </w:p>
    <w:p w:rsidR="00432BEA" w:rsidRPr="00B55249" w:rsidRDefault="00432BEA" w:rsidP="0092244A">
      <w:pPr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B55249">
        <w:rPr>
          <w:rFonts w:ascii="Calibri" w:hAnsi="Calibri" w:cs="Arial"/>
          <w:b/>
        </w:rPr>
        <w:t>1.</w:t>
      </w:r>
      <w:r w:rsidRPr="00B55249">
        <w:rPr>
          <w:rFonts w:ascii="Calibri" w:hAnsi="Calibri" w:cs="Arial"/>
          <w:b/>
        </w:rPr>
        <w:tab/>
        <w:t>Welcome and Introductions</w:t>
      </w:r>
    </w:p>
    <w:p w:rsidR="00432BEA" w:rsidRPr="009449F2" w:rsidRDefault="009449F2" w:rsidP="0092244A">
      <w:pPr>
        <w:spacing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Chair </w:t>
      </w:r>
      <w:r w:rsidR="00432BEA" w:rsidRPr="009449F2">
        <w:rPr>
          <w:rFonts w:ascii="Calibri" w:hAnsi="Calibri" w:cs="Arial"/>
        </w:rPr>
        <w:t xml:space="preserve">welcomed members of the Independent Expert Scientific Committee on Coal Seam Gas and Large Coal Mining Development (IESC) to the meeting. </w:t>
      </w:r>
    </w:p>
    <w:p w:rsidR="00432BEA" w:rsidRPr="00B55249" w:rsidRDefault="0094790B" w:rsidP="0092244A">
      <w:pPr>
        <w:spacing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There were no apologies.</w:t>
      </w:r>
    </w:p>
    <w:p w:rsidR="002C67E6" w:rsidRDefault="002C67E6">
      <w:pPr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lastRenderedPageBreak/>
        <w:t>1.1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Acknowledgement of country</w:t>
      </w:r>
    </w:p>
    <w:p w:rsidR="00432BEA" w:rsidRPr="009449F2" w:rsidRDefault="00432BEA" w:rsidP="0092244A">
      <w:pPr>
        <w:spacing w:after="120"/>
        <w:ind w:left="425"/>
        <w:rPr>
          <w:rFonts w:ascii="Calibri" w:hAnsi="Calibri" w:cs="Arial"/>
        </w:rPr>
      </w:pPr>
      <w:r w:rsidRPr="009449F2">
        <w:rPr>
          <w:rFonts w:ascii="Calibri" w:hAnsi="Calibri" w:cs="Arial"/>
        </w:rPr>
        <w:t>The Chair acknowledged the traditional owners, past and present, on whose land this meeting was held.</w:t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1.2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Declaration of interest</w:t>
      </w:r>
    </w:p>
    <w:p w:rsidR="00480075" w:rsidRPr="00470249" w:rsidRDefault="00480075" w:rsidP="0092244A">
      <w:pPr>
        <w:tabs>
          <w:tab w:val="left" w:pos="426"/>
          <w:tab w:val="left" w:pos="567"/>
        </w:tabs>
        <w:spacing w:before="120" w:after="120"/>
        <w:ind w:left="426"/>
        <w:rPr>
          <w:rFonts w:asciiTheme="minorHAnsi" w:hAnsiTheme="minorHAnsi" w:cs="Arial"/>
        </w:rPr>
      </w:pPr>
      <w:r w:rsidRPr="00470249">
        <w:rPr>
          <w:rFonts w:asciiTheme="minorHAnsi" w:hAnsiTheme="minorHAnsi" w:cs="Arial"/>
        </w:rPr>
        <w:t xml:space="preserve">Before the meeting commenced, </w:t>
      </w:r>
      <w:r>
        <w:rPr>
          <w:rFonts w:asciiTheme="minorHAnsi" w:hAnsiTheme="minorHAnsi" w:cs="Arial"/>
        </w:rPr>
        <w:t>IESC</w:t>
      </w:r>
      <w:r w:rsidRPr="00470249">
        <w:rPr>
          <w:rFonts w:asciiTheme="minorHAnsi" w:hAnsiTheme="minorHAnsi" w:cs="Arial"/>
        </w:rPr>
        <w:t xml:space="preserve"> members completed the Meeting Specific </w:t>
      </w:r>
      <w:r>
        <w:rPr>
          <w:rFonts w:asciiTheme="minorHAnsi" w:hAnsiTheme="minorHAnsi" w:cs="Arial"/>
        </w:rPr>
        <w:t>Declaration of Interest</w:t>
      </w:r>
      <w:r w:rsidRPr="00470249">
        <w:rPr>
          <w:rFonts w:asciiTheme="minorHAnsi" w:hAnsiTheme="minorHAnsi" w:cs="Arial"/>
        </w:rPr>
        <w:t>. No actual, potential or perceived conflicts of interest that would preclude members from participating in this meeting were de</w:t>
      </w:r>
      <w:r w:rsidR="00832804">
        <w:rPr>
          <w:rFonts w:asciiTheme="minorHAnsi" w:hAnsiTheme="minorHAnsi" w:cs="Arial"/>
        </w:rPr>
        <w:t xml:space="preserve">termined by the Chair. </w:t>
      </w:r>
      <w:r w:rsidRPr="00470249">
        <w:rPr>
          <w:rFonts w:asciiTheme="minorHAnsi" w:hAnsiTheme="minorHAnsi" w:cs="Arial"/>
        </w:rPr>
        <w:t>.</w:t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1.3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Confirmation of agenda</w:t>
      </w:r>
    </w:p>
    <w:p w:rsidR="00432BEA" w:rsidRPr="00B55249" w:rsidRDefault="00432BEA" w:rsidP="0092244A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9449F2">
        <w:rPr>
          <w:rFonts w:ascii="Calibri" w:hAnsi="Calibri" w:cs="Arial"/>
        </w:rPr>
        <w:t>The IESC endorsed the agenda for Meeting 2</w:t>
      </w:r>
      <w:r w:rsidR="0094790B" w:rsidRPr="009449F2">
        <w:rPr>
          <w:rFonts w:ascii="Calibri" w:hAnsi="Calibri" w:cs="Arial"/>
        </w:rPr>
        <w:t>5</w:t>
      </w:r>
      <w:r w:rsidRPr="009449F2">
        <w:rPr>
          <w:rFonts w:ascii="Calibri" w:hAnsi="Calibri" w:cs="Arial"/>
        </w:rPr>
        <w:t>.</w:t>
      </w:r>
    </w:p>
    <w:p w:rsidR="00432BEA" w:rsidRPr="009449F2" w:rsidRDefault="00432BEA" w:rsidP="0092244A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1.4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Action items</w:t>
      </w:r>
    </w:p>
    <w:p w:rsidR="00432BEA" w:rsidRDefault="00432BEA" w:rsidP="0092244A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449F2">
        <w:rPr>
          <w:rFonts w:ascii="Calibri" w:hAnsi="Calibri" w:cs="Arial"/>
        </w:rPr>
        <w:t>Completed items were noted. A number of follow-up items were listed on the agenda for this or later meetings.</w:t>
      </w:r>
      <w:r>
        <w:rPr>
          <w:rFonts w:ascii="Calibri" w:hAnsi="Calibri" w:cs="Arial"/>
        </w:rPr>
        <w:t xml:space="preserve"> </w:t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1.5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Confirmation of out-of-session decisions</w:t>
      </w:r>
    </w:p>
    <w:p w:rsidR="00432BEA" w:rsidRPr="00B55249" w:rsidRDefault="00432BEA" w:rsidP="0092244A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449F2">
        <w:rPr>
          <w:rFonts w:ascii="Calibri" w:hAnsi="Calibri" w:cs="Arial"/>
        </w:rPr>
        <w:t>The Chair noted th</w:t>
      </w:r>
      <w:r w:rsidR="009C49F8" w:rsidRPr="009449F2">
        <w:rPr>
          <w:rFonts w:ascii="Calibri" w:hAnsi="Calibri" w:cs="Arial"/>
        </w:rPr>
        <w:t>e following out-of-session item</w:t>
      </w:r>
      <w:r w:rsidRPr="009449F2">
        <w:rPr>
          <w:rFonts w:ascii="Calibri" w:hAnsi="Calibri" w:cs="Arial"/>
        </w:rPr>
        <w:t>:</w:t>
      </w:r>
    </w:p>
    <w:p w:rsidR="00432BEA" w:rsidRPr="00B55249" w:rsidRDefault="009C49F8" w:rsidP="0092244A">
      <w:pPr>
        <w:pStyle w:val="ListBullet"/>
        <w:numPr>
          <w:ilvl w:val="0"/>
          <w:numId w:val="7"/>
        </w:numPr>
        <w:spacing w:after="120"/>
        <w:ind w:left="782" w:hanging="357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Minutes of the IESC’s twenty-</w:t>
      </w:r>
      <w:r w:rsidR="0094790B">
        <w:rPr>
          <w:rFonts w:asciiTheme="minorHAnsi" w:hAnsiTheme="minorHAnsi"/>
        </w:rPr>
        <w:t>fourth</w:t>
      </w:r>
      <w:r w:rsidR="00432BEA" w:rsidRPr="00B55249">
        <w:rPr>
          <w:rFonts w:asciiTheme="minorHAnsi" w:hAnsiTheme="minorHAnsi"/>
        </w:rPr>
        <w:t xml:space="preserve"> meeting (</w:t>
      </w:r>
      <w:r w:rsidR="0094790B">
        <w:rPr>
          <w:rFonts w:asciiTheme="minorHAnsi" w:hAnsiTheme="minorHAnsi"/>
        </w:rPr>
        <w:t>10-11 December 2014</w:t>
      </w:r>
      <w:r w:rsidR="00432BEA" w:rsidRPr="00B55249">
        <w:rPr>
          <w:rFonts w:asciiTheme="minorHAnsi" w:hAnsiTheme="minorHAnsi"/>
        </w:rPr>
        <w:t>) were agreed out-of-session and posted on the IESC’s website</w:t>
      </w:r>
      <w:r>
        <w:rPr>
          <w:rFonts w:asciiTheme="minorHAnsi" w:hAnsiTheme="minorHAnsi"/>
        </w:rPr>
        <w:t>.</w:t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1.6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Correspondence</w:t>
      </w:r>
    </w:p>
    <w:p w:rsidR="00432BEA" w:rsidRPr="009449F2" w:rsidRDefault="00432BEA" w:rsidP="0092244A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 w:rsidRPr="009449F2">
        <w:rPr>
          <w:rFonts w:ascii="Calibri" w:hAnsi="Calibri" w:cs="Arial"/>
        </w:rPr>
        <w:t>The IESC noted the action taken and status of correspondence</w:t>
      </w:r>
      <w:r w:rsidR="009C49F8" w:rsidRPr="009449F2">
        <w:rPr>
          <w:rFonts w:ascii="Calibri" w:hAnsi="Calibri" w:cs="Arial"/>
        </w:rPr>
        <w:t xml:space="preserve"> to </w:t>
      </w:r>
      <w:r w:rsidR="00C2538A">
        <w:rPr>
          <w:rFonts w:ascii="Calibri" w:hAnsi="Calibri" w:cs="Arial"/>
        </w:rPr>
        <w:t>20 February</w:t>
      </w:r>
      <w:r w:rsidR="00792973" w:rsidRPr="009449F2">
        <w:rPr>
          <w:rFonts w:ascii="Calibri" w:hAnsi="Calibri" w:cs="Arial"/>
        </w:rPr>
        <w:t xml:space="preserve"> 2015</w:t>
      </w:r>
      <w:r w:rsidRPr="009449F2">
        <w:rPr>
          <w:rFonts w:ascii="Calibri" w:hAnsi="Calibri" w:cs="Arial"/>
        </w:rPr>
        <w:t>.</w:t>
      </w:r>
    </w:p>
    <w:p w:rsidR="00432BEA" w:rsidRPr="009449F2" w:rsidRDefault="00432BEA" w:rsidP="0092244A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9449F2">
        <w:rPr>
          <w:rFonts w:ascii="Calibri" w:hAnsi="Calibri" w:cs="Arial"/>
        </w:rPr>
        <w:t>1.7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Environmental scan</w:t>
      </w:r>
    </w:p>
    <w:p w:rsidR="00F92CBB" w:rsidRDefault="00432BEA" w:rsidP="0092244A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9449F2">
        <w:rPr>
          <w:rFonts w:ascii="Calibri" w:hAnsi="Calibri" w:cs="Arial"/>
        </w:rPr>
        <w:t xml:space="preserve">The Office of Water Science (OWS) provided an update on developments since the </w:t>
      </w:r>
      <w:r w:rsidR="003D232B" w:rsidRPr="009449F2">
        <w:rPr>
          <w:rFonts w:ascii="Calibri" w:hAnsi="Calibri" w:cs="Arial"/>
        </w:rPr>
        <w:t>November</w:t>
      </w:r>
      <w:r w:rsidR="009C49F8" w:rsidRPr="009449F2">
        <w:rPr>
          <w:rFonts w:ascii="Calibri" w:hAnsi="Calibri" w:cs="Arial"/>
        </w:rPr>
        <w:t xml:space="preserve"> </w:t>
      </w:r>
      <w:r w:rsidRPr="009449F2">
        <w:rPr>
          <w:rFonts w:ascii="Calibri" w:hAnsi="Calibri" w:cs="Arial"/>
        </w:rPr>
        <w:t xml:space="preserve">IESC meeting </w:t>
      </w:r>
      <w:r w:rsidR="006E1B01" w:rsidRPr="009449F2">
        <w:rPr>
          <w:rFonts w:ascii="Calibri" w:hAnsi="Calibri" w:cs="Arial"/>
        </w:rPr>
        <w:t>including</w:t>
      </w:r>
      <w:r w:rsidR="00803F86" w:rsidRPr="009449F2">
        <w:rPr>
          <w:rFonts w:ascii="Calibri" w:hAnsi="Calibri" w:cs="Arial"/>
        </w:rPr>
        <w:t>:</w:t>
      </w:r>
      <w:r w:rsidR="006E1B01">
        <w:rPr>
          <w:rFonts w:ascii="Calibri" w:hAnsi="Calibri" w:cs="Arial"/>
        </w:rPr>
        <w:t xml:space="preserve"> </w:t>
      </w:r>
    </w:p>
    <w:p w:rsidR="007D2175" w:rsidRPr="0092244A" w:rsidRDefault="00803F86" w:rsidP="0092244A">
      <w:pPr>
        <w:pStyle w:val="ListBullet"/>
        <w:ind w:left="709" w:hanging="283"/>
        <w:rPr>
          <w:rFonts w:asciiTheme="minorHAnsi" w:hAnsiTheme="minorHAnsi"/>
        </w:rPr>
      </w:pPr>
      <w:r>
        <w:rPr>
          <w:rFonts w:ascii="Calibri" w:hAnsi="Calibri" w:cs="Arial"/>
        </w:rPr>
        <w:t xml:space="preserve">The publication, since the last meeting, of advice provided on </w:t>
      </w:r>
      <w:r w:rsidR="006753FD">
        <w:rPr>
          <w:rFonts w:ascii="Calibri" w:hAnsi="Calibri" w:cs="Arial"/>
        </w:rPr>
        <w:t>the Strike</w:t>
      </w:r>
      <w:r>
        <w:rPr>
          <w:rFonts w:ascii="Calibri" w:hAnsi="Calibri" w:cs="Arial"/>
        </w:rPr>
        <w:t xml:space="preserve"> Energy Final Appraisal Production </w:t>
      </w:r>
      <w:r w:rsidRPr="0092244A">
        <w:rPr>
          <w:rFonts w:asciiTheme="minorHAnsi" w:hAnsiTheme="minorHAnsi"/>
        </w:rPr>
        <w:t>Testing in PEL 96 project on 24 December 2014 and the Santos GLNG Gas Fields Development project on 6 January 2015;</w:t>
      </w:r>
    </w:p>
    <w:p w:rsidR="00803F86" w:rsidRPr="0092244A" w:rsidRDefault="00C2538A" w:rsidP="0092244A">
      <w:pPr>
        <w:pStyle w:val="ListBullet"/>
        <w:ind w:left="709" w:hanging="283"/>
        <w:rPr>
          <w:rFonts w:asciiTheme="minorHAnsi" w:hAnsiTheme="minorHAnsi"/>
        </w:rPr>
      </w:pPr>
      <w:r w:rsidRPr="0092244A">
        <w:rPr>
          <w:rFonts w:asciiTheme="minorHAnsi" w:hAnsiTheme="minorHAnsi"/>
        </w:rPr>
        <w:t>R</w:t>
      </w:r>
      <w:r w:rsidR="00935712" w:rsidRPr="0092244A">
        <w:rPr>
          <w:rFonts w:asciiTheme="minorHAnsi" w:hAnsiTheme="minorHAnsi"/>
        </w:rPr>
        <w:t xml:space="preserve">eports </w:t>
      </w:r>
      <w:r w:rsidRPr="0092244A">
        <w:rPr>
          <w:rFonts w:asciiTheme="minorHAnsi" w:hAnsiTheme="minorHAnsi"/>
        </w:rPr>
        <w:t xml:space="preserve">regarding AGL’s </w:t>
      </w:r>
      <w:r w:rsidR="00AA31D1" w:rsidRPr="0092244A">
        <w:rPr>
          <w:rFonts w:asciiTheme="minorHAnsi" w:hAnsiTheme="minorHAnsi"/>
        </w:rPr>
        <w:t xml:space="preserve">CSG </w:t>
      </w:r>
      <w:r w:rsidRPr="0092244A">
        <w:rPr>
          <w:rFonts w:asciiTheme="minorHAnsi" w:hAnsiTheme="minorHAnsi"/>
        </w:rPr>
        <w:t xml:space="preserve">operations </w:t>
      </w:r>
      <w:r w:rsidR="00AA31D1" w:rsidRPr="0092244A">
        <w:rPr>
          <w:rFonts w:asciiTheme="minorHAnsi" w:hAnsiTheme="minorHAnsi"/>
        </w:rPr>
        <w:t>in NSW</w:t>
      </w:r>
      <w:r w:rsidR="00935712" w:rsidRPr="0092244A">
        <w:rPr>
          <w:rFonts w:asciiTheme="minorHAnsi" w:hAnsiTheme="minorHAnsi"/>
        </w:rPr>
        <w:t>;</w:t>
      </w:r>
      <w:r w:rsidR="00AA31D1" w:rsidRPr="0092244A">
        <w:rPr>
          <w:rFonts w:asciiTheme="minorHAnsi" w:hAnsiTheme="minorHAnsi"/>
        </w:rPr>
        <w:t xml:space="preserve"> and</w:t>
      </w:r>
    </w:p>
    <w:p w:rsidR="00935712" w:rsidRDefault="0051331E" w:rsidP="0092244A">
      <w:pPr>
        <w:pStyle w:val="ListBullet"/>
        <w:ind w:left="709" w:hanging="283"/>
        <w:rPr>
          <w:rFonts w:ascii="Calibri" w:hAnsi="Calibri" w:cs="Arial"/>
        </w:rPr>
      </w:pPr>
      <w:r w:rsidRPr="0092244A">
        <w:rPr>
          <w:rFonts w:asciiTheme="minorHAnsi" w:hAnsiTheme="minorHAnsi"/>
        </w:rPr>
        <w:t>Publication of a number of reports on hydraulic fracturing by the US Geological Survey and the New York State Department</w:t>
      </w:r>
      <w:r>
        <w:rPr>
          <w:rFonts w:ascii="Calibri" w:hAnsi="Calibri" w:cs="Arial"/>
        </w:rPr>
        <w:t xml:space="preserve"> of Health. </w:t>
      </w:r>
    </w:p>
    <w:p w:rsidR="00432BEA" w:rsidRPr="009449F2" w:rsidRDefault="00432BEA" w:rsidP="0092244A">
      <w:pPr>
        <w:keepNext/>
        <w:tabs>
          <w:tab w:val="left" w:pos="426"/>
        </w:tabs>
        <w:spacing w:before="120" w:after="120"/>
        <w:rPr>
          <w:rFonts w:ascii="Calibri" w:hAnsi="Calibri" w:cs="Arial"/>
        </w:rPr>
      </w:pPr>
      <w:r w:rsidRPr="009449F2">
        <w:rPr>
          <w:rFonts w:ascii="Calibri" w:hAnsi="Calibri" w:cs="Arial"/>
        </w:rPr>
        <w:t>1.8</w:t>
      </w:r>
      <w:r w:rsidRPr="009449F2">
        <w:rPr>
          <w:rFonts w:ascii="Calibri" w:hAnsi="Calibri" w:cs="Arial"/>
        </w:rPr>
        <w:tab/>
      </w:r>
      <w:r w:rsidRPr="009449F2">
        <w:rPr>
          <w:rFonts w:ascii="Calibri" w:hAnsi="Calibri" w:cs="Arial"/>
          <w:u w:val="single"/>
        </w:rPr>
        <w:t>Forward Planning Agenda</w:t>
      </w:r>
    </w:p>
    <w:p w:rsidR="00BD03DA" w:rsidRDefault="00432BEA" w:rsidP="0092244A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9449F2">
        <w:rPr>
          <w:rFonts w:ascii="Calibri" w:hAnsi="Calibri" w:cs="Arial"/>
        </w:rPr>
        <w:t xml:space="preserve">The IESC noted the forward planning agenda and items due for consideration through to </w:t>
      </w:r>
      <w:r w:rsidR="007D549B" w:rsidRPr="009449F2">
        <w:rPr>
          <w:rFonts w:ascii="Calibri" w:hAnsi="Calibri" w:cs="Arial"/>
        </w:rPr>
        <w:t xml:space="preserve">November </w:t>
      </w:r>
      <w:r w:rsidRPr="009449F2">
        <w:rPr>
          <w:rFonts w:ascii="Calibri" w:hAnsi="Calibri" w:cs="Arial"/>
        </w:rPr>
        <w:t>2015.</w:t>
      </w:r>
      <w:r>
        <w:rPr>
          <w:rFonts w:ascii="Calibri" w:hAnsi="Calibri" w:cs="Arial"/>
        </w:rPr>
        <w:t xml:space="preserve"> </w:t>
      </w:r>
    </w:p>
    <w:p w:rsidR="00C603ED" w:rsidRDefault="00AA31D1" w:rsidP="0092244A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Some of t</w:t>
      </w:r>
      <w:r w:rsidR="007D549B">
        <w:rPr>
          <w:rFonts w:ascii="Calibri" w:hAnsi="Calibri" w:cs="Arial"/>
        </w:rPr>
        <w:t xml:space="preserve">he </w:t>
      </w:r>
      <w:r w:rsidR="00BC573D">
        <w:rPr>
          <w:rFonts w:ascii="Calibri" w:hAnsi="Calibri" w:cs="Arial"/>
        </w:rPr>
        <w:t xml:space="preserve">Bioregional Assessment </w:t>
      </w:r>
      <w:r w:rsidR="00C603ED">
        <w:rPr>
          <w:rFonts w:ascii="Calibri" w:hAnsi="Calibri" w:cs="Arial"/>
        </w:rPr>
        <w:t xml:space="preserve">presentations previously scheduled </w:t>
      </w:r>
      <w:r w:rsidR="00BC573D">
        <w:rPr>
          <w:rFonts w:ascii="Calibri" w:hAnsi="Calibri" w:cs="Arial"/>
        </w:rPr>
        <w:t xml:space="preserve">for March </w:t>
      </w:r>
      <w:r w:rsidR="00BD03DA">
        <w:rPr>
          <w:rFonts w:ascii="Calibri" w:hAnsi="Calibri" w:cs="Arial"/>
        </w:rPr>
        <w:t xml:space="preserve">2015 </w:t>
      </w:r>
      <w:r w:rsidR="00BC573D">
        <w:rPr>
          <w:rFonts w:ascii="Calibri" w:hAnsi="Calibri" w:cs="Arial"/>
        </w:rPr>
        <w:t xml:space="preserve">on draft scientific methodologies </w:t>
      </w:r>
      <w:r>
        <w:rPr>
          <w:rFonts w:ascii="Calibri" w:hAnsi="Calibri" w:cs="Arial"/>
        </w:rPr>
        <w:t xml:space="preserve">may need to </w:t>
      </w:r>
      <w:r w:rsidR="00BC573D">
        <w:rPr>
          <w:rFonts w:ascii="Calibri" w:hAnsi="Calibri" w:cs="Arial"/>
        </w:rPr>
        <w:t>be resche</w:t>
      </w:r>
      <w:r w:rsidR="00781D4C">
        <w:rPr>
          <w:rFonts w:ascii="Calibri" w:hAnsi="Calibri" w:cs="Arial"/>
        </w:rPr>
        <w:t>d</w:t>
      </w:r>
      <w:r w:rsidR="00BC573D">
        <w:rPr>
          <w:rFonts w:ascii="Calibri" w:hAnsi="Calibri" w:cs="Arial"/>
        </w:rPr>
        <w:t>uled for April.</w:t>
      </w:r>
    </w:p>
    <w:p w:rsidR="00781D4C" w:rsidRDefault="00781D4C" w:rsidP="0092244A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proposed field trip for new members, as part of their induction, would be rescheduled for April rather than May, if time permitted.</w:t>
      </w:r>
    </w:p>
    <w:p w:rsidR="00432BEA" w:rsidRPr="00CB5879" w:rsidRDefault="00432BEA" w:rsidP="0092244A">
      <w:pPr>
        <w:tabs>
          <w:tab w:val="left" w:pos="426"/>
          <w:tab w:val="left" w:pos="567"/>
        </w:tabs>
        <w:spacing w:after="120"/>
        <w:rPr>
          <w:rFonts w:ascii="Calibri" w:hAnsi="Calibri" w:cs="Arial"/>
          <w:b/>
        </w:rPr>
      </w:pPr>
      <w:r w:rsidRPr="001126ED">
        <w:rPr>
          <w:rFonts w:ascii="Calibri" w:hAnsi="Calibri" w:cs="Arial"/>
          <w:b/>
        </w:rPr>
        <w:t>2.</w:t>
      </w:r>
      <w:r w:rsidRPr="001126ED">
        <w:rPr>
          <w:rFonts w:ascii="Calibri" w:hAnsi="Calibri" w:cs="Arial"/>
          <w:b/>
        </w:rPr>
        <w:tab/>
        <w:t>Advice on Projects referred by Governments</w:t>
      </w:r>
    </w:p>
    <w:p w:rsidR="00432BEA" w:rsidRPr="00CB5879" w:rsidRDefault="00432BEA" w:rsidP="0092244A">
      <w:pPr>
        <w:spacing w:before="120" w:after="120"/>
        <w:ind w:left="426" w:hanging="426"/>
        <w:rPr>
          <w:rFonts w:ascii="Calibri" w:hAnsi="Calibri" w:cs="Arial"/>
          <w:u w:val="single"/>
        </w:rPr>
      </w:pPr>
      <w:r w:rsidRPr="00CB5879">
        <w:rPr>
          <w:rFonts w:ascii="Calibri" w:hAnsi="Calibri" w:cs="Arial"/>
        </w:rPr>
        <w:t>2.1</w:t>
      </w:r>
      <w:r w:rsidRPr="00CB5879">
        <w:rPr>
          <w:rFonts w:ascii="Calibri" w:hAnsi="Calibri" w:cs="Arial"/>
        </w:rPr>
        <w:tab/>
      </w:r>
      <w:r w:rsidR="00412103">
        <w:rPr>
          <w:rFonts w:ascii="Calibri" w:hAnsi="Calibri" w:cs="Arial"/>
          <w:u w:val="single"/>
        </w:rPr>
        <w:t>Drayton South</w:t>
      </w:r>
    </w:p>
    <w:p w:rsidR="00432BEA" w:rsidRPr="007667F8" w:rsidRDefault="00432BEA" w:rsidP="0092244A">
      <w:pPr>
        <w:tabs>
          <w:tab w:val="left" w:pos="426"/>
        </w:tabs>
        <w:spacing w:after="120"/>
        <w:ind w:left="426"/>
        <w:rPr>
          <w:rFonts w:ascii="Calibri" w:hAnsi="Calibri" w:cs="Arial"/>
          <w:highlight w:val="yellow"/>
        </w:rPr>
      </w:pPr>
      <w:r w:rsidRPr="00CB5879">
        <w:rPr>
          <w:rFonts w:ascii="Calibri" w:hAnsi="Calibri" w:cs="Arial"/>
        </w:rPr>
        <w:t xml:space="preserve">The </w:t>
      </w:r>
      <w:r w:rsidR="006B0468">
        <w:rPr>
          <w:rFonts w:ascii="Calibri" w:hAnsi="Calibri" w:cs="Arial"/>
        </w:rPr>
        <w:t>NSW</w:t>
      </w:r>
      <w:r w:rsidR="00F95DC4">
        <w:rPr>
          <w:rFonts w:ascii="Calibri" w:hAnsi="Calibri" w:cs="Arial"/>
        </w:rPr>
        <w:t xml:space="preserve"> Mining and Petroleum Gateway Panel</w:t>
      </w:r>
      <w:r w:rsidR="006B0468">
        <w:rPr>
          <w:rFonts w:ascii="Calibri" w:hAnsi="Calibri" w:cs="Arial"/>
        </w:rPr>
        <w:t xml:space="preserve"> </w:t>
      </w:r>
      <w:r w:rsidRPr="00CB5879">
        <w:rPr>
          <w:rFonts w:ascii="Calibri" w:hAnsi="Calibri" w:cs="Arial"/>
        </w:rPr>
        <w:t>sought the IESC’s advice on the</w:t>
      </w:r>
      <w:r w:rsidR="009C49F8">
        <w:rPr>
          <w:rFonts w:ascii="Calibri" w:hAnsi="Calibri" w:cs="Arial"/>
        </w:rPr>
        <w:t xml:space="preserve"> </w:t>
      </w:r>
      <w:r w:rsidR="006B0468">
        <w:rPr>
          <w:rFonts w:ascii="Calibri" w:hAnsi="Calibri" w:cs="Arial"/>
        </w:rPr>
        <w:t xml:space="preserve">Drayton South Coal </w:t>
      </w:r>
      <w:r w:rsidR="00085974">
        <w:rPr>
          <w:rFonts w:ascii="Calibri" w:hAnsi="Calibri" w:cs="Arial"/>
        </w:rPr>
        <w:t>project</w:t>
      </w:r>
      <w:r w:rsidRPr="00CB5879">
        <w:rPr>
          <w:rFonts w:ascii="Calibri" w:hAnsi="Calibri" w:cs="Arial"/>
        </w:rPr>
        <w:t xml:space="preserve"> which is </w:t>
      </w:r>
      <w:r w:rsidRPr="000759A3">
        <w:rPr>
          <w:rFonts w:ascii="Calibri" w:hAnsi="Calibri" w:cs="Arial"/>
        </w:rPr>
        <w:t xml:space="preserve">at the </w:t>
      </w:r>
      <w:r w:rsidR="006B0468">
        <w:rPr>
          <w:rFonts w:ascii="Calibri" w:hAnsi="Calibri" w:cs="Arial"/>
        </w:rPr>
        <w:t>gateway</w:t>
      </w:r>
      <w:r w:rsidRPr="000759A3">
        <w:rPr>
          <w:rFonts w:ascii="Calibri" w:hAnsi="Calibri" w:cs="Arial"/>
        </w:rPr>
        <w:t xml:space="preserve"> stage</w:t>
      </w:r>
      <w:r w:rsidR="00BE7C93">
        <w:rPr>
          <w:rFonts w:ascii="Calibri" w:hAnsi="Calibri" w:cs="Arial"/>
        </w:rPr>
        <w:t>.</w:t>
      </w:r>
      <w:r w:rsidRPr="000759A3">
        <w:t xml:space="preserve"> </w:t>
      </w:r>
    </w:p>
    <w:p w:rsidR="00EC66DB" w:rsidRPr="00A333FB" w:rsidRDefault="00432BEA" w:rsidP="0092244A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A85989">
        <w:rPr>
          <w:rFonts w:ascii="Calibri" w:hAnsi="Calibri" w:cs="Arial"/>
        </w:rPr>
        <w:t xml:space="preserve">The proposed project is an </w:t>
      </w:r>
      <w:r>
        <w:rPr>
          <w:rFonts w:ascii="Calibri" w:hAnsi="Calibri" w:cs="Arial"/>
        </w:rPr>
        <w:t xml:space="preserve">extension to an </w:t>
      </w:r>
      <w:r w:rsidRPr="00A85989">
        <w:rPr>
          <w:rFonts w:ascii="Calibri" w:hAnsi="Calibri" w:cs="Arial"/>
        </w:rPr>
        <w:t>existing</w:t>
      </w:r>
      <w:r w:rsidR="00EC66DB">
        <w:rPr>
          <w:rFonts w:ascii="Calibri" w:hAnsi="Calibri" w:cs="Arial"/>
        </w:rPr>
        <w:t xml:space="preserve"> open cut</w:t>
      </w:r>
      <w:r w:rsidRPr="00A85989">
        <w:rPr>
          <w:rFonts w:ascii="Calibri" w:hAnsi="Calibri" w:cs="Arial"/>
        </w:rPr>
        <w:t xml:space="preserve"> </w:t>
      </w:r>
      <w:r w:rsidR="00085974">
        <w:rPr>
          <w:rFonts w:ascii="Calibri" w:hAnsi="Calibri" w:cs="Arial"/>
        </w:rPr>
        <w:t xml:space="preserve">coal </w:t>
      </w:r>
      <w:r w:rsidR="004265F5">
        <w:rPr>
          <w:rFonts w:ascii="Calibri" w:hAnsi="Calibri" w:cs="Arial"/>
        </w:rPr>
        <w:t xml:space="preserve">mine </w:t>
      </w:r>
      <w:r w:rsidR="00085974">
        <w:rPr>
          <w:rFonts w:ascii="Calibri" w:hAnsi="Calibri" w:cs="Arial"/>
        </w:rPr>
        <w:t>located</w:t>
      </w:r>
      <w:r w:rsidR="00085974" w:rsidRPr="00085974">
        <w:rPr>
          <w:rFonts w:ascii="Calibri" w:hAnsi="Calibri" w:cs="Arial"/>
        </w:rPr>
        <w:t xml:space="preserve"> </w:t>
      </w:r>
      <w:r w:rsidR="004265F5">
        <w:rPr>
          <w:rFonts w:ascii="Calibri" w:hAnsi="Calibri" w:cs="Arial"/>
        </w:rPr>
        <w:t>the Hunter Valley NSW</w:t>
      </w:r>
      <w:r w:rsidR="00085974" w:rsidRPr="00085974">
        <w:rPr>
          <w:rFonts w:ascii="Calibri" w:hAnsi="Calibri" w:cs="Arial"/>
        </w:rPr>
        <w:t xml:space="preserve">. The nearest towns include </w:t>
      </w:r>
      <w:r w:rsidR="004265F5">
        <w:rPr>
          <w:rFonts w:ascii="Calibri" w:hAnsi="Calibri" w:cs="Arial"/>
        </w:rPr>
        <w:t>Muswellbrook, Jerry’s Plain</w:t>
      </w:r>
      <w:r w:rsidR="00746869">
        <w:rPr>
          <w:rFonts w:ascii="Calibri" w:hAnsi="Calibri" w:cs="Arial"/>
        </w:rPr>
        <w:t>s</w:t>
      </w:r>
      <w:r w:rsidR="004265F5">
        <w:rPr>
          <w:rFonts w:ascii="Calibri" w:hAnsi="Calibri" w:cs="Arial"/>
        </w:rPr>
        <w:t xml:space="preserve">, Denman and </w:t>
      </w:r>
      <w:r w:rsidR="006753FD">
        <w:rPr>
          <w:rFonts w:ascii="Calibri" w:hAnsi="Calibri" w:cs="Arial"/>
        </w:rPr>
        <w:t>Singleton</w:t>
      </w:r>
      <w:r w:rsidR="00085974" w:rsidRPr="00085974">
        <w:rPr>
          <w:rFonts w:ascii="Calibri" w:hAnsi="Calibri" w:cs="Arial"/>
        </w:rPr>
        <w:t xml:space="preserve">. </w:t>
      </w:r>
      <w:r w:rsidR="008514ED">
        <w:rPr>
          <w:rFonts w:ascii="Calibri" w:hAnsi="Calibri" w:cs="Arial"/>
        </w:rPr>
        <w:t xml:space="preserve">It is expected that </w:t>
      </w:r>
      <w:r w:rsidR="00EC66DB" w:rsidRPr="005D0C4D">
        <w:rPr>
          <w:rFonts w:ascii="Calibri" w:hAnsi="Calibri" w:cs="Arial"/>
        </w:rPr>
        <w:t>the mine</w:t>
      </w:r>
      <w:r w:rsidR="00EC66DB">
        <w:rPr>
          <w:rFonts w:ascii="Calibri" w:hAnsi="Calibri" w:cs="Arial"/>
        </w:rPr>
        <w:t xml:space="preserve"> output </w:t>
      </w:r>
      <w:r w:rsidR="006753FD" w:rsidRPr="005D0C4D">
        <w:rPr>
          <w:rFonts w:ascii="Calibri" w:hAnsi="Calibri" w:cs="Arial"/>
        </w:rPr>
        <w:t xml:space="preserve">will </w:t>
      </w:r>
      <w:r w:rsidR="006753FD">
        <w:rPr>
          <w:rFonts w:ascii="Calibri" w:hAnsi="Calibri" w:cs="Arial"/>
        </w:rPr>
        <w:t>increase</w:t>
      </w:r>
      <w:r w:rsidR="00EC66DB">
        <w:rPr>
          <w:rFonts w:ascii="Calibri" w:hAnsi="Calibri" w:cs="Arial"/>
        </w:rPr>
        <w:t xml:space="preserve"> by 7 </w:t>
      </w:r>
      <w:r w:rsidR="00EC66DB" w:rsidRPr="005D0C4D">
        <w:rPr>
          <w:rFonts w:ascii="Calibri" w:hAnsi="Calibri" w:cs="Arial"/>
        </w:rPr>
        <w:t xml:space="preserve">million tonnes per annum of run-of-mine coal for up to </w:t>
      </w:r>
      <w:r w:rsidR="00BC573D">
        <w:rPr>
          <w:rFonts w:ascii="Calibri" w:hAnsi="Calibri" w:cs="Arial"/>
        </w:rPr>
        <w:t>15</w:t>
      </w:r>
      <w:r w:rsidR="00EC66DB" w:rsidRPr="005D0C4D">
        <w:rPr>
          <w:rFonts w:ascii="Calibri" w:hAnsi="Calibri" w:cs="Arial"/>
        </w:rPr>
        <w:t xml:space="preserve"> years.</w:t>
      </w:r>
      <w:r w:rsidR="00781D4C">
        <w:rPr>
          <w:rFonts w:ascii="Calibri" w:hAnsi="Calibri" w:cs="Arial"/>
        </w:rPr>
        <w:t xml:space="preserve"> </w:t>
      </w:r>
      <w:r w:rsidR="00EC66DB">
        <w:rPr>
          <w:rFonts w:ascii="Calibri" w:hAnsi="Calibri" w:cs="Arial"/>
        </w:rPr>
        <w:t xml:space="preserve">The IESC provided advice </w:t>
      </w:r>
      <w:r w:rsidR="00921C08">
        <w:rPr>
          <w:rFonts w:ascii="Calibri" w:hAnsi="Calibri" w:cs="Arial"/>
        </w:rPr>
        <w:t xml:space="preserve">on this project to the </w:t>
      </w:r>
      <w:r w:rsidR="007B3292">
        <w:rPr>
          <w:rFonts w:ascii="Calibri" w:hAnsi="Calibri" w:cs="Arial"/>
        </w:rPr>
        <w:t>C</w:t>
      </w:r>
      <w:r w:rsidR="00921C08">
        <w:rPr>
          <w:rFonts w:ascii="Calibri" w:hAnsi="Calibri" w:cs="Arial"/>
        </w:rPr>
        <w:t xml:space="preserve">ommonwealth regulator in </w:t>
      </w:r>
      <w:r w:rsidR="000225C7">
        <w:rPr>
          <w:rFonts w:ascii="Calibri" w:hAnsi="Calibri" w:cs="Arial"/>
        </w:rPr>
        <w:t xml:space="preserve">February </w:t>
      </w:r>
      <w:r w:rsidR="000225C7" w:rsidRPr="00A333FB">
        <w:rPr>
          <w:rFonts w:ascii="Calibri" w:hAnsi="Calibri" w:cs="Arial"/>
        </w:rPr>
        <w:t xml:space="preserve">2013. </w:t>
      </w:r>
    </w:p>
    <w:p w:rsidR="00432BEA" w:rsidRDefault="00432BEA" w:rsidP="0092244A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/>
        </w:rPr>
      </w:pPr>
      <w:r w:rsidRPr="00A333FB">
        <w:rPr>
          <w:rFonts w:ascii="Calibri" w:hAnsi="Calibri"/>
        </w:rPr>
        <w:t>Matters of interest to the IESC included:</w:t>
      </w:r>
    </w:p>
    <w:p w:rsidR="00785086" w:rsidRPr="00785086" w:rsidRDefault="00785086" w:rsidP="0092244A">
      <w:pPr>
        <w:pStyle w:val="ListBullet"/>
        <w:ind w:left="709" w:hanging="283"/>
        <w:rPr>
          <w:rFonts w:asciiTheme="minorHAnsi" w:hAnsiTheme="minorHAnsi"/>
        </w:rPr>
      </w:pPr>
      <w:r w:rsidRPr="00785086">
        <w:rPr>
          <w:rFonts w:asciiTheme="minorHAnsi" w:hAnsiTheme="minorHAnsi"/>
        </w:rPr>
        <w:t xml:space="preserve">reduction in flows to Saddlers Creek and the associated influence on water quality and quantity affecting riparian ecosystems (including groundwater dependent ecosystems) and any </w:t>
      </w:r>
      <w:r w:rsidR="00BD03DA">
        <w:rPr>
          <w:rFonts w:asciiTheme="minorHAnsi" w:hAnsiTheme="minorHAnsi"/>
        </w:rPr>
        <w:t>proposed rehabilitation program;</w:t>
      </w:r>
    </w:p>
    <w:p w:rsidR="00785086" w:rsidRPr="00785086" w:rsidRDefault="00785086" w:rsidP="0092244A">
      <w:pPr>
        <w:pStyle w:val="ListBullet"/>
        <w:ind w:left="709" w:hanging="283"/>
        <w:rPr>
          <w:rFonts w:asciiTheme="minorHAnsi" w:hAnsiTheme="minorHAnsi"/>
        </w:rPr>
      </w:pPr>
      <w:r w:rsidRPr="00785086">
        <w:rPr>
          <w:rFonts w:asciiTheme="minorHAnsi" w:hAnsiTheme="minorHAnsi"/>
        </w:rPr>
        <w:t>water quality issues associated with seepage fr</w:t>
      </w:r>
      <w:r w:rsidR="00BD03DA">
        <w:rPr>
          <w:rFonts w:asciiTheme="minorHAnsi" w:hAnsiTheme="minorHAnsi"/>
        </w:rPr>
        <w:t>om the proposed final void lake;</w:t>
      </w:r>
    </w:p>
    <w:p w:rsidR="00785086" w:rsidRPr="00785086" w:rsidRDefault="00785086" w:rsidP="0092244A">
      <w:pPr>
        <w:pStyle w:val="ListBullet"/>
        <w:ind w:left="709" w:hanging="283"/>
        <w:rPr>
          <w:rFonts w:asciiTheme="minorHAnsi" w:hAnsiTheme="minorHAnsi"/>
        </w:rPr>
      </w:pPr>
      <w:r w:rsidRPr="00785086">
        <w:rPr>
          <w:rFonts w:asciiTheme="minorHAnsi" w:hAnsiTheme="minorHAnsi"/>
        </w:rPr>
        <w:t>effects of mine water discharges to the Hunter River, Saddlers Creek and their instream communities, and</w:t>
      </w:r>
    </w:p>
    <w:p w:rsidR="00785086" w:rsidRPr="00785086" w:rsidRDefault="00785086" w:rsidP="0092244A">
      <w:pPr>
        <w:pStyle w:val="ListBullet"/>
        <w:ind w:left="709" w:hanging="283"/>
        <w:rPr>
          <w:rFonts w:asciiTheme="minorHAnsi" w:hAnsiTheme="minorHAnsi"/>
        </w:rPr>
      </w:pPr>
      <w:r w:rsidRPr="00785086">
        <w:rPr>
          <w:rFonts w:asciiTheme="minorHAnsi" w:hAnsiTheme="minorHAnsi"/>
        </w:rPr>
        <w:t xml:space="preserve">cumulative impact on groundwater systems </w:t>
      </w:r>
      <w:r w:rsidR="009E70C6">
        <w:rPr>
          <w:rFonts w:asciiTheme="minorHAnsi" w:hAnsiTheme="minorHAnsi"/>
        </w:rPr>
        <w:t>from</w:t>
      </w:r>
      <w:r w:rsidRPr="00785086">
        <w:rPr>
          <w:rFonts w:asciiTheme="minorHAnsi" w:hAnsiTheme="minorHAnsi"/>
        </w:rPr>
        <w:t xml:space="preserve"> the proposed project, adjacent mining operations, and other water users. </w:t>
      </w:r>
    </w:p>
    <w:p w:rsidR="008D603C" w:rsidRPr="006A3C1A" w:rsidRDefault="00A333FB" w:rsidP="0092244A">
      <w:pPr>
        <w:pStyle w:val="ListBullet"/>
        <w:numPr>
          <w:ilvl w:val="0"/>
          <w:numId w:val="0"/>
        </w:numPr>
        <w:spacing w:after="120"/>
        <w:ind w:left="425"/>
        <w:rPr>
          <w:rFonts w:ascii="Calibri" w:hAnsi="Calibri" w:cs="Arial"/>
        </w:rPr>
      </w:pPr>
      <w:r>
        <w:rPr>
          <w:rFonts w:ascii="Calibri" w:hAnsi="Calibri"/>
          <w:highlight w:val="lightGray"/>
        </w:rPr>
        <w:br/>
      </w:r>
      <w:r w:rsidR="00832804">
        <w:rPr>
          <w:rFonts w:ascii="Calibri" w:hAnsi="Calibri"/>
        </w:rPr>
        <w:t>T</w:t>
      </w:r>
      <w:r w:rsidR="00781D4C">
        <w:rPr>
          <w:rFonts w:ascii="Calibri" w:hAnsi="Calibri"/>
        </w:rPr>
        <w:t xml:space="preserve">he advice will be provided to the </w:t>
      </w:r>
      <w:r w:rsidR="00781D4C">
        <w:rPr>
          <w:rFonts w:ascii="Calibri" w:hAnsi="Calibri" w:cs="Arial"/>
        </w:rPr>
        <w:t xml:space="preserve">NSW Mining and Petroleum Gateway Panel and, </w:t>
      </w:r>
      <w:r w:rsidR="00781D4C">
        <w:rPr>
          <w:rFonts w:ascii="Calibri" w:hAnsi="Calibri"/>
        </w:rPr>
        <w:t>c</w:t>
      </w:r>
      <w:r w:rsidR="00432BEA" w:rsidRPr="00A333FB">
        <w:rPr>
          <w:rFonts w:ascii="Calibri" w:hAnsi="Calibri"/>
        </w:rPr>
        <w:t>onsistent with the Regulat</w:t>
      </w:r>
      <w:r w:rsidR="006A3C1A" w:rsidRPr="00A333FB">
        <w:rPr>
          <w:rFonts w:ascii="Calibri" w:hAnsi="Calibri"/>
        </w:rPr>
        <w:t xml:space="preserve">ions of the EPBC Act, </w:t>
      </w:r>
      <w:r w:rsidR="00E3731B" w:rsidRPr="00A333FB">
        <w:rPr>
          <w:rFonts w:ascii="Calibri" w:hAnsi="Calibri"/>
        </w:rPr>
        <w:t xml:space="preserve">to the Commonwealth Minister </w:t>
      </w:r>
      <w:r w:rsidR="00D21E1F">
        <w:rPr>
          <w:rFonts w:ascii="Calibri" w:hAnsi="Calibri"/>
        </w:rPr>
        <w:t>(</w:t>
      </w:r>
      <w:r w:rsidR="00E3731B" w:rsidRPr="00A333FB">
        <w:rPr>
          <w:rFonts w:ascii="Calibri" w:hAnsi="Calibri"/>
        </w:rPr>
        <w:t>for information</w:t>
      </w:r>
      <w:r w:rsidR="00D21E1F">
        <w:rPr>
          <w:rFonts w:ascii="Calibri" w:hAnsi="Calibri"/>
        </w:rPr>
        <w:t>)</w:t>
      </w:r>
      <w:r w:rsidR="00832804">
        <w:rPr>
          <w:rFonts w:ascii="Calibri" w:hAnsi="Calibri"/>
        </w:rPr>
        <w:t xml:space="preserve"> within the statutory timeframe</w:t>
      </w:r>
      <w:r w:rsidR="00D21E1F">
        <w:rPr>
          <w:rFonts w:ascii="Calibri" w:hAnsi="Calibri"/>
        </w:rPr>
        <w:t xml:space="preserve">. The advice will be </w:t>
      </w:r>
      <w:r w:rsidR="00432BEA" w:rsidRPr="00A333FB">
        <w:rPr>
          <w:rFonts w:ascii="Calibri" w:hAnsi="Calibri"/>
        </w:rPr>
        <w:t>published on the IESC’s website</w:t>
      </w:r>
      <w:r w:rsidR="00432BEA" w:rsidRPr="00A333FB">
        <w:rPr>
          <w:rFonts w:ascii="Calibri" w:hAnsi="Calibri" w:cs="Arial"/>
        </w:rPr>
        <w:t xml:space="preserve"> within 10 business days of </w:t>
      </w:r>
      <w:r w:rsidR="00832804">
        <w:rPr>
          <w:rFonts w:ascii="Calibri" w:hAnsi="Calibri" w:cs="Arial"/>
        </w:rPr>
        <w:t>transmittal to the Gateway Panel</w:t>
      </w:r>
      <w:r w:rsidR="00F95DC4">
        <w:rPr>
          <w:rFonts w:ascii="Calibri" w:hAnsi="Calibri" w:cs="Arial"/>
        </w:rPr>
        <w:t xml:space="preserve">. </w:t>
      </w:r>
    </w:p>
    <w:p w:rsidR="00432BEA" w:rsidRPr="00A333FB" w:rsidRDefault="00432BEA" w:rsidP="0092244A">
      <w:pPr>
        <w:keepNext/>
        <w:tabs>
          <w:tab w:val="left" w:pos="426"/>
        </w:tabs>
        <w:spacing w:before="240" w:after="120"/>
        <w:rPr>
          <w:rFonts w:ascii="Calibri" w:hAnsi="Calibri" w:cs="Arial"/>
          <w:b/>
        </w:rPr>
      </w:pPr>
      <w:r w:rsidRPr="00A333FB">
        <w:rPr>
          <w:rFonts w:ascii="Calibri" w:hAnsi="Calibri" w:cs="Arial"/>
          <w:b/>
        </w:rPr>
        <w:t>3.</w:t>
      </w:r>
      <w:r w:rsidRPr="00A333FB">
        <w:rPr>
          <w:rFonts w:ascii="Calibri" w:hAnsi="Calibri" w:cs="Arial"/>
          <w:b/>
        </w:rPr>
        <w:tab/>
        <w:t>Bioregional Assessments</w:t>
      </w:r>
    </w:p>
    <w:p w:rsidR="00432BEA" w:rsidRDefault="00432BEA" w:rsidP="0092244A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A333FB">
        <w:rPr>
          <w:rFonts w:ascii="Calibri" w:hAnsi="Calibri" w:cs="Arial"/>
        </w:rPr>
        <w:t>3.1</w:t>
      </w:r>
      <w:r w:rsidRPr="00A333FB">
        <w:rPr>
          <w:rFonts w:ascii="Calibri" w:hAnsi="Calibri" w:cs="Arial"/>
          <w:b/>
        </w:rPr>
        <w:tab/>
      </w:r>
      <w:r w:rsidR="00F95DC4" w:rsidRPr="00A333FB">
        <w:rPr>
          <w:rFonts w:ascii="Calibri" w:hAnsi="Calibri" w:cs="Arial"/>
          <w:u w:val="single"/>
        </w:rPr>
        <w:t>Response to correspondence received on the Pedirka Basin Connectivity project.</w:t>
      </w:r>
    </w:p>
    <w:p w:rsidR="00E3731B" w:rsidRDefault="00E3731B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E14DB2">
        <w:rPr>
          <w:rFonts w:ascii="Calibri" w:hAnsi="Calibri" w:cs="Arial"/>
        </w:rPr>
        <w:t xml:space="preserve">he IESC agreed that </w:t>
      </w:r>
      <w:r>
        <w:rPr>
          <w:rFonts w:ascii="Calibri" w:hAnsi="Calibri" w:cs="Arial"/>
        </w:rPr>
        <w:t xml:space="preserve">the </w:t>
      </w:r>
      <w:r w:rsidR="00832804">
        <w:rPr>
          <w:rFonts w:ascii="Calibri" w:hAnsi="Calibri" w:cs="Arial"/>
        </w:rPr>
        <w:t xml:space="preserve">external </w:t>
      </w:r>
      <w:r w:rsidR="00E14DB2">
        <w:rPr>
          <w:rFonts w:ascii="Calibri" w:hAnsi="Calibri" w:cs="Arial"/>
        </w:rPr>
        <w:t xml:space="preserve">comments </w:t>
      </w:r>
      <w:r w:rsidR="00832804">
        <w:rPr>
          <w:rFonts w:ascii="Calibri" w:hAnsi="Calibri" w:cs="Arial"/>
        </w:rPr>
        <w:t>sent to two members of the IESC</w:t>
      </w:r>
      <w:r>
        <w:rPr>
          <w:rFonts w:ascii="Calibri" w:hAnsi="Calibri" w:cs="Arial"/>
        </w:rPr>
        <w:t xml:space="preserve"> </w:t>
      </w:r>
      <w:r w:rsidR="00D21E1F">
        <w:rPr>
          <w:rFonts w:ascii="Calibri" w:hAnsi="Calibri" w:cs="Arial"/>
        </w:rPr>
        <w:t xml:space="preserve">on the </w:t>
      </w:r>
      <w:proofErr w:type="spellStart"/>
      <w:r w:rsidR="00D21E1F" w:rsidRPr="00733DCB">
        <w:rPr>
          <w:rFonts w:ascii="Calibri" w:hAnsi="Calibri" w:cs="Arial"/>
        </w:rPr>
        <w:t>Pedirka</w:t>
      </w:r>
      <w:proofErr w:type="spellEnd"/>
      <w:r w:rsidR="00D21E1F" w:rsidRPr="00733DCB">
        <w:rPr>
          <w:rFonts w:ascii="Calibri" w:hAnsi="Calibri" w:cs="Arial"/>
        </w:rPr>
        <w:t xml:space="preserve"> Basin Connectivity project</w:t>
      </w:r>
      <w:r w:rsidR="00D21E1F">
        <w:rPr>
          <w:rFonts w:ascii="Calibri" w:hAnsi="Calibri" w:cs="Arial"/>
        </w:rPr>
        <w:t xml:space="preserve"> draft report </w:t>
      </w:r>
      <w:r w:rsidR="00E14DB2">
        <w:rPr>
          <w:rFonts w:ascii="Calibri" w:hAnsi="Calibri" w:cs="Arial"/>
        </w:rPr>
        <w:t xml:space="preserve">would be referred </w:t>
      </w:r>
      <w:r>
        <w:rPr>
          <w:rFonts w:ascii="Calibri" w:hAnsi="Calibri" w:cs="Arial"/>
        </w:rPr>
        <w:t>by the Office of Water Science for consideration during the draft report’s peer review and quality assurance processes.</w:t>
      </w:r>
    </w:p>
    <w:p w:rsidR="00F95DC4" w:rsidRDefault="00E3731B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733D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reply will be sent by the </w:t>
      </w:r>
      <w:r w:rsidR="00D804E9">
        <w:rPr>
          <w:rFonts w:ascii="Calibri" w:hAnsi="Calibri" w:cs="Arial"/>
        </w:rPr>
        <w:t>Chair</w:t>
      </w:r>
      <w:r>
        <w:rPr>
          <w:rFonts w:ascii="Calibri" w:hAnsi="Calibri" w:cs="Arial"/>
        </w:rPr>
        <w:t xml:space="preserve"> to the correspondent</w:t>
      </w:r>
      <w:r w:rsidR="00D804E9">
        <w:rPr>
          <w:rFonts w:ascii="Calibri" w:hAnsi="Calibri" w:cs="Arial"/>
        </w:rPr>
        <w:t>.</w:t>
      </w:r>
    </w:p>
    <w:p w:rsidR="00432BEA" w:rsidRPr="00F61D6F" w:rsidRDefault="00432BEA" w:rsidP="0092244A">
      <w:pPr>
        <w:keepNext/>
        <w:tabs>
          <w:tab w:val="left" w:pos="426"/>
          <w:tab w:val="center" w:pos="4513"/>
        </w:tabs>
        <w:spacing w:before="240" w:after="120"/>
        <w:rPr>
          <w:rFonts w:ascii="Calibri" w:hAnsi="Calibri" w:cs="Arial"/>
          <w:b/>
        </w:rPr>
      </w:pPr>
      <w:r w:rsidRPr="00F61D6F">
        <w:rPr>
          <w:rFonts w:ascii="Calibri" w:hAnsi="Calibri" w:cs="Arial"/>
          <w:b/>
        </w:rPr>
        <w:t>4.</w:t>
      </w:r>
      <w:r w:rsidRPr="00F61D6F">
        <w:rPr>
          <w:rFonts w:ascii="Calibri" w:hAnsi="Calibri" w:cs="Arial"/>
          <w:b/>
        </w:rPr>
        <w:tab/>
        <w:t>Research</w:t>
      </w:r>
    </w:p>
    <w:p w:rsidR="00432BEA" w:rsidRPr="00F61D6F" w:rsidRDefault="00432BEA" w:rsidP="0092244A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61D6F">
        <w:rPr>
          <w:rFonts w:ascii="Calibri" w:hAnsi="Calibri" w:cs="Arial"/>
        </w:rPr>
        <w:t>4.1</w:t>
      </w:r>
      <w:r w:rsidRPr="00F61D6F">
        <w:rPr>
          <w:rFonts w:ascii="Calibri" w:hAnsi="Calibri" w:cs="Arial"/>
        </w:rPr>
        <w:tab/>
      </w:r>
      <w:r w:rsidR="00412103" w:rsidRPr="00412103">
        <w:rPr>
          <w:rFonts w:ascii="Calibri" w:hAnsi="Calibri"/>
          <w:u w:val="single"/>
        </w:rPr>
        <w:t>National Assessment of Chemicals reports</w:t>
      </w:r>
      <w:r w:rsidR="00412103">
        <w:rPr>
          <w:rFonts w:ascii="Calibri" w:hAnsi="Calibri"/>
        </w:rPr>
        <w:t xml:space="preserve"> </w:t>
      </w:r>
    </w:p>
    <w:p w:rsidR="00545108" w:rsidRDefault="0014698E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D804E9">
        <w:rPr>
          <w:rFonts w:ascii="Calibri" w:hAnsi="Calibri" w:cs="Arial"/>
        </w:rPr>
        <w:t xml:space="preserve">raft reports </w:t>
      </w:r>
      <w:r>
        <w:rPr>
          <w:rFonts w:ascii="Calibri" w:hAnsi="Calibri" w:cs="Arial"/>
        </w:rPr>
        <w:t xml:space="preserve">from </w:t>
      </w:r>
      <w:r w:rsidR="00E5058D">
        <w:rPr>
          <w:rFonts w:ascii="Calibri" w:hAnsi="Calibri" w:cs="Arial"/>
        </w:rPr>
        <w:t>the</w:t>
      </w:r>
      <w:r w:rsidR="00D804E9">
        <w:rPr>
          <w:rFonts w:ascii="Calibri" w:hAnsi="Calibri" w:cs="Arial"/>
        </w:rPr>
        <w:t xml:space="preserve"> </w:t>
      </w:r>
      <w:r w:rsidR="00D804E9" w:rsidRPr="00D804E9">
        <w:rPr>
          <w:rFonts w:ascii="Calibri" w:hAnsi="Calibri" w:cs="Arial"/>
        </w:rPr>
        <w:t>National Assessment of Chemicals Associated with Coal Seam Gas Extraction in Australia</w:t>
      </w:r>
      <w:r w:rsidR="00D804E9">
        <w:rPr>
          <w:rFonts w:ascii="Calibri" w:hAnsi="Calibri" w:cs="Arial"/>
        </w:rPr>
        <w:t xml:space="preserve"> </w:t>
      </w:r>
      <w:r w:rsidR="00293277">
        <w:rPr>
          <w:rFonts w:ascii="Calibri" w:hAnsi="Calibri" w:cs="Arial"/>
        </w:rPr>
        <w:t xml:space="preserve">and its findings </w:t>
      </w:r>
      <w:r w:rsidR="00D804E9">
        <w:rPr>
          <w:rFonts w:ascii="Calibri" w:hAnsi="Calibri" w:cs="Arial"/>
        </w:rPr>
        <w:t>were presented to the IESC</w:t>
      </w:r>
      <w:r w:rsidR="005A1F98">
        <w:rPr>
          <w:rFonts w:ascii="Calibri" w:hAnsi="Calibri" w:cs="Arial"/>
        </w:rPr>
        <w:t xml:space="preserve"> </w:t>
      </w:r>
      <w:r w:rsidR="00E5058D">
        <w:rPr>
          <w:rFonts w:ascii="Calibri" w:hAnsi="Calibri" w:cs="Arial"/>
        </w:rPr>
        <w:t>for consideration</w:t>
      </w:r>
      <w:r w:rsidR="00832804">
        <w:rPr>
          <w:rFonts w:ascii="Calibri" w:hAnsi="Calibri" w:cs="Arial"/>
        </w:rPr>
        <w:t xml:space="preserve"> and advice</w:t>
      </w:r>
      <w:r w:rsidR="005A1F98">
        <w:rPr>
          <w:rFonts w:ascii="Calibri" w:hAnsi="Calibri" w:cs="Arial"/>
        </w:rPr>
        <w:t>.</w:t>
      </w:r>
      <w:r w:rsidR="00545108">
        <w:rPr>
          <w:rFonts w:ascii="Calibri" w:hAnsi="Calibri" w:cs="Arial"/>
        </w:rPr>
        <w:t xml:space="preserve"> </w:t>
      </w:r>
      <w:r w:rsidR="00D766E0">
        <w:rPr>
          <w:rFonts w:ascii="Calibri" w:hAnsi="Calibri" w:cs="Arial"/>
        </w:rPr>
        <w:t xml:space="preserve">The IESC </w:t>
      </w:r>
      <w:r w:rsidR="00725AF4">
        <w:rPr>
          <w:rFonts w:ascii="Calibri" w:hAnsi="Calibri" w:cs="Arial"/>
        </w:rPr>
        <w:t xml:space="preserve">noted </w:t>
      </w:r>
      <w:r w:rsidR="00545108">
        <w:rPr>
          <w:rFonts w:ascii="Calibri" w:hAnsi="Calibri" w:cs="Arial"/>
        </w:rPr>
        <w:t xml:space="preserve">it </w:t>
      </w:r>
      <w:r w:rsidR="00D766E0">
        <w:rPr>
          <w:rFonts w:ascii="Calibri" w:hAnsi="Calibri" w:cs="Arial"/>
        </w:rPr>
        <w:t>ha</w:t>
      </w:r>
      <w:r w:rsidR="00545108">
        <w:rPr>
          <w:rFonts w:ascii="Calibri" w:hAnsi="Calibri" w:cs="Arial"/>
        </w:rPr>
        <w:t>d</w:t>
      </w:r>
      <w:r w:rsidR="00D766E0">
        <w:rPr>
          <w:rFonts w:ascii="Calibri" w:hAnsi="Calibri" w:cs="Arial"/>
        </w:rPr>
        <w:t xml:space="preserve"> provided comment</w:t>
      </w:r>
      <w:r w:rsidR="00E5058D">
        <w:rPr>
          <w:rFonts w:ascii="Calibri" w:hAnsi="Calibri" w:cs="Arial"/>
        </w:rPr>
        <w:t>s</w:t>
      </w:r>
      <w:r w:rsidR="00D766E0">
        <w:rPr>
          <w:rFonts w:ascii="Calibri" w:hAnsi="Calibri" w:cs="Arial"/>
        </w:rPr>
        <w:t xml:space="preserve"> on earlier version</w:t>
      </w:r>
      <w:r w:rsidR="00AA5B25">
        <w:rPr>
          <w:rFonts w:ascii="Calibri" w:hAnsi="Calibri" w:cs="Arial"/>
        </w:rPr>
        <w:t>s of these reports</w:t>
      </w:r>
      <w:r w:rsidR="00635ACA">
        <w:rPr>
          <w:rFonts w:ascii="Calibri" w:hAnsi="Calibri" w:cs="Arial"/>
        </w:rPr>
        <w:t>.</w:t>
      </w:r>
      <w:r w:rsidR="00201E33">
        <w:rPr>
          <w:rFonts w:ascii="Calibri" w:hAnsi="Calibri" w:cs="Arial"/>
        </w:rPr>
        <w:t xml:space="preserve"> </w:t>
      </w:r>
    </w:p>
    <w:p w:rsidR="00800B63" w:rsidRDefault="00563DBD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</w:t>
      </w:r>
      <w:r w:rsidR="00635ACA">
        <w:rPr>
          <w:rFonts w:ascii="Calibri" w:hAnsi="Calibri" w:cs="Arial"/>
        </w:rPr>
        <w:t xml:space="preserve">he Office of Water Science </w:t>
      </w:r>
      <w:r>
        <w:rPr>
          <w:rFonts w:ascii="Calibri" w:hAnsi="Calibri" w:cs="Arial"/>
        </w:rPr>
        <w:t xml:space="preserve">reported </w:t>
      </w:r>
      <w:r w:rsidR="0014698E">
        <w:rPr>
          <w:rFonts w:ascii="Calibri" w:hAnsi="Calibri" w:cs="Arial"/>
        </w:rPr>
        <w:t xml:space="preserve">on </w:t>
      </w:r>
      <w:r>
        <w:rPr>
          <w:rFonts w:ascii="Calibri" w:hAnsi="Calibri" w:cs="Arial"/>
        </w:rPr>
        <w:t xml:space="preserve">peer review comments </w:t>
      </w:r>
      <w:r w:rsidR="0014698E">
        <w:rPr>
          <w:rFonts w:ascii="Calibri" w:hAnsi="Calibri" w:cs="Arial"/>
        </w:rPr>
        <w:t>(</w:t>
      </w:r>
      <w:r w:rsidR="00D47712">
        <w:rPr>
          <w:rFonts w:ascii="Calibri" w:hAnsi="Calibri" w:cs="Arial"/>
        </w:rPr>
        <w:t>by Health Canada</w:t>
      </w:r>
      <w:r w:rsidR="0014698E">
        <w:rPr>
          <w:rFonts w:ascii="Calibri" w:hAnsi="Calibri" w:cs="Arial"/>
        </w:rPr>
        <w:t>, John Chapman</w:t>
      </w:r>
      <w:r w:rsidR="00D47712">
        <w:rPr>
          <w:rFonts w:ascii="Calibri" w:hAnsi="Calibri" w:cs="Arial"/>
        </w:rPr>
        <w:t xml:space="preserve"> and the US</w:t>
      </w:r>
      <w:r w:rsidR="00635ACA">
        <w:rPr>
          <w:rFonts w:ascii="Calibri" w:hAnsi="Calibri" w:cs="Arial"/>
        </w:rPr>
        <w:t> </w:t>
      </w:r>
      <w:r w:rsidR="00D47712">
        <w:rPr>
          <w:rFonts w:ascii="Calibri" w:hAnsi="Calibri" w:cs="Arial"/>
        </w:rPr>
        <w:t>EPA</w:t>
      </w:r>
      <w:r w:rsidR="0014698E">
        <w:rPr>
          <w:rFonts w:ascii="Calibri" w:hAnsi="Calibri" w:cs="Arial"/>
        </w:rPr>
        <w:t>)</w:t>
      </w:r>
      <w:r w:rsidR="00635ACA">
        <w:rPr>
          <w:rFonts w:ascii="Calibri" w:hAnsi="Calibri" w:cs="Arial"/>
        </w:rPr>
        <w:t xml:space="preserve"> </w:t>
      </w:r>
      <w:r w:rsidR="00E5058D">
        <w:rPr>
          <w:rFonts w:ascii="Calibri" w:hAnsi="Calibri" w:cs="Arial"/>
        </w:rPr>
        <w:t>which</w:t>
      </w:r>
      <w:r w:rsidR="00635ACA">
        <w:rPr>
          <w:rFonts w:ascii="Calibri" w:hAnsi="Calibri" w:cs="Arial"/>
        </w:rPr>
        <w:t xml:space="preserve"> </w:t>
      </w:r>
      <w:r w:rsidR="00AA5B25">
        <w:rPr>
          <w:rFonts w:ascii="Calibri" w:hAnsi="Calibri" w:cs="Arial"/>
        </w:rPr>
        <w:t xml:space="preserve">found </w:t>
      </w:r>
      <w:r w:rsidR="001D1151">
        <w:rPr>
          <w:rFonts w:ascii="Calibri" w:hAnsi="Calibri" w:cs="Arial"/>
        </w:rPr>
        <w:t>the</w:t>
      </w:r>
      <w:r w:rsidR="00AA5B25">
        <w:rPr>
          <w:rFonts w:ascii="Calibri" w:hAnsi="Calibri" w:cs="Arial"/>
        </w:rPr>
        <w:t xml:space="preserve"> re</w:t>
      </w:r>
      <w:r w:rsidR="001D1151">
        <w:rPr>
          <w:rFonts w:ascii="Calibri" w:hAnsi="Calibri" w:cs="Arial"/>
        </w:rPr>
        <w:t>ports and conceptualisations fit</w:t>
      </w:r>
      <w:r>
        <w:rPr>
          <w:rFonts w:ascii="Calibri" w:hAnsi="Calibri" w:cs="Arial"/>
        </w:rPr>
        <w:t xml:space="preserve"> for purpose</w:t>
      </w:r>
      <w:r w:rsidR="00AA5B25">
        <w:rPr>
          <w:rFonts w:ascii="Calibri" w:hAnsi="Calibri" w:cs="Arial"/>
        </w:rPr>
        <w:t xml:space="preserve"> and the assessment methodologies robust</w:t>
      </w:r>
      <w:r>
        <w:rPr>
          <w:rFonts w:ascii="Calibri" w:hAnsi="Calibri" w:cs="Arial"/>
        </w:rPr>
        <w:t xml:space="preserve">. </w:t>
      </w:r>
    </w:p>
    <w:p w:rsidR="00800B63" w:rsidRDefault="00800B63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In considering the reports the IESC provided advice on a range of issues including:</w:t>
      </w:r>
    </w:p>
    <w:p w:rsidR="00800B63" w:rsidRDefault="00800B63" w:rsidP="0092244A">
      <w:pPr>
        <w:pStyle w:val="ListBullet"/>
        <w:ind w:left="709" w:hanging="283"/>
        <w:rPr>
          <w:rFonts w:ascii="Calibri" w:hAnsi="Calibri"/>
        </w:rPr>
      </w:pP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risk communication and risk management components </w:t>
      </w:r>
      <w:r w:rsidR="00832804">
        <w:rPr>
          <w:rFonts w:ascii="Calibri" w:hAnsi="Calibri"/>
        </w:rPr>
        <w:t>to</w:t>
      </w:r>
      <w:r>
        <w:rPr>
          <w:rFonts w:ascii="Calibri" w:hAnsi="Calibri"/>
        </w:rPr>
        <w:t xml:space="preserve"> be included in the overall risk assessment </w:t>
      </w:r>
      <w:r w:rsidRPr="00725AF4">
        <w:rPr>
          <w:rFonts w:asciiTheme="minorHAnsi" w:hAnsiTheme="minorHAnsi"/>
        </w:rPr>
        <w:t>frameworks</w:t>
      </w:r>
      <w:r>
        <w:rPr>
          <w:rFonts w:ascii="Calibri" w:hAnsi="Calibri"/>
        </w:rPr>
        <w:t xml:space="preserve"> for both the human health and environmental risk assessments.  Risk management includes the mitigation measures that will be used to estimate the residual risk.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 xml:space="preserve">ongoing refinement of the risk assessment framework. The risk assessments need to </w:t>
      </w:r>
      <w:r w:rsidR="00832804">
        <w:rPr>
          <w:rFonts w:asciiTheme="minorHAnsi" w:hAnsiTheme="minorHAnsi"/>
        </w:rPr>
        <w:t>appropriately</w:t>
      </w:r>
      <w:r w:rsidRPr="00725AF4">
        <w:rPr>
          <w:rFonts w:asciiTheme="minorHAnsi" w:hAnsiTheme="minorHAnsi"/>
        </w:rPr>
        <w:t xml:space="preserve"> consider likelihood and uncertainty in the assessments, not just hazard and consequence.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 xml:space="preserve">subject to data availability, the need to refine </w:t>
      </w:r>
      <w:r w:rsidR="00832804">
        <w:rPr>
          <w:rFonts w:asciiTheme="minorHAnsi" w:hAnsiTheme="minorHAnsi"/>
        </w:rPr>
        <w:t xml:space="preserve">the third </w:t>
      </w:r>
      <w:r w:rsidRPr="00725AF4">
        <w:rPr>
          <w:rFonts w:asciiTheme="minorHAnsi" w:hAnsiTheme="minorHAnsi"/>
        </w:rPr>
        <w:t>tier in the environmental risk assessment to render it a probabilistic assessment, using less conservative assumptions;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>the conservative assumptions used in the risk assessments need to be explicitly highlighted in the reports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>the summary reports need to be more specific about the chemicals  for which there are no physico-chemical data or ecotoxicology data and how these gaps will be filled;</w:t>
      </w:r>
    </w:p>
    <w:p w:rsidR="00800B63" w:rsidRPr="00725AF4" w:rsidRDefault="00832804" w:rsidP="0092244A">
      <w:pPr>
        <w:pStyle w:val="ListBullet"/>
        <w:ind w:left="709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while </w:t>
      </w:r>
      <w:r w:rsidR="00800B63" w:rsidRPr="00725AF4">
        <w:rPr>
          <w:rFonts w:asciiTheme="minorHAnsi" w:hAnsiTheme="minorHAnsi"/>
        </w:rPr>
        <w:t xml:space="preserve">reports deal only with single chemicals </w:t>
      </w:r>
      <w:r>
        <w:rPr>
          <w:rFonts w:asciiTheme="minorHAnsi" w:hAnsiTheme="minorHAnsi"/>
        </w:rPr>
        <w:t>they</w:t>
      </w:r>
      <w:r w:rsidR="00800B63" w:rsidRPr="00725AF4">
        <w:rPr>
          <w:rFonts w:asciiTheme="minorHAnsi" w:hAnsiTheme="minorHAnsi"/>
        </w:rPr>
        <w:t xml:space="preserve"> should acknowledge the importance of issues associated with chemical mixtures;</w:t>
      </w:r>
    </w:p>
    <w:p w:rsidR="00800B63" w:rsidRPr="0064192C" w:rsidRDefault="00832804" w:rsidP="0092244A">
      <w:pPr>
        <w:pStyle w:val="ListBullet"/>
        <w:ind w:left="709" w:hanging="283"/>
        <w:rPr>
          <w:rFonts w:ascii="Calibri" w:hAnsi="Calibri"/>
        </w:rPr>
      </w:pPr>
      <w:r>
        <w:rPr>
          <w:rFonts w:asciiTheme="minorHAnsi" w:hAnsiTheme="minorHAnsi"/>
        </w:rPr>
        <w:t>recognition of</w:t>
      </w:r>
      <w:r w:rsidR="00800B63">
        <w:rPr>
          <w:rFonts w:ascii="Calibri" w:hAnsi="Calibri"/>
        </w:rPr>
        <w:t xml:space="preserve"> the different methodologies used in the human health versus environmental risk assessments e.g. quotients are the inverse of each other, and the importance of clear communication to the community;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>
        <w:rPr>
          <w:rFonts w:ascii="Calibri" w:hAnsi="Calibri"/>
        </w:rPr>
        <w:t>the importance of developing</w:t>
      </w:r>
      <w:r w:rsidRPr="0064192C">
        <w:rPr>
          <w:rFonts w:ascii="Calibri" w:hAnsi="Calibri"/>
        </w:rPr>
        <w:t xml:space="preserve"> guid</w:t>
      </w:r>
      <w:r>
        <w:rPr>
          <w:rFonts w:ascii="Calibri" w:hAnsi="Calibri"/>
        </w:rPr>
        <w:t>ance</w:t>
      </w:r>
      <w:r w:rsidRPr="0064192C">
        <w:rPr>
          <w:rFonts w:ascii="Calibri" w:hAnsi="Calibri"/>
        </w:rPr>
        <w:t xml:space="preserve"> or </w:t>
      </w:r>
      <w:r>
        <w:rPr>
          <w:rFonts w:ascii="Calibri" w:hAnsi="Calibri"/>
        </w:rPr>
        <w:t xml:space="preserve">a </w:t>
      </w:r>
      <w:r w:rsidRPr="0064192C">
        <w:rPr>
          <w:rFonts w:ascii="Calibri" w:hAnsi="Calibri"/>
        </w:rPr>
        <w:t xml:space="preserve">handbook </w:t>
      </w:r>
      <w:r>
        <w:rPr>
          <w:rFonts w:ascii="Calibri" w:hAnsi="Calibri"/>
        </w:rPr>
        <w:t xml:space="preserve">to inform the assessment and </w:t>
      </w:r>
      <w:r w:rsidRPr="00725AF4">
        <w:rPr>
          <w:rFonts w:asciiTheme="minorHAnsi" w:hAnsiTheme="minorHAnsi"/>
        </w:rPr>
        <w:t>mitigation of risks associated with CSG chemicals in the future. This handbook should put the residual risks in context with the risks from other uses of these chemicals;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 xml:space="preserve">probabilistic-based risk assessment to complement the existing quotient-based deterministic assessments; </w:t>
      </w:r>
    </w:p>
    <w:p w:rsidR="00800B63" w:rsidRPr="00725AF4" w:rsidRDefault="00800B63" w:rsidP="0092244A">
      <w:pPr>
        <w:pStyle w:val="ListBullet"/>
        <w:ind w:left="709" w:hanging="283"/>
        <w:rPr>
          <w:rFonts w:asciiTheme="minorHAnsi" w:hAnsiTheme="minorHAnsi"/>
        </w:rPr>
      </w:pPr>
      <w:r w:rsidRPr="00725AF4">
        <w:rPr>
          <w:rFonts w:asciiTheme="minorHAnsi" w:hAnsiTheme="minorHAnsi"/>
        </w:rPr>
        <w:t>the need to provide greater transparency around the derivation of the Predicted No Effects Concentrations in the environmental risk assessment;</w:t>
      </w:r>
      <w:r w:rsidR="0019046F">
        <w:rPr>
          <w:rFonts w:asciiTheme="minorHAnsi" w:hAnsiTheme="minorHAnsi"/>
        </w:rPr>
        <w:t xml:space="preserve"> and</w:t>
      </w:r>
    </w:p>
    <w:p w:rsidR="00800B63" w:rsidRDefault="00800B63" w:rsidP="0092244A">
      <w:pPr>
        <w:pStyle w:val="ListBullet"/>
        <w:ind w:left="709" w:hanging="283"/>
        <w:rPr>
          <w:rFonts w:ascii="Calibri" w:hAnsi="Calibri"/>
        </w:rPr>
      </w:pPr>
      <w:r w:rsidRPr="00725AF4">
        <w:rPr>
          <w:rFonts w:asciiTheme="minorHAnsi" w:hAnsiTheme="minorHAnsi"/>
        </w:rPr>
        <w:t xml:space="preserve">the ongoing importance of risk communication and stakeholder input throughout the </w:t>
      </w:r>
      <w:r>
        <w:rPr>
          <w:rFonts w:ascii="Calibri" w:hAnsi="Calibri"/>
        </w:rPr>
        <w:t xml:space="preserve">process. </w:t>
      </w:r>
    </w:p>
    <w:p w:rsidR="00725AF4" w:rsidRDefault="00725AF4" w:rsidP="0092244A">
      <w:pPr>
        <w:pStyle w:val="ListBullet"/>
        <w:numPr>
          <w:ilvl w:val="0"/>
          <w:numId w:val="0"/>
        </w:numPr>
        <w:rPr>
          <w:rFonts w:ascii="Calibri" w:hAnsi="Calibri" w:cs="Arial"/>
        </w:rPr>
      </w:pPr>
    </w:p>
    <w:p w:rsidR="00800B63" w:rsidRDefault="00800B63" w:rsidP="0092244A">
      <w:pPr>
        <w:spacing w:before="120" w:after="120"/>
        <w:ind w:left="426"/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 xml:space="preserve">The IESC </w:t>
      </w:r>
      <w:r w:rsidR="00832804">
        <w:rPr>
          <w:rFonts w:ascii="Calibri" w:hAnsi="Calibri" w:cs="Arial"/>
        </w:rPr>
        <w:t xml:space="preserve">advice </w:t>
      </w:r>
      <w:proofErr w:type="spellStart"/>
      <w:r w:rsidR="00832804">
        <w:rPr>
          <w:rFonts w:ascii="Calibri" w:hAnsi="Calibri" w:cs="Arial"/>
        </w:rPr>
        <w:t>acknoweldged</w:t>
      </w:r>
      <w:proofErr w:type="spellEnd"/>
      <w:r>
        <w:rPr>
          <w:rFonts w:ascii="Calibri" w:hAnsi="Calibri" w:cs="Arial"/>
        </w:rPr>
        <w:t xml:space="preserve"> that</w:t>
      </w:r>
      <w:r w:rsidR="0083280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when originally scoped, the purpose of the report was to assess chemical impacts on surface water and shallow groundwater.</w:t>
      </w:r>
      <w:proofErr w:type="gramEnd"/>
      <w:r>
        <w:rPr>
          <w:rFonts w:ascii="Calibri" w:hAnsi="Calibri" w:cs="Arial"/>
        </w:rPr>
        <w:t xml:space="preserve"> The IESC considers the information in the reports will also </w:t>
      </w:r>
      <w:r w:rsidR="00832804">
        <w:rPr>
          <w:rFonts w:ascii="Calibri" w:hAnsi="Calibri" w:cs="Arial"/>
        </w:rPr>
        <w:t xml:space="preserve">be useful to </w:t>
      </w:r>
      <w:r>
        <w:rPr>
          <w:rFonts w:ascii="Calibri" w:hAnsi="Calibri" w:cs="Arial"/>
        </w:rPr>
        <w:t>inform future research priorities</w:t>
      </w:r>
      <w:r w:rsidR="00E4630C">
        <w:rPr>
          <w:rFonts w:ascii="Calibri" w:hAnsi="Calibri" w:cs="Arial"/>
        </w:rPr>
        <w:t xml:space="preserve">, such as </w:t>
      </w:r>
      <w:r>
        <w:rPr>
          <w:rFonts w:ascii="Calibri" w:hAnsi="Calibri" w:cs="Arial"/>
        </w:rPr>
        <w:t xml:space="preserve">deep groundwater issues </w:t>
      </w:r>
    </w:p>
    <w:p w:rsidR="0019046F" w:rsidRDefault="00800B63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>The IESC reconfirmed that these reports</w:t>
      </w:r>
      <w:r w:rsidR="00832804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when finalised</w:t>
      </w:r>
      <w:r w:rsidR="00832804">
        <w:rPr>
          <w:rFonts w:ascii="Calibri" w:hAnsi="Calibri" w:cs="Arial"/>
        </w:rPr>
        <w:t>,</w:t>
      </w:r>
      <w:bookmarkStart w:id="0" w:name="_GoBack"/>
      <w:bookmarkEnd w:id="0"/>
      <w:r>
        <w:rPr>
          <w:rFonts w:ascii="Calibri" w:hAnsi="Calibri" w:cs="Arial"/>
        </w:rPr>
        <w:t xml:space="preserve"> will be an important addition to help improve decision-making on chemical use associated with CSG.</w:t>
      </w:r>
    </w:p>
    <w:p w:rsidR="00432BEA" w:rsidRPr="00A333FB" w:rsidRDefault="0019046F" w:rsidP="0092244A">
      <w:pPr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  <w:b/>
        </w:rPr>
        <w:br/>
      </w:r>
      <w:r w:rsidR="00432BEA" w:rsidRPr="00A333FB">
        <w:rPr>
          <w:rFonts w:ascii="Calibri" w:hAnsi="Calibri" w:cs="Arial"/>
          <w:b/>
        </w:rPr>
        <w:t>Close of Meeting</w:t>
      </w:r>
    </w:p>
    <w:p w:rsidR="00432BEA" w:rsidRPr="00CB5879" w:rsidRDefault="0019046F" w:rsidP="0092244A">
      <w:pPr>
        <w:tabs>
          <w:tab w:val="left" w:pos="426"/>
        </w:tabs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</w:rPr>
        <w:tab/>
      </w:r>
      <w:r w:rsidR="00432BEA" w:rsidRPr="00A333FB">
        <w:rPr>
          <w:rFonts w:ascii="Calibri" w:hAnsi="Calibri" w:cs="Arial"/>
        </w:rPr>
        <w:t>The Chair thanked everyone for their contribution to the meeting.</w:t>
      </w:r>
      <w:r w:rsidR="00432BEA" w:rsidRPr="00CB5879">
        <w:rPr>
          <w:rFonts w:ascii="Calibri" w:hAnsi="Calibri" w:cs="Arial"/>
        </w:rPr>
        <w:t xml:space="preserve"> </w:t>
      </w:r>
    </w:p>
    <w:p w:rsidR="00432BEA" w:rsidRPr="00CB5879" w:rsidRDefault="0019046F" w:rsidP="0092244A">
      <w:pPr>
        <w:tabs>
          <w:tab w:val="left" w:pos="426"/>
        </w:tabs>
        <w:spacing w:before="240" w:after="120"/>
        <w:ind w:left="425" w:hanging="425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="00432BEA" w:rsidRPr="00CB5879">
        <w:rPr>
          <w:rFonts w:ascii="Calibri" w:hAnsi="Calibri" w:cs="Arial"/>
          <w:b/>
        </w:rPr>
        <w:t>Next Meeting</w:t>
      </w:r>
    </w:p>
    <w:p w:rsidR="00F3165D" w:rsidRDefault="0019046F" w:rsidP="0092244A">
      <w:pPr>
        <w:tabs>
          <w:tab w:val="left" w:pos="426"/>
        </w:tabs>
        <w:spacing w:after="12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432BEA" w:rsidRPr="00CB5879">
        <w:rPr>
          <w:rFonts w:ascii="Calibri" w:hAnsi="Calibri" w:cs="Arial"/>
        </w:rPr>
        <w:t xml:space="preserve">The next meeting is scheduled </w:t>
      </w:r>
      <w:r w:rsidR="00432BEA" w:rsidRPr="00773FC2">
        <w:rPr>
          <w:rFonts w:ascii="Calibri" w:hAnsi="Calibri" w:cs="Arial"/>
        </w:rPr>
        <w:t xml:space="preserve">for </w:t>
      </w:r>
      <w:r w:rsidR="00E06600">
        <w:rPr>
          <w:rFonts w:ascii="Calibri" w:hAnsi="Calibri" w:cs="Arial"/>
        </w:rPr>
        <w:t>10-1</w:t>
      </w:r>
      <w:r w:rsidR="00F3165D">
        <w:rPr>
          <w:rFonts w:ascii="Calibri" w:hAnsi="Calibri" w:cs="Arial"/>
        </w:rPr>
        <w:t>1</w:t>
      </w:r>
      <w:r w:rsidR="00E06600">
        <w:rPr>
          <w:rFonts w:ascii="Calibri" w:hAnsi="Calibri" w:cs="Arial"/>
        </w:rPr>
        <w:t xml:space="preserve"> March 2015</w:t>
      </w:r>
      <w:r w:rsidR="00432BEA" w:rsidRPr="00CB5879">
        <w:rPr>
          <w:rFonts w:ascii="Calibri" w:hAnsi="Calibri" w:cs="Arial"/>
        </w:rPr>
        <w:t xml:space="preserve"> in Canberra.</w:t>
      </w:r>
    </w:p>
    <w:p w:rsidR="0019046F" w:rsidRDefault="00432BEA" w:rsidP="0092244A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The meeting </w:t>
      </w:r>
      <w:r w:rsidRPr="00F03797">
        <w:rPr>
          <w:rFonts w:ascii="Calibri" w:hAnsi="Calibri" w:cs="Arial"/>
        </w:rPr>
        <w:t xml:space="preserve">closed at </w:t>
      </w:r>
      <w:r w:rsidR="00990D7D" w:rsidRPr="00F03797">
        <w:rPr>
          <w:rFonts w:ascii="Calibri" w:hAnsi="Calibri" w:cs="Arial"/>
        </w:rPr>
        <w:t>5.00pm</w:t>
      </w:r>
      <w:r w:rsidRPr="00CB5879">
        <w:rPr>
          <w:rFonts w:ascii="Calibri" w:hAnsi="Calibri" w:cs="Arial"/>
        </w:rPr>
        <w:t>.</w:t>
      </w:r>
    </w:p>
    <w:p w:rsidR="0092244A" w:rsidRDefault="0092244A" w:rsidP="0092244A">
      <w:pPr>
        <w:tabs>
          <w:tab w:val="left" w:pos="426"/>
        </w:tabs>
        <w:spacing w:after="120"/>
        <w:rPr>
          <w:rFonts w:ascii="Calibri" w:hAnsi="Calibri" w:cs="Arial"/>
        </w:rPr>
      </w:pPr>
    </w:p>
    <w:p w:rsidR="00432BEA" w:rsidRPr="00CB5879" w:rsidRDefault="00432BEA" w:rsidP="0092244A">
      <w:pPr>
        <w:tabs>
          <w:tab w:val="left" w:pos="426"/>
        </w:tabs>
        <w:spacing w:after="120"/>
        <w:rPr>
          <w:rFonts w:ascii="Calibri" w:hAnsi="Calibri" w:cs="Arial"/>
        </w:rPr>
      </w:pPr>
      <w:r w:rsidRPr="00CB5879">
        <w:rPr>
          <w:rFonts w:ascii="Calibri" w:hAnsi="Calibri" w:cs="Arial"/>
        </w:rPr>
        <w:t>Minutes confirmed as true and correct:</w:t>
      </w:r>
    </w:p>
    <w:p w:rsidR="00432BEA" w:rsidRPr="00CB5879" w:rsidRDefault="00432BEA" w:rsidP="0092244A">
      <w:pPr>
        <w:tabs>
          <w:tab w:val="left" w:pos="426"/>
        </w:tabs>
        <w:rPr>
          <w:rFonts w:ascii="Calibri" w:hAnsi="Calibri" w:cs="Arial"/>
        </w:rPr>
      </w:pPr>
    </w:p>
    <w:p w:rsidR="00432BEA" w:rsidRPr="00CB5879" w:rsidRDefault="00432BEA" w:rsidP="0092244A">
      <w:pPr>
        <w:tabs>
          <w:tab w:val="left" w:pos="426"/>
        </w:tabs>
        <w:rPr>
          <w:rFonts w:ascii="Calibri" w:hAnsi="Calibri" w:cs="Arial"/>
        </w:rPr>
      </w:pPr>
    </w:p>
    <w:p w:rsidR="00432BEA" w:rsidRPr="00CB5879" w:rsidRDefault="00432BEA" w:rsidP="0092244A">
      <w:pPr>
        <w:tabs>
          <w:tab w:val="left" w:pos="426"/>
        </w:tabs>
        <w:rPr>
          <w:rFonts w:ascii="Calibri" w:hAnsi="Calibri" w:cs="Arial"/>
        </w:rPr>
      </w:pPr>
    </w:p>
    <w:p w:rsidR="00432BEA" w:rsidRPr="00CB5879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CB5879">
        <w:rPr>
          <w:rFonts w:ascii="Calibri" w:hAnsi="Calibri" w:cs="Arial"/>
        </w:rPr>
        <w:t>Ms Lisa Corbyn</w:t>
      </w:r>
    </w:p>
    <w:p w:rsidR="00432BEA" w:rsidRDefault="00432BEA" w:rsidP="0092244A">
      <w:pPr>
        <w:tabs>
          <w:tab w:val="left" w:pos="426"/>
        </w:tabs>
        <w:rPr>
          <w:rFonts w:ascii="Calibri" w:hAnsi="Calibri" w:cs="Arial"/>
        </w:rPr>
      </w:pPr>
      <w:r w:rsidRPr="00CB5879">
        <w:rPr>
          <w:rFonts w:ascii="Calibri" w:hAnsi="Calibri" w:cs="Arial"/>
        </w:rPr>
        <w:t xml:space="preserve">IESC Chair </w:t>
      </w:r>
    </w:p>
    <w:p w:rsidR="00432BEA" w:rsidRDefault="00432BEA" w:rsidP="0092244A">
      <w:pPr>
        <w:tabs>
          <w:tab w:val="left" w:pos="426"/>
        </w:tabs>
        <w:rPr>
          <w:rFonts w:ascii="Calibri" w:hAnsi="Calibri" w:cs="Arial"/>
        </w:rPr>
      </w:pPr>
    </w:p>
    <w:p w:rsidR="00432BEA" w:rsidRDefault="002C67E6" w:rsidP="0092244A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3063FD" w:rsidRPr="0019046F">
        <w:rPr>
          <w:rFonts w:ascii="Calibri" w:hAnsi="Calibri" w:cs="Arial"/>
        </w:rPr>
        <w:t xml:space="preserve"> </w:t>
      </w:r>
      <w:r w:rsidR="006357B3" w:rsidRPr="0019046F">
        <w:rPr>
          <w:rFonts w:ascii="Calibri" w:hAnsi="Calibri" w:cs="Arial"/>
        </w:rPr>
        <w:t>M</w:t>
      </w:r>
      <w:r w:rsidR="006357B3">
        <w:rPr>
          <w:rFonts w:ascii="Calibri" w:hAnsi="Calibri" w:cs="Arial"/>
        </w:rPr>
        <w:t>arch</w:t>
      </w:r>
      <w:r w:rsidR="00E06600">
        <w:rPr>
          <w:rFonts w:ascii="Calibri" w:hAnsi="Calibri" w:cs="Arial"/>
        </w:rPr>
        <w:t xml:space="preserve"> 2015</w:t>
      </w:r>
    </w:p>
    <w:p w:rsidR="00432BEA" w:rsidRDefault="00432BEA" w:rsidP="0092244A">
      <w:pPr>
        <w:tabs>
          <w:tab w:val="left" w:pos="426"/>
        </w:tabs>
        <w:rPr>
          <w:rFonts w:ascii="Calibri" w:hAnsi="Calibri" w:cs="Arial"/>
        </w:rPr>
      </w:pPr>
    </w:p>
    <w:p w:rsidR="006B14DB" w:rsidRPr="00432BEA" w:rsidRDefault="006B14DB" w:rsidP="0092244A"/>
    <w:sectPr w:rsidR="006B14DB" w:rsidRPr="00432BEA" w:rsidSect="00641E1F">
      <w:headerReference w:type="even" r:id="rId7"/>
      <w:footerReference w:type="default" r:id="rId8"/>
      <w:headerReference w:type="first" r:id="rId9"/>
      <w:pgSz w:w="11906" w:h="16838"/>
      <w:pgMar w:top="1418" w:right="1276" w:bottom="567" w:left="1418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54" w:rsidRDefault="000A7754" w:rsidP="00A60185">
      <w:r>
        <w:separator/>
      </w:r>
    </w:p>
  </w:endnote>
  <w:endnote w:type="continuationSeparator" w:id="0">
    <w:p w:rsidR="000A7754" w:rsidRDefault="000A775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0A7754" w:rsidRDefault="001211E7">
        <w:pPr>
          <w:pStyle w:val="Footer"/>
          <w:jc w:val="center"/>
        </w:pPr>
        <w:fldSimple w:instr=" PAGE   \* MERGEFORMAT ">
          <w:r w:rsidR="00051D48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54" w:rsidRDefault="000A7754" w:rsidP="00A60185">
      <w:r>
        <w:separator/>
      </w:r>
    </w:p>
  </w:footnote>
  <w:footnote w:type="continuationSeparator" w:id="0">
    <w:p w:rsidR="000A7754" w:rsidRDefault="000A775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54" w:rsidRDefault="001211E7" w:rsidP="00E45765">
    <w:pPr>
      <w:pStyle w:val="Classification"/>
    </w:pPr>
    <w:r>
      <w:fldChar w:fldCharType="begin"/>
    </w:r>
    <w:r w:rsidR="000A7754">
      <w:instrText xml:space="preserve"> DOCPROPERTY SecurityClassification \* MERGEFORMAT </w:instrText>
    </w:r>
    <w:r>
      <w:fldChar w:fldCharType="separate"/>
    </w:r>
    <w:r w:rsidR="000A7754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754" w:rsidRDefault="000A7754" w:rsidP="00E531DF">
    <w:pPr>
      <w:pStyle w:val="Header"/>
      <w:jc w:val="center"/>
      <w:rPr>
        <w:rFonts w:asciiTheme="minorHAnsi" w:hAnsiTheme="minorHAnsi"/>
        <w:b/>
      </w:rPr>
    </w:pPr>
    <w:r w:rsidRPr="00E531DF">
      <w:rPr>
        <w:rFonts w:asciiTheme="minorHAnsi" w:hAnsiTheme="minorHAnsi"/>
        <w:b/>
      </w:rPr>
      <w:t>Independent Expert Scienti</w:t>
    </w:r>
    <w:r>
      <w:rPr>
        <w:rFonts w:asciiTheme="minorHAnsi" w:hAnsiTheme="minorHAnsi"/>
        <w:b/>
      </w:rPr>
      <w:t>fic Committee on Coal Sea, Gas and</w:t>
    </w:r>
  </w:p>
  <w:p w:rsidR="000A7754" w:rsidRDefault="000A7754" w:rsidP="00E531DF">
    <w:pPr>
      <w:pStyle w:val="Header"/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Large Coal Mining Development (IESC)</w:t>
    </w:r>
  </w:p>
  <w:p w:rsidR="000A7754" w:rsidRPr="00E531DF" w:rsidRDefault="000A7754" w:rsidP="00E531DF">
    <w:pPr>
      <w:pStyle w:val="Header"/>
      <w:jc w:val="center"/>
      <w:rPr>
        <w:rFonts w:asciiTheme="minorHAnsi" w:hAnsiTheme="minorHAnsi"/>
        <w:b/>
      </w:rPr>
    </w:pPr>
    <w:bookmarkStart w:id="1" w:name="OLE_LINK1"/>
    <w:bookmarkStart w:id="2" w:name="OLE_LINK2"/>
    <w:bookmarkStart w:id="3" w:name="_Hlk414864404"/>
    <w:r>
      <w:rPr>
        <w:rFonts w:asciiTheme="minorHAnsi" w:hAnsiTheme="minorHAnsi"/>
        <w:b/>
      </w:rPr>
      <w:t>Meeting 25, 20 February 2015</w:t>
    </w:r>
    <w:bookmarkEnd w:id="1"/>
    <w:bookmarkEnd w:id="2"/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6662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026A457D"/>
    <w:multiLevelType w:val="hybridMultilevel"/>
    <w:tmpl w:val="3B0A7D7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1A612962"/>
    <w:multiLevelType w:val="hybridMultilevel"/>
    <w:tmpl w:val="787A5074"/>
    <w:lvl w:ilvl="0" w:tplc="DA241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8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24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4C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80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0AE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4B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2B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A4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3C0A56"/>
    <w:multiLevelType w:val="hybridMultilevel"/>
    <w:tmpl w:val="B2702476"/>
    <w:lvl w:ilvl="0" w:tplc="20606E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745BC2"/>
    <w:multiLevelType w:val="multilevel"/>
    <w:tmpl w:val="E5E89F92"/>
    <w:numStyleLink w:val="BulletList"/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AF5039A"/>
    <w:multiLevelType w:val="hybridMultilevel"/>
    <w:tmpl w:val="BDE44B4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0">
    <w:nsid w:val="65456429"/>
    <w:multiLevelType w:val="multilevel"/>
    <w:tmpl w:val="E898CC72"/>
    <w:numStyleLink w:val="KeyPoints"/>
  </w:abstractNum>
  <w:abstractNum w:abstractNumId="11">
    <w:nsid w:val="6F7D6BDE"/>
    <w:multiLevelType w:val="hybridMultilevel"/>
    <w:tmpl w:val="E1006C1C"/>
    <w:lvl w:ilvl="0" w:tplc="0C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76A77C4"/>
    <w:multiLevelType w:val="hybridMultilevel"/>
    <w:tmpl w:val="8F16D8F2"/>
    <w:lvl w:ilvl="0" w:tplc="00DC6E78">
      <w:start w:val="3"/>
      <w:numFmt w:val="bullet"/>
      <w:lvlText w:val="-"/>
      <w:lvlJc w:val="left"/>
      <w:pPr>
        <w:ind w:left="786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7BD314CF"/>
    <w:multiLevelType w:val="hybridMultilevel"/>
    <w:tmpl w:val="7C1CB75E"/>
    <w:lvl w:ilvl="0" w:tplc="0C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5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4"/>
  </w:num>
  <w:num w:numId="17">
    <w:abstractNumId w:val="13"/>
  </w:num>
  <w:num w:numId="18">
    <w:abstractNumId w:val="5"/>
  </w:num>
  <w:num w:numId="19">
    <w:abstractNumId w:val="5"/>
  </w:num>
  <w:num w:numId="20">
    <w:abstractNumId w:val="0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C509DB"/>
    <w:rsid w:val="0000028E"/>
    <w:rsid w:val="000003BF"/>
    <w:rsid w:val="00004AEE"/>
    <w:rsid w:val="00005CAA"/>
    <w:rsid w:val="00010210"/>
    <w:rsid w:val="000113A2"/>
    <w:rsid w:val="00012D66"/>
    <w:rsid w:val="00015ADA"/>
    <w:rsid w:val="00020C99"/>
    <w:rsid w:val="000225C7"/>
    <w:rsid w:val="000232AE"/>
    <w:rsid w:val="0002707B"/>
    <w:rsid w:val="00043035"/>
    <w:rsid w:val="0005148E"/>
    <w:rsid w:val="000516C0"/>
    <w:rsid w:val="00051D48"/>
    <w:rsid w:val="0005348F"/>
    <w:rsid w:val="0006293A"/>
    <w:rsid w:val="00070510"/>
    <w:rsid w:val="00072C5A"/>
    <w:rsid w:val="000752E1"/>
    <w:rsid w:val="000759E5"/>
    <w:rsid w:val="00076172"/>
    <w:rsid w:val="00080A94"/>
    <w:rsid w:val="00084AC6"/>
    <w:rsid w:val="00085974"/>
    <w:rsid w:val="00091608"/>
    <w:rsid w:val="0009333C"/>
    <w:rsid w:val="00095966"/>
    <w:rsid w:val="00096042"/>
    <w:rsid w:val="0009704F"/>
    <w:rsid w:val="000A0F11"/>
    <w:rsid w:val="000A125A"/>
    <w:rsid w:val="000A57CD"/>
    <w:rsid w:val="000A62B4"/>
    <w:rsid w:val="000A7754"/>
    <w:rsid w:val="000B2128"/>
    <w:rsid w:val="000B2D3D"/>
    <w:rsid w:val="000B3758"/>
    <w:rsid w:val="000B3D12"/>
    <w:rsid w:val="000B58F3"/>
    <w:rsid w:val="000B7681"/>
    <w:rsid w:val="000B7B42"/>
    <w:rsid w:val="000C02B7"/>
    <w:rsid w:val="000C5100"/>
    <w:rsid w:val="000C5342"/>
    <w:rsid w:val="000C706A"/>
    <w:rsid w:val="000D2887"/>
    <w:rsid w:val="000D5C1C"/>
    <w:rsid w:val="000D6248"/>
    <w:rsid w:val="000D6D63"/>
    <w:rsid w:val="000E0081"/>
    <w:rsid w:val="000E07CF"/>
    <w:rsid w:val="000E31C1"/>
    <w:rsid w:val="000F2CF2"/>
    <w:rsid w:val="00100BEF"/>
    <w:rsid w:val="00111326"/>
    <w:rsid w:val="001126ED"/>
    <w:rsid w:val="0011498E"/>
    <w:rsid w:val="00115A86"/>
    <w:rsid w:val="00117A45"/>
    <w:rsid w:val="001211E7"/>
    <w:rsid w:val="001224AE"/>
    <w:rsid w:val="001337D4"/>
    <w:rsid w:val="00134F40"/>
    <w:rsid w:val="001414BA"/>
    <w:rsid w:val="0014698E"/>
    <w:rsid w:val="00147C12"/>
    <w:rsid w:val="001527A1"/>
    <w:rsid w:val="001530DC"/>
    <w:rsid w:val="00154989"/>
    <w:rsid w:val="00155A9F"/>
    <w:rsid w:val="00160262"/>
    <w:rsid w:val="00164C53"/>
    <w:rsid w:val="0016780A"/>
    <w:rsid w:val="001713FA"/>
    <w:rsid w:val="00173EBF"/>
    <w:rsid w:val="00175ED3"/>
    <w:rsid w:val="001842A2"/>
    <w:rsid w:val="00187FA8"/>
    <w:rsid w:val="0019046F"/>
    <w:rsid w:val="00192F5E"/>
    <w:rsid w:val="00197772"/>
    <w:rsid w:val="001A14B0"/>
    <w:rsid w:val="001A51C8"/>
    <w:rsid w:val="001A56FE"/>
    <w:rsid w:val="001B4CA8"/>
    <w:rsid w:val="001B5EA1"/>
    <w:rsid w:val="001C3AB2"/>
    <w:rsid w:val="001C4F3D"/>
    <w:rsid w:val="001D0CDC"/>
    <w:rsid w:val="001D1151"/>
    <w:rsid w:val="001D1D82"/>
    <w:rsid w:val="001E020D"/>
    <w:rsid w:val="001E1182"/>
    <w:rsid w:val="001E2056"/>
    <w:rsid w:val="00201E33"/>
    <w:rsid w:val="00202C90"/>
    <w:rsid w:val="00210C0E"/>
    <w:rsid w:val="00213DE8"/>
    <w:rsid w:val="00214ED3"/>
    <w:rsid w:val="00216118"/>
    <w:rsid w:val="002209AB"/>
    <w:rsid w:val="002251E3"/>
    <w:rsid w:val="00225621"/>
    <w:rsid w:val="00227A95"/>
    <w:rsid w:val="002316BD"/>
    <w:rsid w:val="002434D9"/>
    <w:rsid w:val="002473FC"/>
    <w:rsid w:val="00252E3C"/>
    <w:rsid w:val="00257BE9"/>
    <w:rsid w:val="00262198"/>
    <w:rsid w:val="002662B6"/>
    <w:rsid w:val="0028213E"/>
    <w:rsid w:val="00285F1B"/>
    <w:rsid w:val="002868EA"/>
    <w:rsid w:val="00292B81"/>
    <w:rsid w:val="00293277"/>
    <w:rsid w:val="002B18AE"/>
    <w:rsid w:val="002B3BD3"/>
    <w:rsid w:val="002B4E86"/>
    <w:rsid w:val="002C1C93"/>
    <w:rsid w:val="002C3C55"/>
    <w:rsid w:val="002C5066"/>
    <w:rsid w:val="002C5813"/>
    <w:rsid w:val="002C67E6"/>
    <w:rsid w:val="002D12BA"/>
    <w:rsid w:val="002D3E45"/>
    <w:rsid w:val="002D4AAC"/>
    <w:rsid w:val="002F045A"/>
    <w:rsid w:val="002F453A"/>
    <w:rsid w:val="002F6913"/>
    <w:rsid w:val="002F7FC4"/>
    <w:rsid w:val="0030039D"/>
    <w:rsid w:val="0030326F"/>
    <w:rsid w:val="00304B98"/>
    <w:rsid w:val="003063FD"/>
    <w:rsid w:val="00310701"/>
    <w:rsid w:val="00312DC1"/>
    <w:rsid w:val="00315340"/>
    <w:rsid w:val="00315980"/>
    <w:rsid w:val="003161A1"/>
    <w:rsid w:val="00316C26"/>
    <w:rsid w:val="00316F7F"/>
    <w:rsid w:val="003171B6"/>
    <w:rsid w:val="003171C4"/>
    <w:rsid w:val="003218E8"/>
    <w:rsid w:val="00325E34"/>
    <w:rsid w:val="003305D3"/>
    <w:rsid w:val="00330DCE"/>
    <w:rsid w:val="0033130A"/>
    <w:rsid w:val="00331E11"/>
    <w:rsid w:val="00334761"/>
    <w:rsid w:val="00337EBC"/>
    <w:rsid w:val="00341DCD"/>
    <w:rsid w:val="00342232"/>
    <w:rsid w:val="0034563E"/>
    <w:rsid w:val="003518D6"/>
    <w:rsid w:val="0035460C"/>
    <w:rsid w:val="003556BD"/>
    <w:rsid w:val="00365147"/>
    <w:rsid w:val="0037016E"/>
    <w:rsid w:val="00371778"/>
    <w:rsid w:val="00372908"/>
    <w:rsid w:val="00383020"/>
    <w:rsid w:val="003930A3"/>
    <w:rsid w:val="00394D7E"/>
    <w:rsid w:val="003975FD"/>
    <w:rsid w:val="003978F1"/>
    <w:rsid w:val="003B057D"/>
    <w:rsid w:val="003B53E2"/>
    <w:rsid w:val="003B60CC"/>
    <w:rsid w:val="003C1B25"/>
    <w:rsid w:val="003C2443"/>
    <w:rsid w:val="003C5DA3"/>
    <w:rsid w:val="003C72FE"/>
    <w:rsid w:val="003D232B"/>
    <w:rsid w:val="003D2A6C"/>
    <w:rsid w:val="003D4BCD"/>
    <w:rsid w:val="003D6C2B"/>
    <w:rsid w:val="003E01D8"/>
    <w:rsid w:val="003E2100"/>
    <w:rsid w:val="003E7739"/>
    <w:rsid w:val="003F6F5B"/>
    <w:rsid w:val="0040342D"/>
    <w:rsid w:val="00406460"/>
    <w:rsid w:val="0041192D"/>
    <w:rsid w:val="00412103"/>
    <w:rsid w:val="00412753"/>
    <w:rsid w:val="00413EE1"/>
    <w:rsid w:val="00415B4B"/>
    <w:rsid w:val="0042128E"/>
    <w:rsid w:val="004265F5"/>
    <w:rsid w:val="00432B60"/>
    <w:rsid w:val="00432BEA"/>
    <w:rsid w:val="00440698"/>
    <w:rsid w:val="004540E2"/>
    <w:rsid w:val="00454454"/>
    <w:rsid w:val="00466037"/>
    <w:rsid w:val="00467924"/>
    <w:rsid w:val="004712A5"/>
    <w:rsid w:val="0047266F"/>
    <w:rsid w:val="00476D6B"/>
    <w:rsid w:val="00480075"/>
    <w:rsid w:val="00484ECE"/>
    <w:rsid w:val="00492C16"/>
    <w:rsid w:val="004A0678"/>
    <w:rsid w:val="004A48A3"/>
    <w:rsid w:val="004A75E4"/>
    <w:rsid w:val="004B0D92"/>
    <w:rsid w:val="004B0EC0"/>
    <w:rsid w:val="004B66F1"/>
    <w:rsid w:val="004B6C2E"/>
    <w:rsid w:val="004C3EA0"/>
    <w:rsid w:val="004E2A38"/>
    <w:rsid w:val="004F190D"/>
    <w:rsid w:val="004F311E"/>
    <w:rsid w:val="004F63D7"/>
    <w:rsid w:val="004F7169"/>
    <w:rsid w:val="00500D66"/>
    <w:rsid w:val="00502D83"/>
    <w:rsid w:val="005037C7"/>
    <w:rsid w:val="00504B57"/>
    <w:rsid w:val="0051088F"/>
    <w:rsid w:val="00511373"/>
    <w:rsid w:val="0051297D"/>
    <w:rsid w:val="0051331E"/>
    <w:rsid w:val="00514C8E"/>
    <w:rsid w:val="00531DBF"/>
    <w:rsid w:val="00534DD5"/>
    <w:rsid w:val="00545108"/>
    <w:rsid w:val="00545759"/>
    <w:rsid w:val="00545BE0"/>
    <w:rsid w:val="00546930"/>
    <w:rsid w:val="00553BD4"/>
    <w:rsid w:val="00554C6A"/>
    <w:rsid w:val="00557AB1"/>
    <w:rsid w:val="00560A75"/>
    <w:rsid w:val="00562E85"/>
    <w:rsid w:val="0056332F"/>
    <w:rsid w:val="0056365F"/>
    <w:rsid w:val="00563BF8"/>
    <w:rsid w:val="00563DBD"/>
    <w:rsid w:val="005719B3"/>
    <w:rsid w:val="0057295E"/>
    <w:rsid w:val="00574B02"/>
    <w:rsid w:val="00581C39"/>
    <w:rsid w:val="005846F5"/>
    <w:rsid w:val="005903B6"/>
    <w:rsid w:val="00595A0C"/>
    <w:rsid w:val="005A0247"/>
    <w:rsid w:val="005A126E"/>
    <w:rsid w:val="005A1F98"/>
    <w:rsid w:val="005A452F"/>
    <w:rsid w:val="005B140D"/>
    <w:rsid w:val="005B2D64"/>
    <w:rsid w:val="005B6764"/>
    <w:rsid w:val="005C1FEA"/>
    <w:rsid w:val="005C3495"/>
    <w:rsid w:val="005C4C98"/>
    <w:rsid w:val="005C50FD"/>
    <w:rsid w:val="005E1F74"/>
    <w:rsid w:val="005E3DFC"/>
    <w:rsid w:val="005E5942"/>
    <w:rsid w:val="005E60AF"/>
    <w:rsid w:val="005F1DEA"/>
    <w:rsid w:val="00605A8F"/>
    <w:rsid w:val="00607FC9"/>
    <w:rsid w:val="0061155C"/>
    <w:rsid w:val="00622FE1"/>
    <w:rsid w:val="0062521C"/>
    <w:rsid w:val="00630A2B"/>
    <w:rsid w:val="00632DC7"/>
    <w:rsid w:val="006357B3"/>
    <w:rsid w:val="006357FB"/>
    <w:rsid w:val="00635ACA"/>
    <w:rsid w:val="006406FC"/>
    <w:rsid w:val="00640E57"/>
    <w:rsid w:val="0064192C"/>
    <w:rsid w:val="00641E1F"/>
    <w:rsid w:val="00642BF2"/>
    <w:rsid w:val="00646122"/>
    <w:rsid w:val="006531BB"/>
    <w:rsid w:val="00653E16"/>
    <w:rsid w:val="00657220"/>
    <w:rsid w:val="00657362"/>
    <w:rsid w:val="0066104B"/>
    <w:rsid w:val="006655EE"/>
    <w:rsid w:val="00667C10"/>
    <w:rsid w:val="00667EF4"/>
    <w:rsid w:val="006753FD"/>
    <w:rsid w:val="00676FCA"/>
    <w:rsid w:val="00677177"/>
    <w:rsid w:val="0068612E"/>
    <w:rsid w:val="00687C92"/>
    <w:rsid w:val="00693531"/>
    <w:rsid w:val="0069534E"/>
    <w:rsid w:val="0069669C"/>
    <w:rsid w:val="006A1200"/>
    <w:rsid w:val="006A3C1A"/>
    <w:rsid w:val="006A4F4E"/>
    <w:rsid w:val="006A6C23"/>
    <w:rsid w:val="006B0468"/>
    <w:rsid w:val="006B14DB"/>
    <w:rsid w:val="006B21C4"/>
    <w:rsid w:val="006C4A1A"/>
    <w:rsid w:val="006D0393"/>
    <w:rsid w:val="006D1A83"/>
    <w:rsid w:val="006E1B01"/>
    <w:rsid w:val="006E1CFE"/>
    <w:rsid w:val="006E77B5"/>
    <w:rsid w:val="006F10C4"/>
    <w:rsid w:val="006F40E9"/>
    <w:rsid w:val="006F5603"/>
    <w:rsid w:val="006F6855"/>
    <w:rsid w:val="006F7B87"/>
    <w:rsid w:val="0070127F"/>
    <w:rsid w:val="00701400"/>
    <w:rsid w:val="007037CF"/>
    <w:rsid w:val="00707E33"/>
    <w:rsid w:val="007167C0"/>
    <w:rsid w:val="00720481"/>
    <w:rsid w:val="007250AD"/>
    <w:rsid w:val="00725AF4"/>
    <w:rsid w:val="007274C0"/>
    <w:rsid w:val="00733193"/>
    <w:rsid w:val="00733DCB"/>
    <w:rsid w:val="0073405B"/>
    <w:rsid w:val="00744DDA"/>
    <w:rsid w:val="00745E03"/>
    <w:rsid w:val="00746869"/>
    <w:rsid w:val="0075732A"/>
    <w:rsid w:val="007600F8"/>
    <w:rsid w:val="00760262"/>
    <w:rsid w:val="0076310C"/>
    <w:rsid w:val="00764270"/>
    <w:rsid w:val="0076744F"/>
    <w:rsid w:val="00767BCE"/>
    <w:rsid w:val="00767EFC"/>
    <w:rsid w:val="007707DE"/>
    <w:rsid w:val="00770B5D"/>
    <w:rsid w:val="00773FC2"/>
    <w:rsid w:val="007752F1"/>
    <w:rsid w:val="00776768"/>
    <w:rsid w:val="00776927"/>
    <w:rsid w:val="0078187A"/>
    <w:rsid w:val="00781D4C"/>
    <w:rsid w:val="00785086"/>
    <w:rsid w:val="00792973"/>
    <w:rsid w:val="0079364B"/>
    <w:rsid w:val="00794ED8"/>
    <w:rsid w:val="007A1C66"/>
    <w:rsid w:val="007A2573"/>
    <w:rsid w:val="007B106C"/>
    <w:rsid w:val="007B1354"/>
    <w:rsid w:val="007B1A4E"/>
    <w:rsid w:val="007B3292"/>
    <w:rsid w:val="007B3D05"/>
    <w:rsid w:val="007B5503"/>
    <w:rsid w:val="007C179C"/>
    <w:rsid w:val="007C6BB3"/>
    <w:rsid w:val="007D14B4"/>
    <w:rsid w:val="007D2175"/>
    <w:rsid w:val="007D3AD7"/>
    <w:rsid w:val="007D549B"/>
    <w:rsid w:val="007E019E"/>
    <w:rsid w:val="007E24F6"/>
    <w:rsid w:val="00800B63"/>
    <w:rsid w:val="00800F64"/>
    <w:rsid w:val="00801050"/>
    <w:rsid w:val="00802F0B"/>
    <w:rsid w:val="00803F86"/>
    <w:rsid w:val="00810A67"/>
    <w:rsid w:val="008177DC"/>
    <w:rsid w:val="00824190"/>
    <w:rsid w:val="008258EB"/>
    <w:rsid w:val="00832804"/>
    <w:rsid w:val="00833CF7"/>
    <w:rsid w:val="00834CDE"/>
    <w:rsid w:val="00837052"/>
    <w:rsid w:val="00842464"/>
    <w:rsid w:val="00845601"/>
    <w:rsid w:val="008514ED"/>
    <w:rsid w:val="00855C5C"/>
    <w:rsid w:val="00862DE4"/>
    <w:rsid w:val="00871466"/>
    <w:rsid w:val="00872C82"/>
    <w:rsid w:val="00881D59"/>
    <w:rsid w:val="008A26A6"/>
    <w:rsid w:val="008A3C96"/>
    <w:rsid w:val="008B4019"/>
    <w:rsid w:val="008B65C9"/>
    <w:rsid w:val="008C2D4A"/>
    <w:rsid w:val="008C3C6A"/>
    <w:rsid w:val="008D3900"/>
    <w:rsid w:val="008D603C"/>
    <w:rsid w:val="008D6E1D"/>
    <w:rsid w:val="008F14BE"/>
    <w:rsid w:val="008F1B1D"/>
    <w:rsid w:val="008F39B4"/>
    <w:rsid w:val="008F4162"/>
    <w:rsid w:val="00900E1B"/>
    <w:rsid w:val="00901FA1"/>
    <w:rsid w:val="00903E02"/>
    <w:rsid w:val="00913175"/>
    <w:rsid w:val="00916EDB"/>
    <w:rsid w:val="00920861"/>
    <w:rsid w:val="00921C08"/>
    <w:rsid w:val="0092244A"/>
    <w:rsid w:val="00922B13"/>
    <w:rsid w:val="009242EF"/>
    <w:rsid w:val="00932291"/>
    <w:rsid w:val="00932861"/>
    <w:rsid w:val="0093408E"/>
    <w:rsid w:val="00935712"/>
    <w:rsid w:val="009449F2"/>
    <w:rsid w:val="0094790B"/>
    <w:rsid w:val="00952DDF"/>
    <w:rsid w:val="009610A3"/>
    <w:rsid w:val="009619F4"/>
    <w:rsid w:val="00963B6A"/>
    <w:rsid w:val="00967C10"/>
    <w:rsid w:val="00970950"/>
    <w:rsid w:val="009812D4"/>
    <w:rsid w:val="00990D7D"/>
    <w:rsid w:val="009920D8"/>
    <w:rsid w:val="009946AF"/>
    <w:rsid w:val="009952F5"/>
    <w:rsid w:val="009A3E99"/>
    <w:rsid w:val="009B28B1"/>
    <w:rsid w:val="009B38BE"/>
    <w:rsid w:val="009C3039"/>
    <w:rsid w:val="009C3D0F"/>
    <w:rsid w:val="009C49F8"/>
    <w:rsid w:val="009E1B19"/>
    <w:rsid w:val="009E5C74"/>
    <w:rsid w:val="009E70C6"/>
    <w:rsid w:val="009F35E2"/>
    <w:rsid w:val="009F65F9"/>
    <w:rsid w:val="009F68BA"/>
    <w:rsid w:val="00A06277"/>
    <w:rsid w:val="00A079DC"/>
    <w:rsid w:val="00A111C2"/>
    <w:rsid w:val="00A241D6"/>
    <w:rsid w:val="00A333FB"/>
    <w:rsid w:val="00A338E7"/>
    <w:rsid w:val="00A35CAA"/>
    <w:rsid w:val="00A36D02"/>
    <w:rsid w:val="00A36E7F"/>
    <w:rsid w:val="00A41E65"/>
    <w:rsid w:val="00A43E0A"/>
    <w:rsid w:val="00A530C7"/>
    <w:rsid w:val="00A55F5B"/>
    <w:rsid w:val="00A57A9C"/>
    <w:rsid w:val="00A60185"/>
    <w:rsid w:val="00A661EA"/>
    <w:rsid w:val="00A7078B"/>
    <w:rsid w:val="00A830E5"/>
    <w:rsid w:val="00A87135"/>
    <w:rsid w:val="00A93280"/>
    <w:rsid w:val="00A951EA"/>
    <w:rsid w:val="00AA2548"/>
    <w:rsid w:val="00AA31D1"/>
    <w:rsid w:val="00AA40B7"/>
    <w:rsid w:val="00AA58C4"/>
    <w:rsid w:val="00AA5B25"/>
    <w:rsid w:val="00AA7003"/>
    <w:rsid w:val="00AB11C8"/>
    <w:rsid w:val="00AB496F"/>
    <w:rsid w:val="00AB6AD6"/>
    <w:rsid w:val="00AC08A8"/>
    <w:rsid w:val="00AD04CF"/>
    <w:rsid w:val="00AD56C8"/>
    <w:rsid w:val="00AD58F2"/>
    <w:rsid w:val="00AE25BD"/>
    <w:rsid w:val="00AF3FC9"/>
    <w:rsid w:val="00B0512A"/>
    <w:rsid w:val="00B0529F"/>
    <w:rsid w:val="00B1418B"/>
    <w:rsid w:val="00B21195"/>
    <w:rsid w:val="00B24B22"/>
    <w:rsid w:val="00B25310"/>
    <w:rsid w:val="00B32F8F"/>
    <w:rsid w:val="00B3492A"/>
    <w:rsid w:val="00B37C87"/>
    <w:rsid w:val="00B42524"/>
    <w:rsid w:val="00B53B21"/>
    <w:rsid w:val="00B54DE9"/>
    <w:rsid w:val="00B553EC"/>
    <w:rsid w:val="00B55E3F"/>
    <w:rsid w:val="00B63C1E"/>
    <w:rsid w:val="00B848CC"/>
    <w:rsid w:val="00B93DD0"/>
    <w:rsid w:val="00B9502F"/>
    <w:rsid w:val="00B97732"/>
    <w:rsid w:val="00BA65A8"/>
    <w:rsid w:val="00BA6D19"/>
    <w:rsid w:val="00BA6D42"/>
    <w:rsid w:val="00BA7001"/>
    <w:rsid w:val="00BA7461"/>
    <w:rsid w:val="00BA7DA9"/>
    <w:rsid w:val="00BC145F"/>
    <w:rsid w:val="00BC4215"/>
    <w:rsid w:val="00BC573D"/>
    <w:rsid w:val="00BC67B8"/>
    <w:rsid w:val="00BC7CF7"/>
    <w:rsid w:val="00BD03DA"/>
    <w:rsid w:val="00BD1A6F"/>
    <w:rsid w:val="00BE600C"/>
    <w:rsid w:val="00BE6D3C"/>
    <w:rsid w:val="00BE7852"/>
    <w:rsid w:val="00BE7C93"/>
    <w:rsid w:val="00BF6BD9"/>
    <w:rsid w:val="00BF7B7E"/>
    <w:rsid w:val="00BF7CEE"/>
    <w:rsid w:val="00C03880"/>
    <w:rsid w:val="00C135CF"/>
    <w:rsid w:val="00C2538A"/>
    <w:rsid w:val="00C2683F"/>
    <w:rsid w:val="00C26D08"/>
    <w:rsid w:val="00C3184D"/>
    <w:rsid w:val="00C444EC"/>
    <w:rsid w:val="00C4714E"/>
    <w:rsid w:val="00C509DB"/>
    <w:rsid w:val="00C51CCA"/>
    <w:rsid w:val="00C5504F"/>
    <w:rsid w:val="00C57B55"/>
    <w:rsid w:val="00C603ED"/>
    <w:rsid w:val="00C63376"/>
    <w:rsid w:val="00C74F97"/>
    <w:rsid w:val="00C8276E"/>
    <w:rsid w:val="00C83ECC"/>
    <w:rsid w:val="00C842AC"/>
    <w:rsid w:val="00C96688"/>
    <w:rsid w:val="00CA0723"/>
    <w:rsid w:val="00CA2470"/>
    <w:rsid w:val="00CA2FF9"/>
    <w:rsid w:val="00CA4EF3"/>
    <w:rsid w:val="00CB0779"/>
    <w:rsid w:val="00CB1690"/>
    <w:rsid w:val="00CC3AC0"/>
    <w:rsid w:val="00CC4365"/>
    <w:rsid w:val="00CD11B0"/>
    <w:rsid w:val="00CE71C2"/>
    <w:rsid w:val="00CF0103"/>
    <w:rsid w:val="00CF34E9"/>
    <w:rsid w:val="00CF42D5"/>
    <w:rsid w:val="00CF4EDA"/>
    <w:rsid w:val="00D021CB"/>
    <w:rsid w:val="00D10F1A"/>
    <w:rsid w:val="00D116F8"/>
    <w:rsid w:val="00D17596"/>
    <w:rsid w:val="00D21D54"/>
    <w:rsid w:val="00D21E1F"/>
    <w:rsid w:val="00D22640"/>
    <w:rsid w:val="00D24E89"/>
    <w:rsid w:val="00D2649F"/>
    <w:rsid w:val="00D26D3A"/>
    <w:rsid w:val="00D45EE3"/>
    <w:rsid w:val="00D47712"/>
    <w:rsid w:val="00D50618"/>
    <w:rsid w:val="00D509E9"/>
    <w:rsid w:val="00D53B1C"/>
    <w:rsid w:val="00D60077"/>
    <w:rsid w:val="00D6610D"/>
    <w:rsid w:val="00D66E5A"/>
    <w:rsid w:val="00D74B9E"/>
    <w:rsid w:val="00D766E0"/>
    <w:rsid w:val="00D77D12"/>
    <w:rsid w:val="00D804E9"/>
    <w:rsid w:val="00DA1B12"/>
    <w:rsid w:val="00DA54C9"/>
    <w:rsid w:val="00DA6739"/>
    <w:rsid w:val="00DA6CAE"/>
    <w:rsid w:val="00DB1A9E"/>
    <w:rsid w:val="00DB31D6"/>
    <w:rsid w:val="00DB4005"/>
    <w:rsid w:val="00DC0F6B"/>
    <w:rsid w:val="00DC34EB"/>
    <w:rsid w:val="00DC3994"/>
    <w:rsid w:val="00DE327E"/>
    <w:rsid w:val="00DF1E5B"/>
    <w:rsid w:val="00DF2275"/>
    <w:rsid w:val="00DF3F5E"/>
    <w:rsid w:val="00DF5653"/>
    <w:rsid w:val="00E0596E"/>
    <w:rsid w:val="00E06600"/>
    <w:rsid w:val="00E06F66"/>
    <w:rsid w:val="00E110B9"/>
    <w:rsid w:val="00E14DB2"/>
    <w:rsid w:val="00E23830"/>
    <w:rsid w:val="00E26F44"/>
    <w:rsid w:val="00E356E5"/>
    <w:rsid w:val="00E36F81"/>
    <w:rsid w:val="00E3731B"/>
    <w:rsid w:val="00E45765"/>
    <w:rsid w:val="00E4630C"/>
    <w:rsid w:val="00E5058D"/>
    <w:rsid w:val="00E5098C"/>
    <w:rsid w:val="00E531DF"/>
    <w:rsid w:val="00E60213"/>
    <w:rsid w:val="00E661B2"/>
    <w:rsid w:val="00E74D29"/>
    <w:rsid w:val="00E83C74"/>
    <w:rsid w:val="00E83CEE"/>
    <w:rsid w:val="00E918BE"/>
    <w:rsid w:val="00E91F18"/>
    <w:rsid w:val="00E9226D"/>
    <w:rsid w:val="00EA0773"/>
    <w:rsid w:val="00EA416C"/>
    <w:rsid w:val="00EA5941"/>
    <w:rsid w:val="00EB60CE"/>
    <w:rsid w:val="00EB7D53"/>
    <w:rsid w:val="00EC0669"/>
    <w:rsid w:val="00EC66DB"/>
    <w:rsid w:val="00ED4192"/>
    <w:rsid w:val="00EE3146"/>
    <w:rsid w:val="00EF50BB"/>
    <w:rsid w:val="00EF53FF"/>
    <w:rsid w:val="00EF7B35"/>
    <w:rsid w:val="00F00192"/>
    <w:rsid w:val="00F01DF6"/>
    <w:rsid w:val="00F0340D"/>
    <w:rsid w:val="00F03797"/>
    <w:rsid w:val="00F059A6"/>
    <w:rsid w:val="00F10CEF"/>
    <w:rsid w:val="00F23756"/>
    <w:rsid w:val="00F2523A"/>
    <w:rsid w:val="00F25FFA"/>
    <w:rsid w:val="00F310D2"/>
    <w:rsid w:val="00F3165D"/>
    <w:rsid w:val="00F36F3D"/>
    <w:rsid w:val="00F377A4"/>
    <w:rsid w:val="00F477BD"/>
    <w:rsid w:val="00F5032A"/>
    <w:rsid w:val="00F53491"/>
    <w:rsid w:val="00F65A1C"/>
    <w:rsid w:val="00F66F50"/>
    <w:rsid w:val="00F701C0"/>
    <w:rsid w:val="00F82FF8"/>
    <w:rsid w:val="00F8330D"/>
    <w:rsid w:val="00F84305"/>
    <w:rsid w:val="00F8485C"/>
    <w:rsid w:val="00F87149"/>
    <w:rsid w:val="00F87FFE"/>
    <w:rsid w:val="00F92CBB"/>
    <w:rsid w:val="00F93940"/>
    <w:rsid w:val="00F954C9"/>
    <w:rsid w:val="00F95DC4"/>
    <w:rsid w:val="00FA4CF0"/>
    <w:rsid w:val="00FA61AA"/>
    <w:rsid w:val="00FA69A4"/>
    <w:rsid w:val="00FB1279"/>
    <w:rsid w:val="00FB1495"/>
    <w:rsid w:val="00FD1694"/>
    <w:rsid w:val="00FD7636"/>
    <w:rsid w:val="00FE3229"/>
    <w:rsid w:val="00FE5171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043035"/>
    <w:pPr>
      <w:tabs>
        <w:tab w:val="center" w:pos="4513"/>
        <w:tab w:val="right" w:pos="9026"/>
      </w:tabs>
      <w:jc w:val="right"/>
    </w:pPr>
    <w:rPr>
      <w:rFonts w:ascii="Calibri" w:hAnsi="Calibri" w:cs="Calibri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3035"/>
    <w:rPr>
      <w:rFonts w:ascii="Calibri" w:eastAsia="Times New Roman" w:hAnsi="Calibri" w:cs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qFormat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qFormat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043035"/>
  </w:style>
  <w:style w:type="character" w:styleId="CommentReference">
    <w:name w:val="annotation reference"/>
    <w:basedOn w:val="DefaultParagraphFont"/>
    <w:uiPriority w:val="99"/>
    <w:semiHidden/>
    <w:unhideWhenUsed/>
    <w:rsid w:val="00AF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FC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FC9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26D0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 w:qFormat="1"/>
    <w:lsdException w:name="List Number 3" w:semiHidden="0" w:unhideWhenUsed="0" w:qFormat="1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043035"/>
    <w:pPr>
      <w:tabs>
        <w:tab w:val="center" w:pos="4513"/>
        <w:tab w:val="right" w:pos="9026"/>
      </w:tabs>
      <w:jc w:val="right"/>
    </w:pPr>
    <w:rPr>
      <w:rFonts w:ascii="Calibri" w:hAnsi="Calibri" w:cs="Calibri"/>
      <w:b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43035"/>
    <w:rPr>
      <w:rFonts w:ascii="Calibri" w:eastAsia="Times New Roman" w:hAnsi="Calibri" w:cs="Calibri"/>
      <w:b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qFormat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qFormat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043035"/>
  </w:style>
  <w:style w:type="character" w:styleId="CommentReference">
    <w:name w:val="annotation reference"/>
    <w:basedOn w:val="DefaultParagraphFont"/>
    <w:uiPriority w:val="99"/>
    <w:semiHidden/>
    <w:unhideWhenUsed/>
    <w:rsid w:val="00AF3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FC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FC9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C26D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299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55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59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18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7129</Characters>
  <Application>Microsoft Office Word</Application>
  <DocSecurity>0</DocSecurity>
  <Lines>59</Lines>
  <Paragraphs>16</Paragraphs>
  <ScaleCrop>false</ScaleCrop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25, 20 February 2015 Minutes</dc:title>
  <dc:creator/>
  <cp:lastModifiedBy/>
  <cp:revision>1</cp:revision>
  <dcterms:created xsi:type="dcterms:W3CDTF">2015-03-22T22:01:00Z</dcterms:created>
  <dcterms:modified xsi:type="dcterms:W3CDTF">2015-03-22T22:01:00Z</dcterms:modified>
</cp:coreProperties>
</file>