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7B8" w:rsidRDefault="00F027B8" w:rsidP="00277A51">
      <w:pPr>
        <w:pStyle w:val="Header"/>
        <w:suppressLineNumbers/>
      </w:pPr>
      <w:r w:rsidRPr="00F027B8">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Default="00F027B8" w:rsidP="00277A51">
      <w:pPr>
        <w:pStyle w:val="Header"/>
        <w:suppressLineNumbers/>
      </w:pPr>
    </w:p>
    <w:p w:rsidR="00F027B8" w:rsidRDefault="00F027B8" w:rsidP="00277A51">
      <w:pPr>
        <w:pStyle w:val="Header"/>
        <w:suppressLineNumbers/>
      </w:pPr>
    </w:p>
    <w:p w:rsidR="00F027B8" w:rsidRPr="00D622B9" w:rsidRDefault="00F027B8" w:rsidP="00277A51">
      <w:pPr>
        <w:pStyle w:val="Heading1"/>
        <w:suppressLineNumbers/>
      </w:pPr>
    </w:p>
    <w:p w:rsidR="001765DA" w:rsidRPr="00D622B9" w:rsidRDefault="00F027B8" w:rsidP="00277A51">
      <w:pPr>
        <w:pStyle w:val="Heading1"/>
        <w:suppressLineNumbers/>
      </w:pPr>
      <w:r w:rsidRPr="00D622B9">
        <w:t>Advi</w:t>
      </w:r>
      <w:r w:rsidR="001765DA" w:rsidRPr="00D622B9">
        <w:t>ce to decision maker on coal mining</w:t>
      </w:r>
      <w:r w:rsidR="00E21678" w:rsidRPr="00D622B9">
        <w:t xml:space="preserve"> project </w:t>
      </w:r>
    </w:p>
    <w:p w:rsidR="004861E6" w:rsidRDefault="00D10C4C" w:rsidP="00277A51">
      <w:pPr>
        <w:pStyle w:val="Heading2"/>
        <w:suppressLineNumbers/>
      </w:pPr>
      <w:r w:rsidRPr="00704B37">
        <w:t>IESC</w:t>
      </w:r>
      <w:r w:rsidRPr="00EF5270">
        <w:t xml:space="preserve"> </w:t>
      </w:r>
      <w:r w:rsidR="00C43084" w:rsidRPr="00D34B81">
        <w:t>201</w:t>
      </w:r>
      <w:r w:rsidR="00D34B81" w:rsidRPr="00D34B81">
        <w:t>6</w:t>
      </w:r>
      <w:r w:rsidR="00CC27E7" w:rsidRPr="00D34B81">
        <w:t>-</w:t>
      </w:r>
      <w:r w:rsidRPr="00D34B81">
        <w:t>0</w:t>
      </w:r>
      <w:bookmarkStart w:id="0" w:name="_GoBack"/>
      <w:bookmarkEnd w:id="0"/>
      <w:r w:rsidR="00D34B81" w:rsidRPr="00D34B81">
        <w:t>75</w:t>
      </w:r>
      <w:r w:rsidR="001765DA" w:rsidRPr="00D34B81">
        <w:t>:</w:t>
      </w:r>
      <w:r w:rsidR="002974BC" w:rsidRPr="00D34B81">
        <w:t xml:space="preserve"> </w:t>
      </w:r>
      <w:bookmarkStart w:id="1" w:name="OLE_LINK1"/>
      <w:bookmarkStart w:id="2" w:name="OLE_LINK2"/>
      <w:r w:rsidR="00D34B81" w:rsidRPr="00D34B81">
        <w:t>Wilpinjong Extension Project</w:t>
      </w:r>
      <w:bookmarkEnd w:id="1"/>
      <w:bookmarkEnd w:id="2"/>
      <w:r w:rsidR="00D34B81" w:rsidRPr="00D34B81">
        <w:t xml:space="preserve"> </w:t>
      </w:r>
      <w:r w:rsidR="00D83AAD" w:rsidRPr="00D34B81">
        <w:t>(</w:t>
      </w:r>
      <w:r w:rsidR="00D34B81" w:rsidRPr="00D34B81">
        <w:t>EPBC 2015/7431, SSD6764</w:t>
      </w:r>
      <w:r w:rsidR="00D83AAD" w:rsidRPr="00D34B81">
        <w:t xml:space="preserve">) </w:t>
      </w:r>
      <w:r w:rsidR="00C803D7" w:rsidRPr="00D34B81">
        <w:t>–</w:t>
      </w:r>
      <w:r w:rsidR="00D34B81" w:rsidRPr="00D34B81">
        <w:t xml:space="preserve"> </w:t>
      </w:r>
      <w:r w:rsidR="00C803D7" w:rsidRPr="00D34B81">
        <w:t>Expansion</w:t>
      </w:r>
      <w:r w:rsidR="003E2135">
        <w:t xml:space="preserve">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1765DA" w:rsidRPr="002A5EC3" w:rsidTr="009110D5">
        <w:trPr>
          <w:trHeight w:val="563"/>
        </w:trPr>
        <w:tc>
          <w:tcPr>
            <w:tcW w:w="1809" w:type="dxa"/>
            <w:tcBorders>
              <w:top w:val="single" w:sz="4" w:space="0" w:color="auto"/>
              <w:bottom w:val="single" w:sz="4" w:space="0" w:color="auto"/>
            </w:tcBorders>
          </w:tcPr>
          <w:p w:rsidR="001765DA" w:rsidRPr="00D622B9" w:rsidRDefault="001765DA" w:rsidP="00277A51">
            <w:pPr>
              <w:pStyle w:val="Heading6"/>
              <w:suppressLineNumbers/>
            </w:pPr>
            <w:r w:rsidRPr="00D622B9">
              <w:t>Requesting agenc</w:t>
            </w:r>
            <w:r w:rsidR="00D34B81">
              <w:t>ies</w:t>
            </w:r>
          </w:p>
        </w:tc>
        <w:tc>
          <w:tcPr>
            <w:tcW w:w="8159" w:type="dxa"/>
            <w:tcBorders>
              <w:top w:val="single" w:sz="4" w:space="0" w:color="auto"/>
              <w:bottom w:val="single" w:sz="4" w:space="0" w:color="auto"/>
            </w:tcBorders>
          </w:tcPr>
          <w:p w:rsidR="00B1520C" w:rsidRPr="00D622B9" w:rsidRDefault="00B1520C" w:rsidP="00277A51">
            <w:pPr>
              <w:pStyle w:val="Tabletext"/>
              <w:suppressLineNumbers/>
            </w:pPr>
            <w:r w:rsidRPr="00D622B9">
              <w:t xml:space="preserve">The </w:t>
            </w:r>
            <w:r w:rsidR="00C43084" w:rsidRPr="00D622B9">
              <w:t xml:space="preserve">Australian Government </w:t>
            </w:r>
            <w:r w:rsidR="001765DA" w:rsidRPr="00D622B9">
              <w:t xml:space="preserve">Department of </w:t>
            </w:r>
            <w:r w:rsidR="00616861" w:rsidRPr="00D622B9">
              <w:t>the</w:t>
            </w:r>
            <w:r w:rsidR="001765DA" w:rsidRPr="00D622B9">
              <w:t xml:space="preserve"> Environment</w:t>
            </w:r>
            <w:r w:rsidRPr="00D622B9">
              <w:t xml:space="preserve"> </w:t>
            </w:r>
          </w:p>
          <w:p w:rsidR="003E2BDB" w:rsidRPr="00C43084" w:rsidRDefault="00B1520C" w:rsidP="00277A51">
            <w:pPr>
              <w:pStyle w:val="Tabletext"/>
              <w:suppressLineNumbers/>
            </w:pPr>
            <w:r w:rsidRPr="00D622B9">
              <w:t xml:space="preserve">The </w:t>
            </w:r>
            <w:r w:rsidR="00C43084" w:rsidRPr="00D622B9">
              <w:t xml:space="preserve">New South Wales </w:t>
            </w:r>
            <w:r w:rsidRPr="00D622B9">
              <w:t xml:space="preserve">Department of Planning and </w:t>
            </w:r>
            <w:r w:rsidR="004B5A51" w:rsidRPr="00D622B9">
              <w:t>Environment</w:t>
            </w:r>
            <w:r w:rsidR="003E2BDB" w:rsidRPr="00D622B9">
              <w:t xml:space="preserve"> </w:t>
            </w:r>
          </w:p>
        </w:tc>
      </w:tr>
      <w:tr w:rsidR="001765DA" w:rsidRPr="002A5EC3" w:rsidTr="009110D5">
        <w:trPr>
          <w:trHeight w:val="19"/>
        </w:trPr>
        <w:tc>
          <w:tcPr>
            <w:tcW w:w="1809" w:type="dxa"/>
            <w:tcBorders>
              <w:top w:val="single" w:sz="4" w:space="0" w:color="auto"/>
              <w:bottom w:val="single" w:sz="4" w:space="0" w:color="auto"/>
            </w:tcBorders>
          </w:tcPr>
          <w:p w:rsidR="001765DA" w:rsidRPr="00D622B9" w:rsidRDefault="001765DA" w:rsidP="00277A51">
            <w:pPr>
              <w:pStyle w:val="Heading6"/>
              <w:suppressLineNumbers/>
            </w:pPr>
            <w:r w:rsidRPr="00D622B9">
              <w:t>Date of request</w:t>
            </w:r>
          </w:p>
        </w:tc>
        <w:tc>
          <w:tcPr>
            <w:tcW w:w="8159" w:type="dxa"/>
            <w:tcBorders>
              <w:top w:val="single" w:sz="4" w:space="0" w:color="auto"/>
              <w:bottom w:val="single" w:sz="4" w:space="0" w:color="auto"/>
            </w:tcBorders>
          </w:tcPr>
          <w:p w:rsidR="001765DA" w:rsidRPr="00724EDE" w:rsidRDefault="00D34B81" w:rsidP="00D34B81">
            <w:pPr>
              <w:pStyle w:val="Tabletext"/>
              <w:suppressLineNumbers/>
            </w:pPr>
            <w:r w:rsidRPr="00724EDE">
              <w:t>28</w:t>
            </w:r>
            <w:r w:rsidR="00A10BAB" w:rsidRPr="00724EDE">
              <w:t xml:space="preserve"> </w:t>
            </w:r>
            <w:r w:rsidRPr="00724EDE">
              <w:t>January</w:t>
            </w:r>
            <w:r w:rsidR="00A10BAB" w:rsidRPr="00724EDE">
              <w:t xml:space="preserve"> </w:t>
            </w:r>
            <w:r w:rsidR="00716583" w:rsidRPr="00724EDE">
              <w:t>201</w:t>
            </w:r>
            <w:r w:rsidRPr="00724EDE">
              <w:t>6</w:t>
            </w:r>
            <w:r w:rsidR="00E21678" w:rsidRPr="00724EDE">
              <w:rPr>
                <w:b/>
              </w:rPr>
              <w:t xml:space="preserve"> </w:t>
            </w:r>
          </w:p>
        </w:tc>
      </w:tr>
      <w:tr w:rsidR="00185039" w:rsidRPr="002A5EC3" w:rsidTr="009110D5">
        <w:trPr>
          <w:trHeight w:val="19"/>
        </w:trPr>
        <w:tc>
          <w:tcPr>
            <w:tcW w:w="1809" w:type="dxa"/>
            <w:tcBorders>
              <w:top w:val="single" w:sz="4" w:space="0" w:color="auto"/>
              <w:bottom w:val="single" w:sz="4" w:space="0" w:color="auto"/>
            </w:tcBorders>
          </w:tcPr>
          <w:p w:rsidR="00185039" w:rsidRPr="00D622B9" w:rsidRDefault="00185039" w:rsidP="00277A51">
            <w:pPr>
              <w:pStyle w:val="Heading6"/>
              <w:suppressLineNumbers/>
            </w:pPr>
            <w:r w:rsidRPr="00D622B9">
              <w:t>Date request accepted</w:t>
            </w:r>
          </w:p>
        </w:tc>
        <w:tc>
          <w:tcPr>
            <w:tcW w:w="8159" w:type="dxa"/>
            <w:tcBorders>
              <w:top w:val="single" w:sz="4" w:space="0" w:color="auto"/>
              <w:bottom w:val="single" w:sz="4" w:space="0" w:color="auto"/>
            </w:tcBorders>
          </w:tcPr>
          <w:p w:rsidR="00185039" w:rsidRPr="00724EDE" w:rsidRDefault="00AF7F57" w:rsidP="00AF7F57">
            <w:pPr>
              <w:pStyle w:val="Tabletext"/>
              <w:suppressLineNumbers/>
            </w:pPr>
            <w:r w:rsidRPr="00724EDE">
              <w:t>3 February</w:t>
            </w:r>
            <w:r w:rsidR="00185039" w:rsidRPr="00724EDE">
              <w:t xml:space="preserve"> 201</w:t>
            </w:r>
            <w:r w:rsidRPr="00724EDE">
              <w:t xml:space="preserve">6 </w:t>
            </w:r>
          </w:p>
        </w:tc>
      </w:tr>
      <w:tr w:rsidR="00062A46" w:rsidRPr="002A5EC3" w:rsidTr="009110D5">
        <w:trPr>
          <w:trHeight w:val="19"/>
        </w:trPr>
        <w:tc>
          <w:tcPr>
            <w:tcW w:w="1809" w:type="dxa"/>
            <w:tcBorders>
              <w:top w:val="single" w:sz="4" w:space="0" w:color="auto"/>
              <w:bottom w:val="single" w:sz="4" w:space="0" w:color="auto"/>
            </w:tcBorders>
          </w:tcPr>
          <w:p w:rsidR="00062A46" w:rsidRPr="00D622B9" w:rsidRDefault="00062A46" w:rsidP="00277A51">
            <w:pPr>
              <w:pStyle w:val="Heading6"/>
              <w:suppressLineNumbers/>
            </w:pPr>
            <w:r w:rsidRPr="00D622B9">
              <w:t xml:space="preserve">Advice stage </w:t>
            </w:r>
          </w:p>
        </w:tc>
        <w:tc>
          <w:tcPr>
            <w:tcW w:w="8159" w:type="dxa"/>
            <w:tcBorders>
              <w:top w:val="single" w:sz="4" w:space="0" w:color="auto"/>
              <w:bottom w:val="single" w:sz="4" w:space="0" w:color="auto"/>
            </w:tcBorders>
          </w:tcPr>
          <w:p w:rsidR="00062A46" w:rsidRDefault="00062A46" w:rsidP="00277A51">
            <w:pPr>
              <w:pStyle w:val="Tabletext"/>
              <w:suppressLineNumbers/>
              <w:rPr>
                <w:lang w:eastAsia="en-AU"/>
              </w:rPr>
            </w:pPr>
            <w:r>
              <w:rPr>
                <w:lang w:eastAsia="en-AU"/>
              </w:rPr>
              <w:t xml:space="preserve">Assessment </w:t>
            </w:r>
          </w:p>
          <w:p w:rsidR="00062A46" w:rsidRPr="00B451D3" w:rsidRDefault="00062A46" w:rsidP="00277A51">
            <w:pPr>
              <w:pStyle w:val="Tabletext"/>
              <w:suppressLineNumbers/>
              <w:rPr>
                <w:lang w:eastAsia="en-AU"/>
              </w:rPr>
            </w:pPr>
          </w:p>
        </w:tc>
      </w:tr>
    </w:tbl>
    <w:p w:rsidR="00A622EC" w:rsidRPr="00186465" w:rsidRDefault="00A622EC" w:rsidP="00D622B9">
      <w:pPr>
        <w:pStyle w:val="Heading3"/>
      </w:pPr>
      <w:r w:rsidRPr="00186465">
        <w:t>Context</w:t>
      </w:r>
    </w:p>
    <w:p w:rsidR="00A622EC" w:rsidRPr="00D622B9" w:rsidRDefault="00A622EC" w:rsidP="00D622B9">
      <w:r w:rsidRPr="00D622B9">
        <w:t>The Independent Expert Scientific Committee on Coal Seam Gas and Large Coal Mining Developm</w:t>
      </w:r>
      <w:r w:rsidR="00724EDE">
        <w:t>ent (the IESC) was requested by</w:t>
      </w:r>
      <w:r w:rsidRPr="00637239">
        <w:rPr>
          <w:b/>
          <w:color w:val="FF0000"/>
        </w:rPr>
        <w:t xml:space="preserve"> </w:t>
      </w:r>
      <w:r w:rsidRPr="00D622B9">
        <w:t xml:space="preserve">the Australian Government Department of the Environment </w:t>
      </w:r>
      <w:r w:rsidR="00724EDE" w:rsidRPr="00724EDE">
        <w:t>and</w:t>
      </w:r>
      <w:r w:rsidR="00D441B2">
        <w:t xml:space="preserve"> t</w:t>
      </w:r>
      <w:r w:rsidRPr="00D622B9">
        <w:t>he New South Wa</w:t>
      </w:r>
      <w:r w:rsidR="00400F8F" w:rsidRPr="00D622B9">
        <w:t>les Department of Planning and Environment</w:t>
      </w:r>
      <w:r w:rsidRPr="00D622B9">
        <w:t xml:space="preserve"> to provide advice on </w:t>
      </w:r>
      <w:r w:rsidR="00724EDE">
        <w:t>Peabody</w:t>
      </w:r>
      <w:r w:rsidR="004B5A51" w:rsidRPr="00D622B9">
        <w:t xml:space="preserve">’s </w:t>
      </w:r>
      <w:r w:rsidR="00724EDE" w:rsidRPr="00724EDE">
        <w:t>Wilpinjong Extension Project</w:t>
      </w:r>
      <w:r w:rsidR="004B5A51" w:rsidRPr="00D622B9">
        <w:t xml:space="preserve"> </w:t>
      </w:r>
      <w:r w:rsidRPr="00D622B9">
        <w:t xml:space="preserve">in </w:t>
      </w:r>
      <w:r w:rsidR="00724EDE" w:rsidRPr="00724EDE">
        <w:t>NSW</w:t>
      </w:r>
      <w:r w:rsidRPr="00D622B9">
        <w:t>.</w:t>
      </w:r>
    </w:p>
    <w:p w:rsidR="00A622EC" w:rsidRPr="00D622B9" w:rsidRDefault="00A622EC" w:rsidP="00D622B9">
      <w:r w:rsidRPr="00D622B9">
        <w:t xml:space="preserve">This advice draws upon aspects of information in </w:t>
      </w:r>
      <w:r w:rsidR="00DF17D4">
        <w:t xml:space="preserve">the </w:t>
      </w:r>
      <w:r w:rsidR="00637239" w:rsidRPr="00712A8B">
        <w:t>Environmental Impact Statement</w:t>
      </w:r>
      <w:r w:rsidRPr="00D622B9">
        <w:t>, together with the expert deliberations of the IESC. The project documentation and information accessed by the IESC are listed in the source documentation at the end of this advice.</w:t>
      </w:r>
    </w:p>
    <w:p w:rsidR="00F73F75" w:rsidRDefault="00712A1B" w:rsidP="00700E2B">
      <w:r w:rsidRPr="00712A1B">
        <w:t xml:space="preserve">The </w:t>
      </w:r>
      <w:r w:rsidR="00B64750">
        <w:t>Wilpinjong Extension P</w:t>
      </w:r>
      <w:r>
        <w:t xml:space="preserve">roject </w:t>
      </w:r>
      <w:r w:rsidR="00D851FF">
        <w:t xml:space="preserve">(the proposed project) </w:t>
      </w:r>
      <w:r>
        <w:t xml:space="preserve">is an extension of the </w:t>
      </w:r>
      <w:r w:rsidR="00814D06">
        <w:t xml:space="preserve">approved </w:t>
      </w:r>
      <w:r>
        <w:t xml:space="preserve">Wilpinjong Coal Mine, located 40 kilometres north-east of Mudgee in central New South Wales. </w:t>
      </w:r>
      <w:r w:rsidR="00F651B2">
        <w:t>The proposed project lies immediately south, and upstream, of the Goulburn River National Park.</w:t>
      </w:r>
      <w:r w:rsidR="00A127A7">
        <w:t xml:space="preserve"> The project discharges mine water to Wilpinjong Creek, which flows into </w:t>
      </w:r>
      <w:r w:rsidR="00B27578">
        <w:t>the National Park through Wollar Creek</w:t>
      </w:r>
      <w:r w:rsidR="00A127A7">
        <w:t xml:space="preserve">. </w:t>
      </w:r>
    </w:p>
    <w:p w:rsidR="00712A8B" w:rsidRPr="00712A1B" w:rsidRDefault="00712A1B" w:rsidP="00700E2B">
      <w:r>
        <w:t xml:space="preserve">The extension comprises </w:t>
      </w:r>
      <w:r w:rsidR="00814D06">
        <w:t>approximately 800 hectares of additional open cut mining area,</w:t>
      </w:r>
      <w:r w:rsidR="00814D06" w:rsidRPr="00700E2B">
        <w:t xml:space="preserve"> </w:t>
      </w:r>
      <w:r w:rsidR="00814D06">
        <w:t>continued</w:t>
      </w:r>
      <w:r w:rsidR="00700E2B">
        <w:t xml:space="preserve"> production of up to 16 Mtpa of ROM coal from the Ulan Coal Seam and Moolarben Coal Member, and extension of the approved mine life by approximately seven years</w:t>
      </w:r>
      <w:r w:rsidR="00D01AD2">
        <w:t xml:space="preserve">. The extension includes associated mine infrastructure such as haul roads and relocation of </w:t>
      </w:r>
      <w:r w:rsidR="00D026AC">
        <w:t>existing</w:t>
      </w:r>
      <w:r w:rsidR="00D01AD2">
        <w:t xml:space="preserve"> power lines</w:t>
      </w:r>
      <w:r w:rsidR="00D026AC">
        <w:t xml:space="preserve"> and roads.</w:t>
      </w:r>
      <w:r w:rsidR="00D01AD2">
        <w:t xml:space="preserve"> </w:t>
      </w:r>
    </w:p>
    <w:p w:rsidR="008C00AD" w:rsidRPr="00186465" w:rsidRDefault="008C00AD" w:rsidP="00D622B9">
      <w:pPr>
        <w:pStyle w:val="Heading4"/>
      </w:pPr>
      <w:r w:rsidRPr="00186465">
        <w:t>Key potential impacts</w:t>
      </w:r>
    </w:p>
    <w:p w:rsidR="00814D06" w:rsidRDefault="00814D06" w:rsidP="00D622B9">
      <w:r w:rsidRPr="00814D06">
        <w:t xml:space="preserve">Key potential impacts to water resources resulting from the proposed project </w:t>
      </w:r>
      <w:r>
        <w:t>include:</w:t>
      </w:r>
    </w:p>
    <w:p w:rsidR="008A0873" w:rsidRPr="007C3168" w:rsidRDefault="008A0873" w:rsidP="008A0873">
      <w:pPr>
        <w:pStyle w:val="ListBullet"/>
      </w:pPr>
      <w:r w:rsidRPr="00827D79">
        <w:rPr>
          <w:rFonts w:eastAsia="Calibri"/>
        </w:rPr>
        <w:t>contamination</w:t>
      </w:r>
      <w:r>
        <w:rPr>
          <w:rFonts w:eastAsia="Calibri"/>
          <w:lang w:eastAsia="en-AU"/>
        </w:rPr>
        <w:t xml:space="preserve"> of </w:t>
      </w:r>
      <w:r w:rsidRPr="007C3168">
        <w:rPr>
          <w:rFonts w:eastAsia="Calibri"/>
          <w:lang w:eastAsia="en-AU"/>
        </w:rPr>
        <w:t xml:space="preserve">Wilpinjong Creek due to leaching of metals from reject materials </w:t>
      </w:r>
    </w:p>
    <w:p w:rsidR="00B92E1C" w:rsidRPr="007C3168" w:rsidRDefault="004B2A7E" w:rsidP="007153A1">
      <w:pPr>
        <w:pStyle w:val="ListBullet"/>
      </w:pPr>
      <w:r w:rsidRPr="007C3168">
        <w:t xml:space="preserve">changes to water quality and </w:t>
      </w:r>
      <w:r w:rsidR="00E80077" w:rsidRPr="007C3168">
        <w:t xml:space="preserve">flow </w:t>
      </w:r>
      <w:r w:rsidR="00DF19FA" w:rsidRPr="007C3168">
        <w:t>regime</w:t>
      </w:r>
      <w:r w:rsidR="009E71BB" w:rsidRPr="007C3168">
        <w:t xml:space="preserve"> (</w:t>
      </w:r>
      <w:r w:rsidR="00742983" w:rsidRPr="007C3168">
        <w:t xml:space="preserve">e.g. </w:t>
      </w:r>
      <w:r w:rsidR="009E71BB" w:rsidRPr="007C3168">
        <w:t>volume, timing, frequency and duration)</w:t>
      </w:r>
      <w:r w:rsidR="007153A1" w:rsidRPr="007C3168">
        <w:t xml:space="preserve"> </w:t>
      </w:r>
      <w:r w:rsidRPr="007C3168">
        <w:t xml:space="preserve">of Wilpinjong Creek </w:t>
      </w:r>
      <w:r w:rsidR="00DF19FA" w:rsidRPr="007C3168">
        <w:t>and Wollar Creek</w:t>
      </w:r>
    </w:p>
    <w:p w:rsidR="009E71BB" w:rsidRPr="007C3168" w:rsidRDefault="004B2A7E" w:rsidP="007153A1">
      <w:pPr>
        <w:pStyle w:val="ListBullet"/>
      </w:pPr>
      <w:r w:rsidRPr="007C3168">
        <w:t>contributi</w:t>
      </w:r>
      <w:r w:rsidR="00742983" w:rsidRPr="007C3168">
        <w:t>ng</w:t>
      </w:r>
      <w:r w:rsidRPr="007C3168">
        <w:t xml:space="preserve"> to cumulative impacts </w:t>
      </w:r>
      <w:r w:rsidR="00D04905">
        <w:t xml:space="preserve">from mines </w:t>
      </w:r>
      <w:r w:rsidRPr="007C3168">
        <w:t xml:space="preserve">within Wilpinjong Creek </w:t>
      </w:r>
      <w:r w:rsidR="009E71BB" w:rsidRPr="007C3168">
        <w:t>and Wollar Creek</w:t>
      </w:r>
      <w:r w:rsidR="00742983" w:rsidRPr="007C3168">
        <w:t>.</w:t>
      </w:r>
    </w:p>
    <w:p w:rsidR="004B5A51" w:rsidRPr="007C3168" w:rsidRDefault="004B5A51" w:rsidP="00814D06">
      <w:pPr>
        <w:pStyle w:val="Heading4"/>
        <w:keepNext/>
      </w:pPr>
      <w:r w:rsidRPr="007C3168">
        <w:lastRenderedPageBreak/>
        <w:t>Assessment against information guidelines</w:t>
      </w:r>
    </w:p>
    <w:p w:rsidR="00A622EC" w:rsidRPr="007C3168" w:rsidRDefault="00A622EC" w:rsidP="00D622B9">
      <w:r w:rsidRPr="007C3168">
        <w:t>The IESC, in line with its Information Guidelines</w:t>
      </w:r>
      <w:r w:rsidR="00277A51" w:rsidRPr="007C3168">
        <w:t xml:space="preserve"> </w:t>
      </w:r>
      <w:r w:rsidR="008553B6" w:rsidRPr="007C3168">
        <w:fldChar w:fldCharType="begin"/>
      </w:r>
      <w:r w:rsidR="006D2E5C" w:rsidRPr="007C3168">
        <w:instrText xml:space="preserve"> ADDIN EN.CITE &lt;EndNote&gt;&lt;Cite&gt;&lt;Author&gt;IESC&lt;/Author&gt;&lt;Year&gt;2015&lt;/Year&gt;&lt;RecNum&gt;1617&lt;/RecNum&gt;&lt;DisplayText&gt;(IESC, 2015)&lt;/DisplayText&gt;&lt;record&gt;&lt;rec-number&gt;1617&lt;/rec-number&gt;&lt;foreign-keys&gt;&lt;key app="EN" db-id="xz5vrd20mz9trjezvzzvf9fhsxvzatfrr59v"&gt;1617&lt;/key&gt;&lt;/foreign-keys&gt;&lt;ref-type name="Web Page"&gt;12&lt;/ref-type&gt;&lt;contributors&gt;&lt;authors&gt;&lt;author&gt;IESC&lt;/author&gt;&lt;/authors&gt;&lt;/contributors&gt;&lt;titles&gt;&lt;title&gt;Information Guidelines for the Independent Expert Scientific Committee advice on coal seam gas and large coal mining development proposals&lt;/title&gt;&lt;/titles&gt;&lt;dates&gt;&lt;year&gt;2015&lt;/year&gt;&lt;pub-dates&gt;&lt;date&gt;October 2015&lt;/date&gt;&lt;/pub-dates&gt;&lt;/dates&gt;&lt;urls&gt;&lt;related-urls&gt;&lt;url&gt;http://www.iesc.environment.gov.au/system/files/resources/012fa918-ee79-4131-9c8d-02c9b2de65cf/files/iesc-information-guidelines-oct-2015.pdf&lt;/url&gt;&lt;/related-urls&gt;&lt;/urls&gt;&lt;/record&gt;&lt;/Cite&gt;&lt;/EndNote&gt;</w:instrText>
      </w:r>
      <w:r w:rsidR="008553B6" w:rsidRPr="007C3168">
        <w:fldChar w:fldCharType="separate"/>
      </w:r>
      <w:r w:rsidR="006D2E5C" w:rsidRPr="007C3168">
        <w:rPr>
          <w:noProof/>
        </w:rPr>
        <w:t>(</w:t>
      </w:r>
      <w:hyperlink w:anchor="_ENREF_1" w:tooltip="IESC, 2015 #1617" w:history="1">
        <w:r w:rsidR="00F46FD0" w:rsidRPr="007C3168">
          <w:rPr>
            <w:noProof/>
          </w:rPr>
          <w:t>IESC, 2015</w:t>
        </w:r>
      </w:hyperlink>
      <w:r w:rsidR="006D2E5C" w:rsidRPr="007C3168">
        <w:rPr>
          <w:noProof/>
        </w:rPr>
        <w:t>)</w:t>
      </w:r>
      <w:r w:rsidR="008553B6" w:rsidRPr="007C3168">
        <w:fldChar w:fldCharType="end"/>
      </w:r>
      <w:r w:rsidRPr="007C3168">
        <w:t>, has considered whether the proposed project assessment has used the following:</w:t>
      </w:r>
    </w:p>
    <w:p w:rsidR="00A622EC" w:rsidRPr="007C3168" w:rsidRDefault="00A622EC" w:rsidP="00D622B9">
      <w:pPr>
        <w:pStyle w:val="Heading5"/>
      </w:pPr>
      <w:r w:rsidRPr="007C3168">
        <w:t>Relevant data and information: key conclusions</w:t>
      </w:r>
    </w:p>
    <w:p w:rsidR="00A622EC" w:rsidRPr="000B5D80" w:rsidRDefault="000B5D80" w:rsidP="00BB1951">
      <w:pPr>
        <w:pStyle w:val="ListBullet5"/>
      </w:pPr>
      <w:r w:rsidRPr="007C3168">
        <w:t>H</w:t>
      </w:r>
      <w:r w:rsidR="00827D79" w:rsidRPr="007C3168">
        <w:t xml:space="preserve">ydrological data from the approved </w:t>
      </w:r>
      <w:r w:rsidR="00B20E80" w:rsidRPr="007C3168">
        <w:t>Wilpinjong</w:t>
      </w:r>
      <w:r w:rsidR="00B20E80" w:rsidRPr="000B5D80">
        <w:t xml:space="preserve"> Coal Mine</w:t>
      </w:r>
      <w:r w:rsidR="00827D79" w:rsidRPr="000B5D80">
        <w:t xml:space="preserve"> and from the neighbouring Moolarben </w:t>
      </w:r>
      <w:r w:rsidR="00B20E80" w:rsidRPr="000B5D80">
        <w:t>Coal M</w:t>
      </w:r>
      <w:r w:rsidR="00827D79" w:rsidRPr="000B5D80">
        <w:t>ine</w:t>
      </w:r>
      <w:r w:rsidR="007153A1" w:rsidRPr="000B5D80">
        <w:t xml:space="preserve"> were used to support the assessment of </w:t>
      </w:r>
      <w:r w:rsidR="007153A1" w:rsidRPr="00A02962">
        <w:t>impacts to groundwater resources</w:t>
      </w:r>
      <w:r w:rsidR="00827D79" w:rsidRPr="00A02962">
        <w:t xml:space="preserve">. </w:t>
      </w:r>
      <w:r w:rsidR="00BB1951" w:rsidRPr="00A02962">
        <w:t xml:space="preserve">However, </w:t>
      </w:r>
      <w:r w:rsidR="008379CE" w:rsidRPr="00A02962">
        <w:t>limited</w:t>
      </w:r>
      <w:r w:rsidR="007153A1" w:rsidRPr="00A02962">
        <w:t xml:space="preserve"> </w:t>
      </w:r>
      <w:r w:rsidR="00827D79" w:rsidRPr="00A02962">
        <w:t>surface water quality data</w:t>
      </w:r>
      <w:r w:rsidR="003951EF" w:rsidRPr="00A02962">
        <w:t xml:space="preserve"> </w:t>
      </w:r>
      <w:r w:rsidR="008379CE" w:rsidRPr="00A02962">
        <w:t>was provided</w:t>
      </w:r>
      <w:r w:rsidR="003951EF" w:rsidRPr="00A02962">
        <w:t>.</w:t>
      </w:r>
      <w:r w:rsidR="00827D79" w:rsidRPr="00A02962">
        <w:t xml:space="preserve"> This omission is an issue</w:t>
      </w:r>
      <w:r w:rsidR="00827D79" w:rsidRPr="00A74F80">
        <w:t xml:space="preserve"> for assessment of potential </w:t>
      </w:r>
      <w:r w:rsidR="000866AA" w:rsidRPr="00A74F80">
        <w:t>metal</w:t>
      </w:r>
      <w:r w:rsidR="00827D79" w:rsidRPr="00A74F80">
        <w:t xml:space="preserve"> contamination, as elevated levels of soluble metals in waste rock were identified</w:t>
      </w:r>
      <w:r w:rsidR="00827D79" w:rsidRPr="000B5D80">
        <w:t xml:space="preserve"> in the </w:t>
      </w:r>
      <w:r w:rsidR="000D59A0" w:rsidRPr="000B5D80">
        <w:t>G</w:t>
      </w:r>
      <w:r w:rsidR="00827D79" w:rsidRPr="000B5D80">
        <w:t>eochemi</w:t>
      </w:r>
      <w:r w:rsidR="000D59A0" w:rsidRPr="000B5D80">
        <w:t>stry</w:t>
      </w:r>
      <w:r w:rsidR="00827D79" w:rsidRPr="000B5D80">
        <w:t xml:space="preserve"> </w:t>
      </w:r>
      <w:r w:rsidR="000D59A0" w:rsidRPr="000B5D80">
        <w:t>A</w:t>
      </w:r>
      <w:r w:rsidR="00827D79" w:rsidRPr="000B5D80">
        <w:t>ssessment</w:t>
      </w:r>
      <w:r w:rsidR="00BB1951" w:rsidRPr="000B5D80">
        <w:t xml:space="preserve">. </w:t>
      </w:r>
    </w:p>
    <w:p w:rsidR="00A622EC" w:rsidRPr="000B5D80" w:rsidRDefault="00A622EC" w:rsidP="00D622B9">
      <w:pPr>
        <w:pStyle w:val="Heading5"/>
      </w:pPr>
      <w:r w:rsidRPr="000B5D80">
        <w:t>Application of appropriate methods</w:t>
      </w:r>
      <w:r w:rsidR="00D73238" w:rsidRPr="000B5D80">
        <w:t xml:space="preserve"> and interpretation of model outputs</w:t>
      </w:r>
      <w:r w:rsidRPr="000B5D80">
        <w:t>: key conclusions</w:t>
      </w:r>
    </w:p>
    <w:p w:rsidR="00432896" w:rsidRPr="000B5D80" w:rsidRDefault="00827D79" w:rsidP="00432896">
      <w:pPr>
        <w:pStyle w:val="ListBullet5"/>
      </w:pPr>
      <w:r w:rsidRPr="000B5D80">
        <w:t xml:space="preserve">The numerical groundwater model is appropriate </w:t>
      </w:r>
      <w:r w:rsidR="000866AA" w:rsidRPr="000B5D80">
        <w:t>to assess impacts of groundwater drawdown</w:t>
      </w:r>
      <w:r w:rsidR="001A211F" w:rsidRPr="000B5D80">
        <w:t>.</w:t>
      </w:r>
      <w:r w:rsidR="000866AA" w:rsidRPr="000B5D80">
        <w:t xml:space="preserve"> </w:t>
      </w:r>
      <w:r w:rsidR="001A211F" w:rsidRPr="000B5D80">
        <w:t>S</w:t>
      </w:r>
      <w:r w:rsidRPr="000B5D80">
        <w:t>teady state and transient calibration, and peer review</w:t>
      </w:r>
      <w:r w:rsidR="001A211F" w:rsidRPr="000B5D80">
        <w:t xml:space="preserve"> were undertaken</w:t>
      </w:r>
      <w:r w:rsidR="00BB1951" w:rsidRPr="000B5D80">
        <w:t>. H</w:t>
      </w:r>
      <w:r w:rsidRPr="000B5D80">
        <w:t xml:space="preserve">owever, sensitivity analysis, uncertainty analysis </w:t>
      </w:r>
      <w:r w:rsidR="00B20E80" w:rsidRPr="000B5D80">
        <w:t xml:space="preserve">and </w:t>
      </w:r>
      <w:r w:rsidRPr="000B5D80">
        <w:t xml:space="preserve">model verification were not undertaken. </w:t>
      </w:r>
      <w:r w:rsidR="00432896" w:rsidRPr="000B5D80">
        <w:t>The neighbouring Moolarben Coal Mine was appropriately included in the numerical groundwater modelling to determine potential cumulative impacts, but the Ulan Mine was not included</w:t>
      </w:r>
      <w:r w:rsidR="001D3EC2" w:rsidRPr="000B5D80">
        <w:t>.</w:t>
      </w:r>
      <w:r w:rsidR="00432896" w:rsidRPr="000B5D80">
        <w:t xml:space="preserve"> </w:t>
      </w:r>
      <w:r w:rsidR="001D3EC2" w:rsidRPr="000B5D80">
        <w:t xml:space="preserve">This </w:t>
      </w:r>
      <w:r w:rsidR="00432896" w:rsidRPr="000B5D80">
        <w:t xml:space="preserve">may affect cumulative impact predictions. </w:t>
      </w:r>
    </w:p>
    <w:p w:rsidR="00D64334" w:rsidRDefault="000866AA" w:rsidP="00BB1951">
      <w:pPr>
        <w:pStyle w:val="ListBullet5"/>
      </w:pPr>
      <w:r w:rsidRPr="000B5D80">
        <w:t xml:space="preserve">A sensitivity analysis was </w:t>
      </w:r>
      <w:r w:rsidR="007153A1" w:rsidRPr="000B5D80">
        <w:t>undertaken for the</w:t>
      </w:r>
      <w:r w:rsidRPr="000B5D80">
        <w:t xml:space="preserve"> </w:t>
      </w:r>
      <w:r w:rsidR="00827D79" w:rsidRPr="000B5D80">
        <w:t xml:space="preserve">water balance model, but </w:t>
      </w:r>
      <w:r w:rsidRPr="000B5D80">
        <w:t>not</w:t>
      </w:r>
      <w:r w:rsidR="00B817B9" w:rsidRPr="000B5D80">
        <w:t xml:space="preserve"> for</w:t>
      </w:r>
      <w:r w:rsidRPr="000B5D80">
        <w:t xml:space="preserve"> </w:t>
      </w:r>
      <w:r w:rsidR="00B20E80" w:rsidRPr="000B5D80">
        <w:t>the salt balance</w:t>
      </w:r>
      <w:r w:rsidR="00827D79" w:rsidRPr="000B5D80">
        <w:t>.</w:t>
      </w:r>
      <w:r w:rsidR="00A11D29" w:rsidRPr="000B5D80">
        <w:t xml:space="preserve"> </w:t>
      </w:r>
    </w:p>
    <w:p w:rsidR="001D3EC2" w:rsidRPr="000B5D80" w:rsidRDefault="00D64334" w:rsidP="00BB1951">
      <w:pPr>
        <w:pStyle w:val="ListBullet5"/>
      </w:pPr>
      <w:r>
        <w:t>W</w:t>
      </w:r>
      <w:r w:rsidRPr="000B5D80">
        <w:t xml:space="preserve">ithout justification </w:t>
      </w:r>
      <w:r>
        <w:t>t</w:t>
      </w:r>
      <w:r w:rsidR="00D759F9" w:rsidRPr="000B5D80">
        <w:t xml:space="preserve">he </w:t>
      </w:r>
      <w:r w:rsidR="007A286D" w:rsidRPr="000B5D80">
        <w:t>Geochemistry Assessment</w:t>
      </w:r>
      <w:r w:rsidR="00D759F9" w:rsidRPr="000B5D80">
        <w:t xml:space="preserve"> compared </w:t>
      </w:r>
      <w:r w:rsidR="004908E6" w:rsidRPr="000B5D80">
        <w:t xml:space="preserve">dissolved </w:t>
      </w:r>
      <w:r w:rsidR="00DF19FA" w:rsidRPr="000B5D80">
        <w:t>molybdenum</w:t>
      </w:r>
      <w:r w:rsidR="004908E6" w:rsidRPr="000B5D80">
        <w:t xml:space="preserve"> and </w:t>
      </w:r>
      <w:r w:rsidR="00DF19FA" w:rsidRPr="000B5D80">
        <w:t>selenium</w:t>
      </w:r>
      <w:r w:rsidR="004908E6" w:rsidRPr="000B5D80">
        <w:t xml:space="preserve"> </w:t>
      </w:r>
      <w:r w:rsidR="00F60D5A" w:rsidRPr="000B5D80">
        <w:t>concentrations</w:t>
      </w:r>
      <w:r w:rsidR="007A286D" w:rsidRPr="000B5D80">
        <w:t xml:space="preserve"> </w:t>
      </w:r>
      <w:r w:rsidR="00D759F9" w:rsidRPr="000B5D80">
        <w:t xml:space="preserve">to ANZECC/ARMCANZ (2000) </w:t>
      </w:r>
      <w:r w:rsidR="00245423" w:rsidRPr="000B5D80">
        <w:t>Primary Industries (Livestock Drinking Water)</w:t>
      </w:r>
      <w:r w:rsidR="00D759F9" w:rsidRPr="000B5D80">
        <w:t xml:space="preserve"> guidelines instead of </w:t>
      </w:r>
      <w:r w:rsidR="008402FB" w:rsidRPr="000B5D80">
        <w:t>ecosystem protection guidelines</w:t>
      </w:r>
      <w:r w:rsidR="00DE1802" w:rsidRPr="000B5D80">
        <w:t>. T</w:t>
      </w:r>
      <w:r w:rsidR="00605A3E" w:rsidRPr="000B5D80">
        <w:t xml:space="preserve">he Groundwater Assessment </w:t>
      </w:r>
      <w:r w:rsidR="00D761E2" w:rsidRPr="000B5D80">
        <w:t xml:space="preserve">(EIS, App. C) </w:t>
      </w:r>
      <w:r w:rsidR="00605A3E" w:rsidRPr="000B5D80">
        <w:t xml:space="preserve">did not make comparisons to </w:t>
      </w:r>
      <w:r w:rsidR="001D3EC2" w:rsidRPr="000B5D80">
        <w:t xml:space="preserve">water quality </w:t>
      </w:r>
      <w:r w:rsidR="00605A3E" w:rsidRPr="000B5D80">
        <w:t>guideline</w:t>
      </w:r>
      <w:r w:rsidR="001D3EC2" w:rsidRPr="000B5D80">
        <w:t>s</w:t>
      </w:r>
      <w:r w:rsidR="008402FB" w:rsidRPr="000B5D80">
        <w:t xml:space="preserve">. </w:t>
      </w:r>
    </w:p>
    <w:p w:rsidR="00432896" w:rsidRPr="007C3168" w:rsidRDefault="001D3EC2" w:rsidP="00BB1951">
      <w:pPr>
        <w:pStyle w:val="ListBullet5"/>
      </w:pPr>
      <w:r w:rsidRPr="000B5D80">
        <w:t xml:space="preserve">Groundwater dependency of terrestrial vegetation was not appropriately assessed and methods used were </w:t>
      </w:r>
      <w:r w:rsidRPr="007C3168">
        <w:t>inconsistent between the Groundwater Assessment and the Biodiversity Assessment.</w:t>
      </w:r>
      <w:r w:rsidR="00D761E2" w:rsidRPr="007C3168">
        <w:rPr>
          <w:color w:val="000000" w:themeColor="text1"/>
        </w:rPr>
        <w:t xml:space="preserve"> </w:t>
      </w:r>
      <w:r w:rsidR="007C3168">
        <w:rPr>
          <w:color w:val="000000" w:themeColor="text1"/>
        </w:rPr>
        <w:t>Stygofauna should be assessed through a</w:t>
      </w:r>
      <w:r w:rsidR="00D761E2" w:rsidRPr="007C3168">
        <w:t xml:space="preserve"> </w:t>
      </w:r>
      <w:r w:rsidR="00D64334" w:rsidRPr="007C3168">
        <w:t xml:space="preserve">desktop analysis, followed by possible </w:t>
      </w:r>
      <w:r w:rsidR="00D761E2" w:rsidRPr="007C3168">
        <w:t>sampling.</w:t>
      </w:r>
    </w:p>
    <w:p w:rsidR="007203C3" w:rsidRPr="000B5D80" w:rsidRDefault="007203C3" w:rsidP="00BB1951">
      <w:pPr>
        <w:pStyle w:val="Heading3"/>
      </w:pPr>
      <w:r w:rsidRPr="007C3168">
        <w:t>Advice</w:t>
      </w:r>
    </w:p>
    <w:p w:rsidR="007203C3" w:rsidRPr="000B5D80" w:rsidRDefault="007203C3" w:rsidP="007203C3">
      <w:pPr>
        <w:pStyle w:val="Default"/>
        <w:spacing w:after="200" w:line="276" w:lineRule="auto"/>
        <w:rPr>
          <w:rFonts w:ascii="Arial" w:eastAsia="Times New Roman" w:hAnsi="Arial" w:cs="Arial"/>
          <w:color w:val="auto"/>
          <w:sz w:val="20"/>
          <w:szCs w:val="20"/>
          <w:lang w:eastAsia="en-US"/>
        </w:rPr>
      </w:pPr>
      <w:r w:rsidRPr="000B5D80">
        <w:rPr>
          <w:rFonts w:ascii="Arial" w:eastAsia="Times New Roman" w:hAnsi="Arial" w:cs="Arial"/>
          <w:color w:val="auto"/>
          <w:sz w:val="20"/>
          <w:szCs w:val="20"/>
          <w:lang w:eastAsia="en-US"/>
        </w:rPr>
        <w:t xml:space="preserve">The </w:t>
      </w:r>
      <w:r w:rsidR="00CF562A" w:rsidRPr="000B5D80">
        <w:rPr>
          <w:rFonts w:ascii="Arial" w:eastAsia="Times New Roman" w:hAnsi="Arial" w:cs="Arial"/>
          <w:color w:val="auto"/>
          <w:sz w:val="20"/>
          <w:szCs w:val="20"/>
          <w:lang w:eastAsia="en-US"/>
        </w:rPr>
        <w:t>IESC</w:t>
      </w:r>
      <w:r w:rsidRPr="000B5D80">
        <w:rPr>
          <w:rFonts w:ascii="Arial" w:eastAsia="Times New Roman" w:hAnsi="Arial" w:cs="Arial"/>
          <w:color w:val="auto"/>
          <w:sz w:val="20"/>
          <w:szCs w:val="20"/>
          <w:lang w:eastAsia="en-US"/>
        </w:rPr>
        <w:t xml:space="preserve">’s advice, in response to the </w:t>
      </w:r>
      <w:r w:rsidR="00E57CD8" w:rsidRPr="000B5D80">
        <w:rPr>
          <w:rFonts w:ascii="Arial" w:eastAsia="Times New Roman" w:hAnsi="Arial" w:cs="Arial"/>
          <w:color w:val="auto"/>
          <w:sz w:val="20"/>
          <w:szCs w:val="20"/>
          <w:lang w:eastAsia="en-US"/>
        </w:rPr>
        <w:t xml:space="preserve">requesting </w:t>
      </w:r>
      <w:r w:rsidR="00D441B2" w:rsidRPr="000B5D80">
        <w:rPr>
          <w:rFonts w:ascii="Arial" w:eastAsia="Times New Roman" w:hAnsi="Arial" w:cs="Arial"/>
          <w:color w:val="auto"/>
          <w:sz w:val="20"/>
          <w:szCs w:val="20"/>
          <w:lang w:eastAsia="en-US"/>
        </w:rPr>
        <w:t>agencies’</w:t>
      </w:r>
      <w:r w:rsidRPr="000B5D80">
        <w:rPr>
          <w:rFonts w:ascii="Arial" w:eastAsia="Times New Roman" w:hAnsi="Arial" w:cs="Arial"/>
          <w:color w:val="auto"/>
          <w:sz w:val="20"/>
          <w:szCs w:val="20"/>
          <w:lang w:eastAsia="en-US"/>
        </w:rPr>
        <w:t xml:space="preserve"> specific questions</w:t>
      </w:r>
      <w:r w:rsidR="00324D70" w:rsidRPr="000B5D80">
        <w:rPr>
          <w:rFonts w:ascii="Arial" w:eastAsia="Times New Roman" w:hAnsi="Arial" w:cs="Arial"/>
          <w:color w:val="auto"/>
          <w:sz w:val="20"/>
          <w:szCs w:val="20"/>
          <w:lang w:eastAsia="en-US"/>
        </w:rPr>
        <w:t>,</w:t>
      </w:r>
      <w:r w:rsidRPr="000B5D80">
        <w:rPr>
          <w:rFonts w:ascii="Arial" w:eastAsia="Times New Roman" w:hAnsi="Arial" w:cs="Arial"/>
          <w:color w:val="auto"/>
          <w:sz w:val="20"/>
          <w:szCs w:val="20"/>
          <w:lang w:eastAsia="en-US"/>
        </w:rPr>
        <w:t xml:space="preserve"> is provided below. </w:t>
      </w:r>
    </w:p>
    <w:p w:rsidR="007203C3" w:rsidRPr="000B5D80" w:rsidRDefault="007203C3" w:rsidP="00D622B9">
      <w:pPr>
        <w:pStyle w:val="Question"/>
      </w:pPr>
      <w:r w:rsidRPr="000B5D80">
        <w:t xml:space="preserve">Question 1: </w:t>
      </w:r>
      <w:r w:rsidR="00AF7F57" w:rsidRPr="000B5D80">
        <w:t xml:space="preserve">Do the groundwater and surface water assessments, including the numerical models within, provide reasonable estimations of the likely impacts to water-related resources (including water quality or water quantity). This consideration should include particular reference to Wilpinjong Creek and Wollar Creek, and any cumulative impacts associated with the Moolarben Coal Mine. </w:t>
      </w:r>
    </w:p>
    <w:p w:rsidR="007203C3" w:rsidRPr="000B5D80" w:rsidRDefault="00CF5929" w:rsidP="00D622B9">
      <w:pPr>
        <w:pStyle w:val="Heading4"/>
      </w:pPr>
      <w:r w:rsidRPr="000B5D80">
        <w:t>Response</w:t>
      </w:r>
    </w:p>
    <w:p w:rsidR="00E65983" w:rsidRPr="00EB0367" w:rsidRDefault="00B817B9" w:rsidP="00995A44">
      <w:pPr>
        <w:pStyle w:val="ListNumber"/>
      </w:pPr>
      <w:r w:rsidRPr="000B5D80">
        <w:t>The use of a Class </w:t>
      </w:r>
      <w:r w:rsidR="00E65983" w:rsidRPr="000B5D80">
        <w:t>2 numerical groundwater model</w:t>
      </w:r>
      <w:r w:rsidR="00D851FF" w:rsidRPr="000B5D80">
        <w:t xml:space="preserve"> (as classified under Barnett et al., 2012)</w:t>
      </w:r>
      <w:r w:rsidRPr="000B5D80">
        <w:t xml:space="preserve"> is appropriate for assessment of impacts to groundwater resources</w:t>
      </w:r>
      <w:r w:rsidR="00E65983" w:rsidRPr="000B5D80">
        <w:t>.</w:t>
      </w:r>
      <w:r w:rsidR="001D3EC2" w:rsidRPr="000B5D80">
        <w:t xml:space="preserve"> </w:t>
      </w:r>
      <w:r w:rsidR="00A57B13" w:rsidRPr="000B5D80">
        <w:t>However, t</w:t>
      </w:r>
      <w:r w:rsidR="00E65983" w:rsidRPr="000B5D80">
        <w:t xml:space="preserve">he numerical groundwater </w:t>
      </w:r>
      <w:r w:rsidR="00E65983" w:rsidRPr="00EB0367">
        <w:t>modelling predictions would be strengthened through the application of sen</w:t>
      </w:r>
      <w:r w:rsidR="00CD17D6" w:rsidRPr="00EB0367">
        <w:t>sitivity and uncertainty analyse</w:t>
      </w:r>
      <w:r w:rsidR="00E65983" w:rsidRPr="00EB0367">
        <w:t>s, model verification</w:t>
      </w:r>
      <w:r w:rsidR="00C11CBD" w:rsidRPr="00EB0367">
        <w:t>, and updating of the groundwater model as new data become available</w:t>
      </w:r>
      <w:r w:rsidR="00E65983" w:rsidRPr="00EB0367">
        <w:t>.</w:t>
      </w:r>
    </w:p>
    <w:p w:rsidR="0055008D" w:rsidRPr="000B5D80" w:rsidRDefault="00D2064A" w:rsidP="00995A44">
      <w:pPr>
        <w:pStyle w:val="ListNumber"/>
        <w:rPr>
          <w:lang w:eastAsia="en-AU"/>
        </w:rPr>
      </w:pPr>
      <w:r w:rsidRPr="00EB0367">
        <w:t>F</w:t>
      </w:r>
      <w:r w:rsidR="00E65983" w:rsidRPr="00EB0367">
        <w:t>urther consideration and assessment of surface</w:t>
      </w:r>
      <w:r w:rsidR="00E65983" w:rsidRPr="000B5D80">
        <w:t xml:space="preserve"> water impacts is required. </w:t>
      </w:r>
      <w:r w:rsidR="00B817B9" w:rsidRPr="000B5D80">
        <w:t>T</w:t>
      </w:r>
      <w:r w:rsidR="000F297D" w:rsidRPr="000B5D80">
        <w:t xml:space="preserve">he </w:t>
      </w:r>
      <w:r w:rsidR="00B817B9" w:rsidRPr="000B5D80">
        <w:t xml:space="preserve">conclusion that </w:t>
      </w:r>
      <w:r w:rsidR="000F297D" w:rsidRPr="000B5D80">
        <w:t xml:space="preserve">potential impacts to surface water </w:t>
      </w:r>
      <w:r w:rsidR="00B817B9" w:rsidRPr="000B5D80">
        <w:t>ar</w:t>
      </w:r>
      <w:r w:rsidR="0055008D" w:rsidRPr="000B5D80">
        <w:t>e</w:t>
      </w:r>
      <w:r w:rsidR="000F297D" w:rsidRPr="000B5D80">
        <w:t xml:space="preserve"> negligible when compared to the approved </w:t>
      </w:r>
      <w:r w:rsidR="00B20E80" w:rsidRPr="000B5D80">
        <w:t>Wilpinjong Coal Mine</w:t>
      </w:r>
      <w:r w:rsidR="00DF10AB" w:rsidRPr="000B5D80">
        <w:t xml:space="preserve"> needs to be supported </w:t>
      </w:r>
      <w:r w:rsidR="0055008D" w:rsidRPr="000B5D80">
        <w:t xml:space="preserve">by </w:t>
      </w:r>
      <w:r w:rsidR="00E65983" w:rsidRPr="000B5D80">
        <w:t xml:space="preserve">further </w:t>
      </w:r>
      <w:r w:rsidR="004B2A7E" w:rsidRPr="000B5D80">
        <w:t>quantifying and detailing</w:t>
      </w:r>
      <w:r w:rsidR="008F62AD" w:rsidRPr="000B5D80">
        <w:t xml:space="preserve"> </w:t>
      </w:r>
      <w:r w:rsidR="00E65983" w:rsidRPr="000B5D80">
        <w:t>the existing condition</w:t>
      </w:r>
      <w:r w:rsidR="009C227B" w:rsidRPr="000B5D80">
        <w:t xml:space="preserve"> of the </w:t>
      </w:r>
      <w:r w:rsidR="00430511" w:rsidRPr="000B5D80">
        <w:t xml:space="preserve">environment in the vicinity of the </w:t>
      </w:r>
      <w:r w:rsidR="00A57B13" w:rsidRPr="000B5D80">
        <w:t>approved Wilpinjong Coal Mine</w:t>
      </w:r>
      <w:r w:rsidR="000D59A0" w:rsidRPr="000B5D80">
        <w:t xml:space="preserve"> (e.g. further geochemical studies and characterisation of surface water quality)</w:t>
      </w:r>
      <w:r w:rsidR="00E65983" w:rsidRPr="000B5D80">
        <w:t xml:space="preserve">. </w:t>
      </w:r>
    </w:p>
    <w:p w:rsidR="009110D5" w:rsidRPr="000B5D80" w:rsidRDefault="00C53B93" w:rsidP="00995A44">
      <w:pPr>
        <w:pStyle w:val="ListNumber"/>
        <w:rPr>
          <w:lang w:eastAsia="en-AU"/>
        </w:rPr>
      </w:pPr>
      <w:r w:rsidRPr="000B5D80">
        <w:lastRenderedPageBreak/>
        <w:t>The surface water assessment</w:t>
      </w:r>
      <w:r w:rsidR="00871779" w:rsidRPr="000B5D80">
        <w:t>,</w:t>
      </w:r>
      <w:r w:rsidR="00FD6D97" w:rsidRPr="000B5D80">
        <w:t xml:space="preserve"> </w:t>
      </w:r>
      <w:r w:rsidR="009350ED" w:rsidRPr="000B5D80">
        <w:t>including the</w:t>
      </w:r>
      <w:r w:rsidR="00FD6D97" w:rsidRPr="000B5D80">
        <w:t xml:space="preserve"> surface water </w:t>
      </w:r>
      <w:r w:rsidR="009350ED" w:rsidRPr="000B5D80">
        <w:t>cumulative impact assessment</w:t>
      </w:r>
      <w:r w:rsidR="00871779" w:rsidRPr="000B5D80">
        <w:t>,</w:t>
      </w:r>
      <w:r w:rsidR="009350ED" w:rsidRPr="000B5D80">
        <w:t xml:space="preserve"> </w:t>
      </w:r>
      <w:r w:rsidRPr="000B5D80">
        <w:t xml:space="preserve">would </w:t>
      </w:r>
      <w:r w:rsidR="00A57B13" w:rsidRPr="000B5D80">
        <w:t>be strengthened by</w:t>
      </w:r>
      <w:r w:rsidRPr="000B5D80">
        <w:t xml:space="preserve"> </w:t>
      </w:r>
      <w:r w:rsidR="00432896" w:rsidRPr="000B5D80">
        <w:t xml:space="preserve">quantifying changes to </w:t>
      </w:r>
      <w:r w:rsidR="00E10951" w:rsidRPr="000B5D80">
        <w:t xml:space="preserve">the </w:t>
      </w:r>
      <w:r w:rsidR="00432896" w:rsidRPr="000B5D80">
        <w:t>flow regime</w:t>
      </w:r>
      <w:r w:rsidRPr="000B5D80">
        <w:t xml:space="preserve"> </w:t>
      </w:r>
      <w:r w:rsidR="00611E28" w:rsidRPr="000B5D80">
        <w:t>over the life of</w:t>
      </w:r>
      <w:r w:rsidR="0043385A" w:rsidRPr="000B5D80">
        <w:t xml:space="preserve"> </w:t>
      </w:r>
      <w:r w:rsidR="00871779" w:rsidRPr="000B5D80">
        <w:t xml:space="preserve">the proposed </w:t>
      </w:r>
      <w:r w:rsidR="0043385A" w:rsidRPr="000B5D80">
        <w:t xml:space="preserve">project. This assessment should </w:t>
      </w:r>
      <w:r w:rsidR="00FD6D97" w:rsidRPr="000B5D80">
        <w:t>include</w:t>
      </w:r>
      <w:r w:rsidR="0043385A" w:rsidRPr="000B5D80">
        <w:t xml:space="preserve"> potential cumulative impacts </w:t>
      </w:r>
      <w:r w:rsidR="00611E28" w:rsidRPr="000B5D80">
        <w:t>from</w:t>
      </w:r>
      <w:r w:rsidR="0043385A" w:rsidRPr="000B5D80">
        <w:t xml:space="preserve"> the proposed project</w:t>
      </w:r>
      <w:r w:rsidR="00EB40B3" w:rsidRPr="000B5D80">
        <w:t>, the approved Wilpinjong Coal Mine and the Moolarben Coal Mine.</w:t>
      </w:r>
      <w:r w:rsidR="00E65983" w:rsidRPr="000B5D80">
        <w:t xml:space="preserve"> </w:t>
      </w:r>
    </w:p>
    <w:p w:rsidR="00CF5929" w:rsidRPr="000B5D80" w:rsidRDefault="00CF5929" w:rsidP="00DF5A38">
      <w:pPr>
        <w:pStyle w:val="Heading4"/>
        <w:keepNext/>
      </w:pPr>
      <w:r w:rsidRPr="000B5D80">
        <w:t>Explanation</w:t>
      </w:r>
    </w:p>
    <w:p w:rsidR="00CD17D6" w:rsidRPr="000B5D80" w:rsidRDefault="00CD17D6" w:rsidP="00DF5A38">
      <w:pPr>
        <w:pStyle w:val="Heading5"/>
        <w:keepNext/>
      </w:pPr>
      <w:r w:rsidRPr="000B5D80">
        <w:t xml:space="preserve">Groundwater </w:t>
      </w:r>
    </w:p>
    <w:p w:rsidR="00CD17D6" w:rsidRPr="000B5D80" w:rsidRDefault="00CD17D6" w:rsidP="00995A44">
      <w:pPr>
        <w:pStyle w:val="ListNumber"/>
      </w:pPr>
      <w:r w:rsidRPr="000B5D80">
        <w:t xml:space="preserve">The Ulan Mine situated on the far side of the adjacent Moolarben </w:t>
      </w:r>
      <w:r w:rsidR="00B20E80" w:rsidRPr="000B5D80">
        <w:t xml:space="preserve">Coal </w:t>
      </w:r>
      <w:r w:rsidRPr="000B5D80">
        <w:t>Mine</w:t>
      </w:r>
      <w:r w:rsidR="001818F5" w:rsidRPr="000B5D80">
        <w:t>,</w:t>
      </w:r>
      <w:r w:rsidRPr="000B5D80">
        <w:t xml:space="preserve"> </w:t>
      </w:r>
      <w:r w:rsidR="008B22B1" w:rsidRPr="000B5D80">
        <w:t xml:space="preserve">in a separate subcatchment of the Goulburn River, </w:t>
      </w:r>
      <w:r w:rsidRPr="000B5D80">
        <w:t xml:space="preserve">was not included as part of the numerical groundwater modelling cumulative impact assessment scenario. Potential cumulative drawdown impacts from the Moolarben </w:t>
      </w:r>
      <w:r w:rsidR="00B20E80" w:rsidRPr="000B5D80">
        <w:t xml:space="preserve">Coal </w:t>
      </w:r>
      <w:r w:rsidRPr="000B5D80">
        <w:t>Mine</w:t>
      </w:r>
      <w:r w:rsidR="0014154C" w:rsidRPr="000B5D80">
        <w:t>, approved Wilpinjong Coal Mine</w:t>
      </w:r>
      <w:r w:rsidRPr="000B5D80">
        <w:t xml:space="preserve"> and proposed </w:t>
      </w:r>
      <w:r w:rsidR="001818F5" w:rsidRPr="000B5D80">
        <w:t xml:space="preserve">project </w:t>
      </w:r>
      <w:r w:rsidRPr="000B5D80">
        <w:t xml:space="preserve">may be exacerbated by drawdown effects from the Ulan Mine, but these potential effects have not been considered. </w:t>
      </w:r>
    </w:p>
    <w:p w:rsidR="00CD17D6" w:rsidRPr="000B5D80" w:rsidRDefault="00CD17D6" w:rsidP="002D37C7">
      <w:pPr>
        <w:pStyle w:val="ListNumber"/>
      </w:pPr>
      <w:r w:rsidRPr="000B5D80">
        <w:t>Several limitations associated with the groundwater numerical model</w:t>
      </w:r>
      <w:r w:rsidR="003462CE" w:rsidRPr="000B5D80">
        <w:t xml:space="preserve"> and </w:t>
      </w:r>
      <w:r w:rsidRPr="000B5D80">
        <w:t>acknowledged in the assessment documentation</w:t>
      </w:r>
      <w:r w:rsidR="002D37C7" w:rsidRPr="000B5D80">
        <w:t xml:space="preserve"> (</w:t>
      </w:r>
      <w:r w:rsidR="00CF27B2" w:rsidRPr="000B5D80">
        <w:t>EIS, App. C, pp. 71–72</w:t>
      </w:r>
      <w:r w:rsidR="002D37C7" w:rsidRPr="000B5D80">
        <w:t>)</w:t>
      </w:r>
      <w:r w:rsidR="00651094" w:rsidRPr="000B5D80">
        <w:t xml:space="preserve"> may reduce confidence in </w:t>
      </w:r>
      <w:r w:rsidR="003462CE" w:rsidRPr="000B5D80">
        <w:t xml:space="preserve">the </w:t>
      </w:r>
      <w:r w:rsidR="00651094" w:rsidRPr="000B5D80">
        <w:t>model</w:t>
      </w:r>
      <w:r w:rsidR="003462CE" w:rsidRPr="000B5D80">
        <w:t>ling</w:t>
      </w:r>
      <w:r w:rsidR="00651094" w:rsidRPr="000B5D80">
        <w:t xml:space="preserve"> predictions</w:t>
      </w:r>
      <w:r w:rsidR="002D37C7" w:rsidRPr="000B5D80">
        <w:t xml:space="preserve">. </w:t>
      </w:r>
      <w:r w:rsidRPr="000B5D80">
        <w:t xml:space="preserve">Confidence in the numerical groundwater modelling predictions would be improved by: </w:t>
      </w:r>
    </w:p>
    <w:p w:rsidR="00CD17D6" w:rsidRPr="000B5D80" w:rsidRDefault="00CD17D6" w:rsidP="00995A44">
      <w:pPr>
        <w:pStyle w:val="ListNumber2"/>
      </w:pPr>
      <w:r w:rsidRPr="000B5D80">
        <w:t>core sampling and testing as recommended in the assessment documentation (EIS, App. C, p. 92), to further elucidate</w:t>
      </w:r>
      <w:r w:rsidR="0014154C" w:rsidRPr="000B5D80">
        <w:t xml:space="preserve"> aquifer properties</w:t>
      </w:r>
      <w:r w:rsidRPr="000B5D80">
        <w:t xml:space="preserve"> </w:t>
      </w:r>
      <w:r w:rsidR="0014154C" w:rsidRPr="000B5D80">
        <w:t>(</w:t>
      </w:r>
      <w:r w:rsidRPr="000B5D80">
        <w:t xml:space="preserve">e.g. effective porosity and horizontal and vertical hydraulic </w:t>
      </w:r>
      <w:r w:rsidR="0014154C" w:rsidRPr="000B5D80">
        <w:t>conductivity)</w:t>
      </w:r>
    </w:p>
    <w:p w:rsidR="00CD17D6" w:rsidRPr="000B5D80" w:rsidRDefault="00CD17D6" w:rsidP="00995A44">
      <w:pPr>
        <w:pStyle w:val="ListNumber2"/>
      </w:pPr>
      <w:r w:rsidRPr="000B5D80">
        <w:t>sensitivity analyses on t</w:t>
      </w:r>
      <w:r w:rsidR="0014154C" w:rsidRPr="000B5D80">
        <w:t>he numerical groundwater model</w:t>
      </w:r>
    </w:p>
    <w:p w:rsidR="0023017E" w:rsidRPr="000B5D80" w:rsidRDefault="0023017E" w:rsidP="00995A44">
      <w:pPr>
        <w:pStyle w:val="ListNumber2"/>
      </w:pPr>
      <w:r w:rsidRPr="000B5D80">
        <w:t xml:space="preserve">providing </w:t>
      </w:r>
      <w:r w:rsidR="00263CFF" w:rsidRPr="000B5D80">
        <w:t>justification for</w:t>
      </w:r>
      <w:r w:rsidR="00CD17D6" w:rsidRPr="000B5D80">
        <w:t xml:space="preserve"> model boundaries </w:t>
      </w:r>
    </w:p>
    <w:p w:rsidR="00CD17D6" w:rsidRPr="000B5D80" w:rsidRDefault="00CD17D6" w:rsidP="00995A44">
      <w:pPr>
        <w:pStyle w:val="ListNumber2"/>
      </w:pPr>
      <w:r w:rsidRPr="000B5D80">
        <w:t>sensitiv</w:t>
      </w:r>
      <w:r w:rsidR="0014154C" w:rsidRPr="000B5D80">
        <w:t>ity analysis on model boundaries</w:t>
      </w:r>
    </w:p>
    <w:p w:rsidR="00CD17D6" w:rsidRPr="000B5D80" w:rsidRDefault="00CD17D6" w:rsidP="00995A44">
      <w:pPr>
        <w:pStyle w:val="ListNumber2"/>
      </w:pPr>
      <w:r w:rsidRPr="000B5D80">
        <w:t>an uncertaint</w:t>
      </w:r>
      <w:r w:rsidR="0014154C" w:rsidRPr="000B5D80">
        <w:t>y analysis on model predictions</w:t>
      </w:r>
    </w:p>
    <w:p w:rsidR="00CD17D6" w:rsidRPr="000B5D80" w:rsidRDefault="0014154C" w:rsidP="00995A44">
      <w:pPr>
        <w:pStyle w:val="ListNumber2"/>
      </w:pPr>
      <w:r w:rsidRPr="000B5D80">
        <w:t>model verification</w:t>
      </w:r>
      <w:r w:rsidR="00255393" w:rsidRPr="000B5D80">
        <w:t xml:space="preserve"> </w:t>
      </w:r>
      <w:r w:rsidR="008402FB" w:rsidRPr="000B5D80">
        <w:t>using monitoring data</w:t>
      </w:r>
      <w:r w:rsidR="00082719" w:rsidRPr="000B5D80">
        <w:t xml:space="preserve"> not used in the calibration process</w:t>
      </w:r>
      <w:r w:rsidR="008402FB" w:rsidRPr="000B5D80">
        <w:t xml:space="preserve"> </w:t>
      </w:r>
    </w:p>
    <w:p w:rsidR="00CD17D6" w:rsidRPr="000B5D80" w:rsidRDefault="0014154C" w:rsidP="00995A44">
      <w:pPr>
        <w:pStyle w:val="ListNumber2"/>
      </w:pPr>
      <w:r w:rsidRPr="000B5D80">
        <w:t>u</w:t>
      </w:r>
      <w:r w:rsidR="00CD17D6" w:rsidRPr="000B5D80">
        <w:t xml:space="preserve">pdating the numerical groundwater model </w:t>
      </w:r>
      <w:r w:rsidRPr="000B5D80">
        <w:t>as</w:t>
      </w:r>
      <w:r w:rsidR="00CD17D6" w:rsidRPr="000B5D80">
        <w:t xml:space="preserve"> more data and information </w:t>
      </w:r>
      <w:r w:rsidRPr="000B5D80">
        <w:t xml:space="preserve">from the proposed project </w:t>
      </w:r>
      <w:r w:rsidR="00CD17D6" w:rsidRPr="000B5D80">
        <w:t xml:space="preserve">become available. </w:t>
      </w:r>
    </w:p>
    <w:p w:rsidR="0023017E" w:rsidRPr="000B5D80" w:rsidRDefault="0023017E" w:rsidP="0023017E">
      <w:pPr>
        <w:pStyle w:val="ListNumber"/>
      </w:pPr>
      <w:r w:rsidRPr="000B5D80">
        <w:t>The proponent states that metal concentrations are considered typical for groundwater in the area and reflect baseline conditions (EIS, App. C, p. 52), however</w:t>
      </w:r>
      <w:r w:rsidR="00255393" w:rsidRPr="000B5D80">
        <w:t>:</w:t>
      </w:r>
      <w:r w:rsidRPr="000B5D80">
        <w:t xml:space="preserve"> </w:t>
      </w:r>
    </w:p>
    <w:p w:rsidR="0023017E" w:rsidRPr="000B5D80" w:rsidRDefault="0023017E" w:rsidP="0023017E">
      <w:pPr>
        <w:pStyle w:val="ListNumber2"/>
      </w:pPr>
      <w:r w:rsidRPr="000B5D80">
        <w:t>Baseline conditions were not presented in the assessment documentation. Measured metal concentrations were presented in box plots for each particular m</w:t>
      </w:r>
      <w:r w:rsidR="00F65713">
        <w:t>etal</w:t>
      </w:r>
      <w:r w:rsidRPr="000B5D80">
        <w:t xml:space="preserve"> </w:t>
      </w:r>
      <w:r w:rsidR="00014544">
        <w:t xml:space="preserve">and </w:t>
      </w:r>
      <w:r w:rsidRPr="000B5D80">
        <w:t xml:space="preserve">as a result temporal trends </w:t>
      </w:r>
      <w:r w:rsidR="0092173A" w:rsidRPr="000B5D80">
        <w:t xml:space="preserve">and spatial variations </w:t>
      </w:r>
      <w:r w:rsidR="00FE25DE" w:rsidRPr="000B5D80">
        <w:t xml:space="preserve">are </w:t>
      </w:r>
      <w:r w:rsidRPr="000B5D80">
        <w:t xml:space="preserve">not able to be determined (EIS, App. C, Figure 3-28). </w:t>
      </w:r>
    </w:p>
    <w:p w:rsidR="0023017E" w:rsidRPr="000B5D80" w:rsidRDefault="0023017E" w:rsidP="0023017E">
      <w:pPr>
        <w:pStyle w:val="ListNumber2"/>
      </w:pPr>
      <w:r w:rsidRPr="000B5D80">
        <w:t>Groundwater metal concentrations</w:t>
      </w:r>
      <w:r w:rsidR="00452B50" w:rsidRPr="000B5D80">
        <w:t>,</w:t>
      </w:r>
      <w:r w:rsidRPr="000B5D80">
        <w:t xml:space="preserve"> including baseline values</w:t>
      </w:r>
      <w:r w:rsidR="00452B50" w:rsidRPr="000B5D80">
        <w:t>,</w:t>
      </w:r>
      <w:r w:rsidRPr="000B5D80">
        <w:t xml:space="preserve"> have not been compared to ANZECC/ARMCANZ (2000) water quality guidelines for ecosystem protection. L</w:t>
      </w:r>
      <w:r w:rsidR="00014544">
        <w:t>ocal water quality guidelines c</w:t>
      </w:r>
      <w:r w:rsidRPr="000B5D80">
        <w:t xml:space="preserve">ould be developed </w:t>
      </w:r>
      <w:r w:rsidR="00DA6AC9" w:rsidRPr="000B5D80">
        <w:t>using</w:t>
      </w:r>
      <w:r w:rsidRPr="000B5D80">
        <w:t xml:space="preserve"> ANZECC/ARMCANZ (2000) </w:t>
      </w:r>
      <w:r w:rsidR="00DA6AC9" w:rsidRPr="000B5D80">
        <w:t xml:space="preserve">recommended methods </w:t>
      </w:r>
      <w:r w:rsidRPr="000B5D80">
        <w:t>and validated for the area.</w:t>
      </w:r>
    </w:p>
    <w:p w:rsidR="00A842BB" w:rsidRPr="000B5D80" w:rsidRDefault="00CD17D6" w:rsidP="006E4806">
      <w:pPr>
        <w:pStyle w:val="ListNumber"/>
      </w:pPr>
      <w:r w:rsidRPr="000B5D80">
        <w:t>As part of the approved Wilpinjong</w:t>
      </w:r>
      <w:r w:rsidR="00E30683" w:rsidRPr="000B5D80">
        <w:t xml:space="preserve"> Coal</w:t>
      </w:r>
      <w:r w:rsidRPr="000B5D80">
        <w:t xml:space="preserve"> Mine groundwater monitoring network, 28 monitoring bores (PZ01–28) were installed next to Pit 1 and Pit 2 to monitor groundwater level and groundwater quality (i.e. tailings dam seepage). The proponent states there is no evidence of solute breakthrough (EIS, App. C, p. 53). However, </w:t>
      </w:r>
      <w:r w:rsidR="00670C8E" w:rsidRPr="000B5D80">
        <w:t xml:space="preserve">in mid to late 2011 </w:t>
      </w:r>
      <w:r w:rsidRPr="000B5D80">
        <w:t>PZ16 indicates a sharp rise</w:t>
      </w:r>
      <w:r w:rsidR="00670C8E" w:rsidRPr="000B5D80">
        <w:t xml:space="preserve"> then fall</w:t>
      </w:r>
      <w:r w:rsidRPr="000B5D80">
        <w:t xml:space="preserve"> in salinity and a decrease </w:t>
      </w:r>
      <w:r w:rsidR="00670C8E" w:rsidRPr="000B5D80">
        <w:t xml:space="preserve">then rise </w:t>
      </w:r>
      <w:r w:rsidRPr="000B5D80">
        <w:t xml:space="preserve">in pH, which may be indicative of </w:t>
      </w:r>
      <w:r w:rsidR="00670C8E" w:rsidRPr="000B5D80">
        <w:lastRenderedPageBreak/>
        <w:t xml:space="preserve">short-term </w:t>
      </w:r>
      <w:r w:rsidRPr="000B5D80">
        <w:t xml:space="preserve">solute breakthrough. Concentrations of other solutes, e.g. dissolved metals, were not presented. </w:t>
      </w:r>
    </w:p>
    <w:p w:rsidR="00CD17D6" w:rsidRPr="00EB0367" w:rsidRDefault="00CD17D6" w:rsidP="006E4806">
      <w:pPr>
        <w:pStyle w:val="ListNumber"/>
      </w:pPr>
      <w:r w:rsidRPr="000B5D80">
        <w:t>Tailings are</w:t>
      </w:r>
      <w:r w:rsidR="00876128" w:rsidRPr="000B5D80">
        <w:t xml:space="preserve"> </w:t>
      </w:r>
      <w:r w:rsidRPr="000B5D80">
        <w:t xml:space="preserve">expected </w:t>
      </w:r>
      <w:r w:rsidRPr="00EB0367">
        <w:t>to be placed within spoil</w:t>
      </w:r>
      <w:r w:rsidR="002D37C7" w:rsidRPr="00EB0367">
        <w:t xml:space="preserve"> emplacement</w:t>
      </w:r>
      <w:r w:rsidRPr="00EB0367">
        <w:t xml:space="preserve"> areas</w:t>
      </w:r>
      <w:r w:rsidR="00876128" w:rsidRPr="00EB0367">
        <w:t xml:space="preserve"> (</w:t>
      </w:r>
      <w:r w:rsidR="00E60C81" w:rsidRPr="00EB0367">
        <w:t>EIS, App. D, p. 82</w:t>
      </w:r>
      <w:r w:rsidR="00876128" w:rsidRPr="00EB0367">
        <w:t>)</w:t>
      </w:r>
      <w:r w:rsidR="00FE25DE" w:rsidRPr="00EB0367">
        <w:t>. T</w:t>
      </w:r>
      <w:r w:rsidRPr="00EB0367">
        <w:t>he potential for leaching</w:t>
      </w:r>
      <w:r w:rsidR="00A01441" w:rsidRPr="00EB0367">
        <w:t xml:space="preserve"> of contaminants </w:t>
      </w:r>
      <w:r w:rsidRPr="00EB0367">
        <w:t xml:space="preserve">from the spoil emplacement areas </w:t>
      </w:r>
      <w:r w:rsidR="000057AC" w:rsidRPr="00EB0367">
        <w:t>has</w:t>
      </w:r>
      <w:r w:rsidRPr="00EB0367">
        <w:t xml:space="preserve"> not been assessed.</w:t>
      </w:r>
    </w:p>
    <w:p w:rsidR="00E65983" w:rsidRPr="000B5D80" w:rsidRDefault="00E65983" w:rsidP="00CC2251">
      <w:pPr>
        <w:pStyle w:val="Heading5"/>
      </w:pPr>
      <w:r w:rsidRPr="00EB0367">
        <w:t>Surface water</w:t>
      </w:r>
      <w:r w:rsidRPr="000B5D80">
        <w:t xml:space="preserve"> </w:t>
      </w:r>
    </w:p>
    <w:p w:rsidR="00BE51EA" w:rsidRPr="000B5D80" w:rsidRDefault="009B2DA1" w:rsidP="00FD3C99">
      <w:pPr>
        <w:pStyle w:val="ListNumber"/>
      </w:pPr>
      <w:bookmarkStart w:id="3" w:name="_Ref444591439"/>
      <w:r w:rsidRPr="000B5D80">
        <w:t xml:space="preserve">Water quality impacts of the proposed project on Wilpinjong and Wollar Creeks are considered in the assessment documentation to be negligible: </w:t>
      </w:r>
      <w:r w:rsidR="00402416" w:rsidRPr="000B5D80">
        <w:t>“</w:t>
      </w:r>
      <w:r w:rsidR="00E1537A" w:rsidRPr="000B5D80">
        <w:t>with the implementation of management measure</w:t>
      </w:r>
      <w:r w:rsidR="00133350" w:rsidRPr="000B5D80">
        <w:t>s</w:t>
      </w:r>
      <w:r w:rsidR="00E1537A" w:rsidRPr="000B5D80">
        <w:t xml:space="preserve"> in the existing Wilpinjong Coal Mine Water Management Plan</w:t>
      </w:r>
      <w:r w:rsidR="00D851FF" w:rsidRPr="000B5D80">
        <w:t xml:space="preserve"> (Peabody, 2006a)</w:t>
      </w:r>
      <w:r w:rsidR="00E1537A" w:rsidRPr="000B5D80">
        <w:t xml:space="preserve">, the potential adverse effect of the </w:t>
      </w:r>
      <w:r w:rsidR="001B4A6B" w:rsidRPr="000B5D80">
        <w:t xml:space="preserve">[proposed] </w:t>
      </w:r>
      <w:r w:rsidR="00E1537A" w:rsidRPr="000B5D80">
        <w:t>project on downstream wa</w:t>
      </w:r>
      <w:r w:rsidR="00402416" w:rsidRPr="000B5D80">
        <w:t>ter quality would be negligible”</w:t>
      </w:r>
      <w:r w:rsidR="00E1537A" w:rsidRPr="000B5D80">
        <w:t xml:space="preserve"> (EIS, p. 4-64). </w:t>
      </w:r>
      <w:r w:rsidR="004B2A7E" w:rsidRPr="000B5D80">
        <w:t>The Surface Water Assessment (EIS, App. D) does not provide adequate evidence to demonstrate the effectiveness of the existing strategies for managing impacts to surface water at the approved Wilpinjong Coal Mine, particularly in relation to potential metal contamination.</w:t>
      </w:r>
      <w:r w:rsidR="0014713F" w:rsidRPr="000B5D80">
        <w:t xml:space="preserve"> </w:t>
      </w:r>
      <w:r w:rsidR="007A7667" w:rsidRPr="000B5D80">
        <w:t>For example:</w:t>
      </w:r>
      <w:r w:rsidR="00790931" w:rsidRPr="000B5D80">
        <w:t xml:space="preserve"> </w:t>
      </w:r>
      <w:bookmarkEnd w:id="3"/>
    </w:p>
    <w:p w:rsidR="00605A3E" w:rsidRPr="000B5D80" w:rsidRDefault="001B4A6B" w:rsidP="00790931">
      <w:pPr>
        <w:pStyle w:val="ListNumber2"/>
      </w:pPr>
      <w:r w:rsidRPr="000B5D80">
        <w:t xml:space="preserve">A </w:t>
      </w:r>
      <w:r w:rsidR="00194763" w:rsidRPr="000B5D80">
        <w:t xml:space="preserve">surface </w:t>
      </w:r>
      <w:r w:rsidRPr="000B5D80">
        <w:t>water quality monitoring programme has been ongoing across the site</w:t>
      </w:r>
      <w:r w:rsidR="00194763" w:rsidRPr="000B5D80">
        <w:t xml:space="preserve"> since 2004</w:t>
      </w:r>
      <w:r w:rsidRPr="000B5D80">
        <w:t xml:space="preserve">, </w:t>
      </w:r>
      <w:r w:rsidR="00D57B3D" w:rsidRPr="000B5D80">
        <w:t>but surface</w:t>
      </w:r>
      <w:r w:rsidR="00790931" w:rsidRPr="000B5D80">
        <w:t xml:space="preserve"> water quality data for </w:t>
      </w:r>
      <w:r w:rsidR="007A7667" w:rsidRPr="000B5D80">
        <w:t xml:space="preserve">parameters </w:t>
      </w:r>
      <w:r w:rsidR="00790931" w:rsidRPr="000B5D80">
        <w:t xml:space="preserve">other than </w:t>
      </w:r>
      <w:r w:rsidR="007A7667" w:rsidRPr="000B5D80">
        <w:t>EC</w:t>
      </w:r>
      <w:r w:rsidR="00790931" w:rsidRPr="000B5D80">
        <w:t>, sulphate, pH and turbidity have not been provided</w:t>
      </w:r>
      <w:r w:rsidR="00605A3E" w:rsidRPr="000B5D80">
        <w:t xml:space="preserve">. </w:t>
      </w:r>
    </w:p>
    <w:p w:rsidR="00790931" w:rsidRPr="00EB0367" w:rsidRDefault="00605A3E" w:rsidP="00790931">
      <w:pPr>
        <w:pStyle w:val="ListNumber2"/>
      </w:pPr>
      <w:r w:rsidRPr="000B5D80">
        <w:t>M</w:t>
      </w:r>
      <w:r w:rsidR="00B35A95" w:rsidRPr="000B5D80">
        <w:t>easurement of m</w:t>
      </w:r>
      <w:r w:rsidRPr="000B5D80">
        <w:t xml:space="preserve">etals </w:t>
      </w:r>
      <w:r w:rsidR="00B35A95" w:rsidRPr="000B5D80">
        <w:t>was</w:t>
      </w:r>
      <w:r w:rsidRPr="000B5D80">
        <w:t xml:space="preserve"> identified at a limited number of the surface water monitoring sites. For these sites, the frequency of monitoring was intermittent and</w:t>
      </w:r>
      <w:r w:rsidR="00CF2BE5" w:rsidRPr="000B5D80">
        <w:t xml:space="preserve"> the</w:t>
      </w:r>
      <w:r w:rsidRPr="000B5D80">
        <w:t xml:space="preserve"> period</w:t>
      </w:r>
      <w:r w:rsidR="00DA6096" w:rsidRPr="000B5D80">
        <w:t xml:space="preserve"> </w:t>
      </w:r>
      <w:r w:rsidRPr="000B5D80">
        <w:t>of sampling was short.</w:t>
      </w:r>
      <w:r w:rsidR="00DA6096" w:rsidRPr="000B5D80">
        <w:t xml:space="preserve"> </w:t>
      </w:r>
      <w:r w:rsidRPr="000B5D80">
        <w:t>F</w:t>
      </w:r>
      <w:r w:rsidR="00DA6096" w:rsidRPr="000B5D80">
        <w:t>or example</w:t>
      </w:r>
      <w:r w:rsidRPr="000B5D80">
        <w:t>,</w:t>
      </w:r>
      <w:r w:rsidR="00DA6096" w:rsidRPr="000B5D80">
        <w:t xml:space="preserve"> m</w:t>
      </w:r>
      <w:r w:rsidR="008402FB" w:rsidRPr="000B5D80">
        <w:t xml:space="preserve">etals </w:t>
      </w:r>
      <w:r w:rsidRPr="000B5D80">
        <w:t>were measured in</w:t>
      </w:r>
      <w:r w:rsidR="00F60D5A" w:rsidRPr="000B5D80">
        <w:t xml:space="preserve"> two sites on Wilpinjong Creek and one site on </w:t>
      </w:r>
      <w:r w:rsidR="00F60D5A" w:rsidRPr="00EB0367">
        <w:t>Wollar</w:t>
      </w:r>
      <w:r w:rsidRPr="00EB0367">
        <w:t> </w:t>
      </w:r>
      <w:r w:rsidR="00F60D5A" w:rsidRPr="00EB0367">
        <w:t>Creek intermittently</w:t>
      </w:r>
      <w:r w:rsidR="00245423" w:rsidRPr="00EB0367">
        <w:t xml:space="preserve"> </w:t>
      </w:r>
      <w:r w:rsidR="00F60D5A" w:rsidRPr="00EB0367">
        <w:t>over</w:t>
      </w:r>
      <w:r w:rsidR="00245423" w:rsidRPr="00EB0367">
        <w:t xml:space="preserve"> an 18 month period from </w:t>
      </w:r>
      <w:r w:rsidR="00F60D5A" w:rsidRPr="00EB0367">
        <w:t>June</w:t>
      </w:r>
      <w:r w:rsidR="00245423" w:rsidRPr="00EB0367">
        <w:t xml:space="preserve"> 2004 to </w:t>
      </w:r>
      <w:r w:rsidR="00F60D5A" w:rsidRPr="00EB0367">
        <w:t>January</w:t>
      </w:r>
      <w:r w:rsidR="00245423" w:rsidRPr="00EB0367">
        <w:t xml:space="preserve"> 2006</w:t>
      </w:r>
      <w:r w:rsidR="00CC3E65" w:rsidRPr="00EB0367">
        <w:t xml:space="preserve"> </w:t>
      </w:r>
      <w:r w:rsidR="00DA6096" w:rsidRPr="00EB0367">
        <w:t>and m</w:t>
      </w:r>
      <w:r w:rsidR="00F60D5A" w:rsidRPr="00EB0367">
        <w:t xml:space="preserve">etals in Pit 2 west were monitored </w:t>
      </w:r>
      <w:r w:rsidR="00DA6096" w:rsidRPr="00EB0367">
        <w:t xml:space="preserve">intermittently </w:t>
      </w:r>
      <w:r w:rsidR="00F60D5A" w:rsidRPr="00EB0367">
        <w:t>from January 2011 to September 2012 (EIS, App. D p</w:t>
      </w:r>
      <w:r w:rsidR="00DA6096" w:rsidRPr="00EB0367">
        <w:t>p</w:t>
      </w:r>
      <w:r w:rsidR="00F60D5A" w:rsidRPr="00EB0367">
        <w:t>. </w:t>
      </w:r>
      <w:r w:rsidR="00DA6096" w:rsidRPr="00EB0367">
        <w:t>53</w:t>
      </w:r>
      <w:r w:rsidR="00DA6096" w:rsidRPr="00EB0367">
        <w:softHyphen/>
        <w:t>–</w:t>
      </w:r>
      <w:r w:rsidR="00F60D5A" w:rsidRPr="00EB0367">
        <w:t>54).</w:t>
      </w:r>
      <w:r w:rsidR="00790931" w:rsidRPr="00EB0367">
        <w:t xml:space="preserve"> </w:t>
      </w:r>
      <w:r w:rsidRPr="00EB0367">
        <w:t xml:space="preserve">No data </w:t>
      </w:r>
      <w:r w:rsidR="000057AC" w:rsidRPr="00EB0367">
        <w:t>were</w:t>
      </w:r>
      <w:r w:rsidRPr="00EB0367">
        <w:t xml:space="preserve"> provided.</w:t>
      </w:r>
    </w:p>
    <w:p w:rsidR="00790931" w:rsidRPr="00EB0367" w:rsidRDefault="00790931" w:rsidP="00790931">
      <w:pPr>
        <w:pStyle w:val="ListNumber2"/>
      </w:pPr>
      <w:r w:rsidRPr="00EB0367">
        <w:t xml:space="preserve">Limited </w:t>
      </w:r>
      <w:r w:rsidR="00C4197E" w:rsidRPr="00EB0367">
        <w:t xml:space="preserve">water quality monitoring </w:t>
      </w:r>
      <w:r w:rsidRPr="00EB0367">
        <w:t xml:space="preserve">data </w:t>
      </w:r>
      <w:r w:rsidR="000057AC" w:rsidRPr="00EB0367">
        <w:t>were</w:t>
      </w:r>
      <w:r w:rsidR="00A31886" w:rsidRPr="00EB0367">
        <w:t xml:space="preserve"> provided for water storages</w:t>
      </w:r>
      <w:r w:rsidRPr="00EB0367">
        <w:t xml:space="preserve"> </w:t>
      </w:r>
      <w:r w:rsidR="00A31886" w:rsidRPr="00EB0367">
        <w:t xml:space="preserve">and </w:t>
      </w:r>
      <w:r w:rsidRPr="00EB0367">
        <w:t>tailings disposal storages</w:t>
      </w:r>
      <w:r w:rsidR="007B04D9" w:rsidRPr="00EB0367">
        <w:t xml:space="preserve"> (i.e. data </w:t>
      </w:r>
      <w:r w:rsidR="000057AC" w:rsidRPr="00EB0367">
        <w:t>were</w:t>
      </w:r>
      <w:r w:rsidR="007B04D9" w:rsidRPr="00EB0367">
        <w:t xml:space="preserve"> provided for pH, EC, and sulphate from pre-2013 and spot samples from 2015)</w:t>
      </w:r>
      <w:r w:rsidRPr="00EB0367">
        <w:t xml:space="preserve">, </w:t>
      </w:r>
      <w:r w:rsidR="00046BB7" w:rsidRPr="00EB0367">
        <w:t xml:space="preserve">and no data </w:t>
      </w:r>
      <w:r w:rsidR="000057AC" w:rsidRPr="00EB0367">
        <w:t>were</w:t>
      </w:r>
      <w:r w:rsidR="00046BB7" w:rsidRPr="00EB0367">
        <w:t xml:space="preserve"> provided for sediment dams</w:t>
      </w:r>
      <w:r w:rsidR="007B04D9" w:rsidRPr="00EB0367">
        <w:t xml:space="preserve"> (EIS, App. D, pp. 71-73)</w:t>
      </w:r>
      <w:r w:rsidR="00046BB7" w:rsidRPr="00EB0367">
        <w:t xml:space="preserve">, </w:t>
      </w:r>
      <w:r w:rsidRPr="00EB0367">
        <w:t xml:space="preserve">despite these locations being defined in the Surface Water Management and Monitoring Plan for the approved </w:t>
      </w:r>
      <w:r w:rsidR="00B20E80" w:rsidRPr="00EB0367">
        <w:t>Wilpinjong Coal Mine</w:t>
      </w:r>
      <w:r w:rsidR="00C4197E" w:rsidRPr="00EB0367">
        <w:t xml:space="preserve"> (</w:t>
      </w:r>
      <w:r w:rsidR="00FF590E" w:rsidRPr="00EB0367">
        <w:t>Peabody, 2006b</w:t>
      </w:r>
      <w:r w:rsidR="00C4197E" w:rsidRPr="00EB0367">
        <w:t>)</w:t>
      </w:r>
      <w:r w:rsidR="007B04D9" w:rsidRPr="00EB0367">
        <w:t xml:space="preserve"> for monthly sampling</w:t>
      </w:r>
      <w:r w:rsidRPr="00EB0367">
        <w:t xml:space="preserve">. </w:t>
      </w:r>
    </w:p>
    <w:p w:rsidR="00790931" w:rsidRPr="00EB0367" w:rsidRDefault="00790931" w:rsidP="00790931">
      <w:pPr>
        <w:pStyle w:val="ListNumber2"/>
      </w:pPr>
      <w:r w:rsidRPr="000B5D80">
        <w:t>The surface water quality data presented indicates a number of sites regularly exceed the ANZECC</w:t>
      </w:r>
      <w:r w:rsidR="00C50F38" w:rsidRPr="000B5D80">
        <w:t>/</w:t>
      </w:r>
      <w:r w:rsidR="00C50F38" w:rsidRPr="00EB0367">
        <w:t>ARMCANZ (2000)</w:t>
      </w:r>
      <w:r w:rsidRPr="00EB0367">
        <w:t xml:space="preserve"> guideline trigger value</w:t>
      </w:r>
      <w:r w:rsidR="00AE615C" w:rsidRPr="00EB0367">
        <w:t>s</w:t>
      </w:r>
      <w:r w:rsidRPr="00EB0367">
        <w:t xml:space="preserve"> for the protection of aquatic ecosystems and</w:t>
      </w:r>
      <w:r w:rsidR="007A7667" w:rsidRPr="00EB0367">
        <w:t xml:space="preserve">/or </w:t>
      </w:r>
      <w:bookmarkStart w:id="4" w:name="OLE_LINK3"/>
      <w:bookmarkStart w:id="5" w:name="OLE_LINK4"/>
      <w:r w:rsidRPr="00EB0367">
        <w:t>Primary Industries (Livestock Drinking Water)</w:t>
      </w:r>
      <w:bookmarkEnd w:id="4"/>
      <w:bookmarkEnd w:id="5"/>
      <w:r w:rsidR="004920F6" w:rsidRPr="00EB0367">
        <w:t>,</w:t>
      </w:r>
      <w:r w:rsidR="007A7667" w:rsidRPr="00EB0367">
        <w:t xml:space="preserve"> i.e. EC, turbidity</w:t>
      </w:r>
      <w:r w:rsidR="004920F6" w:rsidRPr="00EB0367">
        <w:t>,</w:t>
      </w:r>
      <w:r w:rsidR="007A7667" w:rsidRPr="00EB0367">
        <w:t xml:space="preserve"> and sulphate</w:t>
      </w:r>
      <w:r w:rsidR="00AE615C" w:rsidRPr="00EB0367">
        <w:t xml:space="preserve"> </w:t>
      </w:r>
      <w:r w:rsidR="00E30683" w:rsidRPr="00EB0367">
        <w:t xml:space="preserve">(EIS, </w:t>
      </w:r>
      <w:r w:rsidR="00FF590E" w:rsidRPr="00EB0367">
        <w:t>App. D, pp. 55</w:t>
      </w:r>
      <w:r w:rsidR="00E30683" w:rsidRPr="00EB0367">
        <w:t>–</w:t>
      </w:r>
      <w:r w:rsidR="00FF590E" w:rsidRPr="00EB0367">
        <w:t>56</w:t>
      </w:r>
      <w:r w:rsidR="007A7667" w:rsidRPr="00EB0367">
        <w:t>)</w:t>
      </w:r>
      <w:r w:rsidRPr="00EB0367">
        <w:t>.</w:t>
      </w:r>
      <w:r w:rsidRPr="00EB0367" w:rsidDel="001F516D">
        <w:t xml:space="preserve"> </w:t>
      </w:r>
      <w:r w:rsidR="000B3CA7" w:rsidRPr="00EB0367">
        <w:t>Local water quality guidelines</w:t>
      </w:r>
      <w:r w:rsidR="000057AC" w:rsidRPr="00EB0367">
        <w:t xml:space="preserve"> and objectives</w:t>
      </w:r>
      <w:r w:rsidR="000B3CA7" w:rsidRPr="00EB0367">
        <w:t xml:space="preserve"> were not </w:t>
      </w:r>
      <w:r w:rsidR="003912DA" w:rsidRPr="00EB0367">
        <w:t>developed</w:t>
      </w:r>
      <w:r w:rsidR="000B3CA7" w:rsidRPr="00EB0367">
        <w:t xml:space="preserve"> and </w:t>
      </w:r>
      <w:r w:rsidR="00605A3E" w:rsidRPr="00EB0367">
        <w:t xml:space="preserve">while baseline values were reported (for pH, EC, </w:t>
      </w:r>
      <w:r w:rsidR="006856BD" w:rsidRPr="00EB0367">
        <w:t>turbidity</w:t>
      </w:r>
      <w:r w:rsidR="00605A3E" w:rsidRPr="00EB0367">
        <w:t>)</w:t>
      </w:r>
      <w:r w:rsidR="006856BD" w:rsidRPr="00EB0367">
        <w:t xml:space="preserve"> (EIS, App. D, section 3.6.2)</w:t>
      </w:r>
      <w:r w:rsidR="00605A3E" w:rsidRPr="00EB0367">
        <w:t xml:space="preserve">, </w:t>
      </w:r>
      <w:r w:rsidR="000B3CA7" w:rsidRPr="00EB0367">
        <w:t xml:space="preserve">contextual information was not provided </w:t>
      </w:r>
      <w:r w:rsidR="00605A3E" w:rsidRPr="00EB0367">
        <w:t xml:space="preserve">to </w:t>
      </w:r>
      <w:r w:rsidR="003912DA" w:rsidRPr="00EB0367">
        <w:t>explain</w:t>
      </w:r>
      <w:r w:rsidR="00605A3E" w:rsidRPr="00EB0367">
        <w:t xml:space="preserve"> </w:t>
      </w:r>
      <w:r w:rsidR="002E17B1" w:rsidRPr="00EB0367">
        <w:t xml:space="preserve">how </w:t>
      </w:r>
      <w:r w:rsidR="00605A3E" w:rsidRPr="00EB0367">
        <w:t>these values</w:t>
      </w:r>
      <w:r w:rsidR="002E17B1" w:rsidRPr="00EB0367">
        <w:t xml:space="preserve"> were derived</w:t>
      </w:r>
      <w:r w:rsidR="000B3CA7" w:rsidRPr="00EB0367">
        <w:t xml:space="preserve">. </w:t>
      </w:r>
      <w:r w:rsidRPr="00EB0367">
        <w:t>The information presented does not allow consideration of the suitability of the baseline data set and whether these exceedences reflect the existing environment</w:t>
      </w:r>
      <w:r w:rsidR="007A7667" w:rsidRPr="00EB0367">
        <w:t xml:space="preserve"> or mining-related</w:t>
      </w:r>
      <w:r w:rsidR="00AE615C" w:rsidRPr="00EB0367">
        <w:t xml:space="preserve"> impacts. </w:t>
      </w:r>
    </w:p>
    <w:p w:rsidR="00790931" w:rsidRPr="000B5D80" w:rsidRDefault="00790931" w:rsidP="00790931">
      <w:pPr>
        <w:pStyle w:val="ListNumber2"/>
      </w:pPr>
      <w:r w:rsidRPr="00EB0367">
        <w:t xml:space="preserve">Data </w:t>
      </w:r>
      <w:r w:rsidR="00B8220E" w:rsidRPr="00EB0367">
        <w:t xml:space="preserve">from nearby mining operations </w:t>
      </w:r>
      <w:r w:rsidR="00077A84" w:rsidRPr="00EB0367">
        <w:t>are not provided, despite</w:t>
      </w:r>
      <w:r w:rsidR="00B81916" w:rsidRPr="00EB0367">
        <w:t xml:space="preserve"> the close proximity of the proposed project to Moolarben Coal Mine</w:t>
      </w:r>
      <w:r w:rsidR="000057AC" w:rsidRPr="00EB0367">
        <w:t>. The</w:t>
      </w:r>
      <w:r w:rsidR="00077A84" w:rsidRPr="00EB0367">
        <w:t>s</w:t>
      </w:r>
      <w:r w:rsidR="000057AC" w:rsidRPr="00EB0367">
        <w:t>e</w:t>
      </w:r>
      <w:r w:rsidR="00077A84" w:rsidRPr="00EB0367">
        <w:t xml:space="preserve"> data would provide further contextual information on </w:t>
      </w:r>
      <w:r w:rsidR="008C28D4" w:rsidRPr="00EB0367">
        <w:t>the upstream water quality of Wilpin</w:t>
      </w:r>
      <w:r w:rsidR="00077A84" w:rsidRPr="00EB0367">
        <w:t>jong Creek, and consideration of the potential impacts of the approved Wilpinjong Coal Mine in relation to those</w:t>
      </w:r>
      <w:r w:rsidR="00077A84" w:rsidRPr="000B5D80">
        <w:t xml:space="preserve"> from nearby mines. </w:t>
      </w:r>
    </w:p>
    <w:p w:rsidR="00790931" w:rsidRPr="000B5D80" w:rsidRDefault="00B710E3" w:rsidP="00790931">
      <w:pPr>
        <w:pStyle w:val="ListNumber"/>
      </w:pPr>
      <w:r w:rsidRPr="000B5D80">
        <w:t>T</w:t>
      </w:r>
      <w:r w:rsidR="00790931" w:rsidRPr="000B5D80">
        <w:t xml:space="preserve">he assessment concludes that </w:t>
      </w:r>
      <w:r w:rsidR="007220F9" w:rsidRPr="000B5D80">
        <w:t xml:space="preserve">potential </w:t>
      </w:r>
      <w:r w:rsidR="00790931" w:rsidRPr="000B5D80">
        <w:t xml:space="preserve">changes </w:t>
      </w:r>
      <w:r w:rsidRPr="000B5D80">
        <w:t xml:space="preserve">to surface water flows (i.e. from catchment excision and loss of baseflow) </w:t>
      </w:r>
      <w:r w:rsidR="00EE524B" w:rsidRPr="000B5D80">
        <w:t xml:space="preserve">in Wilpinjong Creek and Wollar Creek </w:t>
      </w:r>
      <w:r w:rsidR="00790931" w:rsidRPr="000B5D80">
        <w:t xml:space="preserve">are minor when </w:t>
      </w:r>
      <w:r w:rsidR="00790931" w:rsidRPr="000B5D80">
        <w:lastRenderedPageBreak/>
        <w:t>compared to the approved Wilpinjong</w:t>
      </w:r>
      <w:r w:rsidRPr="000B5D80">
        <w:t xml:space="preserve"> Coal</w:t>
      </w:r>
      <w:r w:rsidR="00790931" w:rsidRPr="000B5D80">
        <w:t xml:space="preserve"> </w:t>
      </w:r>
      <w:r w:rsidR="007A7667" w:rsidRPr="000B5D80">
        <w:t>M</w:t>
      </w:r>
      <w:r w:rsidR="00790931" w:rsidRPr="000B5D80">
        <w:t>ine</w:t>
      </w:r>
      <w:r w:rsidR="00D86150" w:rsidRPr="000B5D80">
        <w:t xml:space="preserve"> </w:t>
      </w:r>
      <w:r w:rsidR="00077A84" w:rsidRPr="000B5D80">
        <w:t>(EIS, App. D, p. 149)</w:t>
      </w:r>
      <w:r w:rsidR="00790931" w:rsidRPr="000B5D80">
        <w:t>. Th</w:t>
      </w:r>
      <w:r w:rsidR="00E30683" w:rsidRPr="000B5D80">
        <w:t>ese findings</w:t>
      </w:r>
      <w:r w:rsidR="00790931" w:rsidRPr="000B5D80">
        <w:t xml:space="preserve"> would be strengthened by</w:t>
      </w:r>
      <w:r w:rsidR="00E30683" w:rsidRPr="000B5D80">
        <w:t xml:space="preserve"> the following</w:t>
      </w:r>
      <w:r w:rsidR="00790931" w:rsidRPr="000B5D80">
        <w:t>:</w:t>
      </w:r>
    </w:p>
    <w:p w:rsidR="00790931" w:rsidRPr="000B5D80" w:rsidRDefault="001120AD" w:rsidP="00790931">
      <w:pPr>
        <w:pStyle w:val="ListNumber2"/>
      </w:pPr>
      <w:r w:rsidRPr="000B5D80">
        <w:t>c</w:t>
      </w:r>
      <w:r w:rsidR="00790931" w:rsidRPr="000B5D80">
        <w:t>onsideration of the cumulative reduction in catchment area over the operational period</w:t>
      </w:r>
      <w:r w:rsidR="00E268D2" w:rsidRPr="000B5D80">
        <w:t xml:space="preserve">, </w:t>
      </w:r>
      <w:r w:rsidR="007A7667" w:rsidRPr="000B5D80">
        <w:t>including against each relevant sub-catchment and reductions associated with Moolarben Coal Mine</w:t>
      </w:r>
    </w:p>
    <w:p w:rsidR="005E3701" w:rsidRPr="00FF3481" w:rsidRDefault="001120AD" w:rsidP="005E3701">
      <w:pPr>
        <w:pStyle w:val="ListNumber2"/>
      </w:pPr>
      <w:r w:rsidRPr="00FF3481">
        <w:t>q</w:t>
      </w:r>
      <w:r w:rsidR="005E3701" w:rsidRPr="00FF3481">
        <w:t xml:space="preserve">uantifying changes to flow regime </w:t>
      </w:r>
      <w:r w:rsidR="00611E28" w:rsidRPr="00FF3481">
        <w:t xml:space="preserve">from </w:t>
      </w:r>
      <w:r w:rsidR="00452B50" w:rsidRPr="00FF3481">
        <w:t xml:space="preserve">the proposed </w:t>
      </w:r>
      <w:r w:rsidR="005E3701" w:rsidRPr="00FF3481">
        <w:t xml:space="preserve">project </w:t>
      </w:r>
      <w:r w:rsidR="00A01441" w:rsidRPr="00FF3481">
        <w:t>(</w:t>
      </w:r>
      <w:r w:rsidR="005E3701" w:rsidRPr="00FF3481">
        <w:t xml:space="preserve">with particular regard to </w:t>
      </w:r>
      <w:r w:rsidR="00A01441" w:rsidRPr="00FF3481">
        <w:t xml:space="preserve">timing, </w:t>
      </w:r>
      <w:r w:rsidR="005E3701" w:rsidRPr="00FF3481">
        <w:t>duration and frequency</w:t>
      </w:r>
      <w:r w:rsidR="00A01441" w:rsidRPr="00FF3481">
        <w:t>)</w:t>
      </w:r>
      <w:r w:rsidR="005E3701" w:rsidRPr="00FF3481">
        <w:t xml:space="preserve"> due to the combined impact of catchment excision, loss of baseflow, </w:t>
      </w:r>
      <w:r w:rsidR="003166B4" w:rsidRPr="00FF3481">
        <w:t xml:space="preserve">and </w:t>
      </w:r>
      <w:r w:rsidR="005E3701" w:rsidRPr="00FF3481">
        <w:t>regulated and uncontrolled discharges. While the assessment presents a flow frequency curve</w:t>
      </w:r>
      <w:r w:rsidR="00BA38AC" w:rsidRPr="00FF3481">
        <w:t xml:space="preserve"> </w:t>
      </w:r>
      <w:r w:rsidR="005E3701" w:rsidRPr="00FF3481">
        <w:t>of the combined impact of estimated baseflow loss and maximum catchment excision</w:t>
      </w:r>
      <w:r w:rsidR="00BA38AC" w:rsidRPr="00FF3481">
        <w:t xml:space="preserve"> (EIS, App. D, p. 149, Fig 8.5)</w:t>
      </w:r>
      <w:r w:rsidR="005E3701" w:rsidRPr="00FF3481">
        <w:t>, further detail on the modelling (e.g. how discharges and changes to catchment area have been incorporated into the model) would enable consideration of the appropriateness of model outputs</w:t>
      </w:r>
      <w:r w:rsidR="00BA38AC" w:rsidRPr="00FF3481">
        <w:t xml:space="preserve">. The analysis should </w:t>
      </w:r>
      <w:r w:rsidR="00FF3481" w:rsidRPr="00FF3481">
        <w:t>compare the proposed project,</w:t>
      </w:r>
      <w:r w:rsidR="00BA38AC" w:rsidRPr="00FF3481">
        <w:t xml:space="preserve"> pre-mining</w:t>
      </w:r>
      <w:r w:rsidR="0014138F" w:rsidRPr="00FF3481">
        <w:t xml:space="preserve"> condition</w:t>
      </w:r>
      <w:r w:rsidR="00FF3481" w:rsidRPr="00FF3481">
        <w:t>,</w:t>
      </w:r>
      <w:r w:rsidR="0014138F" w:rsidRPr="00FF3481">
        <w:t xml:space="preserve"> and </w:t>
      </w:r>
      <w:r w:rsidR="00FF3481" w:rsidRPr="00FF3481">
        <w:t xml:space="preserve">effects of the </w:t>
      </w:r>
      <w:r w:rsidR="00C66103" w:rsidRPr="00FF3481">
        <w:t xml:space="preserve">approved Wilpinjong Coal Mine </w:t>
      </w:r>
      <w:r w:rsidR="0014138F" w:rsidRPr="00FF3481">
        <w:t>operation</w:t>
      </w:r>
      <w:r w:rsidR="00C66103" w:rsidRPr="00FF3481">
        <w:t>s</w:t>
      </w:r>
      <w:r w:rsidR="0014138F" w:rsidRPr="00FF3481">
        <w:t xml:space="preserve">. </w:t>
      </w:r>
    </w:p>
    <w:p w:rsidR="005E3701" w:rsidRPr="000B5D80" w:rsidRDefault="001120AD" w:rsidP="005E3701">
      <w:pPr>
        <w:pStyle w:val="ListNumber2"/>
      </w:pPr>
      <w:r w:rsidRPr="000B5D80">
        <w:t>s</w:t>
      </w:r>
      <w:r w:rsidR="008D482D" w:rsidRPr="000B5D80">
        <w:t>ubsequent a</w:t>
      </w:r>
      <w:r w:rsidR="005E3701" w:rsidRPr="000B5D80">
        <w:t xml:space="preserve">ssessment of potential downstream </w:t>
      </w:r>
      <w:r w:rsidR="008D482D" w:rsidRPr="000B5D80">
        <w:t xml:space="preserve">ecological </w:t>
      </w:r>
      <w:r w:rsidR="005E3701" w:rsidRPr="000B5D80">
        <w:t xml:space="preserve">impacts </w:t>
      </w:r>
      <w:r w:rsidR="008F3AF9" w:rsidRPr="000B5D80">
        <w:t xml:space="preserve">resulting from </w:t>
      </w:r>
      <w:r w:rsidR="008D482D" w:rsidRPr="000B5D80">
        <w:t xml:space="preserve">predicted </w:t>
      </w:r>
      <w:r w:rsidR="008F3AF9" w:rsidRPr="000B5D80">
        <w:t>changes to flow regime</w:t>
      </w:r>
    </w:p>
    <w:p w:rsidR="00790931" w:rsidRPr="000B5D80" w:rsidRDefault="001120AD" w:rsidP="00790931">
      <w:pPr>
        <w:pStyle w:val="ListNumber2"/>
      </w:pPr>
      <w:r w:rsidRPr="000B5D80">
        <w:t>d</w:t>
      </w:r>
      <w:r w:rsidR="00790931" w:rsidRPr="000B5D80">
        <w:t xml:space="preserve">iscussion of the approved </w:t>
      </w:r>
      <w:r w:rsidR="00B20E80" w:rsidRPr="000B5D80">
        <w:t>Wilpinjong Coal Mine</w:t>
      </w:r>
      <w:r w:rsidR="00790931" w:rsidRPr="000B5D80">
        <w:t>’s existing stream flow triggers</w:t>
      </w:r>
      <w:r w:rsidR="00790931" w:rsidRPr="000B5D80">
        <w:rPr>
          <w:rStyle w:val="FootnoteReference"/>
        </w:rPr>
        <w:footnoteReference w:id="1"/>
      </w:r>
      <w:r w:rsidR="00790931" w:rsidRPr="000B5D80">
        <w:t xml:space="preserve">, including </w:t>
      </w:r>
      <w:r w:rsidR="00ED0CFD">
        <w:t xml:space="preserve">historical </w:t>
      </w:r>
      <w:r w:rsidR="00790931" w:rsidRPr="000B5D80">
        <w:t>performance.</w:t>
      </w:r>
    </w:p>
    <w:p w:rsidR="00790931" w:rsidRPr="000B5D80" w:rsidRDefault="007A7667" w:rsidP="00790931">
      <w:pPr>
        <w:pStyle w:val="ListNumber"/>
      </w:pPr>
      <w:r w:rsidRPr="000B5D80">
        <w:t>The proponent did not undertake</w:t>
      </w:r>
      <w:r w:rsidR="00790931" w:rsidRPr="000B5D80">
        <w:t xml:space="preserve"> new flood studies for the proposed project as the proposed extension lies outside of the </w:t>
      </w:r>
      <w:r w:rsidR="00E30683" w:rsidRPr="000B5D80">
        <w:t xml:space="preserve">Wilpinjong Creek and Cumbo Creek </w:t>
      </w:r>
      <w:r w:rsidR="00790931" w:rsidRPr="000B5D80">
        <w:t xml:space="preserve">1 in 1,000 </w:t>
      </w:r>
      <w:r w:rsidR="00E30683" w:rsidRPr="000B5D80">
        <w:t xml:space="preserve">annual exceedance probability </w:t>
      </w:r>
      <w:r w:rsidR="00790931" w:rsidRPr="000B5D80">
        <w:t>design flood exten</w:t>
      </w:r>
      <w:r w:rsidR="00EE524B" w:rsidRPr="000B5D80">
        <w:t>t</w:t>
      </w:r>
      <w:r w:rsidR="00790931" w:rsidRPr="000B5D80">
        <w:t xml:space="preserve"> </w:t>
      </w:r>
      <w:r w:rsidR="0032322B" w:rsidRPr="000B5D80">
        <w:t>(</w:t>
      </w:r>
      <w:r w:rsidR="00077A84" w:rsidRPr="000B5D80">
        <w:t>EIS, App. D, p. 75</w:t>
      </w:r>
      <w:r w:rsidR="0032322B" w:rsidRPr="000B5D80">
        <w:t>)</w:t>
      </w:r>
      <w:r w:rsidR="00790931" w:rsidRPr="000B5D80">
        <w:t>. While this may be a plausible approach, the assessment should discuss assumptions, limitations and applicability of the previous study.</w:t>
      </w:r>
    </w:p>
    <w:p w:rsidR="00F32861" w:rsidRPr="000B5D80" w:rsidRDefault="00F04B63" w:rsidP="008D482D">
      <w:pPr>
        <w:pStyle w:val="ListNumber"/>
      </w:pPr>
      <w:r w:rsidRPr="000B5D80">
        <w:t>The water balance model for the proposed project</w:t>
      </w:r>
      <w:r w:rsidR="00790931" w:rsidRPr="000B5D80">
        <w:t xml:space="preserve"> </w:t>
      </w:r>
      <w:r w:rsidRPr="000B5D80">
        <w:t xml:space="preserve">is configured </w:t>
      </w:r>
      <w:r w:rsidR="0097783B" w:rsidRPr="000B5D80">
        <w:t xml:space="preserve">so as </w:t>
      </w:r>
      <w:r w:rsidRPr="000B5D80">
        <w:t xml:space="preserve">not to allow </w:t>
      </w:r>
      <w:r w:rsidR="00EA05CE" w:rsidRPr="000B5D80">
        <w:t xml:space="preserve">uncontrolled </w:t>
      </w:r>
      <w:r w:rsidRPr="000B5D80">
        <w:t xml:space="preserve">discharge of </w:t>
      </w:r>
      <w:r w:rsidR="00DC648B" w:rsidRPr="000B5D80">
        <w:t>mine water</w:t>
      </w:r>
      <w:r w:rsidR="00EA05CE" w:rsidRPr="000B5D80">
        <w:t xml:space="preserve"> from </w:t>
      </w:r>
      <w:r w:rsidR="00DC648B" w:rsidRPr="000B5D80">
        <w:t>mine water</w:t>
      </w:r>
      <w:r w:rsidR="00EA05CE" w:rsidRPr="000B5D80">
        <w:t xml:space="preserve"> storages</w:t>
      </w:r>
      <w:r w:rsidR="0097783B" w:rsidRPr="000B5D80">
        <w:t>;</w:t>
      </w:r>
      <w:r w:rsidRPr="000B5D80">
        <w:t xml:space="preserve"> excess mine water is stored in mining pits </w:t>
      </w:r>
      <w:r w:rsidR="0097783B" w:rsidRPr="000B5D80">
        <w:t xml:space="preserve">instead </w:t>
      </w:r>
      <w:r w:rsidRPr="000B5D80">
        <w:t>(</w:t>
      </w:r>
      <w:r w:rsidR="00D86150" w:rsidRPr="000B5D80">
        <w:t>EIS, App. D, p. 134</w:t>
      </w:r>
      <w:r w:rsidRPr="000B5D80">
        <w:t>). However,</w:t>
      </w:r>
      <w:r w:rsidR="00CA1D7D" w:rsidRPr="000B5D80">
        <w:t xml:space="preserve"> the water balance</w:t>
      </w:r>
      <w:r w:rsidRPr="000B5D80">
        <w:t xml:space="preserve"> </w:t>
      </w:r>
      <w:r w:rsidR="00CA1D7D" w:rsidRPr="000B5D80">
        <w:t xml:space="preserve">modelling </w:t>
      </w:r>
      <w:r w:rsidRPr="000B5D80">
        <w:t>indicate</w:t>
      </w:r>
      <w:r w:rsidR="00CA1D7D" w:rsidRPr="000B5D80">
        <w:t>s</w:t>
      </w:r>
      <w:r w:rsidRPr="000B5D80">
        <w:t xml:space="preserve"> that</w:t>
      </w:r>
      <w:r w:rsidR="006C0942" w:rsidRPr="000B5D80">
        <w:t>:</w:t>
      </w:r>
      <w:r w:rsidRPr="000B5D80">
        <w:t xml:space="preserve"> the</w:t>
      </w:r>
      <w:r w:rsidR="00790931" w:rsidRPr="000B5D80">
        <w:t xml:space="preserve"> water management system is sensitive to </w:t>
      </w:r>
      <w:r w:rsidR="00077A84" w:rsidRPr="000B5D80">
        <w:t>climatic conditions (EIS, App. D, p. 127</w:t>
      </w:r>
      <w:r w:rsidR="00B85EEB" w:rsidRPr="000B5D80">
        <w:t>)</w:t>
      </w:r>
      <w:r w:rsidR="00CA1D7D" w:rsidRPr="000B5D80">
        <w:t>; d</w:t>
      </w:r>
      <w:r w:rsidRPr="000B5D80">
        <w:t>ischarges from sediment dams d</w:t>
      </w:r>
      <w:r w:rsidR="00790931" w:rsidRPr="000B5D80">
        <w:t xml:space="preserve">uring the first </w:t>
      </w:r>
      <w:r w:rsidR="006C0942" w:rsidRPr="000B5D80">
        <w:t>5 years of the proposed project,</w:t>
      </w:r>
      <w:r w:rsidR="00790931" w:rsidRPr="000B5D80">
        <w:t xml:space="preserve"> under wet and very wet conditions</w:t>
      </w:r>
      <w:r w:rsidRPr="000B5D80">
        <w:t>,</w:t>
      </w:r>
      <w:r w:rsidR="00790931" w:rsidRPr="000B5D80">
        <w:t xml:space="preserve"> are up to 75 ML/month and 390 ML/month respectively</w:t>
      </w:r>
      <w:r w:rsidR="005245A7" w:rsidRPr="000B5D80">
        <w:t xml:space="preserve"> (</w:t>
      </w:r>
      <w:r w:rsidR="00077A84" w:rsidRPr="000B5D80">
        <w:t>EIS, App. D, p. 134</w:t>
      </w:r>
      <w:r w:rsidR="005245A7" w:rsidRPr="000B5D80">
        <w:t>)</w:t>
      </w:r>
      <w:r w:rsidR="00CA1D7D" w:rsidRPr="000B5D80">
        <w:t xml:space="preserve">; and </w:t>
      </w:r>
      <w:r w:rsidR="00790931" w:rsidRPr="000B5D80">
        <w:t xml:space="preserve">‘significant quantities’ of water will need to be stored </w:t>
      </w:r>
      <w:r w:rsidR="005245A7" w:rsidRPr="000B5D80">
        <w:t>in the</w:t>
      </w:r>
      <w:r w:rsidR="00790931" w:rsidRPr="000B5D80">
        <w:t xml:space="preserve"> pits</w:t>
      </w:r>
      <w:r w:rsidR="005245A7" w:rsidRPr="000B5D80">
        <w:t xml:space="preserve"> (</w:t>
      </w:r>
      <w:r w:rsidR="00077A84" w:rsidRPr="000B5D80">
        <w:t>EIS, App. D, p. 128</w:t>
      </w:r>
      <w:r w:rsidR="005245A7" w:rsidRPr="000B5D80">
        <w:t>), which will</w:t>
      </w:r>
      <w:r w:rsidR="00790931" w:rsidRPr="000B5D80">
        <w:t xml:space="preserve"> cause disruption to operations.</w:t>
      </w:r>
      <w:r w:rsidR="006C0942" w:rsidRPr="000B5D80">
        <w:t xml:space="preserve"> S</w:t>
      </w:r>
      <w:r w:rsidR="00790931" w:rsidRPr="000B5D80">
        <w:t xml:space="preserve">ediment dams have </w:t>
      </w:r>
      <w:r w:rsidR="00E25ABC" w:rsidRPr="000B5D80">
        <w:t xml:space="preserve">also </w:t>
      </w:r>
      <w:r w:rsidR="00790931" w:rsidRPr="000B5D80">
        <w:t>been used to store mine water</w:t>
      </w:r>
      <w:r w:rsidR="005245A7" w:rsidRPr="000B5D80">
        <w:t xml:space="preserve"> </w:t>
      </w:r>
      <w:r w:rsidR="006C0942" w:rsidRPr="000B5D80">
        <w:t xml:space="preserve">in the past </w:t>
      </w:r>
      <w:r w:rsidR="005245A7" w:rsidRPr="000B5D80">
        <w:t>(</w:t>
      </w:r>
      <w:r w:rsidR="00077A84" w:rsidRPr="000B5D80">
        <w:t>EIS, App. D, p. 70</w:t>
      </w:r>
      <w:r w:rsidR="005245A7" w:rsidRPr="000B5D80">
        <w:t xml:space="preserve">). </w:t>
      </w:r>
      <w:r w:rsidR="004B2A7E" w:rsidRPr="000B5D80">
        <w:t xml:space="preserve">Considering these factors, </w:t>
      </w:r>
      <w:r w:rsidR="00F32861" w:rsidRPr="000B5D80">
        <w:t>the assessment could be improved by:</w:t>
      </w:r>
    </w:p>
    <w:p w:rsidR="00F32861" w:rsidRPr="000B5D80" w:rsidRDefault="00F32861" w:rsidP="00F32861">
      <w:pPr>
        <w:pStyle w:val="ListNumber2"/>
        <w:rPr>
          <w:i/>
        </w:rPr>
      </w:pPr>
      <w:r w:rsidRPr="000B5D80">
        <w:t>quantification of impacts through solute balance modelling</w:t>
      </w:r>
    </w:p>
    <w:p w:rsidR="00F32861" w:rsidRPr="000B5D80" w:rsidRDefault="004B2A7E" w:rsidP="00F32861">
      <w:pPr>
        <w:pStyle w:val="ListNumber2"/>
        <w:rPr>
          <w:i/>
        </w:rPr>
      </w:pPr>
      <w:r w:rsidRPr="000B5D80">
        <w:t xml:space="preserve">further </w:t>
      </w:r>
      <w:r w:rsidR="00F32861" w:rsidRPr="000B5D80">
        <w:t>assessment of</w:t>
      </w:r>
      <w:r w:rsidRPr="000B5D80">
        <w:t xml:space="preserve"> the risk of d</w:t>
      </w:r>
      <w:r w:rsidR="004D582C">
        <w:t>ischarge of mine-</w:t>
      </w:r>
      <w:r w:rsidRPr="000B5D80">
        <w:t>affected water</w:t>
      </w:r>
      <w:r w:rsidR="004D582C">
        <w:t xml:space="preserve"> and sediment-</w:t>
      </w:r>
      <w:r w:rsidR="00F32861" w:rsidRPr="000B5D80">
        <w:t>affected water</w:t>
      </w:r>
      <w:r w:rsidR="003166B4">
        <w:t>, i</w:t>
      </w:r>
      <w:r w:rsidRPr="000B5D80">
        <w:t>nclud</w:t>
      </w:r>
      <w:r w:rsidR="003166B4">
        <w:t xml:space="preserve">ing how water stored in pits </w:t>
      </w:r>
      <w:r w:rsidR="003166B4" w:rsidRPr="000B5D80">
        <w:t xml:space="preserve">will be managed </w:t>
      </w:r>
      <w:r w:rsidR="003166B4">
        <w:t>during</w:t>
      </w:r>
      <w:r w:rsidR="00F32861" w:rsidRPr="000B5D80">
        <w:t xml:space="preserve"> periods of</w:t>
      </w:r>
      <w:r w:rsidRPr="000B5D80">
        <w:t xml:space="preserve"> high </w:t>
      </w:r>
      <w:r w:rsidR="00F32861" w:rsidRPr="000B5D80">
        <w:t>intensity</w:t>
      </w:r>
      <w:r w:rsidRPr="000B5D80">
        <w:t xml:space="preserve"> rainfall.</w:t>
      </w:r>
    </w:p>
    <w:p w:rsidR="00C53B93" w:rsidRPr="000B5D80" w:rsidRDefault="00CE6E66" w:rsidP="00CE6E66">
      <w:pPr>
        <w:pStyle w:val="ListNumber"/>
        <w:rPr>
          <w:rFonts w:eastAsia="Calibri"/>
          <w:sz w:val="22"/>
          <w:szCs w:val="22"/>
          <w:lang w:eastAsia="en-AU"/>
        </w:rPr>
      </w:pPr>
      <w:r w:rsidRPr="000B5D80">
        <w:t xml:space="preserve">While the assessment documentation </w:t>
      </w:r>
      <w:r w:rsidR="007B585B" w:rsidRPr="000B5D80">
        <w:t>includes a cumulative impact assessment for surface water</w:t>
      </w:r>
      <w:r w:rsidRPr="000B5D80">
        <w:t xml:space="preserve">, </w:t>
      </w:r>
      <w:r w:rsidR="00077A84" w:rsidRPr="000B5D80">
        <w:t xml:space="preserve">the </w:t>
      </w:r>
      <w:r w:rsidR="007B585B" w:rsidRPr="000B5D80">
        <w:t>scale of the assessment</w:t>
      </w:r>
      <w:r w:rsidR="00B35A95" w:rsidRPr="000B5D80">
        <w:t xml:space="preserve"> and approach of not </w:t>
      </w:r>
      <w:r w:rsidR="000145E7" w:rsidRPr="000B5D80">
        <w:t>quantifying</w:t>
      </w:r>
      <w:r w:rsidR="00B35A95" w:rsidRPr="000B5D80">
        <w:t xml:space="preserve"> the existing level of impact</w:t>
      </w:r>
      <w:r w:rsidR="007B585B" w:rsidRPr="000B5D80">
        <w:t xml:space="preserve"> does not enable cumulative im</w:t>
      </w:r>
      <w:r w:rsidR="00597CED" w:rsidRPr="000B5D80">
        <w:t>pacts to Wilpinjong and Wollar c</w:t>
      </w:r>
      <w:r w:rsidR="007B585B" w:rsidRPr="000B5D80">
        <w:t xml:space="preserve">reeks to be </w:t>
      </w:r>
      <w:r w:rsidR="007B585B" w:rsidRPr="000B5D80">
        <w:lastRenderedPageBreak/>
        <w:t>considered. </w:t>
      </w:r>
      <w:r w:rsidR="004B2A7E" w:rsidRPr="000B5D80">
        <w:t>Given the level of existing and proposed development on Wilpinjong Creek a local scale quantitative assessment should be included</w:t>
      </w:r>
      <w:r w:rsidR="007B585B" w:rsidRPr="000B5D80">
        <w:t>.</w:t>
      </w:r>
    </w:p>
    <w:p w:rsidR="00895B5F" w:rsidRPr="000B5D80" w:rsidRDefault="00895B5F" w:rsidP="001120AD">
      <w:pPr>
        <w:pStyle w:val="ListNumber"/>
        <w:keepNext/>
        <w:numPr>
          <w:ilvl w:val="0"/>
          <w:numId w:val="0"/>
        </w:numPr>
        <w:rPr>
          <w:i/>
        </w:rPr>
      </w:pPr>
      <w:r w:rsidRPr="000B5D80">
        <w:rPr>
          <w:i/>
        </w:rPr>
        <w:t>Geochemistry</w:t>
      </w:r>
    </w:p>
    <w:p w:rsidR="00AC5882" w:rsidRPr="000B5D80" w:rsidRDefault="00A857E0" w:rsidP="00AC5882">
      <w:pPr>
        <w:pStyle w:val="ListNumber"/>
      </w:pPr>
      <w:r w:rsidRPr="000B5D80">
        <w:t xml:space="preserve">No testing </w:t>
      </w:r>
      <w:r w:rsidR="004B2A7E" w:rsidRPr="000B5D80">
        <w:t xml:space="preserve">of overburden, interburden and coal </w:t>
      </w:r>
      <w:r w:rsidR="00F53DB7">
        <w:t xml:space="preserve">reject </w:t>
      </w:r>
      <w:r w:rsidR="004B2A7E" w:rsidRPr="000B5D80">
        <w:t>material</w:t>
      </w:r>
      <w:r w:rsidR="00F65713">
        <w:t>s</w:t>
      </w:r>
      <w:r w:rsidR="00D61E53" w:rsidRPr="000B5D80">
        <w:t xml:space="preserve"> </w:t>
      </w:r>
      <w:r w:rsidRPr="000B5D80">
        <w:t xml:space="preserve">for elemental enrichment and solubility was conducted for the approved Wilpinjong Coal Mine </w:t>
      </w:r>
      <w:r w:rsidR="00022896" w:rsidRPr="000B5D80">
        <w:t>(EIS, App. K, p. 44)</w:t>
      </w:r>
      <w:r w:rsidR="00A56D4F" w:rsidRPr="000B5D80">
        <w:t>. T</w:t>
      </w:r>
      <w:r w:rsidRPr="000B5D80">
        <w:t xml:space="preserve">he </w:t>
      </w:r>
      <w:r w:rsidR="00022896" w:rsidRPr="000B5D80">
        <w:t xml:space="preserve">Geochemistry Assessment </w:t>
      </w:r>
      <w:r w:rsidR="00426C6D" w:rsidRPr="000B5D80">
        <w:t xml:space="preserve">for the proposed project </w:t>
      </w:r>
      <w:r w:rsidR="00022896" w:rsidRPr="000B5D80">
        <w:t xml:space="preserve">(EIS, App. K) </w:t>
      </w:r>
      <w:r w:rsidR="00AC5882" w:rsidRPr="000B5D80">
        <w:t xml:space="preserve">indicates enrichment </w:t>
      </w:r>
      <w:r w:rsidR="00ED1678" w:rsidRPr="000B5D80">
        <w:t xml:space="preserve">of arsenic and selenium </w:t>
      </w:r>
      <w:r w:rsidR="00AC5882" w:rsidRPr="000B5D80">
        <w:t xml:space="preserve">and solubility of </w:t>
      </w:r>
      <w:r w:rsidR="00ED1678" w:rsidRPr="000B5D80">
        <w:t>molybdenum and selenium</w:t>
      </w:r>
      <w:r w:rsidR="00AC5882" w:rsidRPr="000B5D80">
        <w:t xml:space="preserve"> </w:t>
      </w:r>
      <w:r w:rsidR="004B2A7E" w:rsidRPr="000B5D80">
        <w:t>in some of the coal</w:t>
      </w:r>
      <w:r w:rsidR="00F53DB7">
        <w:t xml:space="preserve"> reject</w:t>
      </w:r>
      <w:r w:rsidR="004B2A7E" w:rsidRPr="000B5D80">
        <w:t>, interburden and overburden materials</w:t>
      </w:r>
      <w:r w:rsidR="00C26F76" w:rsidRPr="000B5D80">
        <w:t xml:space="preserve"> </w:t>
      </w:r>
      <w:r w:rsidR="00AC5882" w:rsidRPr="000B5D80">
        <w:t xml:space="preserve">(EIS, </w:t>
      </w:r>
      <w:r w:rsidR="00ED1678" w:rsidRPr="000B5D80">
        <w:t xml:space="preserve">App. K, </w:t>
      </w:r>
      <w:r w:rsidR="00AC5882" w:rsidRPr="000B5D80">
        <w:t>p</w:t>
      </w:r>
      <w:r w:rsidRPr="000B5D80">
        <w:t>p</w:t>
      </w:r>
      <w:r w:rsidR="00AC5882" w:rsidRPr="000B5D80">
        <w:t xml:space="preserve">. </w:t>
      </w:r>
      <w:r w:rsidR="00ED1678" w:rsidRPr="000B5D80">
        <w:t>34, 39</w:t>
      </w:r>
      <w:r w:rsidRPr="000B5D80">
        <w:softHyphen/>
        <w:t>–40, 44</w:t>
      </w:r>
      <w:r w:rsidR="00AC5882" w:rsidRPr="000B5D80">
        <w:t xml:space="preserve">), and that certain waste rock materials would be potentially acid forming. Given these preliminary results the </w:t>
      </w:r>
      <w:r w:rsidRPr="000B5D80">
        <w:t>a</w:t>
      </w:r>
      <w:r w:rsidR="00AC5882" w:rsidRPr="000B5D80">
        <w:t xml:space="preserve">ssessment </w:t>
      </w:r>
      <w:r w:rsidR="00437CB9" w:rsidRPr="000B5D80">
        <w:t xml:space="preserve">should include the following to </w:t>
      </w:r>
      <w:r w:rsidR="004B2A7E" w:rsidRPr="000B5D80">
        <w:t>improve the assessment of</w:t>
      </w:r>
      <w:r w:rsidR="00426C6D" w:rsidRPr="000B5D80">
        <w:t xml:space="preserve"> </w:t>
      </w:r>
      <w:r w:rsidR="00D61E53" w:rsidRPr="000B5D80">
        <w:t xml:space="preserve">potential </w:t>
      </w:r>
      <w:r w:rsidR="00437CB9" w:rsidRPr="000B5D80">
        <w:t>impacts</w:t>
      </w:r>
      <w:r w:rsidR="00AC5882" w:rsidRPr="000B5D80">
        <w:t>:</w:t>
      </w:r>
    </w:p>
    <w:p w:rsidR="00A311EE" w:rsidRPr="000B5D80" w:rsidRDefault="00A311EE" w:rsidP="00A311EE">
      <w:pPr>
        <w:pStyle w:val="ListNumber2"/>
      </w:pPr>
      <w:r w:rsidRPr="000B5D80">
        <w:t xml:space="preserve">A detailed description of the methodology of the solubility testing should be provided. The description provided (EIS, App. K, p. 23) was not adequate to provide confidence that the results predict the range of metals that may present a mobilisation risk. </w:t>
      </w:r>
    </w:p>
    <w:p w:rsidR="00AC5882" w:rsidRPr="000B5D80" w:rsidRDefault="001120AD" w:rsidP="00AC5882">
      <w:pPr>
        <w:pStyle w:val="ListNumber2"/>
      </w:pPr>
      <w:r w:rsidRPr="000B5D80">
        <w:t>A</w:t>
      </w:r>
      <w:r w:rsidR="00AC5882" w:rsidRPr="000B5D80">
        <w:t>dditional solubility studies (e.g. over a range of pH</w:t>
      </w:r>
      <w:r w:rsidR="000145E7" w:rsidRPr="000B5D80">
        <w:t xml:space="preserve"> and </w:t>
      </w:r>
      <w:r w:rsidR="00AC5882" w:rsidRPr="000B5D80">
        <w:t xml:space="preserve">kinetic tests) </w:t>
      </w:r>
      <w:r w:rsidRPr="000B5D80">
        <w:t xml:space="preserve">should be conducted </w:t>
      </w:r>
      <w:r w:rsidR="00AC5882" w:rsidRPr="000B5D80">
        <w:t>to better inform understanding of the risks associated with metal contamination from waste storage, d</w:t>
      </w:r>
      <w:r w:rsidRPr="000B5D80">
        <w:t>isposal, handling and treatment</w:t>
      </w:r>
      <w:r w:rsidR="00ED0CFD">
        <w:t>.</w:t>
      </w:r>
      <w:r w:rsidR="00AC5882" w:rsidRPr="000B5D80">
        <w:t xml:space="preserve"> </w:t>
      </w:r>
    </w:p>
    <w:p w:rsidR="007A286D" w:rsidRPr="000B5D80" w:rsidRDefault="001120AD">
      <w:pPr>
        <w:pStyle w:val="ListNumber2"/>
      </w:pPr>
      <w:r w:rsidRPr="000B5D80">
        <w:t>R</w:t>
      </w:r>
      <w:r w:rsidR="00AC5882" w:rsidRPr="000B5D80">
        <w:t xml:space="preserve">esults from solubility studies </w:t>
      </w:r>
      <w:r w:rsidRPr="000B5D80">
        <w:t xml:space="preserve">should be compared </w:t>
      </w:r>
      <w:r w:rsidR="00AC5882" w:rsidRPr="000B5D80">
        <w:t xml:space="preserve">to the ANZECC/ARMCANZ (2000) water quality guidelines for </w:t>
      </w:r>
      <w:r w:rsidR="006D7F91" w:rsidRPr="000B5D80">
        <w:t>ecosystem protection</w:t>
      </w:r>
      <w:r w:rsidR="00AC5882" w:rsidRPr="000B5D80">
        <w:t>.</w:t>
      </w:r>
    </w:p>
    <w:p w:rsidR="00790931" w:rsidRPr="000B5D80" w:rsidRDefault="00790931" w:rsidP="00790931">
      <w:pPr>
        <w:pStyle w:val="ListNumber"/>
        <w:numPr>
          <w:ilvl w:val="0"/>
          <w:numId w:val="0"/>
        </w:numPr>
        <w:rPr>
          <w:i/>
        </w:rPr>
      </w:pPr>
      <w:r w:rsidRPr="000B5D80">
        <w:rPr>
          <w:i/>
        </w:rPr>
        <w:t>Identification of water-related assets</w:t>
      </w:r>
    </w:p>
    <w:p w:rsidR="00790931" w:rsidRPr="000B5D80" w:rsidRDefault="00790931" w:rsidP="00790931">
      <w:pPr>
        <w:pStyle w:val="ListNumber"/>
      </w:pPr>
      <w:bookmarkStart w:id="6" w:name="_Ref444670840"/>
      <w:r w:rsidRPr="000B5D80">
        <w:t xml:space="preserve">The proponent’s assessment of potential impacts to water-dependent assets would be improved by consistent classification of groundwater dependent ecosystems </w:t>
      </w:r>
      <w:r w:rsidR="00597CED" w:rsidRPr="000B5D80">
        <w:t>through the use of</w:t>
      </w:r>
      <w:r w:rsidRPr="000B5D80">
        <w:t xml:space="preserve"> the following:</w:t>
      </w:r>
      <w:bookmarkEnd w:id="6"/>
      <w:r w:rsidRPr="000B5D80">
        <w:t xml:space="preserve">   </w:t>
      </w:r>
    </w:p>
    <w:p w:rsidR="00790931" w:rsidRPr="000B5D80" w:rsidRDefault="00577C37" w:rsidP="00790931">
      <w:pPr>
        <w:pStyle w:val="ListNumber2"/>
      </w:pPr>
      <w:r w:rsidRPr="000B5D80">
        <w:t>identification of</w:t>
      </w:r>
      <w:r w:rsidR="00790931" w:rsidRPr="000B5D80">
        <w:t xml:space="preserve"> areas of shallow groundwater (less than 20 metres below ground level) and g</w:t>
      </w:r>
      <w:r w:rsidRPr="000B5D80">
        <w:t>roundwater discharge</w:t>
      </w:r>
      <w:r w:rsidR="008C28D4" w:rsidRPr="000B5D80">
        <w:t xml:space="preserve"> overlaid with vegetation mapping to identify areas of potential groundwater dependency</w:t>
      </w:r>
    </w:p>
    <w:p w:rsidR="00790931" w:rsidRPr="000B5D80" w:rsidRDefault="00577C37" w:rsidP="00790931">
      <w:pPr>
        <w:pStyle w:val="ListNumber2"/>
      </w:pPr>
      <w:r w:rsidRPr="000B5D80">
        <w:t>t</w:t>
      </w:r>
      <w:r w:rsidR="00790931" w:rsidRPr="000B5D80">
        <w:t>echniques from the Australian GDE To</w:t>
      </w:r>
      <w:r w:rsidRPr="000B5D80">
        <w:t xml:space="preserve">olbox (Richardson et al., 2011), </w:t>
      </w:r>
      <w:r w:rsidR="00790931" w:rsidRPr="000B5D80">
        <w:t>applied to confirm</w:t>
      </w:r>
      <w:r w:rsidRPr="000B5D80">
        <w:t xml:space="preserve"> </w:t>
      </w:r>
      <w:r w:rsidR="00790931" w:rsidRPr="000B5D80">
        <w:t>groundwater use by vegetation and groundwater discharge t</w:t>
      </w:r>
      <w:r w:rsidRPr="000B5D80">
        <w:t>o surface water bodies</w:t>
      </w:r>
      <w:r w:rsidR="00790931" w:rsidRPr="000B5D80">
        <w:t xml:space="preserve"> </w:t>
      </w:r>
    </w:p>
    <w:p w:rsidR="00790931" w:rsidRPr="000B5D80" w:rsidRDefault="00577C37" w:rsidP="00790931">
      <w:pPr>
        <w:pStyle w:val="ListNumber2"/>
      </w:pPr>
      <w:r w:rsidRPr="000B5D80">
        <w:t>a</w:t>
      </w:r>
      <w:r w:rsidR="00790931" w:rsidRPr="000B5D80">
        <w:t xml:space="preserve"> desktop study </w:t>
      </w:r>
      <w:r w:rsidR="00A41C44">
        <w:t xml:space="preserve">(e.g. Eco Logical, 2015) </w:t>
      </w:r>
      <w:r w:rsidR="00790931" w:rsidRPr="000B5D80">
        <w:t xml:space="preserve">to assess the likelihood of stygofauna presence. If stygofauna are likely to be present, a pilot study following </w:t>
      </w:r>
      <w:r w:rsidR="004B2A7E" w:rsidRPr="000B5D80">
        <w:t>WA EPA (2007) guidelines is recommended.</w:t>
      </w:r>
    </w:p>
    <w:p w:rsidR="007203C3" w:rsidRPr="000B5D80" w:rsidRDefault="007203C3" w:rsidP="00D622B9">
      <w:pPr>
        <w:pStyle w:val="Question"/>
      </w:pPr>
      <w:r w:rsidRPr="000B5D80">
        <w:t>Question 2:</w:t>
      </w:r>
      <w:r w:rsidR="00AF7F57" w:rsidRPr="000B5D80">
        <w:rPr>
          <w:rFonts w:eastAsiaTheme="minorHAnsi"/>
          <w:color w:val="000000"/>
        </w:rPr>
        <w:t xml:space="preserve"> </w:t>
      </w:r>
      <w:r w:rsidR="00AF7F57" w:rsidRPr="000B5D80">
        <w:t xml:space="preserve">Has the Applicant provided reasonable strategies to effectively avoid, mitigate or reduce the likelihood, extent and significance of impacts to significant water-related resources? </w:t>
      </w:r>
    </w:p>
    <w:p w:rsidR="006C1CCE" w:rsidRPr="000B5D80" w:rsidRDefault="006C1CCE" w:rsidP="00257C44">
      <w:pPr>
        <w:pStyle w:val="Heading4"/>
        <w:keepNext/>
      </w:pPr>
      <w:r w:rsidRPr="000B5D80">
        <w:t>Response</w:t>
      </w:r>
    </w:p>
    <w:p w:rsidR="006C1CCE" w:rsidRPr="00EB0367" w:rsidRDefault="004B2A7E" w:rsidP="00995A44">
      <w:pPr>
        <w:pStyle w:val="ListNumber"/>
      </w:pPr>
      <w:r w:rsidRPr="000B5D80">
        <w:t>No.</w:t>
      </w:r>
      <w:r w:rsidR="00DC648B" w:rsidRPr="000B5D80">
        <w:t xml:space="preserve"> </w:t>
      </w:r>
      <w:r w:rsidR="00B55921" w:rsidRPr="000B5D80">
        <w:t>T</w:t>
      </w:r>
      <w:r w:rsidR="006C1CCE" w:rsidRPr="000B5D80">
        <w:t>he level of information describing avoidance, mitigation and reduction strategies within the assessment documentation is limited</w:t>
      </w:r>
      <w:r w:rsidR="00DC648B" w:rsidRPr="000B5D80">
        <w:t>. T</w:t>
      </w:r>
      <w:r w:rsidR="006C1CCE" w:rsidRPr="000B5D80">
        <w:t xml:space="preserve">he proponent considers that the existing </w:t>
      </w:r>
      <w:r w:rsidR="00FA4C40" w:rsidRPr="000B5D80">
        <w:t xml:space="preserve">strategies </w:t>
      </w:r>
      <w:r w:rsidR="006C1CCE" w:rsidRPr="000B5D80">
        <w:t xml:space="preserve">associated with the </w:t>
      </w:r>
      <w:r w:rsidR="006C1CCE" w:rsidRPr="00EB0367">
        <w:t xml:space="preserve">approved </w:t>
      </w:r>
      <w:r w:rsidR="00B20E80" w:rsidRPr="00EB0367">
        <w:t>Wilpinjong Coal Mine</w:t>
      </w:r>
      <w:r w:rsidR="006C1CCE" w:rsidRPr="00EB0367">
        <w:t xml:space="preserve"> are adequate.</w:t>
      </w:r>
      <w:r w:rsidR="007C1E5C" w:rsidRPr="00EB0367">
        <w:t xml:space="preserve"> </w:t>
      </w:r>
      <w:r w:rsidR="00426C6D" w:rsidRPr="00EB0367">
        <w:t>However, d</w:t>
      </w:r>
      <w:r w:rsidR="00FA4C40" w:rsidRPr="00EB0367">
        <w:t xml:space="preserve">ata to support the </w:t>
      </w:r>
      <w:r w:rsidR="009350ED" w:rsidRPr="00EB0367">
        <w:t xml:space="preserve">adequacy of </w:t>
      </w:r>
      <w:r w:rsidR="00FA4C40" w:rsidRPr="00EB0367">
        <w:t xml:space="preserve">existing </w:t>
      </w:r>
      <w:r w:rsidR="007C1E5C" w:rsidRPr="00EB0367">
        <w:t xml:space="preserve">strategies were not </w:t>
      </w:r>
      <w:r w:rsidR="00EB0367">
        <w:t>presented</w:t>
      </w:r>
      <w:r w:rsidR="007C1E5C" w:rsidRPr="00EB0367">
        <w:t xml:space="preserve"> </w:t>
      </w:r>
      <w:r w:rsidR="00E63831" w:rsidRPr="00EB0367">
        <w:t xml:space="preserve">so </w:t>
      </w:r>
      <w:r w:rsidR="00100486" w:rsidRPr="00EB0367">
        <w:t xml:space="preserve">the effectiveness of these strategies is </w:t>
      </w:r>
      <w:r w:rsidR="006D4095" w:rsidRPr="00EB0367">
        <w:t>not able to be assessed</w:t>
      </w:r>
      <w:r w:rsidR="00100486" w:rsidRPr="00EB0367">
        <w:t>.</w:t>
      </w:r>
    </w:p>
    <w:p w:rsidR="006C1CCE" w:rsidRPr="000B5D80" w:rsidRDefault="006C1CCE" w:rsidP="00995A44">
      <w:pPr>
        <w:pStyle w:val="ListNumber"/>
      </w:pPr>
      <w:r w:rsidRPr="00EB0367">
        <w:t>The</w:t>
      </w:r>
      <w:r w:rsidRPr="00EB0367">
        <w:rPr>
          <w:lang w:eastAsia="en-AU"/>
        </w:rPr>
        <w:t xml:space="preserve"> existing measures are implemented through management plans which have not been included within the assessment documentation. Without these</w:t>
      </w:r>
      <w:r w:rsidR="005D4BEE" w:rsidRPr="00EB0367">
        <w:rPr>
          <w:lang w:eastAsia="en-AU"/>
        </w:rPr>
        <w:t xml:space="preserve"> plans</w:t>
      </w:r>
      <w:r w:rsidRPr="00EB0367">
        <w:rPr>
          <w:lang w:eastAsia="en-AU"/>
        </w:rPr>
        <w:t>, it is not</w:t>
      </w:r>
      <w:r w:rsidRPr="000B5D80">
        <w:rPr>
          <w:lang w:eastAsia="en-AU"/>
        </w:rPr>
        <w:t xml:space="preserve"> possible to determine how effective the measures would be at mitigating or reducing impacts from the proposed project.</w:t>
      </w:r>
    </w:p>
    <w:p w:rsidR="006C1CCE" w:rsidRPr="000B5D80" w:rsidRDefault="006C1CCE" w:rsidP="005D4BEE">
      <w:pPr>
        <w:pStyle w:val="Heading4"/>
        <w:keepNext/>
      </w:pPr>
      <w:r w:rsidRPr="000B5D80">
        <w:lastRenderedPageBreak/>
        <w:t>Explanation</w:t>
      </w:r>
    </w:p>
    <w:p w:rsidR="00BE51EA" w:rsidRPr="000B5D80" w:rsidRDefault="006C1CCE" w:rsidP="003013B5">
      <w:pPr>
        <w:pStyle w:val="ListNumber"/>
      </w:pPr>
      <w:r w:rsidRPr="000B5D80">
        <w:t xml:space="preserve">As identified </w:t>
      </w:r>
      <w:r w:rsidR="00F50C1F" w:rsidRPr="000B5D80">
        <w:t xml:space="preserve">in </w:t>
      </w:r>
      <w:r w:rsidR="004F4198" w:rsidRPr="000B5D80">
        <w:t>Paragraph 9,</w:t>
      </w:r>
      <w:r w:rsidRPr="000B5D80">
        <w:t xml:space="preserve"> the information presented within the </w:t>
      </w:r>
      <w:r w:rsidR="004E1F38" w:rsidRPr="000B5D80">
        <w:t>a</w:t>
      </w:r>
      <w:r w:rsidRPr="000B5D80">
        <w:t xml:space="preserve">ssessment </w:t>
      </w:r>
      <w:r w:rsidR="004E1F38" w:rsidRPr="000B5D80">
        <w:t xml:space="preserve">documentation </w:t>
      </w:r>
      <w:r w:rsidR="00BF16E7" w:rsidRPr="000B5D80">
        <w:t xml:space="preserve">is not sufficient to demonstrate </w:t>
      </w:r>
      <w:r w:rsidR="007970BA" w:rsidRPr="000B5D80">
        <w:t xml:space="preserve">the </w:t>
      </w:r>
      <w:r w:rsidR="00BF16E7" w:rsidRPr="000B5D80">
        <w:t>effectiveness</w:t>
      </w:r>
      <w:r w:rsidR="007970BA" w:rsidRPr="000B5D80">
        <w:t xml:space="preserve"> of </w:t>
      </w:r>
      <w:r w:rsidRPr="000B5D80">
        <w:t xml:space="preserve">existing strategies to avoid, mitigate and reduce potential impacts to </w:t>
      </w:r>
      <w:r w:rsidR="008037EB" w:rsidRPr="000B5D80">
        <w:t xml:space="preserve">surface </w:t>
      </w:r>
      <w:r w:rsidRPr="000B5D80">
        <w:t>water quality</w:t>
      </w:r>
      <w:r w:rsidR="00774B4A" w:rsidRPr="000B5D80">
        <w:t>. This</w:t>
      </w:r>
      <w:r w:rsidRPr="000B5D80">
        <w:t xml:space="preserve"> would be improved by inclusion of:</w:t>
      </w:r>
    </w:p>
    <w:p w:rsidR="00415862" w:rsidRPr="00621847" w:rsidRDefault="00A311EE" w:rsidP="00415862">
      <w:pPr>
        <w:pStyle w:val="ListNumber2"/>
      </w:pPr>
      <w:r w:rsidRPr="000B5D80">
        <w:t>b</w:t>
      </w:r>
      <w:r w:rsidR="00415862" w:rsidRPr="000B5D80">
        <w:t xml:space="preserve">ackground </w:t>
      </w:r>
      <w:r w:rsidR="00415862" w:rsidRPr="00621847">
        <w:t xml:space="preserve">information and description of sampling methodologies. For example, </w:t>
      </w:r>
      <w:r w:rsidR="00BF16E7" w:rsidRPr="00621847">
        <w:t xml:space="preserve">groundwater metals </w:t>
      </w:r>
      <w:r w:rsidR="00415862" w:rsidRPr="00621847">
        <w:t xml:space="preserve">data should include </w:t>
      </w:r>
      <w:r w:rsidR="00BF16E7" w:rsidRPr="00621847">
        <w:t xml:space="preserve">contextual information such as when </w:t>
      </w:r>
      <w:r w:rsidR="00415862" w:rsidRPr="00621847">
        <w:t xml:space="preserve">the </w:t>
      </w:r>
      <w:r w:rsidR="00BF16E7" w:rsidRPr="00621847">
        <w:t xml:space="preserve">data </w:t>
      </w:r>
      <w:r w:rsidR="000057AC" w:rsidRPr="00621847">
        <w:t>were</w:t>
      </w:r>
      <w:r w:rsidR="00BF16E7" w:rsidRPr="00621847">
        <w:t xml:space="preserve"> collected to enable assessment of</w:t>
      </w:r>
      <w:r w:rsidR="00415862" w:rsidRPr="00621847">
        <w:t xml:space="preserve"> whether this is representative of baseline conditions</w:t>
      </w:r>
      <w:r w:rsidR="00BF16E7" w:rsidRPr="00621847">
        <w:t xml:space="preserve">. Baseline data </w:t>
      </w:r>
      <w:r w:rsidR="000057AC" w:rsidRPr="00621847">
        <w:t>were</w:t>
      </w:r>
      <w:r w:rsidR="00BF16E7" w:rsidRPr="00621847">
        <w:t xml:space="preserve"> not available for assessment</w:t>
      </w:r>
    </w:p>
    <w:p w:rsidR="00415862" w:rsidRPr="000B5D80" w:rsidRDefault="00A311EE" w:rsidP="00415862">
      <w:pPr>
        <w:pStyle w:val="ListNumber2"/>
      </w:pPr>
      <w:r w:rsidRPr="00621847">
        <w:t>b</w:t>
      </w:r>
      <w:r w:rsidR="00415862" w:rsidRPr="00621847">
        <w:t xml:space="preserve">aseline data and data collected during the </w:t>
      </w:r>
      <w:r w:rsidR="00B92D98" w:rsidRPr="00621847">
        <w:t>approved Wilpinjong</w:t>
      </w:r>
      <w:r w:rsidR="00B92D98" w:rsidRPr="000B5D80">
        <w:t xml:space="preserve"> Coal Mine</w:t>
      </w:r>
      <w:r w:rsidR="00415862" w:rsidRPr="000B5D80">
        <w:t xml:space="preserve"> operations. This would enable consideration of the effectiveness of the existing strategies to manage potentially acid forming waste rock, and the</w:t>
      </w:r>
      <w:r w:rsidR="009350ED" w:rsidRPr="000B5D80">
        <w:t xml:space="preserve"> adequacy of the</w:t>
      </w:r>
      <w:r w:rsidRPr="000B5D80">
        <w:t xml:space="preserve"> water management system</w:t>
      </w:r>
      <w:r w:rsidR="00415862" w:rsidRPr="000B5D80">
        <w:t xml:space="preserve"> </w:t>
      </w:r>
    </w:p>
    <w:p w:rsidR="007970BA" w:rsidRPr="000B5D80" w:rsidDel="00614D94" w:rsidRDefault="006C1CCE" w:rsidP="00995A44">
      <w:pPr>
        <w:pStyle w:val="ListNumber2"/>
      </w:pPr>
      <w:r w:rsidRPr="000B5D80" w:rsidDel="00614D94">
        <w:t xml:space="preserve">metals analysis for surface water </w:t>
      </w:r>
      <w:r w:rsidR="00B92D98" w:rsidRPr="000B5D80" w:rsidDel="00614D94">
        <w:t xml:space="preserve">on site </w:t>
      </w:r>
      <w:r w:rsidRPr="000B5D80" w:rsidDel="00614D94">
        <w:t>(creeks, dams and other storages</w:t>
      </w:r>
      <w:r w:rsidR="00B92D98" w:rsidRPr="000B5D80">
        <w:t>) and drainage lines including Wilpinjong Creek</w:t>
      </w:r>
      <w:r w:rsidRPr="000B5D80" w:rsidDel="00614D94">
        <w:t xml:space="preserve">. </w:t>
      </w:r>
    </w:p>
    <w:p w:rsidR="00CD17D6" w:rsidRPr="000B5D80" w:rsidRDefault="00597CED" w:rsidP="00995A44">
      <w:pPr>
        <w:pStyle w:val="ListNumber"/>
      </w:pPr>
      <w:r w:rsidRPr="000B5D80">
        <w:t>Mine</w:t>
      </w:r>
      <w:r w:rsidR="001120AD" w:rsidRPr="000B5D80">
        <w:t xml:space="preserve"> </w:t>
      </w:r>
      <w:r w:rsidRPr="000B5D80">
        <w:t>water discharges from the</w:t>
      </w:r>
      <w:r w:rsidR="001456DE" w:rsidRPr="000B5D80">
        <w:t xml:space="preserve"> </w:t>
      </w:r>
      <w:r w:rsidRPr="000B5D80">
        <w:t>Wilpinjong Coal Mine may contain</w:t>
      </w:r>
      <w:r w:rsidR="006C1CCE" w:rsidRPr="000B5D80">
        <w:t xml:space="preserve"> </w:t>
      </w:r>
      <w:r w:rsidR="00AA5F06" w:rsidRPr="000B5D80">
        <w:t xml:space="preserve">untreated </w:t>
      </w:r>
      <w:r w:rsidR="006C1CCE" w:rsidRPr="000B5D80">
        <w:t xml:space="preserve">mine affected water </w:t>
      </w:r>
      <w:r w:rsidR="004114A1" w:rsidRPr="000B5D80">
        <w:t xml:space="preserve">mixed </w:t>
      </w:r>
      <w:r w:rsidR="006C1CCE" w:rsidRPr="000B5D80">
        <w:t xml:space="preserve">with permeate from the reverse osmosis plant while remaining within water quality </w:t>
      </w:r>
      <w:r w:rsidR="004114A1" w:rsidRPr="000B5D80">
        <w:t xml:space="preserve">discharge </w:t>
      </w:r>
      <w:r w:rsidR="006C1CCE" w:rsidRPr="000B5D80">
        <w:t>criteria</w:t>
      </w:r>
      <w:r w:rsidR="00AA5F06" w:rsidRPr="000B5D80">
        <w:t xml:space="preserve"> (</w:t>
      </w:r>
      <w:r w:rsidR="007B585B" w:rsidRPr="000B5D80">
        <w:t>EIS, App. D, p. 82</w:t>
      </w:r>
      <w:r w:rsidR="00AA5F06" w:rsidRPr="000B5D80">
        <w:t>)</w:t>
      </w:r>
      <w:r w:rsidR="006C1CCE" w:rsidRPr="000B5D80">
        <w:t xml:space="preserve">. </w:t>
      </w:r>
      <w:r w:rsidR="009B367D" w:rsidRPr="000B5D80">
        <w:t>D</w:t>
      </w:r>
      <w:r w:rsidR="006C1CCE" w:rsidRPr="000B5D80">
        <w:t xml:space="preserve">ischarge water quality criteria </w:t>
      </w:r>
      <w:r w:rsidR="009B367D" w:rsidRPr="000B5D80">
        <w:t xml:space="preserve">only include </w:t>
      </w:r>
      <w:r w:rsidR="001456DE" w:rsidRPr="000B5D80">
        <w:t>EC</w:t>
      </w:r>
      <w:r w:rsidR="006C1CCE" w:rsidRPr="000B5D80">
        <w:t>, oil and grease, pH and total suspended solids</w:t>
      </w:r>
      <w:r w:rsidR="009B367D" w:rsidRPr="000B5D80">
        <w:t xml:space="preserve"> (</w:t>
      </w:r>
      <w:r w:rsidR="007B585B" w:rsidRPr="000B5D80">
        <w:t>EIS, App. D, p. 74</w:t>
      </w:r>
      <w:r w:rsidR="009B367D" w:rsidRPr="000B5D80">
        <w:t>) so</w:t>
      </w:r>
      <w:r w:rsidR="006C1CCE" w:rsidRPr="000B5D80">
        <w:t xml:space="preserve"> it is p</w:t>
      </w:r>
      <w:r w:rsidR="009B367D" w:rsidRPr="000B5D80">
        <w:t xml:space="preserve">ossible that other contaminants </w:t>
      </w:r>
      <w:r w:rsidR="006C1CCE" w:rsidRPr="000B5D80">
        <w:t xml:space="preserve">are being released from the site through this pathway without detection. </w:t>
      </w:r>
      <w:r w:rsidR="009B367D" w:rsidRPr="000B5D80">
        <w:t>W</w:t>
      </w:r>
      <w:r w:rsidR="006C1CCE" w:rsidRPr="000B5D80">
        <w:t xml:space="preserve">ater quality data in the assessment documentation </w:t>
      </w:r>
      <w:r w:rsidR="009B367D" w:rsidRPr="000B5D80">
        <w:t>is not sufficient for</w:t>
      </w:r>
      <w:r w:rsidR="006C1CCE" w:rsidRPr="000B5D80">
        <w:t xml:space="preserve"> this </w:t>
      </w:r>
      <w:r w:rsidR="00386123" w:rsidRPr="000B5D80">
        <w:t>risk to be</w:t>
      </w:r>
      <w:r w:rsidR="006C1CCE" w:rsidRPr="000B5D80">
        <w:t xml:space="preserve"> </w:t>
      </w:r>
      <w:r w:rsidR="009B367D" w:rsidRPr="000B5D80">
        <w:t>assessed</w:t>
      </w:r>
      <w:r w:rsidR="006C1CCE" w:rsidRPr="000B5D80">
        <w:t>.</w:t>
      </w:r>
      <w:r w:rsidR="009350ED" w:rsidRPr="000B5D80">
        <w:t xml:space="preserve"> </w:t>
      </w:r>
    </w:p>
    <w:p w:rsidR="00AF7F57" w:rsidRPr="000B5D80" w:rsidRDefault="00AF7F57" w:rsidP="00AF7F57">
      <w:pPr>
        <w:pStyle w:val="Question"/>
        <w:rPr>
          <w:rFonts w:eastAsiaTheme="minorHAnsi"/>
          <w:color w:val="000000"/>
        </w:rPr>
      </w:pPr>
      <w:r w:rsidRPr="000B5D80">
        <w:t>Question 3:</w:t>
      </w:r>
      <w:r w:rsidRPr="000B5D80">
        <w:rPr>
          <w:rFonts w:eastAsiaTheme="minorHAnsi"/>
          <w:color w:val="000000"/>
        </w:rPr>
        <w:t xml:space="preserve"> Would the IESC recommend any other strategies to avoid, mitigate or reduce the likelihood, extent and significance of impacts on water-related resources? And if so, why? </w:t>
      </w:r>
    </w:p>
    <w:p w:rsidR="006C1CCE" w:rsidRPr="000B5D80" w:rsidRDefault="006C1CCE" w:rsidP="006C1CCE">
      <w:pPr>
        <w:pStyle w:val="Heading4"/>
      </w:pPr>
      <w:r w:rsidRPr="000B5D80">
        <w:t>Response</w:t>
      </w:r>
    </w:p>
    <w:p w:rsidR="006C1CCE" w:rsidRPr="000B5D80" w:rsidRDefault="009350ED" w:rsidP="00995A44">
      <w:pPr>
        <w:pStyle w:val="ListNumber"/>
      </w:pPr>
      <w:r w:rsidRPr="000B5D80">
        <w:t xml:space="preserve">Yes. </w:t>
      </w:r>
      <w:r w:rsidR="006C1CCE" w:rsidRPr="000B5D80">
        <w:t xml:space="preserve">To </w:t>
      </w:r>
      <w:r w:rsidR="00B55921" w:rsidRPr="000B5D80">
        <w:t>determine</w:t>
      </w:r>
      <w:r w:rsidR="006C1CCE" w:rsidRPr="000B5D80">
        <w:t xml:space="preserve"> the need for additional strategies to avoid, mitigate or reduce potential impacts on water-related resources the IESC suggests development of a monitoring and management regime</w:t>
      </w:r>
      <w:r w:rsidR="003270B1" w:rsidRPr="000B5D80">
        <w:t xml:space="preserve"> (further details in the response to Question 4)</w:t>
      </w:r>
      <w:r w:rsidR="006C1CCE" w:rsidRPr="000B5D80">
        <w:t xml:space="preserve">. </w:t>
      </w:r>
      <w:r w:rsidR="00B55921" w:rsidRPr="000B5D80">
        <w:t xml:space="preserve">Should </w:t>
      </w:r>
      <w:r w:rsidR="003270B1" w:rsidRPr="000B5D80">
        <w:t>additional</w:t>
      </w:r>
      <w:r w:rsidR="00B55921" w:rsidRPr="000B5D80">
        <w:t xml:space="preserve"> strategies be required, r</w:t>
      </w:r>
      <w:r w:rsidR="006C1CCE" w:rsidRPr="000B5D80">
        <w:t xml:space="preserve">esults </w:t>
      </w:r>
      <w:r w:rsidR="008E74E7" w:rsidRPr="000B5D80">
        <w:t xml:space="preserve">from </w:t>
      </w:r>
      <w:r w:rsidR="006C1CCE" w:rsidRPr="000B5D80">
        <w:t>the monitoring program</w:t>
      </w:r>
      <w:r w:rsidR="00605A3E" w:rsidRPr="000B5D80">
        <w:t>me</w:t>
      </w:r>
      <w:r w:rsidR="006C1CCE" w:rsidRPr="000B5D80">
        <w:t xml:space="preserve"> </w:t>
      </w:r>
      <w:r w:rsidR="00460DE1" w:rsidRPr="000B5D80">
        <w:t xml:space="preserve">should be used to </w:t>
      </w:r>
      <w:r w:rsidR="006C1CCE" w:rsidRPr="000B5D80">
        <w:t xml:space="preserve">inform </w:t>
      </w:r>
      <w:r w:rsidR="005E7A94" w:rsidRPr="000B5D80">
        <w:t xml:space="preserve">adaptive management measures </w:t>
      </w:r>
      <w:r w:rsidR="00460DE1" w:rsidRPr="000B5D80">
        <w:t xml:space="preserve">entailing </w:t>
      </w:r>
      <w:r w:rsidR="006C1CCE" w:rsidRPr="000B5D80">
        <w:t>ongoing waste</w:t>
      </w:r>
      <w:r w:rsidR="00AF45F8" w:rsidRPr="000B5D80">
        <w:t xml:space="preserve"> management,</w:t>
      </w:r>
      <w:r w:rsidR="006C1CCE" w:rsidRPr="000B5D80">
        <w:t xml:space="preserve"> water management</w:t>
      </w:r>
      <w:r w:rsidR="00460DE1" w:rsidRPr="000B5D80">
        <w:t>, and</w:t>
      </w:r>
      <w:r w:rsidR="006C1CCE" w:rsidRPr="000B5D80">
        <w:t xml:space="preserve"> </w:t>
      </w:r>
      <w:r w:rsidR="00AF45F8" w:rsidRPr="000B5D80">
        <w:t>mine closure strategies</w:t>
      </w:r>
      <w:r w:rsidR="006E0668" w:rsidRPr="000B5D80">
        <w:t>.</w:t>
      </w:r>
    </w:p>
    <w:p w:rsidR="006C1CCE" w:rsidRPr="000B5D80" w:rsidRDefault="006C1CCE" w:rsidP="007E45D8">
      <w:pPr>
        <w:pStyle w:val="Heading4"/>
        <w:keepNext/>
      </w:pPr>
      <w:r w:rsidRPr="000B5D80">
        <w:t>Explanation</w:t>
      </w:r>
    </w:p>
    <w:p w:rsidR="006C1CCE" w:rsidRPr="000B5D80" w:rsidRDefault="006C1CCE" w:rsidP="006C1CCE">
      <w:pPr>
        <w:rPr>
          <w:i/>
        </w:rPr>
      </w:pPr>
      <w:r w:rsidRPr="000B5D80">
        <w:rPr>
          <w:i/>
        </w:rPr>
        <w:t>Adaptive management/monitoring regime</w:t>
      </w:r>
    </w:p>
    <w:p w:rsidR="006C1CCE" w:rsidRPr="000B5D80" w:rsidRDefault="006C1CCE" w:rsidP="00995A44">
      <w:pPr>
        <w:pStyle w:val="ListNumber"/>
      </w:pPr>
      <w:r w:rsidRPr="000B5D80">
        <w:t xml:space="preserve">Management trigger values should be </w:t>
      </w:r>
      <w:r w:rsidR="00F80D29" w:rsidRPr="000B5D80">
        <w:t xml:space="preserve">used to inform adaptive management approaches, with Trigger Action Response Plans (TARPs) </w:t>
      </w:r>
      <w:r w:rsidR="001456DE" w:rsidRPr="000B5D80">
        <w:t xml:space="preserve">developed </w:t>
      </w:r>
      <w:r w:rsidRPr="000B5D80">
        <w:t xml:space="preserve">to </w:t>
      </w:r>
      <w:r w:rsidR="003270B1" w:rsidRPr="000B5D80">
        <w:t>apply</w:t>
      </w:r>
      <w:r w:rsidRPr="000B5D80">
        <w:t xml:space="preserve"> </w:t>
      </w:r>
      <w:r w:rsidR="003270B1" w:rsidRPr="000B5D80">
        <w:t xml:space="preserve">appropriate </w:t>
      </w:r>
      <w:r w:rsidRPr="000B5D80">
        <w:t xml:space="preserve">avoidance, mitigation and reduction strategies. </w:t>
      </w:r>
      <w:r w:rsidR="008E74E7" w:rsidRPr="000B5D80">
        <w:t>Adaptive management approaches should be applied (but not limited</w:t>
      </w:r>
      <w:r w:rsidR="00F57EF3">
        <w:t>)</w:t>
      </w:r>
      <w:r w:rsidR="008E74E7" w:rsidRPr="000B5D80">
        <w:t xml:space="preserve"> to</w:t>
      </w:r>
      <w:r w:rsidR="00DB66A1" w:rsidRPr="000B5D80">
        <w:t xml:space="preserve"> the following areas</w:t>
      </w:r>
      <w:r w:rsidR="008E74E7" w:rsidRPr="000B5D80">
        <w:t>:</w:t>
      </w:r>
    </w:p>
    <w:p w:rsidR="00B42E80" w:rsidRPr="00621847" w:rsidRDefault="00495D6B">
      <w:pPr>
        <w:pStyle w:val="ListNumber2"/>
      </w:pPr>
      <w:bookmarkStart w:id="7" w:name="_Ref444250199"/>
      <w:r w:rsidRPr="000B5D80">
        <w:t xml:space="preserve">Waste management: </w:t>
      </w:r>
      <w:r w:rsidR="006C1CCE" w:rsidRPr="000B5D80">
        <w:t xml:space="preserve">Results from regular monitoring of trace metals in surface water (e.g. creeks, dams </w:t>
      </w:r>
      <w:r w:rsidR="006C1CCE" w:rsidRPr="00621847">
        <w:t>and other storages on site) and groundwater (including back-filled areas</w:t>
      </w:r>
      <w:r w:rsidRPr="00621847">
        <w:t xml:space="preserve">, </w:t>
      </w:r>
      <w:r w:rsidRPr="00621847">
        <w:rPr>
          <w:lang w:eastAsia="en-AU"/>
        </w:rPr>
        <w:t>tailings and rejects emplacement areas</w:t>
      </w:r>
      <w:r w:rsidR="006C1CCE" w:rsidRPr="00621847">
        <w:t>) should be used to inform ongoing waste management strategies, such as the placement of potentially acid forming waste material and shape of</w:t>
      </w:r>
      <w:r w:rsidR="008E74E7" w:rsidRPr="00621847">
        <w:t xml:space="preserve"> the</w:t>
      </w:r>
      <w:r w:rsidR="000057AC" w:rsidRPr="00621847">
        <w:t xml:space="preserve"> final landform. The</w:t>
      </w:r>
      <w:r w:rsidR="006C1CCE" w:rsidRPr="00621847">
        <w:t>s</w:t>
      </w:r>
      <w:r w:rsidR="000057AC" w:rsidRPr="00621847">
        <w:t>e</w:t>
      </w:r>
      <w:r w:rsidR="006C1CCE" w:rsidRPr="00621847">
        <w:t xml:space="preserve"> data can also </w:t>
      </w:r>
      <w:r w:rsidR="000C4EA2" w:rsidRPr="00621847">
        <w:t>demonstrate</w:t>
      </w:r>
      <w:r w:rsidR="006C1CCE" w:rsidRPr="00621847">
        <w:t xml:space="preserve"> the effectiveness of </w:t>
      </w:r>
      <w:r w:rsidR="00DB66A1" w:rsidRPr="00621847">
        <w:t xml:space="preserve">the </w:t>
      </w:r>
      <w:r w:rsidR="006C1CCE" w:rsidRPr="00621847">
        <w:t>mine</w:t>
      </w:r>
      <w:r w:rsidR="00572BD2" w:rsidRPr="00621847">
        <w:t xml:space="preserve"> </w:t>
      </w:r>
      <w:r w:rsidR="006C1CCE" w:rsidRPr="00621847">
        <w:t xml:space="preserve">water management system </w:t>
      </w:r>
      <w:r w:rsidR="00DB66A1" w:rsidRPr="00621847">
        <w:t>in</w:t>
      </w:r>
      <w:r w:rsidR="006C1CCE" w:rsidRPr="00621847">
        <w:t xml:space="preserve"> prevent</w:t>
      </w:r>
      <w:r w:rsidR="00DB66A1" w:rsidRPr="00621847">
        <w:t>ing</w:t>
      </w:r>
      <w:r w:rsidR="006C1CCE" w:rsidRPr="00621847">
        <w:t xml:space="preserve"> contamination of surrounding creeks (i.e. via surface water runoff, discharges, or groundwater seepage) both during and post </w:t>
      </w:r>
      <w:r w:rsidR="00AF45F8" w:rsidRPr="00621847">
        <w:t>mining</w:t>
      </w:r>
      <w:r w:rsidR="006C1CCE" w:rsidRPr="00621847">
        <w:t>.</w:t>
      </w:r>
      <w:bookmarkEnd w:id="7"/>
      <w:r w:rsidR="006C1CCE" w:rsidRPr="00621847">
        <w:t xml:space="preserve"> </w:t>
      </w:r>
    </w:p>
    <w:p w:rsidR="008E74E7" w:rsidRPr="000B5D80" w:rsidRDefault="008E74E7" w:rsidP="008E74E7">
      <w:pPr>
        <w:pStyle w:val="ListNumber2"/>
      </w:pPr>
      <w:r w:rsidRPr="000B5D80">
        <w:lastRenderedPageBreak/>
        <w:t xml:space="preserve">Water management system: Results from the surface water monitoring programme should </w:t>
      </w:r>
      <w:r w:rsidR="00AF45F8" w:rsidRPr="000B5D80">
        <w:t xml:space="preserve">be used to </w:t>
      </w:r>
      <w:r w:rsidR="000C4EA2" w:rsidRPr="000B5D80">
        <w:t>demonstrate</w:t>
      </w:r>
      <w:r w:rsidRPr="000B5D80">
        <w:t xml:space="preserve"> the effectiveness of </w:t>
      </w:r>
      <w:r w:rsidR="00377567" w:rsidRPr="000B5D80">
        <w:t xml:space="preserve">the </w:t>
      </w:r>
      <w:r w:rsidRPr="000B5D80">
        <w:t>mine</w:t>
      </w:r>
      <w:r w:rsidR="00DC648B" w:rsidRPr="000B5D80">
        <w:t xml:space="preserve"> </w:t>
      </w:r>
      <w:r w:rsidRPr="000B5D80">
        <w:t>water management system in the prevention of contamination of surrounding creeks (i.e. via surface water runoff, discharges, or groundwater seepage) both during and post operations. Management triggers and associated responses for key storages within the water management system (e.g. sediment dams) should be developed. Management responses could include increasing the pumping capacity to divert water to th</w:t>
      </w:r>
      <w:r w:rsidR="00377567" w:rsidRPr="000B5D80">
        <w:t>e mine</w:t>
      </w:r>
      <w:r w:rsidR="00DC648B" w:rsidRPr="000B5D80">
        <w:t xml:space="preserve"> </w:t>
      </w:r>
      <w:r w:rsidR="00377567" w:rsidRPr="000B5D80">
        <w:t xml:space="preserve">water management system </w:t>
      </w:r>
      <w:r w:rsidRPr="000B5D80">
        <w:t>inst</w:t>
      </w:r>
      <w:r w:rsidR="00377567" w:rsidRPr="000B5D80">
        <w:t>ead of being released from the site</w:t>
      </w:r>
      <w:r w:rsidRPr="000B5D80">
        <w:t>, resizing/introducing additional temporary sediment dams,</w:t>
      </w:r>
      <w:r w:rsidR="00AF45F8" w:rsidRPr="000B5D80">
        <w:t xml:space="preserve"> and the</w:t>
      </w:r>
      <w:r w:rsidRPr="000B5D80">
        <w:t xml:space="preserve"> use of flocculating agents or other treatment as necessary. </w:t>
      </w:r>
    </w:p>
    <w:p w:rsidR="009C0486" w:rsidRPr="00621847" w:rsidRDefault="00025634" w:rsidP="00025634">
      <w:pPr>
        <w:pStyle w:val="ListNumber2"/>
      </w:pPr>
      <w:r w:rsidRPr="000B5D80">
        <w:t xml:space="preserve">Contaminant management: </w:t>
      </w:r>
      <w:r w:rsidR="007A03A2" w:rsidRPr="00621847">
        <w:t>implement the tiered approach in the National Water Quality Management Strategy (refer to the decision</w:t>
      </w:r>
      <w:r w:rsidR="007A03A2">
        <w:t xml:space="preserve"> tree at Figure 3.4.2 of ANZECC/</w:t>
      </w:r>
      <w:r w:rsidR="007A03A2" w:rsidRPr="00621847">
        <w:t>ARMCANZ, 2000)</w:t>
      </w:r>
      <w:r w:rsidR="007A03A2">
        <w:t xml:space="preserve"> </w:t>
      </w:r>
      <w:r w:rsidR="00621847">
        <w:t xml:space="preserve">for any </w:t>
      </w:r>
      <w:r w:rsidR="00621847" w:rsidRPr="000B5D80">
        <w:t xml:space="preserve">contaminant </w:t>
      </w:r>
      <w:r w:rsidR="00621847">
        <w:t>in mine related discharges that</w:t>
      </w:r>
      <w:r w:rsidRPr="000B5D80">
        <w:t xml:space="preserve"> exceed</w:t>
      </w:r>
      <w:r w:rsidR="00621847">
        <w:t>s</w:t>
      </w:r>
      <w:r w:rsidRPr="000B5D80">
        <w:t xml:space="preserve"> </w:t>
      </w:r>
      <w:r w:rsidR="00621847">
        <w:t>its</w:t>
      </w:r>
      <w:r w:rsidRPr="000B5D80">
        <w:t xml:space="preserve"> </w:t>
      </w:r>
      <w:r w:rsidR="00621847">
        <w:t xml:space="preserve">water quality </w:t>
      </w:r>
      <w:r w:rsidRPr="000B5D80">
        <w:t>guideline</w:t>
      </w:r>
      <w:r w:rsidR="00621847">
        <w:t xml:space="preserve"> for ecosystem protection</w:t>
      </w:r>
      <w:r w:rsidR="007A03A2">
        <w:t xml:space="preserve"> (ANZECC/</w:t>
      </w:r>
      <w:r w:rsidR="007A03A2" w:rsidRPr="00621847">
        <w:t xml:space="preserve">ARMCANZ, </w:t>
      </w:r>
      <w:r w:rsidR="007A03A2" w:rsidRPr="007A03A2">
        <w:t>2000)</w:t>
      </w:r>
      <w:r w:rsidR="00621847" w:rsidRPr="007A03A2">
        <w:t>.</w:t>
      </w:r>
      <w:r w:rsidR="007A03A2">
        <w:t xml:space="preserve"> </w:t>
      </w:r>
      <w:r w:rsidR="00590667">
        <w:t xml:space="preserve">This could include </w:t>
      </w:r>
      <w:r w:rsidR="007E2DEA">
        <w:t xml:space="preserve">contaminant </w:t>
      </w:r>
      <w:r w:rsidR="00590667">
        <w:t>speciation or ecotoxicity testing.</w:t>
      </w:r>
      <w:r w:rsidR="007A03A2" w:rsidRPr="007A03A2">
        <w:t xml:space="preserve"> </w:t>
      </w:r>
      <w:r w:rsidR="00621847" w:rsidRPr="007A03A2">
        <w:t xml:space="preserve"> </w:t>
      </w:r>
      <w:r w:rsidRPr="007A03A2">
        <w:t xml:space="preserve">  </w:t>
      </w:r>
    </w:p>
    <w:p w:rsidR="00C95FE6" w:rsidRPr="00621847" w:rsidRDefault="00C95FE6" w:rsidP="00203921">
      <w:pPr>
        <w:pStyle w:val="ListNumber2"/>
        <w:rPr>
          <w:i/>
        </w:rPr>
      </w:pPr>
      <w:r w:rsidRPr="00621847">
        <w:t>Mine closure:</w:t>
      </w:r>
      <w:r w:rsidR="00203921" w:rsidRPr="00621847">
        <w:t xml:space="preserve"> </w:t>
      </w:r>
      <w:r w:rsidR="000057AC" w:rsidRPr="00621847">
        <w:rPr>
          <w:lang w:eastAsia="en-AU"/>
        </w:rPr>
        <w:t>As more data become</w:t>
      </w:r>
      <w:r w:rsidR="00203921" w:rsidRPr="00621847">
        <w:rPr>
          <w:lang w:eastAsia="en-AU"/>
        </w:rPr>
        <w:t xml:space="preserve"> available during operations</w:t>
      </w:r>
      <w:r w:rsidR="00AF45F8" w:rsidRPr="00621847">
        <w:rPr>
          <w:lang w:eastAsia="en-AU"/>
        </w:rPr>
        <w:t>,</w:t>
      </w:r>
      <w:r w:rsidR="00203921" w:rsidRPr="00621847">
        <w:rPr>
          <w:lang w:eastAsia="en-AU"/>
        </w:rPr>
        <w:t xml:space="preserve"> surface water and groundwater modelling and predictions for the</w:t>
      </w:r>
      <w:r w:rsidR="00377567" w:rsidRPr="00621847">
        <w:rPr>
          <w:lang w:eastAsia="en-AU"/>
        </w:rPr>
        <w:t xml:space="preserve"> final voids should be reviewed and</w:t>
      </w:r>
      <w:r w:rsidR="00203921" w:rsidRPr="00621847">
        <w:rPr>
          <w:lang w:eastAsia="en-AU"/>
        </w:rPr>
        <w:t xml:space="preserve"> updated. These outputs should inform ongoing refinement of the final landform. </w:t>
      </w:r>
    </w:p>
    <w:p w:rsidR="008E74E7" w:rsidRPr="000B5D80" w:rsidRDefault="008E74E7" w:rsidP="008E74E7">
      <w:pPr>
        <w:pStyle w:val="ListNumber2"/>
      </w:pPr>
      <w:r w:rsidRPr="00621847">
        <w:t xml:space="preserve">Third party impacts: </w:t>
      </w:r>
      <w:r w:rsidR="00377567" w:rsidRPr="00621847">
        <w:t>The State-</w:t>
      </w:r>
      <w:r w:rsidRPr="00621847">
        <w:t>owned Wollar Public School bore is expected</w:t>
      </w:r>
      <w:r w:rsidRPr="000B5D80">
        <w:t xml:space="preserve"> to experience groundwater drawdown by greater than </w:t>
      </w:r>
      <w:r w:rsidR="00A74F80">
        <w:t>2 metres</w:t>
      </w:r>
      <w:r w:rsidRPr="000B5D80">
        <w:t xml:space="preserve">. </w:t>
      </w:r>
      <w:r w:rsidR="00377567" w:rsidRPr="000B5D80">
        <w:t xml:space="preserve">Triggers for remedial action should be developed and the </w:t>
      </w:r>
      <w:r w:rsidRPr="000B5D80">
        <w:t xml:space="preserve">bore </w:t>
      </w:r>
      <w:r w:rsidR="00377567" w:rsidRPr="000B5D80">
        <w:t xml:space="preserve">should be </w:t>
      </w:r>
      <w:r w:rsidRPr="000B5D80">
        <w:t>monitored regularly</w:t>
      </w:r>
      <w:r w:rsidR="00377567" w:rsidRPr="000B5D80">
        <w:t xml:space="preserve"> for trigger exceedance. </w:t>
      </w:r>
      <w:r w:rsidRPr="000B5D80">
        <w:t xml:space="preserve"> </w:t>
      </w:r>
    </w:p>
    <w:p w:rsidR="006C1CCE" w:rsidRPr="000B5D80" w:rsidRDefault="006C1CCE" w:rsidP="00A6323B">
      <w:pPr>
        <w:pStyle w:val="Heading5"/>
      </w:pPr>
      <w:r w:rsidRPr="000B5D80">
        <w:t>Other suggestions</w:t>
      </w:r>
    </w:p>
    <w:p w:rsidR="00AF7F57" w:rsidRPr="000B5D80" w:rsidRDefault="008E74E7" w:rsidP="009E4615">
      <w:pPr>
        <w:pStyle w:val="ListNumber"/>
      </w:pPr>
      <w:r w:rsidRPr="000B5D80">
        <w:t xml:space="preserve">If additional water-related assets are identified as a result of further surveys (as recommended in </w:t>
      </w:r>
      <w:r w:rsidR="006E0668" w:rsidRPr="000B5D80">
        <w:t>Paragraph</w:t>
      </w:r>
      <w:r w:rsidR="00925B89" w:rsidRPr="000B5D80">
        <w:t xml:space="preserve"> </w:t>
      </w:r>
      <w:r w:rsidR="001120AD" w:rsidRPr="000B5D80">
        <w:t>15</w:t>
      </w:r>
      <w:r w:rsidRPr="000B5D80">
        <w:t>), predicted impacts should be reassessed in light of the additional data collected, and appropriate avoidance and</w:t>
      </w:r>
      <w:r w:rsidR="00EF4894" w:rsidRPr="000B5D80">
        <w:t xml:space="preserve"> mitigation strategies proposed</w:t>
      </w:r>
      <w:r w:rsidR="000439D3" w:rsidRPr="000B5D80">
        <w:t>.</w:t>
      </w:r>
    </w:p>
    <w:p w:rsidR="00AF7F57" w:rsidRPr="000B5D80" w:rsidRDefault="00AF7F57" w:rsidP="00AF7F57">
      <w:pPr>
        <w:pStyle w:val="Question"/>
      </w:pPr>
      <w:r w:rsidRPr="000B5D80">
        <w:t xml:space="preserve">Question 4: Would the IESC recommend any additional monitoring or management measures to address any residual impacts on water-related resources? </w:t>
      </w:r>
      <w:r w:rsidRPr="000B5D80">
        <w:rPr>
          <w:rFonts w:eastAsiaTheme="minorHAnsi"/>
          <w:color w:val="000000"/>
        </w:rPr>
        <w:t xml:space="preserve"> </w:t>
      </w:r>
    </w:p>
    <w:p w:rsidR="006C1CCE" w:rsidRPr="000B5D80" w:rsidRDefault="006C1CCE" w:rsidP="006C1CCE">
      <w:pPr>
        <w:pStyle w:val="Heading4"/>
      </w:pPr>
      <w:r w:rsidRPr="000B5D80">
        <w:t>Response</w:t>
      </w:r>
    </w:p>
    <w:p w:rsidR="006C1CCE" w:rsidRPr="007A03A2" w:rsidRDefault="00706FFF" w:rsidP="00995A44">
      <w:pPr>
        <w:pStyle w:val="ListNumber"/>
      </w:pPr>
      <w:r w:rsidRPr="000B5D80">
        <w:t xml:space="preserve">Yes. </w:t>
      </w:r>
      <w:r w:rsidR="00D728D2" w:rsidRPr="007A03A2">
        <w:t>Recommended a</w:t>
      </w:r>
      <w:r w:rsidR="006C1CCE" w:rsidRPr="007A03A2">
        <w:t xml:space="preserve">dditional monitoring and management </w:t>
      </w:r>
      <w:r w:rsidR="000C4EA2" w:rsidRPr="007A03A2">
        <w:t xml:space="preserve">(see response to Question 3, above) </w:t>
      </w:r>
      <w:r w:rsidR="006C1CCE" w:rsidRPr="007A03A2">
        <w:t>measures include:</w:t>
      </w:r>
    </w:p>
    <w:p w:rsidR="00691342" w:rsidRPr="007A03A2" w:rsidRDefault="00691342" w:rsidP="00691342">
      <w:pPr>
        <w:pStyle w:val="ListNumber2"/>
      </w:pPr>
      <w:r w:rsidRPr="007A03A2">
        <w:t xml:space="preserve">determination of appropriate local water quality </w:t>
      </w:r>
      <w:r w:rsidR="000057AC" w:rsidRPr="007A03A2">
        <w:t xml:space="preserve">guidelines and </w:t>
      </w:r>
      <w:r w:rsidRPr="007A03A2">
        <w:t xml:space="preserve">objectives </w:t>
      </w:r>
    </w:p>
    <w:p w:rsidR="00691342" w:rsidRPr="007A03A2" w:rsidRDefault="007E45D8" w:rsidP="00691342">
      <w:pPr>
        <w:pStyle w:val="ListNumber2"/>
      </w:pPr>
      <w:r w:rsidRPr="007A03A2">
        <w:t xml:space="preserve">spatial and temporal </w:t>
      </w:r>
      <w:r w:rsidR="00691342" w:rsidRPr="007A03A2">
        <w:t xml:space="preserve">expansion </w:t>
      </w:r>
      <w:r w:rsidR="0066724E" w:rsidRPr="007A03A2">
        <w:t>of</w:t>
      </w:r>
      <w:r w:rsidR="00691342" w:rsidRPr="007A03A2">
        <w:t xml:space="preserve"> the surface water and groundwater monitor</w:t>
      </w:r>
      <w:r w:rsidR="00AF45F8" w:rsidRPr="007A03A2">
        <w:t>ing networks</w:t>
      </w:r>
      <w:r w:rsidR="00F651B2">
        <w:t>, including event-</w:t>
      </w:r>
      <w:r w:rsidR="00706FFF" w:rsidRPr="007A03A2">
        <w:t>based monitoring of surface water</w:t>
      </w:r>
      <w:r w:rsidR="007220F9" w:rsidRPr="007A03A2">
        <w:t xml:space="preserve"> quality</w:t>
      </w:r>
      <w:r w:rsidR="00706FFF" w:rsidRPr="007A03A2">
        <w:t xml:space="preserve"> </w:t>
      </w:r>
    </w:p>
    <w:p w:rsidR="00691342" w:rsidRPr="007A03A2" w:rsidRDefault="00691342" w:rsidP="00691342">
      <w:pPr>
        <w:pStyle w:val="ListNumber2"/>
      </w:pPr>
      <w:r w:rsidRPr="007A03A2">
        <w:t>ongoing refinement of the proposed final landform based on information collected during operations</w:t>
      </w:r>
    </w:p>
    <w:p w:rsidR="00465FC8" w:rsidRPr="007A03A2" w:rsidRDefault="007A03A2" w:rsidP="00691342">
      <w:pPr>
        <w:pStyle w:val="ListNumber2"/>
      </w:pPr>
      <w:r w:rsidRPr="007A03A2">
        <w:t xml:space="preserve">continued </w:t>
      </w:r>
      <w:r w:rsidR="00465FC8" w:rsidRPr="007A03A2">
        <w:t xml:space="preserve">aquatic ecology surveys. </w:t>
      </w:r>
    </w:p>
    <w:p w:rsidR="006C1CCE" w:rsidRPr="007A03A2" w:rsidRDefault="006C1CCE" w:rsidP="001120AD">
      <w:pPr>
        <w:pStyle w:val="Heading4"/>
        <w:keepNext/>
      </w:pPr>
      <w:r w:rsidRPr="007A03A2">
        <w:t>Explanation</w:t>
      </w:r>
    </w:p>
    <w:p w:rsidR="006C1CCE" w:rsidRPr="007A03A2" w:rsidRDefault="006C1CCE" w:rsidP="001120AD">
      <w:pPr>
        <w:keepNext/>
      </w:pPr>
      <w:r w:rsidRPr="007A03A2">
        <w:rPr>
          <w:i/>
        </w:rPr>
        <w:t xml:space="preserve">Water quality </w:t>
      </w:r>
      <w:r w:rsidR="000057AC" w:rsidRPr="007A03A2">
        <w:rPr>
          <w:i/>
        </w:rPr>
        <w:t xml:space="preserve">guidelines and </w:t>
      </w:r>
      <w:r w:rsidRPr="007A03A2">
        <w:rPr>
          <w:i/>
        </w:rPr>
        <w:t>objectives</w:t>
      </w:r>
    </w:p>
    <w:p w:rsidR="004B5517" w:rsidRPr="000B5D80" w:rsidRDefault="004B5517" w:rsidP="00995A44">
      <w:pPr>
        <w:pStyle w:val="ListNumber"/>
        <w:rPr>
          <w:rFonts w:eastAsia="Calibri"/>
        </w:rPr>
      </w:pPr>
      <w:r w:rsidRPr="007A03A2">
        <w:t>The IESC considers</w:t>
      </w:r>
      <w:r w:rsidRPr="007A03A2">
        <w:rPr>
          <w:rFonts w:eastAsia="Calibri"/>
        </w:rPr>
        <w:t xml:space="preserve"> surface water and groundwater monitoring presented as part of the Water Management Plan </w:t>
      </w:r>
      <w:r w:rsidR="001456DE" w:rsidRPr="007A03A2">
        <w:rPr>
          <w:rFonts w:eastAsia="Calibri"/>
        </w:rPr>
        <w:t>(Peabody, 2006a)</w:t>
      </w:r>
      <w:r w:rsidR="00AF45F8" w:rsidRPr="007A03A2">
        <w:rPr>
          <w:rFonts w:eastAsia="Calibri"/>
        </w:rPr>
        <w:t xml:space="preserve"> </w:t>
      </w:r>
      <w:r w:rsidRPr="007A03A2">
        <w:rPr>
          <w:rFonts w:eastAsia="Calibri"/>
        </w:rPr>
        <w:t>should be consistent with the National Water Quality Management Strategy (ANZECC</w:t>
      </w:r>
      <w:r w:rsidR="001456DE" w:rsidRPr="007A03A2">
        <w:rPr>
          <w:rFonts w:eastAsia="Calibri"/>
        </w:rPr>
        <w:t>/</w:t>
      </w:r>
      <w:r w:rsidRPr="007A03A2">
        <w:rPr>
          <w:rFonts w:eastAsia="Calibri"/>
        </w:rPr>
        <w:t xml:space="preserve">ARMCANZ, 2000), </w:t>
      </w:r>
      <w:r w:rsidR="00D728D2" w:rsidRPr="007A03A2">
        <w:rPr>
          <w:rFonts w:eastAsia="Calibri"/>
        </w:rPr>
        <w:t xml:space="preserve">and </w:t>
      </w:r>
      <w:r w:rsidR="007A03A2">
        <w:rPr>
          <w:rFonts w:eastAsia="Calibri"/>
        </w:rPr>
        <w:t>could</w:t>
      </w:r>
      <w:r w:rsidRPr="007A03A2">
        <w:rPr>
          <w:rFonts w:eastAsia="Calibri"/>
        </w:rPr>
        <w:t xml:space="preserve"> include </w:t>
      </w:r>
      <w:r w:rsidRPr="007A03A2">
        <w:t xml:space="preserve">determination of appropriate local water quality </w:t>
      </w:r>
      <w:r w:rsidR="00B948DE" w:rsidRPr="007A03A2">
        <w:t xml:space="preserve">guidelines </w:t>
      </w:r>
      <w:r w:rsidRPr="007A03A2">
        <w:t xml:space="preserve">and </w:t>
      </w:r>
      <w:r w:rsidR="00B948DE" w:rsidRPr="007A03A2">
        <w:t>objectives</w:t>
      </w:r>
      <w:r w:rsidR="0010435B" w:rsidRPr="000B5D80">
        <w:t xml:space="preserve"> (for physical and chemicals </w:t>
      </w:r>
      <w:r w:rsidR="0010435B" w:rsidRPr="000B5D80">
        <w:lastRenderedPageBreak/>
        <w:t>stressors, and relevant toxicants)</w:t>
      </w:r>
      <w:r w:rsidRPr="000B5D80">
        <w:t xml:space="preserve">. </w:t>
      </w:r>
      <w:r w:rsidR="00D728D2" w:rsidRPr="000B5D80">
        <w:t>T</w:t>
      </w:r>
      <w:r w:rsidR="00691342" w:rsidRPr="000B5D80">
        <w:t xml:space="preserve">he assessment documentation compares surface water quality data </w:t>
      </w:r>
      <w:r w:rsidR="00D728D2" w:rsidRPr="000B5D80">
        <w:t>for</w:t>
      </w:r>
      <w:r w:rsidR="00691342" w:rsidRPr="000B5D80">
        <w:t xml:space="preserve"> </w:t>
      </w:r>
      <w:r w:rsidR="00D728D2" w:rsidRPr="000B5D80">
        <w:t>EC, turbidity and pH to baseline values (</w:t>
      </w:r>
      <w:r w:rsidR="00925B89" w:rsidRPr="000B5D80">
        <w:t>EIS, App. D, section 3.6.2</w:t>
      </w:r>
      <w:r w:rsidR="00D728D2" w:rsidRPr="000B5D80">
        <w:t>), but</w:t>
      </w:r>
      <w:r w:rsidR="00691342" w:rsidRPr="000B5D80">
        <w:t xml:space="preserve"> detail</w:t>
      </w:r>
      <w:r w:rsidR="007A03A2">
        <w:t>s</w:t>
      </w:r>
      <w:r w:rsidR="00691342" w:rsidRPr="000B5D80">
        <w:t xml:space="preserve"> surrounding the baseline data sets for </w:t>
      </w:r>
      <w:r w:rsidR="00D728D2" w:rsidRPr="000B5D80">
        <w:t xml:space="preserve">both </w:t>
      </w:r>
      <w:r w:rsidR="00691342" w:rsidRPr="000B5D80">
        <w:t xml:space="preserve">surface water and groundwater were </w:t>
      </w:r>
      <w:r w:rsidR="00D728D2" w:rsidRPr="000B5D80">
        <w:t>lacking</w:t>
      </w:r>
      <w:r w:rsidR="00C15403" w:rsidRPr="000B5D80">
        <w:t>.</w:t>
      </w:r>
      <w:r w:rsidR="00D728D2" w:rsidRPr="000B5D80">
        <w:t xml:space="preserve"> </w:t>
      </w:r>
      <w:r w:rsidR="00555198" w:rsidRPr="000B5D80">
        <w:t xml:space="preserve">Additional relevant parameters such as metals should also be included. </w:t>
      </w:r>
    </w:p>
    <w:p w:rsidR="00691342" w:rsidRPr="000B5D80" w:rsidRDefault="00691342" w:rsidP="00691342">
      <w:pPr>
        <w:pStyle w:val="ListNumber"/>
        <w:rPr>
          <w:rFonts w:eastAsia="Calibri"/>
        </w:rPr>
      </w:pPr>
      <w:r w:rsidRPr="000B5D80">
        <w:t xml:space="preserve">The Water Management Plan </w:t>
      </w:r>
      <w:r w:rsidR="00414FF3" w:rsidRPr="000B5D80">
        <w:t xml:space="preserve">(Peabody, 2006a) </w:t>
      </w:r>
      <w:r w:rsidRPr="000B5D80">
        <w:t>should be updated to ref</w:t>
      </w:r>
      <w:r w:rsidR="00F57EF3">
        <w:t>lect the proposed project, and potential</w:t>
      </w:r>
      <w:r w:rsidRPr="000B5D80">
        <w:t xml:space="preserve"> local water quality guideline</w:t>
      </w:r>
      <w:r w:rsidR="0098052C" w:rsidRPr="000B5D80">
        <w:t>s and objectives. Further, the p</w:t>
      </w:r>
      <w:r w:rsidRPr="000B5D80">
        <w:t xml:space="preserve">lan should define the adaptive management approach, including management triggers and appropriate management responses in the event that management triggers and/or water quality objectives are exceeded. </w:t>
      </w:r>
      <w:r w:rsidR="00590667">
        <w:t xml:space="preserve">This could include ecotoxicity testing or further aquatic ecology surveys to determine impact. </w:t>
      </w:r>
      <w:r w:rsidRPr="000B5D80">
        <w:t xml:space="preserve">This should build upon the approach described in the </w:t>
      </w:r>
      <w:r w:rsidRPr="000B5D80">
        <w:rPr>
          <w:bCs/>
          <w:i/>
        </w:rPr>
        <w:t>Wilpinjong Coal Project</w:t>
      </w:r>
      <w:r w:rsidRPr="000B5D80">
        <w:rPr>
          <w:b/>
          <w:bCs/>
          <w:i/>
        </w:rPr>
        <w:t xml:space="preserve"> </w:t>
      </w:r>
      <w:r w:rsidRPr="000B5D80">
        <w:rPr>
          <w:i/>
        </w:rPr>
        <w:t>Surface and</w:t>
      </w:r>
      <w:r w:rsidRPr="000B5D80">
        <w:rPr>
          <w:b/>
          <w:bCs/>
          <w:i/>
        </w:rPr>
        <w:t xml:space="preserve"> </w:t>
      </w:r>
      <w:r w:rsidRPr="000B5D80">
        <w:rPr>
          <w:i/>
        </w:rPr>
        <w:t>Ground Water</w:t>
      </w:r>
      <w:r w:rsidRPr="000B5D80">
        <w:rPr>
          <w:b/>
          <w:bCs/>
          <w:i/>
        </w:rPr>
        <w:t xml:space="preserve"> </w:t>
      </w:r>
      <w:r w:rsidRPr="000B5D80">
        <w:rPr>
          <w:i/>
        </w:rPr>
        <w:t>Response Plan</w:t>
      </w:r>
      <w:r w:rsidR="0098052C" w:rsidRPr="000B5D80">
        <w:rPr>
          <w:i/>
        </w:rPr>
        <w:t xml:space="preserve"> </w:t>
      </w:r>
      <w:r w:rsidR="0098052C" w:rsidRPr="000B5D80">
        <w:t>(</w:t>
      </w:r>
      <w:r w:rsidR="001456DE" w:rsidRPr="000B5D80">
        <w:t>Peabody, 2006c</w:t>
      </w:r>
      <w:r w:rsidR="0098052C" w:rsidRPr="000B5D80">
        <w:t>)</w:t>
      </w:r>
      <w:r w:rsidRPr="000B5D80">
        <w:t xml:space="preserve">. </w:t>
      </w:r>
    </w:p>
    <w:p w:rsidR="006C1CCE" w:rsidRPr="000B5D80" w:rsidRDefault="006C1CCE" w:rsidP="00976F28">
      <w:pPr>
        <w:rPr>
          <w:i/>
        </w:rPr>
      </w:pPr>
      <w:r w:rsidRPr="000B5D80">
        <w:rPr>
          <w:i/>
        </w:rPr>
        <w:t>Groundwater and surface water monitoring regime</w:t>
      </w:r>
    </w:p>
    <w:p w:rsidR="006C1CCE" w:rsidRPr="000B5D80" w:rsidRDefault="006C1CCE" w:rsidP="00995A44">
      <w:pPr>
        <w:pStyle w:val="ListNumber"/>
      </w:pPr>
      <w:r w:rsidRPr="000B5D80">
        <w:t xml:space="preserve">The proponent states that the existing groundwater monitoring network is considered adequate </w:t>
      </w:r>
      <w:r w:rsidR="00E75583" w:rsidRPr="000B5D80">
        <w:t>to assess</w:t>
      </w:r>
      <w:r w:rsidRPr="000B5D80">
        <w:t xml:space="preserve"> groundwater levels and quality, and for groundwater model calibration and verification (EIS, p. 4-53). </w:t>
      </w:r>
      <w:r w:rsidR="00C15403" w:rsidRPr="000B5D80">
        <w:t>While m</w:t>
      </w:r>
      <w:r w:rsidRPr="000B5D80">
        <w:t>onitoring sites show reasonable spatial distribution</w:t>
      </w:r>
      <w:r w:rsidR="00541A94" w:rsidRPr="000B5D80">
        <w:t xml:space="preserve"> and</w:t>
      </w:r>
      <w:r w:rsidRPr="000B5D80">
        <w:t xml:space="preserve"> represent the main stratigraphic units, monitoring could be improved by</w:t>
      </w:r>
      <w:r w:rsidR="00E75583" w:rsidRPr="000B5D80">
        <w:t xml:space="preserve"> the following</w:t>
      </w:r>
      <w:r w:rsidRPr="000B5D80">
        <w:t>:</w:t>
      </w:r>
    </w:p>
    <w:p w:rsidR="006C1CCE" w:rsidRPr="000B5D80" w:rsidRDefault="001120AD" w:rsidP="00995A44">
      <w:pPr>
        <w:pStyle w:val="ListNumber2"/>
      </w:pPr>
      <w:r w:rsidRPr="000B5D80">
        <w:t>A</w:t>
      </w:r>
      <w:r w:rsidR="006C1CCE" w:rsidRPr="000B5D80">
        <w:t xml:space="preserve">dditional bores </w:t>
      </w:r>
      <w:r w:rsidRPr="000B5D80">
        <w:t xml:space="preserve">should be installed </w:t>
      </w:r>
      <w:r w:rsidR="006C1CCE" w:rsidRPr="000B5D80">
        <w:t xml:space="preserve">outside the pit expansion areas to the southwest, south, and southeast of the proposed project site because most of the bores </w:t>
      </w:r>
      <w:r w:rsidR="00AF45F8" w:rsidRPr="000B5D80">
        <w:t xml:space="preserve">in these areas </w:t>
      </w:r>
      <w:r w:rsidR="006C1CCE" w:rsidRPr="000B5D80">
        <w:t>are located in the pit expansion areas and will need to b</w:t>
      </w:r>
      <w:r w:rsidR="00572BD2" w:rsidRPr="000B5D80">
        <w:t>e removed once mining commences</w:t>
      </w:r>
      <w:r w:rsidRPr="000B5D80">
        <w:t>.</w:t>
      </w:r>
      <w:r w:rsidR="006C1CCE" w:rsidRPr="000B5D80">
        <w:t xml:space="preserve">  </w:t>
      </w:r>
    </w:p>
    <w:p w:rsidR="00D006A6" w:rsidRPr="000B5D80" w:rsidRDefault="00F8587A" w:rsidP="00D006A6">
      <w:pPr>
        <w:pStyle w:val="ListNumber2"/>
      </w:pPr>
      <w:r w:rsidRPr="000B5D80">
        <w:rPr>
          <w:rFonts w:eastAsia="Calibri"/>
          <w:lang w:eastAsia="en-AU"/>
        </w:rPr>
        <w:t>T</w:t>
      </w:r>
      <w:r w:rsidR="00D006A6" w:rsidRPr="000B5D80">
        <w:rPr>
          <w:rFonts w:eastAsia="Calibri"/>
          <w:lang w:eastAsia="en-AU"/>
        </w:rPr>
        <w:t xml:space="preserve">wo bores </w:t>
      </w:r>
      <w:r w:rsidRPr="000B5D80">
        <w:rPr>
          <w:rFonts w:eastAsia="Calibri"/>
          <w:lang w:eastAsia="en-AU"/>
        </w:rPr>
        <w:t xml:space="preserve">were installed </w:t>
      </w:r>
      <w:r w:rsidR="00D006A6" w:rsidRPr="000B5D80">
        <w:rPr>
          <w:rFonts w:eastAsia="Calibri"/>
          <w:lang w:eastAsia="en-AU"/>
        </w:rPr>
        <w:t>in spoil emplacement areas: GWf1 in Pit 1 and GWf2 in Pit 5. Continued monitoring of these bores is recommended. Such data are useful in providing information on the recharge rates through spoil, spoil permeabilities, and to validate modelling assumptions and predictions. In the future, it would be useful to install and monitor an additional bore in the spoil/final landform north of the proposed Pit 8 final void (assuming that GWc31 will be removed by mining).</w:t>
      </w:r>
    </w:p>
    <w:p w:rsidR="006C1CCE" w:rsidRPr="000B5D80" w:rsidRDefault="00EB6BA3" w:rsidP="00995A44">
      <w:pPr>
        <w:pStyle w:val="ListNumber2"/>
      </w:pPr>
      <w:r w:rsidRPr="000B5D80">
        <w:t>The proponent states that the tailings storage facility for the approved Wilpinjong Coal Mine</w:t>
      </w:r>
      <w:r w:rsidRPr="000B5D80" w:rsidDel="00E172BD">
        <w:t xml:space="preserve"> </w:t>
      </w:r>
      <w:r w:rsidRPr="000B5D80">
        <w:t xml:space="preserve">located in Pit 2 is no longer active (EIS, App. C, p. 88), but indicates that water and tailings for the proposed project will be treated within Pit 2 using a tailings filter press (EIS, App. D, p. 82). </w:t>
      </w:r>
      <w:r w:rsidR="00E75583" w:rsidRPr="000B5D80">
        <w:t>M</w:t>
      </w:r>
      <w:r w:rsidR="006C1CCE" w:rsidRPr="000B5D80">
        <w:t xml:space="preserve">onitoring of PZ20 and PZ21 (located </w:t>
      </w:r>
      <w:r w:rsidR="00745849" w:rsidRPr="000B5D80">
        <w:t>north of Pit 2)</w:t>
      </w:r>
      <w:r w:rsidR="00E75583" w:rsidRPr="000B5D80">
        <w:t xml:space="preserve"> </w:t>
      </w:r>
      <w:r w:rsidR="00990C18" w:rsidRPr="000B5D80">
        <w:t>could</w:t>
      </w:r>
      <w:r w:rsidR="00E75583" w:rsidRPr="000B5D80">
        <w:t xml:space="preserve"> be reinstated</w:t>
      </w:r>
      <w:r w:rsidR="006C1CCE" w:rsidRPr="000B5D80">
        <w:t>, as recommended in the assessment documentation</w:t>
      </w:r>
      <w:r w:rsidR="00745849" w:rsidRPr="000B5D80">
        <w:t xml:space="preserve"> (EIS, p 4-53)</w:t>
      </w:r>
      <w:r w:rsidR="00AF45F8" w:rsidRPr="000B5D80">
        <w:t>,</w:t>
      </w:r>
      <w:r w:rsidR="006C1CCE" w:rsidRPr="000B5D80">
        <w:t xml:space="preserve"> </w:t>
      </w:r>
      <w:r w:rsidR="0018473D" w:rsidRPr="000B5D80">
        <w:t xml:space="preserve">to monitor any potential seepage impacts. </w:t>
      </w:r>
      <w:r w:rsidR="006C1CCE" w:rsidRPr="000B5D80">
        <w:t xml:space="preserve">The reinstatement of </w:t>
      </w:r>
      <w:r w:rsidR="00DB079C" w:rsidRPr="000B5D80">
        <w:t xml:space="preserve">some of the </w:t>
      </w:r>
      <w:r w:rsidR="0018473D" w:rsidRPr="000B5D80">
        <w:t xml:space="preserve">other </w:t>
      </w:r>
      <w:r w:rsidR="006C1CCE" w:rsidRPr="000B5D80">
        <w:t xml:space="preserve">piezometers (PZ01-28) </w:t>
      </w:r>
      <w:r w:rsidR="0018473D" w:rsidRPr="000B5D80">
        <w:t xml:space="preserve">already installed </w:t>
      </w:r>
      <w:r w:rsidR="006C1CCE" w:rsidRPr="000B5D80">
        <w:t>upstream and downstream of the expected tailings treatment area should also be considered.</w:t>
      </w:r>
    </w:p>
    <w:p w:rsidR="00415862" w:rsidRPr="000B5D80" w:rsidRDefault="00415862" w:rsidP="000300A8">
      <w:pPr>
        <w:pStyle w:val="ListNumber2"/>
      </w:pPr>
      <w:r w:rsidRPr="000B5D80">
        <w:t xml:space="preserve">Groundwater monitoring stations </w:t>
      </w:r>
      <w:r w:rsidR="00990C18" w:rsidRPr="000B5D80">
        <w:t>could be</w:t>
      </w:r>
      <w:r w:rsidRPr="000B5D80">
        <w:t xml:space="preserve"> established in the backfilled pits to monitor water quality as the groundwater level </w:t>
      </w:r>
      <w:r w:rsidR="00526141" w:rsidRPr="000B5D80">
        <w:t>reaches equilibrium</w:t>
      </w:r>
      <w:r w:rsidRPr="000B5D80">
        <w:t xml:space="preserve">, provide an early indication of potential water quality impacts to groundwater and associated surface waters, and </w:t>
      </w:r>
      <w:r w:rsidR="00990C18" w:rsidRPr="000B5D80">
        <w:t xml:space="preserve">demonstrate </w:t>
      </w:r>
      <w:r w:rsidRPr="000B5D80">
        <w:t>performance of existing waste management practices.</w:t>
      </w:r>
    </w:p>
    <w:p w:rsidR="006C1CCE" w:rsidRPr="000B5D80" w:rsidRDefault="006C1CCE" w:rsidP="00995A44">
      <w:pPr>
        <w:pStyle w:val="ListNumber2"/>
      </w:pPr>
      <w:r w:rsidRPr="000B5D80">
        <w:t xml:space="preserve">Molybdenum </w:t>
      </w:r>
      <w:r w:rsidR="00990C18" w:rsidRPr="000B5D80">
        <w:t xml:space="preserve">could be added </w:t>
      </w:r>
      <w:r w:rsidRPr="000B5D80">
        <w:t>to the groundwater monitoring programme</w:t>
      </w:r>
      <w:r w:rsidR="003D5838" w:rsidRPr="000B5D80">
        <w:t>, as recommended in the assessment documentation (EIS, p.</w:t>
      </w:r>
      <w:r w:rsidR="00990C18" w:rsidRPr="000B5D80">
        <w:t> </w:t>
      </w:r>
      <w:r w:rsidR="00184712" w:rsidRPr="000B5D80">
        <w:t xml:space="preserve">91), as there is a risk that </w:t>
      </w:r>
      <w:r w:rsidR="00DF19FA" w:rsidRPr="000B5D80">
        <w:t>molybdenum</w:t>
      </w:r>
      <w:r w:rsidR="003D5838" w:rsidRPr="000B5D80">
        <w:t xml:space="preserve"> may </w:t>
      </w:r>
      <w:r w:rsidR="00EB4146" w:rsidRPr="000B5D80">
        <w:t xml:space="preserve">be </w:t>
      </w:r>
      <w:r w:rsidR="003D5838" w:rsidRPr="000B5D80">
        <w:t>mobilised from waste rock under near neutral conditions (EIS, App. C, p. 88).</w:t>
      </w:r>
    </w:p>
    <w:p w:rsidR="006C1CCE" w:rsidRPr="000B5D80" w:rsidRDefault="00184712" w:rsidP="00995A44">
      <w:pPr>
        <w:pStyle w:val="ListNumber"/>
      </w:pPr>
      <w:r w:rsidRPr="000B5D80">
        <w:t>T</w:t>
      </w:r>
      <w:r w:rsidR="006C1CCE" w:rsidRPr="000B5D80">
        <w:t>he existing surface water monitoring programme</w:t>
      </w:r>
      <w:r w:rsidRPr="000B5D80">
        <w:t>,</w:t>
      </w:r>
      <w:r w:rsidR="006C1CCE" w:rsidRPr="000B5D80">
        <w:t xml:space="preserve"> included in the Surface Water Management and Monitoring Plan (SWMMP)</w:t>
      </w:r>
      <w:r w:rsidR="00F8587A" w:rsidRPr="000B5D80">
        <w:t xml:space="preserve"> (Peabody, 2006b)</w:t>
      </w:r>
      <w:r w:rsidRPr="000B5D80">
        <w:t>,</w:t>
      </w:r>
      <w:r w:rsidR="006C1CCE" w:rsidRPr="000B5D80">
        <w:t xml:space="preserve"> </w:t>
      </w:r>
      <w:r w:rsidR="00EB4146" w:rsidRPr="000B5D80">
        <w:t>is proposed to</w:t>
      </w:r>
      <w:r w:rsidR="006C1CCE" w:rsidRPr="000B5D80">
        <w:t xml:space="preserve"> be retained </w:t>
      </w:r>
      <w:r w:rsidR="00415964" w:rsidRPr="000B5D80">
        <w:t xml:space="preserve">and revised </w:t>
      </w:r>
      <w:r w:rsidR="006C1CCE" w:rsidRPr="000B5D80">
        <w:t xml:space="preserve">for the </w:t>
      </w:r>
      <w:r w:rsidR="000300A8" w:rsidRPr="000B5D80">
        <w:t>proposed project</w:t>
      </w:r>
      <w:r w:rsidR="006C1CCE" w:rsidRPr="000B5D80">
        <w:t xml:space="preserve">. </w:t>
      </w:r>
      <w:r w:rsidR="00386123" w:rsidRPr="000B5D80">
        <w:t>This plan is not described explicitly in the assessment documentation</w:t>
      </w:r>
      <w:r w:rsidRPr="000B5D80">
        <w:t xml:space="preserve"> (e.g. parameters</w:t>
      </w:r>
      <w:r w:rsidR="00526141" w:rsidRPr="000B5D80">
        <w:t xml:space="preserve"> and frequency)</w:t>
      </w:r>
      <w:r w:rsidR="00386123" w:rsidRPr="000B5D80">
        <w:t xml:space="preserve">. The SWMMP accessed by the IESC from </w:t>
      </w:r>
      <w:r w:rsidR="00526141" w:rsidRPr="000B5D80">
        <w:lastRenderedPageBreak/>
        <w:t xml:space="preserve">the </w:t>
      </w:r>
      <w:r w:rsidR="00386123" w:rsidRPr="000B5D80">
        <w:t>pro</w:t>
      </w:r>
      <w:r w:rsidR="00526141" w:rsidRPr="000B5D80">
        <w:t>ponent’s website is dated March </w:t>
      </w:r>
      <w:r w:rsidR="00386123" w:rsidRPr="000B5D80">
        <w:t>2006. When updating the SWMMP to incorporate the proposed project, the IESC suggests the following improvements:</w:t>
      </w:r>
    </w:p>
    <w:p w:rsidR="006C1CCE" w:rsidRPr="000B5D80" w:rsidRDefault="00572BD2" w:rsidP="00995A44">
      <w:pPr>
        <w:pStyle w:val="ListNumber2"/>
      </w:pPr>
      <w:r w:rsidRPr="000B5D80">
        <w:t>Metals</w:t>
      </w:r>
      <w:r w:rsidR="00976F28" w:rsidRPr="000B5D80">
        <w:t xml:space="preserve"> </w:t>
      </w:r>
      <w:r w:rsidR="003636D1" w:rsidRPr="000B5D80">
        <w:t>monitoring on a monthly</w:t>
      </w:r>
      <w:r w:rsidR="00186204" w:rsidRPr="000B5D80">
        <w:t xml:space="preserve"> and event-</w:t>
      </w:r>
      <w:r w:rsidR="003C6B44" w:rsidRPr="000B5D80">
        <w:t xml:space="preserve">based </w:t>
      </w:r>
      <w:r w:rsidR="003636D1" w:rsidRPr="000B5D80">
        <w:t>basis</w:t>
      </w:r>
      <w:r w:rsidRPr="000B5D80">
        <w:t xml:space="preserve"> should be included</w:t>
      </w:r>
      <w:r w:rsidR="003636D1" w:rsidRPr="000B5D80">
        <w:t xml:space="preserve"> </w:t>
      </w:r>
      <w:r w:rsidR="00976F28" w:rsidRPr="000B5D80">
        <w:t>for the existing surface water monitoring sites, and storages, tailings disposal storages, and sediment dams</w:t>
      </w:r>
      <w:r w:rsidR="003636D1" w:rsidRPr="000B5D80">
        <w:t xml:space="preserve">. This should cover </w:t>
      </w:r>
      <w:r w:rsidR="00110B02" w:rsidRPr="000B5D80">
        <w:t>arsenic</w:t>
      </w:r>
      <w:r w:rsidR="00B02941">
        <w:t>,</w:t>
      </w:r>
      <w:r w:rsidR="00110B02" w:rsidRPr="000B5D80">
        <w:t xml:space="preserve"> m</w:t>
      </w:r>
      <w:r w:rsidR="001B32C9" w:rsidRPr="000B5D80">
        <w:t>olybdenum and total alkalinity/acidity, as noted in the assessment documentation (EIS, p. 4-68)</w:t>
      </w:r>
      <w:r w:rsidR="00B02941">
        <w:t>, and</w:t>
      </w:r>
      <w:r w:rsidR="001B32C9" w:rsidRPr="000B5D80">
        <w:t xml:space="preserve"> </w:t>
      </w:r>
      <w:r w:rsidR="003636D1" w:rsidRPr="000B5D80">
        <w:t>any metals</w:t>
      </w:r>
      <w:r w:rsidR="00291246" w:rsidRPr="000B5D80">
        <w:t xml:space="preserve"> that pose a risk of mobilisation</w:t>
      </w:r>
      <w:r w:rsidR="00133740">
        <w:t>, as</w:t>
      </w:r>
      <w:r w:rsidR="003636D1" w:rsidRPr="000B5D80">
        <w:t xml:space="preserve"> </w:t>
      </w:r>
      <w:r w:rsidR="00022896" w:rsidRPr="000B5D80">
        <w:t xml:space="preserve">identified in </w:t>
      </w:r>
      <w:r w:rsidR="00133740">
        <w:t xml:space="preserve">existing </w:t>
      </w:r>
      <w:r w:rsidR="003A7C28" w:rsidRPr="000B5D80">
        <w:t xml:space="preserve">solubility studies </w:t>
      </w:r>
      <w:r w:rsidR="00B02941">
        <w:t>(</w:t>
      </w:r>
      <w:r w:rsidR="003A7C28" w:rsidRPr="000B5D80">
        <w:t xml:space="preserve">and </w:t>
      </w:r>
      <w:r w:rsidR="00F65713">
        <w:t xml:space="preserve">any additional studies </w:t>
      </w:r>
      <w:r w:rsidR="003A7C28" w:rsidRPr="000B5D80">
        <w:t xml:space="preserve">as </w:t>
      </w:r>
      <w:r w:rsidR="00B02941">
        <w:t xml:space="preserve">recommended </w:t>
      </w:r>
      <w:r w:rsidR="003A7C28" w:rsidRPr="000B5D80">
        <w:t>in Paragraph 1</w:t>
      </w:r>
      <w:r w:rsidR="00D761E2" w:rsidRPr="000B5D80">
        <w:t>4</w:t>
      </w:r>
      <w:r w:rsidR="003A7C28" w:rsidRPr="000B5D80">
        <w:t>)</w:t>
      </w:r>
      <w:r w:rsidR="00976F28" w:rsidRPr="000B5D80">
        <w:t>.</w:t>
      </w:r>
      <w:r w:rsidR="001B32C9" w:rsidRPr="000B5D80">
        <w:t xml:space="preserve"> </w:t>
      </w:r>
    </w:p>
    <w:p w:rsidR="006C1CCE" w:rsidRPr="000B5D80" w:rsidRDefault="00184712" w:rsidP="00995A44">
      <w:pPr>
        <w:pStyle w:val="ListNumber2"/>
      </w:pPr>
      <w:r w:rsidRPr="000B5D80">
        <w:t>T</w:t>
      </w:r>
      <w:r w:rsidR="006C1CCE" w:rsidRPr="000B5D80">
        <w:t>he most upstream site on Wilpinjong River (WIL-U2) is very close to the Project Boundar</w:t>
      </w:r>
      <w:r w:rsidR="004F0207" w:rsidRPr="000B5D80">
        <w:t>y</w:t>
      </w:r>
      <w:r w:rsidR="006C1CCE" w:rsidRPr="000B5D80">
        <w:t xml:space="preserve">, and the proposed extension extends to this area. </w:t>
      </w:r>
      <w:r w:rsidR="001B32C9" w:rsidRPr="000B5D80">
        <w:t>M</w:t>
      </w:r>
      <w:r w:rsidR="00F8587A" w:rsidRPr="000B5D80">
        <w:t>onitoring station</w:t>
      </w:r>
      <w:r w:rsidR="001B32C9" w:rsidRPr="000B5D80">
        <w:t>s</w:t>
      </w:r>
      <w:r w:rsidR="00F8587A" w:rsidRPr="000B5D80">
        <w:t xml:space="preserve"> </w:t>
      </w:r>
      <w:r w:rsidR="006C1CCE" w:rsidRPr="000B5D80">
        <w:t xml:space="preserve">further upstream would assist in characterising upstream water quality, </w:t>
      </w:r>
      <w:r w:rsidR="001B32C9" w:rsidRPr="000B5D80">
        <w:t xml:space="preserve">the </w:t>
      </w:r>
      <w:r w:rsidR="00976F28" w:rsidRPr="000B5D80">
        <w:t>ongoing influence of the proposed project</w:t>
      </w:r>
      <w:r w:rsidR="003C7D4B" w:rsidRPr="000B5D80">
        <w:t>,</w:t>
      </w:r>
      <w:r w:rsidR="00976F28" w:rsidRPr="000B5D80">
        <w:t xml:space="preserve"> and</w:t>
      </w:r>
      <w:r w:rsidR="003C7D4B" w:rsidRPr="000B5D80">
        <w:t xml:space="preserve"> impacts of</w:t>
      </w:r>
      <w:r w:rsidR="00976F28" w:rsidRPr="000B5D80">
        <w:t xml:space="preserve"> nearby </w:t>
      </w:r>
      <w:r w:rsidR="006C1CCE" w:rsidRPr="000B5D80">
        <w:t>operations.</w:t>
      </w:r>
      <w:r w:rsidR="001B32C9" w:rsidRPr="000B5D80">
        <w:t xml:space="preserve"> Additional downstream monitoring points on Wollar Creek would also assist in identifying impacts to waters within the </w:t>
      </w:r>
      <w:r w:rsidR="00F670BA">
        <w:t xml:space="preserve">downstream </w:t>
      </w:r>
      <w:r w:rsidR="001B32C9" w:rsidRPr="000B5D80">
        <w:t>Goulburn River National Park.</w:t>
      </w:r>
      <w:r w:rsidR="006C1CCE" w:rsidRPr="000B5D80">
        <w:t xml:space="preserve"> Data sharing with </w:t>
      </w:r>
      <w:r w:rsidR="00976F28" w:rsidRPr="000B5D80">
        <w:t>nearby</w:t>
      </w:r>
      <w:r w:rsidR="006C1CCE" w:rsidRPr="000B5D80">
        <w:t xml:space="preserve"> operations may </w:t>
      </w:r>
      <w:r w:rsidR="00E97B2E" w:rsidRPr="000B5D80">
        <w:t xml:space="preserve">help to address </w:t>
      </w:r>
      <w:r w:rsidR="006C1CCE" w:rsidRPr="000B5D80">
        <w:t>this deficiency.</w:t>
      </w:r>
    </w:p>
    <w:p w:rsidR="00691342" w:rsidRPr="000B5D80" w:rsidRDefault="00691342" w:rsidP="00C82D1A">
      <w:pPr>
        <w:pStyle w:val="Heading5"/>
        <w:keepNext/>
        <w:rPr>
          <w:u w:val="single"/>
        </w:rPr>
      </w:pPr>
      <w:r w:rsidRPr="000B5D80">
        <w:t>Final landform</w:t>
      </w:r>
    </w:p>
    <w:p w:rsidR="00691342" w:rsidRPr="000B5D80" w:rsidRDefault="00691342" w:rsidP="00691342">
      <w:pPr>
        <w:pStyle w:val="ListNumber"/>
      </w:pPr>
      <w:r w:rsidRPr="000B5D80">
        <w:t xml:space="preserve">In relation to the proposed final voids and final landform, </w:t>
      </w:r>
      <w:r w:rsidR="001B32C9" w:rsidRPr="000B5D80">
        <w:t>the following</w:t>
      </w:r>
      <w:r w:rsidRPr="000B5D80">
        <w:t xml:space="preserve"> </w:t>
      </w:r>
      <w:r w:rsidR="001B32C9" w:rsidRPr="000B5D80">
        <w:t xml:space="preserve">should </w:t>
      </w:r>
      <w:r w:rsidR="0029407C" w:rsidRPr="000B5D80">
        <w:t>continue to be assessed and revised as data is collected during operations</w:t>
      </w:r>
      <w:r w:rsidRPr="000B5D80">
        <w:t xml:space="preserve">:  </w:t>
      </w:r>
    </w:p>
    <w:p w:rsidR="00203921" w:rsidRPr="000B5D80" w:rsidRDefault="00572BD2" w:rsidP="0029407C">
      <w:pPr>
        <w:pStyle w:val="ListNumber2"/>
        <w:rPr>
          <w:lang w:eastAsia="en-AU"/>
        </w:rPr>
      </w:pPr>
      <w:r w:rsidRPr="000B5D80">
        <w:t>a</w:t>
      </w:r>
      <w:r w:rsidR="00203921" w:rsidRPr="000B5D80">
        <w:t>ssessment of legacy issues and risks to water resources as a result of the final landform, including potential risks to regional hydrogeological units and surface watercourses caused by potential leakage, loss of baseflow, or connectivity</w:t>
      </w:r>
      <w:r w:rsidR="0029407C" w:rsidRPr="000B5D80">
        <w:t xml:space="preserve"> (e.g. flood ingress and overflow)</w:t>
      </w:r>
      <w:r w:rsidR="00203921" w:rsidRPr="000B5D80">
        <w:t xml:space="preserve"> as a result of the final voids</w:t>
      </w:r>
      <w:r w:rsidR="0029407C" w:rsidRPr="000B5D80">
        <w:t xml:space="preserve">. This should include </w:t>
      </w:r>
      <w:r w:rsidR="00184712" w:rsidRPr="000B5D80">
        <w:rPr>
          <w:lang w:eastAsia="en-AU"/>
        </w:rPr>
        <w:t>quantification of t</w:t>
      </w:r>
      <w:r w:rsidR="00203921" w:rsidRPr="000B5D80">
        <w:rPr>
          <w:lang w:eastAsia="en-AU"/>
        </w:rPr>
        <w:t xml:space="preserve">he inflow/outflow </w:t>
      </w:r>
      <w:r w:rsidR="00535C87" w:rsidRPr="000B5D80">
        <w:rPr>
          <w:lang w:eastAsia="en-AU"/>
        </w:rPr>
        <w:t>of</w:t>
      </w:r>
      <w:r w:rsidR="00203921" w:rsidRPr="000B5D80">
        <w:rPr>
          <w:lang w:eastAsia="en-AU"/>
        </w:rPr>
        <w:t xml:space="preserve"> the </w:t>
      </w:r>
      <w:r w:rsidR="00535C87" w:rsidRPr="000B5D80">
        <w:rPr>
          <w:lang w:eastAsia="en-AU"/>
        </w:rPr>
        <w:t xml:space="preserve">backfilled pits and the </w:t>
      </w:r>
      <w:r w:rsidR="00203921" w:rsidRPr="000B5D80">
        <w:rPr>
          <w:lang w:eastAsia="en-AU"/>
        </w:rPr>
        <w:t xml:space="preserve">final void predicted </w:t>
      </w:r>
      <w:r w:rsidR="00535C87" w:rsidRPr="000B5D80">
        <w:rPr>
          <w:lang w:eastAsia="en-AU"/>
        </w:rPr>
        <w:t>to act as a flow-through system</w:t>
      </w:r>
      <w:r w:rsidR="00203921" w:rsidRPr="000B5D80">
        <w:rPr>
          <w:lang w:eastAsia="en-AU"/>
        </w:rPr>
        <w:t xml:space="preserve">, including the volume, travel times and salt loads of seepage and </w:t>
      </w:r>
      <w:r w:rsidR="00EB4146" w:rsidRPr="000B5D80">
        <w:rPr>
          <w:lang w:eastAsia="en-AU"/>
        </w:rPr>
        <w:t xml:space="preserve">risk of </w:t>
      </w:r>
      <w:r w:rsidR="00203921" w:rsidRPr="000B5D80">
        <w:rPr>
          <w:lang w:eastAsia="en-AU"/>
        </w:rPr>
        <w:t>overflow</w:t>
      </w:r>
      <w:r w:rsidR="0029407C" w:rsidRPr="000B5D80">
        <w:rPr>
          <w:lang w:eastAsia="en-AU"/>
        </w:rPr>
        <w:t>.</w:t>
      </w:r>
    </w:p>
    <w:p w:rsidR="00203921" w:rsidRPr="000B5D80" w:rsidRDefault="00572BD2" w:rsidP="00203921">
      <w:pPr>
        <w:pStyle w:val="ListNumber2"/>
        <w:rPr>
          <w:i/>
          <w:lang w:eastAsia="en-AU"/>
        </w:rPr>
      </w:pPr>
      <w:r w:rsidRPr="000B5D80">
        <w:t>d</w:t>
      </w:r>
      <w:r w:rsidR="00203921" w:rsidRPr="000B5D80">
        <w:t xml:space="preserve">esign of a post-mining groundwater </w:t>
      </w:r>
      <w:r w:rsidR="004B2A7E" w:rsidRPr="000B5D80">
        <w:t>and surface water monitoring netw</w:t>
      </w:r>
      <w:r w:rsidR="00203921" w:rsidRPr="000B5D80">
        <w:t xml:space="preserve">ork to provide a </w:t>
      </w:r>
      <w:r w:rsidR="00203921" w:rsidRPr="000B5D80">
        <w:rPr>
          <w:lang w:eastAsia="en-AU"/>
        </w:rPr>
        <w:t xml:space="preserve">indication of groundwater and surface water quality. </w:t>
      </w:r>
    </w:p>
    <w:p w:rsidR="00465FC8" w:rsidRPr="000B5D80" w:rsidRDefault="00465FC8" w:rsidP="00465FC8">
      <w:pPr>
        <w:pStyle w:val="Heading5"/>
        <w:rPr>
          <w:lang w:eastAsia="en-AU"/>
        </w:rPr>
      </w:pPr>
      <w:r w:rsidRPr="000B5D80">
        <w:rPr>
          <w:lang w:eastAsia="en-AU"/>
        </w:rPr>
        <w:t>Aquatic ecology surveys</w:t>
      </w:r>
    </w:p>
    <w:p w:rsidR="00465FC8" w:rsidRPr="000B5D80" w:rsidRDefault="00B17A6F" w:rsidP="00110B02">
      <w:pPr>
        <w:pStyle w:val="ListNumber"/>
      </w:pPr>
      <w:r w:rsidRPr="000B5D80">
        <w:rPr>
          <w:lang w:eastAsia="en-AU"/>
        </w:rPr>
        <w:t>Stream health and aquatic macroinvertebrate surveys were conducted annu</w:t>
      </w:r>
      <w:r w:rsidRPr="000B5D80">
        <w:t xml:space="preserve">ally between 2011 and 2014 </w:t>
      </w:r>
      <w:r w:rsidRPr="000B5D80">
        <w:rPr>
          <w:rFonts w:eastAsia="Calibri"/>
          <w:lang w:eastAsia="en-AU"/>
        </w:rPr>
        <w:t>(EIS, App. F, p.14)</w:t>
      </w:r>
      <w:r w:rsidRPr="000B5D80">
        <w:t>. It is not stated in the assessment documentation whether aquatic ecology monitoring will continue on the site. Monitoring</w:t>
      </w:r>
      <w:r w:rsidR="00465FC8" w:rsidRPr="000B5D80">
        <w:t xml:space="preserve"> should continue on an annual basis to </w:t>
      </w:r>
      <w:r w:rsidR="00ED0CFD">
        <w:t>identify</w:t>
      </w:r>
      <w:r w:rsidR="00465FC8" w:rsidRPr="000B5D80">
        <w:t xml:space="preserve"> </w:t>
      </w:r>
      <w:r w:rsidRPr="000B5D80">
        <w:t>potential</w:t>
      </w:r>
      <w:r w:rsidR="00465FC8" w:rsidRPr="000B5D80">
        <w:t xml:space="preserve"> cumulative impact</w:t>
      </w:r>
      <w:r w:rsidR="00F65713">
        <w:t>s in the Wilpinjong and Wollar C</w:t>
      </w:r>
      <w:r w:rsidR="00465FC8" w:rsidRPr="000B5D80">
        <w:t>reek catchments</w:t>
      </w:r>
      <w:r w:rsidR="0067179E" w:rsidRPr="000B5D80">
        <w:t>, especially focussing on how extended low-flow pe</w:t>
      </w:r>
      <w:r w:rsidR="00F670BA">
        <w:t>riods might affect biota (e.g. a</w:t>
      </w:r>
      <w:r w:rsidR="0067179E" w:rsidRPr="000B5D80">
        <w:t xml:space="preserve">tyid shrimps) and </w:t>
      </w:r>
      <w:r w:rsidR="00F670BA">
        <w:t xml:space="preserve">other ecological </w:t>
      </w:r>
      <w:r w:rsidR="00F651B2">
        <w:t>aspects</w:t>
      </w:r>
      <w:r w:rsidR="00465FC8" w:rsidRPr="000B5D80">
        <w:t xml:space="preserve">.  </w:t>
      </w:r>
    </w:p>
    <w:p w:rsidR="00EB7078" w:rsidRPr="000B5D80" w:rsidRDefault="00A3461C" w:rsidP="00110B02">
      <w:pPr>
        <w:pStyle w:val="ListNumber"/>
      </w:pPr>
      <w:r w:rsidRPr="000B5D80">
        <w:t>The Northern Sydney Basin Bioregion, which includes the Hunter subregion,</w:t>
      </w:r>
      <w:r w:rsidRPr="000B5D80">
        <w:rPr>
          <w:b/>
          <w:color w:val="FF0000"/>
        </w:rPr>
        <w:t xml:space="preserve"> </w:t>
      </w:r>
      <w:r w:rsidRPr="000B5D80">
        <w:t>has been identified as a Bioregional Assessment priority region. Data and relevant information from the proposed project should be made accessible to this Bioregional Assessment and related research projects.</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0B5D80" w:rsidTr="00B1520C">
        <w:trPr>
          <w:trHeight w:val="19"/>
        </w:trPr>
        <w:tc>
          <w:tcPr>
            <w:tcW w:w="1809" w:type="dxa"/>
            <w:tcBorders>
              <w:top w:val="single" w:sz="4" w:space="0" w:color="auto"/>
              <w:bottom w:val="single" w:sz="4" w:space="0" w:color="auto"/>
            </w:tcBorders>
          </w:tcPr>
          <w:p w:rsidR="007203C3" w:rsidRPr="000B5D80" w:rsidRDefault="007203C3" w:rsidP="00D622B9">
            <w:pPr>
              <w:pStyle w:val="Heading6"/>
            </w:pPr>
            <w:r w:rsidRPr="000B5D80">
              <w:t>Date of advice</w:t>
            </w:r>
          </w:p>
        </w:tc>
        <w:tc>
          <w:tcPr>
            <w:tcW w:w="8159" w:type="dxa"/>
            <w:tcBorders>
              <w:top w:val="single" w:sz="4" w:space="0" w:color="auto"/>
              <w:bottom w:val="single" w:sz="4" w:space="0" w:color="auto"/>
            </w:tcBorders>
          </w:tcPr>
          <w:p w:rsidR="007203C3" w:rsidRPr="000B5D80" w:rsidRDefault="00F670BA" w:rsidP="006C186D">
            <w:pPr>
              <w:pStyle w:val="Tabletext"/>
            </w:pPr>
            <w:r w:rsidRPr="006C186D">
              <w:t>1</w:t>
            </w:r>
            <w:r w:rsidR="006C186D" w:rsidRPr="006C186D">
              <w:t>4</w:t>
            </w:r>
            <w:r w:rsidR="007203C3" w:rsidRPr="006C186D">
              <w:t xml:space="preserve"> </w:t>
            </w:r>
            <w:r w:rsidR="00D207F7" w:rsidRPr="006C186D">
              <w:t>March</w:t>
            </w:r>
            <w:r w:rsidR="007203C3" w:rsidRPr="000B5D80">
              <w:t xml:space="preserve"> 201</w:t>
            </w:r>
            <w:r w:rsidR="00D207F7" w:rsidRPr="000B5D80">
              <w:t>6</w:t>
            </w:r>
          </w:p>
        </w:tc>
      </w:tr>
      <w:tr w:rsidR="00C70B3D" w:rsidRPr="000B5D80" w:rsidTr="00B1520C">
        <w:trPr>
          <w:trHeight w:val="161"/>
        </w:trPr>
        <w:tc>
          <w:tcPr>
            <w:tcW w:w="1809" w:type="dxa"/>
            <w:tcBorders>
              <w:top w:val="single" w:sz="4" w:space="0" w:color="auto"/>
              <w:bottom w:val="single" w:sz="4" w:space="0" w:color="auto"/>
            </w:tcBorders>
          </w:tcPr>
          <w:p w:rsidR="00C70B3D" w:rsidRPr="000B5D80" w:rsidRDefault="00C70B3D" w:rsidP="00D622B9">
            <w:pPr>
              <w:pStyle w:val="Heading6"/>
            </w:pPr>
            <w:r w:rsidRPr="000B5D80">
              <w:t xml:space="preserve">Source documentation available to the IESC in the </w:t>
            </w:r>
            <w:r w:rsidRPr="000B5D80">
              <w:lastRenderedPageBreak/>
              <w:t>formulation of this advice</w:t>
            </w:r>
          </w:p>
        </w:tc>
        <w:tc>
          <w:tcPr>
            <w:tcW w:w="8159" w:type="dxa"/>
            <w:tcBorders>
              <w:top w:val="single" w:sz="4" w:space="0" w:color="auto"/>
              <w:bottom w:val="single" w:sz="4" w:space="0" w:color="auto"/>
            </w:tcBorders>
          </w:tcPr>
          <w:p w:rsidR="00704D89" w:rsidRPr="000B5D80" w:rsidRDefault="00704D89" w:rsidP="00025634">
            <w:pPr>
              <w:pStyle w:val="Tabletext"/>
              <w:ind w:left="743" w:hanging="743"/>
              <w:rPr>
                <w:szCs w:val="22"/>
              </w:rPr>
            </w:pPr>
            <w:r w:rsidRPr="000B5D80">
              <w:rPr>
                <w:szCs w:val="22"/>
              </w:rPr>
              <w:lastRenderedPageBreak/>
              <w:t xml:space="preserve">McVicar, T. R., Pinetown, K. L., Hodgkinson, J. H., Barron, O. V., Rachakonda, P. K., Zhang, Y. Q., Dawes, W. R., Macfarlane, C., Holland, K. L., Marvanek, S. P., Wilkes, P. G., Li, L.T. &amp; Van Niel, T. G., 2015. </w:t>
            </w:r>
            <w:r w:rsidRPr="000B5D80">
              <w:rPr>
                <w:i/>
                <w:szCs w:val="22"/>
              </w:rPr>
              <w:t xml:space="preserve">Context statement for the Hunter subregion. </w:t>
            </w:r>
            <w:r w:rsidRPr="000B5D80">
              <w:rPr>
                <w:szCs w:val="22"/>
              </w:rPr>
              <w:t xml:space="preserve">Product 1.1 for the Hunter subregion from the Northern Sydney Basin </w:t>
            </w:r>
            <w:r w:rsidRPr="000B5D80">
              <w:rPr>
                <w:szCs w:val="22"/>
              </w:rPr>
              <w:lastRenderedPageBreak/>
              <w:t>Bioregional Assessment. Department of the Environment, Bureau of Meteorology, CSIRO and Geoscience Australia, Australia.</w:t>
            </w:r>
          </w:p>
          <w:p w:rsidR="00704D89" w:rsidRPr="000B5D80" w:rsidRDefault="00704D89" w:rsidP="00025634">
            <w:pPr>
              <w:pStyle w:val="Tabletext"/>
              <w:ind w:left="743" w:hanging="743"/>
              <w:rPr>
                <w:szCs w:val="22"/>
              </w:rPr>
            </w:pPr>
          </w:p>
          <w:p w:rsidR="00C70B3D" w:rsidRPr="000B5D80" w:rsidRDefault="00C70B3D" w:rsidP="00704D89">
            <w:pPr>
              <w:pStyle w:val="Tabletext"/>
              <w:ind w:left="743" w:hanging="743"/>
              <w:rPr>
                <w:szCs w:val="22"/>
              </w:rPr>
            </w:pPr>
            <w:r w:rsidRPr="000B5D80">
              <w:rPr>
                <w:szCs w:val="22"/>
              </w:rPr>
              <w:t xml:space="preserve">Peabody Energy, 2016. </w:t>
            </w:r>
            <w:r w:rsidRPr="000B5D80">
              <w:rPr>
                <w:i/>
                <w:szCs w:val="22"/>
              </w:rPr>
              <w:t>Wilpinjong Extension Project Environmental Impact Statement.</w:t>
            </w:r>
          </w:p>
        </w:tc>
      </w:tr>
      <w:tr w:rsidR="00C70B3D" w:rsidRPr="00304CA9" w:rsidTr="00B1520C">
        <w:trPr>
          <w:trHeight w:val="19"/>
        </w:trPr>
        <w:tc>
          <w:tcPr>
            <w:tcW w:w="1809" w:type="dxa"/>
            <w:tcBorders>
              <w:top w:val="single" w:sz="4" w:space="0" w:color="auto"/>
              <w:bottom w:val="single" w:sz="4" w:space="0" w:color="auto"/>
            </w:tcBorders>
          </w:tcPr>
          <w:p w:rsidR="00C70B3D" w:rsidRPr="000B5D80" w:rsidRDefault="00C70B3D" w:rsidP="00D622B9">
            <w:pPr>
              <w:pStyle w:val="Heading6"/>
            </w:pPr>
            <w:r w:rsidRPr="000B5D80">
              <w:lastRenderedPageBreak/>
              <w:t>References cited within the IESC’s advice</w:t>
            </w:r>
          </w:p>
        </w:tc>
        <w:tc>
          <w:tcPr>
            <w:tcW w:w="8159" w:type="dxa"/>
            <w:tcBorders>
              <w:top w:val="single" w:sz="4" w:space="0" w:color="auto"/>
              <w:bottom w:val="single" w:sz="4" w:space="0" w:color="auto"/>
            </w:tcBorders>
          </w:tcPr>
          <w:p w:rsidR="00C70B3D" w:rsidRPr="000B5D80" w:rsidRDefault="008553B6" w:rsidP="006248DA">
            <w:pPr>
              <w:ind w:left="720" w:hanging="720"/>
              <w:rPr>
                <w:noProof/>
              </w:rPr>
            </w:pPr>
            <w:r w:rsidRPr="000B5D80">
              <w:fldChar w:fldCharType="begin"/>
            </w:r>
            <w:r w:rsidR="00C70B3D" w:rsidRPr="000B5D80">
              <w:instrText xml:space="preserve"> ADDIN EN.REFLIST </w:instrText>
            </w:r>
            <w:r w:rsidRPr="000B5D80">
              <w:fldChar w:fldCharType="separate"/>
            </w:r>
            <w:r w:rsidR="00C70B3D" w:rsidRPr="000B5D80">
              <w:t>ANZECC/ARMCANZ, 2000. Australian Guidelines for Water Quality Monitoring and Reporting. National Water Quality Management Strategy (NWQMS). Canberra: Australian and New Zealand Environment and Conservation Council and Agriculture and Resource Management Council of Australia and New Zealand.</w:t>
            </w:r>
          </w:p>
          <w:p w:rsidR="00C70B3D" w:rsidRDefault="00C70B3D" w:rsidP="00025634">
            <w:pPr>
              <w:ind w:left="720" w:hanging="720"/>
            </w:pPr>
            <w:r w:rsidRPr="000B5D80">
              <w:t>Barnett, B., Townley, L. R., Post, V., Evans, R. E., Hunt, R. J., Peeters, L., Richardson, S., Werner, A. D., Knapton, A. &amp; Boronkay, A., 2012. Australian groundwater modelling guidelines, Waterlines report, National Water Commission, Canberra.</w:t>
            </w:r>
          </w:p>
          <w:p w:rsidR="00A41C44" w:rsidRPr="000B5D80" w:rsidRDefault="00A41C44" w:rsidP="00025634">
            <w:pPr>
              <w:ind w:left="720" w:hanging="720"/>
            </w:pPr>
            <w:r>
              <w:t xml:space="preserve">Eco Logical, 2015. Bylong Coal project Environmental Impact Statement - Stygofauna Impact Assessment. Prepared for Hansen Bailey. </w:t>
            </w:r>
          </w:p>
          <w:p w:rsidR="00704D89" w:rsidRPr="000B5D80" w:rsidRDefault="00704D89" w:rsidP="00025634">
            <w:pPr>
              <w:ind w:left="720" w:hanging="720"/>
              <w:rPr>
                <w:noProof/>
              </w:rPr>
            </w:pPr>
            <w:bookmarkStart w:id="8" w:name="_ENREF_1"/>
            <w:r w:rsidRPr="000B5D80">
              <w:rPr>
                <w:noProof/>
              </w:rPr>
              <w:t xml:space="preserve">IESC. 2015. Information Guidelines for the Independent Expert Scientific Committee advice on coal seam gas and large coal mining development proposals [Online]. Available: </w:t>
            </w:r>
            <w:hyperlink r:id="rId8" w:history="1">
              <w:r w:rsidRPr="000B5D80">
                <w:rPr>
                  <w:rStyle w:val="Hyperlink"/>
                  <w:noProof/>
                </w:rPr>
                <w:t>http://www.iesc.environment.gov.au/system/files/resources/012fa918-ee79-4131-9c8d-02c9b2de65cf/files/iesc-information-guidelines-oct-2015.pdf</w:t>
              </w:r>
            </w:hyperlink>
            <w:r w:rsidRPr="000B5D80">
              <w:rPr>
                <w:noProof/>
              </w:rPr>
              <w:t>.</w:t>
            </w:r>
            <w:bookmarkEnd w:id="8"/>
          </w:p>
          <w:p w:rsidR="00C70B3D" w:rsidRPr="000B5D80" w:rsidRDefault="00C70B3D" w:rsidP="00025634">
            <w:pPr>
              <w:ind w:left="720" w:hanging="720"/>
            </w:pPr>
            <w:r w:rsidRPr="000B5D80">
              <w:t>Peabody, 2006a. Wilpinjong Coal Project: Site Water Management Plan.</w:t>
            </w:r>
          </w:p>
          <w:p w:rsidR="00C70B3D" w:rsidRPr="000B5D80" w:rsidRDefault="00C70B3D" w:rsidP="00025634">
            <w:pPr>
              <w:ind w:left="720" w:hanging="720"/>
            </w:pPr>
            <w:r w:rsidRPr="000B5D80">
              <w:t>Peabody, 2006b. Wilpinjong Coal Project: Surface Water Management and Monitoring Plan.</w:t>
            </w:r>
          </w:p>
          <w:p w:rsidR="00C70B3D" w:rsidRPr="000B5D80" w:rsidRDefault="00C70B3D" w:rsidP="00025634">
            <w:pPr>
              <w:ind w:left="720" w:hanging="720"/>
            </w:pPr>
            <w:r w:rsidRPr="000B5D80">
              <w:t xml:space="preserve">Peabody, 2006c. Wilpinjong Coal Project: Surface and Groundwater Response Plan. </w:t>
            </w:r>
          </w:p>
          <w:p w:rsidR="00C70B3D" w:rsidRPr="000B5D80" w:rsidRDefault="00C70B3D" w:rsidP="00025634">
            <w:pPr>
              <w:ind w:left="720" w:hanging="720"/>
            </w:pPr>
            <w:r w:rsidRPr="000B5D80">
              <w:t>Richardson, S., Irvine, E., Froend, R., Boon, P., Barber, S. &amp; Bonneville, B., 2011. Australian groundwater dependent ecosystems toolbox part 2: assessment tools, National Water Commission.</w:t>
            </w:r>
            <w:r w:rsidR="008553B6" w:rsidRPr="000B5D80">
              <w:fldChar w:fldCharType="end"/>
            </w:r>
          </w:p>
          <w:p w:rsidR="0099722E" w:rsidRPr="000B5D80" w:rsidRDefault="0099722E" w:rsidP="00025634">
            <w:pPr>
              <w:ind w:left="720" w:hanging="720"/>
            </w:pPr>
            <w:r w:rsidRPr="000B5D80">
              <w:t xml:space="preserve">Western Australia Environmental Protection Authority (WA EPA), 2007. </w:t>
            </w:r>
            <w:r w:rsidRPr="000B5D80">
              <w:rPr>
                <w:i/>
                <w:iCs/>
              </w:rPr>
              <w:t>Guidance for the Assessment of Environmental Factors (in accordance with the Environmental Protection Act 1986)</w:t>
            </w:r>
            <w:r w:rsidRPr="000B5D80">
              <w:t>, Draft Guidance statement No. 54A, Western Australia.</w:t>
            </w:r>
          </w:p>
        </w:tc>
      </w:tr>
    </w:tbl>
    <w:p w:rsidR="007203C3" w:rsidRPr="00062A46" w:rsidRDefault="007203C3" w:rsidP="00F50C1F"/>
    <w:sectPr w:rsidR="007203C3" w:rsidRPr="00062A46" w:rsidSect="003166B4">
      <w:headerReference w:type="even" r:id="rId9"/>
      <w:footerReference w:type="default" r:id="rId10"/>
      <w:footerReference w:type="first" r:id="rId11"/>
      <w:pgSz w:w="11906" w:h="16838"/>
      <w:pgMar w:top="1440" w:right="1440" w:bottom="1440" w:left="1440"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9CE" w:rsidRDefault="008379CE" w:rsidP="00D622B9">
      <w:r>
        <w:separator/>
      </w:r>
    </w:p>
  </w:endnote>
  <w:endnote w:type="continuationSeparator" w:id="0">
    <w:p w:rsidR="008379CE" w:rsidRDefault="008379CE" w:rsidP="00D6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CE" w:rsidRPr="00637239" w:rsidRDefault="008379CE" w:rsidP="00637239">
    <w:pPr>
      <w:pStyle w:val="Footer"/>
    </w:pPr>
  </w:p>
  <w:p w:rsidR="008379CE" w:rsidRPr="00AF7F57" w:rsidRDefault="00A20A86" w:rsidP="00637239">
    <w:pPr>
      <w:pStyle w:val="Footer"/>
      <w:rPr>
        <w:sz w:val="20"/>
      </w:rPr>
    </w:pPr>
    <w:r>
      <w:rPr>
        <w:sz w:val="20"/>
      </w:rPr>
      <w:t xml:space="preserve">Final </w:t>
    </w:r>
    <w:r w:rsidR="008379CE" w:rsidRPr="00AF7F57">
      <w:rPr>
        <w:sz w:val="20"/>
      </w:rPr>
      <w:t>Wilp</w:t>
    </w:r>
    <w:r w:rsidR="008379CE">
      <w:rPr>
        <w:sz w:val="20"/>
      </w:rPr>
      <w:t xml:space="preserve">injong Extension Project </w:t>
    </w:r>
    <w:r w:rsidR="008379CE" w:rsidRPr="00F670BA">
      <w:rPr>
        <w:sz w:val="20"/>
      </w:rPr>
      <w:t>Advice</w:t>
    </w:r>
    <w:r w:rsidR="008379CE" w:rsidRPr="00F670BA">
      <w:rPr>
        <w:sz w:val="20"/>
      </w:rPr>
      <w:ptab w:relativeTo="margin" w:alignment="right" w:leader="none"/>
    </w:r>
    <w:r w:rsidR="006C186D">
      <w:rPr>
        <w:sz w:val="20"/>
      </w:rPr>
      <w:t>14</w:t>
    </w:r>
    <w:r w:rsidR="008379CE" w:rsidRPr="00F670BA">
      <w:rPr>
        <w:sz w:val="20"/>
      </w:rPr>
      <w:t xml:space="preserve"> March</w:t>
    </w:r>
    <w:r w:rsidR="008379CE" w:rsidRPr="00AF7F57">
      <w:rPr>
        <w:sz w:val="20"/>
      </w:rPr>
      <w:t xml:space="preserve"> 2016</w:t>
    </w:r>
  </w:p>
  <w:p w:rsidR="008379CE" w:rsidRPr="00637239" w:rsidRDefault="008553B6" w:rsidP="00637239">
    <w:pPr>
      <w:pStyle w:val="Footer"/>
      <w:jc w:val="center"/>
      <w:rPr>
        <w:sz w:val="20"/>
      </w:rPr>
    </w:pPr>
    <w:r w:rsidRPr="00637239">
      <w:rPr>
        <w:sz w:val="20"/>
      </w:rPr>
      <w:fldChar w:fldCharType="begin"/>
    </w:r>
    <w:r w:rsidR="008379CE" w:rsidRPr="00637239">
      <w:rPr>
        <w:sz w:val="20"/>
      </w:rPr>
      <w:instrText xml:space="preserve"> PAGE   \* MERGEFORMAT </w:instrText>
    </w:r>
    <w:r w:rsidRPr="00637239">
      <w:rPr>
        <w:sz w:val="20"/>
      </w:rPr>
      <w:fldChar w:fldCharType="separate"/>
    </w:r>
    <w:r w:rsidR="00146575">
      <w:rPr>
        <w:noProof/>
        <w:sz w:val="20"/>
      </w:rPr>
      <w:t>2</w:t>
    </w:r>
    <w:r w:rsidRPr="00637239">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CE" w:rsidRPr="00D15280" w:rsidRDefault="008379CE"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rsidR="008379CE" w:rsidRPr="00062A46" w:rsidRDefault="00146575" w:rsidP="00637239">
    <w:pPr>
      <w:pStyle w:val="Footer"/>
    </w:pPr>
    <w:sdt>
      <w:sdtPr>
        <w:id w:val="32750052"/>
        <w:docPartObj>
          <w:docPartGallery w:val="Page Numbers (Bottom of Page)"/>
          <w:docPartUnique/>
        </w:docPartObj>
      </w:sdtPr>
      <w:sdtEndPr/>
      <w:sdtContent>
        <w:r>
          <w:fldChar w:fldCharType="begin"/>
        </w:r>
        <w:r>
          <w:instrText xml:space="preserve"> PAGE   \* MERGEFORMAT </w:instrText>
        </w:r>
        <w:r>
          <w:fldChar w:fldCharType="separate"/>
        </w:r>
        <w:r w:rsidR="008379CE">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9CE" w:rsidRDefault="008379CE" w:rsidP="00D622B9">
      <w:r>
        <w:separator/>
      </w:r>
    </w:p>
  </w:footnote>
  <w:footnote w:type="continuationSeparator" w:id="0">
    <w:p w:rsidR="008379CE" w:rsidRDefault="008379CE" w:rsidP="00D622B9">
      <w:r>
        <w:continuationSeparator/>
      </w:r>
    </w:p>
  </w:footnote>
  <w:footnote w:id="1">
    <w:p w:rsidR="008379CE" w:rsidRPr="002975D1" w:rsidRDefault="008379CE" w:rsidP="00790931">
      <w:pPr>
        <w:pStyle w:val="FootnoteText"/>
        <w:rPr>
          <w:b/>
          <w:bCs/>
          <w:sz w:val="18"/>
          <w:szCs w:val="18"/>
        </w:rPr>
      </w:pPr>
      <w:r w:rsidRPr="00373DF9">
        <w:rPr>
          <w:rStyle w:val="FootnoteReference"/>
          <w:sz w:val="18"/>
          <w:szCs w:val="18"/>
        </w:rPr>
        <w:footnoteRef/>
      </w:r>
      <w:r w:rsidRPr="00373DF9">
        <w:rPr>
          <w:sz w:val="18"/>
          <w:szCs w:val="18"/>
        </w:rPr>
        <w:t xml:space="preserve"> While the stream flow triggers were not discussed in the assessment documentation, the IESC notes these are articulated in the </w:t>
      </w:r>
      <w:r w:rsidRPr="00373DF9">
        <w:rPr>
          <w:bCs/>
          <w:i/>
          <w:sz w:val="18"/>
          <w:szCs w:val="18"/>
        </w:rPr>
        <w:t>Wilpinjong Coal Project</w:t>
      </w:r>
      <w:r w:rsidRPr="00373DF9">
        <w:rPr>
          <w:b/>
          <w:bCs/>
          <w:i/>
          <w:sz w:val="18"/>
          <w:szCs w:val="18"/>
        </w:rPr>
        <w:t xml:space="preserve"> </w:t>
      </w:r>
      <w:r w:rsidRPr="00373DF9">
        <w:rPr>
          <w:i/>
          <w:sz w:val="18"/>
          <w:szCs w:val="18"/>
        </w:rPr>
        <w:t>Surface and</w:t>
      </w:r>
      <w:r w:rsidRPr="00373DF9">
        <w:rPr>
          <w:b/>
          <w:bCs/>
          <w:i/>
          <w:sz w:val="18"/>
          <w:szCs w:val="18"/>
        </w:rPr>
        <w:t xml:space="preserve"> </w:t>
      </w:r>
      <w:r w:rsidRPr="00373DF9">
        <w:rPr>
          <w:i/>
          <w:sz w:val="18"/>
          <w:szCs w:val="18"/>
        </w:rPr>
        <w:t>Ground Water</w:t>
      </w:r>
      <w:r w:rsidRPr="00373DF9">
        <w:rPr>
          <w:b/>
          <w:bCs/>
          <w:i/>
          <w:sz w:val="18"/>
          <w:szCs w:val="18"/>
        </w:rPr>
        <w:t xml:space="preserve"> </w:t>
      </w:r>
      <w:r w:rsidRPr="00373DF9">
        <w:rPr>
          <w:i/>
          <w:sz w:val="18"/>
          <w:szCs w:val="18"/>
        </w:rPr>
        <w:t>Response Plan</w:t>
      </w:r>
      <w:r>
        <w:rPr>
          <w:sz w:val="18"/>
          <w:szCs w:val="18"/>
        </w:rPr>
        <w:t xml:space="preserve"> (Peabody, 2006c)</w:t>
      </w:r>
      <w:r>
        <w:rPr>
          <w:i/>
          <w:sz w:val="18"/>
          <w:szCs w:val="18"/>
        </w:rPr>
        <w:t xml:space="preserve"> </w:t>
      </w:r>
      <w:r w:rsidRPr="00D66E30">
        <w:rPr>
          <w:sz w:val="18"/>
          <w:szCs w:val="18"/>
        </w:rPr>
        <w:t>and would expect these to be discussed as part of the assessment of the proposed project</w:t>
      </w:r>
      <w:r>
        <w:rPr>
          <w: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CE" w:rsidRDefault="008379CE" w:rsidP="00D622B9">
    <w:pPr>
      <w:pStyle w:val="Classification"/>
    </w:pPr>
    <w:r>
      <w:rPr>
        <w:lang w:val="en-US"/>
      </w:rPr>
      <w:t>Error! Unknown document property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6F42D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EA0680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BFC0926"/>
    <w:lvl w:ilvl="0">
      <w:start w:val="1"/>
      <w:numFmt w:val="decimal"/>
      <w:lvlText w:val="%1."/>
      <w:lvlJc w:val="left"/>
      <w:pPr>
        <w:tabs>
          <w:tab w:val="num" w:pos="360"/>
        </w:tabs>
        <w:ind w:left="360" w:hanging="360"/>
      </w:p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456429"/>
    <w:multiLevelType w:val="multilevel"/>
    <w:tmpl w:val="D208FF7C"/>
    <w:lvl w:ilvl="0">
      <w:start w:val="1"/>
      <w:numFmt w:val="decimal"/>
      <w:pStyle w:val="ListNumber"/>
      <w:lvlText w:val="%1."/>
      <w:lvlJc w:val="left"/>
      <w:pPr>
        <w:ind w:left="738" w:hanging="369"/>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pStyle w:val="ListNumber2"/>
      <w:lvlText w:val="%2."/>
      <w:lvlJc w:val="left"/>
      <w:pPr>
        <w:ind w:left="1107" w:hanging="369"/>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pStyle w:val="ListNumber3"/>
      <w:lvlText w:val="%3."/>
      <w:lvlJc w:val="left"/>
      <w:pPr>
        <w:ind w:left="1476" w:hanging="369"/>
      </w:pPr>
      <w:rPr>
        <w:rFonts w:ascii="Arial" w:hAnsi="Arial" w:cs="Arial" w:hint="default"/>
        <w:sz w:val="20"/>
        <w:szCs w:val="20"/>
      </w:rPr>
    </w:lvl>
    <w:lvl w:ilvl="3">
      <w:start w:val="1"/>
      <w:numFmt w:val="none"/>
      <w:pStyle w:val="ListNumber4"/>
      <w:lvlText w:val="%4"/>
      <w:lvlJc w:val="left"/>
      <w:pPr>
        <w:ind w:left="1845" w:hanging="369"/>
      </w:pPr>
      <w:rPr>
        <w:rFonts w:hint="default"/>
      </w:rPr>
    </w:lvl>
    <w:lvl w:ilvl="4">
      <w:start w:val="1"/>
      <w:numFmt w:val="none"/>
      <w:pStyle w:val="ListNumber5"/>
      <w:lvlText w:val=""/>
      <w:lvlJc w:val="left"/>
      <w:pPr>
        <w:ind w:left="2214" w:hanging="369"/>
      </w:pPr>
      <w:rPr>
        <w:rFonts w:hint="default"/>
      </w:rPr>
    </w:lvl>
    <w:lvl w:ilvl="5">
      <w:start w:val="1"/>
      <w:numFmt w:val="none"/>
      <w:lvlText w:val=""/>
      <w:lvlJc w:val="left"/>
      <w:pPr>
        <w:ind w:left="2583" w:hanging="369"/>
      </w:pPr>
      <w:rPr>
        <w:rFonts w:hint="default"/>
      </w:rPr>
    </w:lvl>
    <w:lvl w:ilvl="6">
      <w:start w:val="1"/>
      <w:numFmt w:val="none"/>
      <w:lvlText w:val=""/>
      <w:lvlJc w:val="left"/>
      <w:pPr>
        <w:ind w:left="2952" w:hanging="369"/>
      </w:pPr>
      <w:rPr>
        <w:rFonts w:hint="default"/>
      </w:rPr>
    </w:lvl>
    <w:lvl w:ilvl="7">
      <w:start w:val="1"/>
      <w:numFmt w:val="none"/>
      <w:lvlText w:val=""/>
      <w:lvlJc w:val="left"/>
      <w:pPr>
        <w:ind w:left="3321" w:hanging="369"/>
      </w:pPr>
      <w:rPr>
        <w:rFonts w:hint="default"/>
      </w:rPr>
    </w:lvl>
    <w:lvl w:ilvl="8">
      <w:start w:val="1"/>
      <w:numFmt w:val="none"/>
      <w:lvlText w:val=""/>
      <w:lvlJc w:val="left"/>
      <w:pPr>
        <w:ind w:left="3690" w:hanging="369"/>
      </w:pPr>
      <w:rPr>
        <w:rFonts w:hint="default"/>
      </w:rPr>
    </w:lvl>
  </w:abstractNum>
  <w:abstractNum w:abstractNumId="14"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8"/>
  </w:num>
  <w:num w:numId="4">
    <w:abstractNumId w:val="7"/>
  </w:num>
  <w:num w:numId="5">
    <w:abstractNumId w:val="13"/>
  </w:num>
  <w:num w:numId="6">
    <w:abstractNumId w:val="15"/>
  </w:num>
  <w:num w:numId="7">
    <w:abstractNumId w:val="11"/>
  </w:num>
  <w:num w:numId="8">
    <w:abstractNumId w:val="5"/>
  </w:num>
  <w:num w:numId="9">
    <w:abstractNumId w:val="17"/>
  </w:num>
  <w:num w:numId="10">
    <w:abstractNumId w:val="2"/>
  </w:num>
  <w:num w:numId="11">
    <w:abstractNumId w:val="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num>
  <w:num w:numId="17">
    <w:abstractNumId w:val="12"/>
  </w:num>
  <w:num w:numId="18">
    <w:abstractNumId w:val="4"/>
  </w:num>
  <w:num w:numId="19">
    <w:abstractNumId w:val="14"/>
  </w:num>
  <w:num w:numId="20">
    <w:abstractNumId w:val="6"/>
  </w:num>
  <w:num w:numId="21">
    <w:abstractNumId w:val="10"/>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9"/>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3"/>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num>
  <w:num w:numId="55">
    <w:abstractNumId w:val="9"/>
  </w:num>
  <w:num w:numId="56">
    <w:abstractNumId w:val="13"/>
  </w:num>
  <w:num w:numId="57">
    <w:abstractNumId w:val="13"/>
  </w:num>
  <w:num w:numId="58">
    <w:abstractNumId w:val="13"/>
  </w:num>
  <w:num w:numId="59">
    <w:abstractNumId w:val="13"/>
  </w:num>
  <w:num w:numId="60">
    <w:abstractNumId w:val="13"/>
  </w:num>
  <w:num w:numId="6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5D"/>
    <w:rsid w:val="00001575"/>
    <w:rsid w:val="00004AEE"/>
    <w:rsid w:val="000057AC"/>
    <w:rsid w:val="00005CAA"/>
    <w:rsid w:val="000060DB"/>
    <w:rsid w:val="00010210"/>
    <w:rsid w:val="0001241A"/>
    <w:rsid w:val="00012D66"/>
    <w:rsid w:val="00014544"/>
    <w:rsid w:val="000145E7"/>
    <w:rsid w:val="00015ADA"/>
    <w:rsid w:val="00017C17"/>
    <w:rsid w:val="00020C99"/>
    <w:rsid w:val="0002109B"/>
    <w:rsid w:val="00022896"/>
    <w:rsid w:val="00022E04"/>
    <w:rsid w:val="00025634"/>
    <w:rsid w:val="0002707B"/>
    <w:rsid w:val="000300A8"/>
    <w:rsid w:val="00031B32"/>
    <w:rsid w:val="00033389"/>
    <w:rsid w:val="00035DC0"/>
    <w:rsid w:val="00035E58"/>
    <w:rsid w:val="000421FB"/>
    <w:rsid w:val="000439D3"/>
    <w:rsid w:val="00046BB7"/>
    <w:rsid w:val="0005148E"/>
    <w:rsid w:val="000547F0"/>
    <w:rsid w:val="00062A46"/>
    <w:rsid w:val="00065A02"/>
    <w:rsid w:val="00070067"/>
    <w:rsid w:val="000759E5"/>
    <w:rsid w:val="0007601C"/>
    <w:rsid w:val="000769E4"/>
    <w:rsid w:val="00077A84"/>
    <w:rsid w:val="00082719"/>
    <w:rsid w:val="00084AC6"/>
    <w:rsid w:val="00085816"/>
    <w:rsid w:val="000866AA"/>
    <w:rsid w:val="00090052"/>
    <w:rsid w:val="00090364"/>
    <w:rsid w:val="00091608"/>
    <w:rsid w:val="0009196E"/>
    <w:rsid w:val="00092F92"/>
    <w:rsid w:val="0009333C"/>
    <w:rsid w:val="0009704F"/>
    <w:rsid w:val="000A0F11"/>
    <w:rsid w:val="000A125A"/>
    <w:rsid w:val="000A228F"/>
    <w:rsid w:val="000A57CD"/>
    <w:rsid w:val="000B2FF3"/>
    <w:rsid w:val="000B3758"/>
    <w:rsid w:val="000B3CA7"/>
    <w:rsid w:val="000B5628"/>
    <w:rsid w:val="000B5D80"/>
    <w:rsid w:val="000B5EB7"/>
    <w:rsid w:val="000B7681"/>
    <w:rsid w:val="000B7B42"/>
    <w:rsid w:val="000C02B7"/>
    <w:rsid w:val="000C2814"/>
    <w:rsid w:val="000C451B"/>
    <w:rsid w:val="000C4EA2"/>
    <w:rsid w:val="000C5342"/>
    <w:rsid w:val="000C706A"/>
    <w:rsid w:val="000D2887"/>
    <w:rsid w:val="000D4C13"/>
    <w:rsid w:val="000D59A0"/>
    <w:rsid w:val="000D6D63"/>
    <w:rsid w:val="000D706B"/>
    <w:rsid w:val="000D7810"/>
    <w:rsid w:val="000E0081"/>
    <w:rsid w:val="000E07CF"/>
    <w:rsid w:val="000F0B9B"/>
    <w:rsid w:val="000F297D"/>
    <w:rsid w:val="00100486"/>
    <w:rsid w:val="00100BEF"/>
    <w:rsid w:val="00102E17"/>
    <w:rsid w:val="00102EAF"/>
    <w:rsid w:val="0010435B"/>
    <w:rsid w:val="00110B02"/>
    <w:rsid w:val="00111F0B"/>
    <w:rsid w:val="001120AD"/>
    <w:rsid w:val="0011498E"/>
    <w:rsid w:val="00116F28"/>
    <w:rsid w:val="00117A45"/>
    <w:rsid w:val="001224AE"/>
    <w:rsid w:val="00123035"/>
    <w:rsid w:val="00133350"/>
    <w:rsid w:val="00133740"/>
    <w:rsid w:val="001337D4"/>
    <w:rsid w:val="00133D65"/>
    <w:rsid w:val="001340EA"/>
    <w:rsid w:val="0014138F"/>
    <w:rsid w:val="0014154C"/>
    <w:rsid w:val="00141E02"/>
    <w:rsid w:val="001456DE"/>
    <w:rsid w:val="00146575"/>
    <w:rsid w:val="0014713F"/>
    <w:rsid w:val="00147C12"/>
    <w:rsid w:val="00147EFC"/>
    <w:rsid w:val="00150E1D"/>
    <w:rsid w:val="001527A1"/>
    <w:rsid w:val="00152903"/>
    <w:rsid w:val="001530DC"/>
    <w:rsid w:val="001539AF"/>
    <w:rsid w:val="00154989"/>
    <w:rsid w:val="00155A9F"/>
    <w:rsid w:val="0015684F"/>
    <w:rsid w:val="00160262"/>
    <w:rsid w:val="0016186F"/>
    <w:rsid w:val="00162337"/>
    <w:rsid w:val="0016281C"/>
    <w:rsid w:val="0016433A"/>
    <w:rsid w:val="0016780A"/>
    <w:rsid w:val="001713FA"/>
    <w:rsid w:val="00173EBF"/>
    <w:rsid w:val="001765DA"/>
    <w:rsid w:val="001818F5"/>
    <w:rsid w:val="00181BB8"/>
    <w:rsid w:val="0018355D"/>
    <w:rsid w:val="001842A2"/>
    <w:rsid w:val="00184712"/>
    <w:rsid w:val="0018473D"/>
    <w:rsid w:val="00185039"/>
    <w:rsid w:val="00185407"/>
    <w:rsid w:val="00186204"/>
    <w:rsid w:val="00186465"/>
    <w:rsid w:val="001867D1"/>
    <w:rsid w:val="00187FA8"/>
    <w:rsid w:val="00190779"/>
    <w:rsid w:val="001922D0"/>
    <w:rsid w:val="00192F5E"/>
    <w:rsid w:val="00194763"/>
    <w:rsid w:val="0019650D"/>
    <w:rsid w:val="00197772"/>
    <w:rsid w:val="001A211F"/>
    <w:rsid w:val="001A51C8"/>
    <w:rsid w:val="001B32C9"/>
    <w:rsid w:val="001B472B"/>
    <w:rsid w:val="001B4A6B"/>
    <w:rsid w:val="001B4CA8"/>
    <w:rsid w:val="001C2A92"/>
    <w:rsid w:val="001C4F3D"/>
    <w:rsid w:val="001D0CDC"/>
    <w:rsid w:val="001D1D82"/>
    <w:rsid w:val="001D3EC2"/>
    <w:rsid w:val="001D5E44"/>
    <w:rsid w:val="001E1182"/>
    <w:rsid w:val="001E7065"/>
    <w:rsid w:val="001E7BDA"/>
    <w:rsid w:val="001F0E8B"/>
    <w:rsid w:val="00200944"/>
    <w:rsid w:val="00202387"/>
    <w:rsid w:val="00202C90"/>
    <w:rsid w:val="00203921"/>
    <w:rsid w:val="00213DE8"/>
    <w:rsid w:val="00216118"/>
    <w:rsid w:val="002209AB"/>
    <w:rsid w:val="002251E3"/>
    <w:rsid w:val="002262E6"/>
    <w:rsid w:val="00227A95"/>
    <w:rsid w:val="0023017E"/>
    <w:rsid w:val="002316BD"/>
    <w:rsid w:val="002336F3"/>
    <w:rsid w:val="0023689E"/>
    <w:rsid w:val="00245423"/>
    <w:rsid w:val="00245D8C"/>
    <w:rsid w:val="002473FC"/>
    <w:rsid w:val="00252E3C"/>
    <w:rsid w:val="00255393"/>
    <w:rsid w:val="00256CE9"/>
    <w:rsid w:val="002570EA"/>
    <w:rsid w:val="00257C44"/>
    <w:rsid w:val="00262198"/>
    <w:rsid w:val="00263CFF"/>
    <w:rsid w:val="00264AF9"/>
    <w:rsid w:val="00277082"/>
    <w:rsid w:val="00277426"/>
    <w:rsid w:val="002775B0"/>
    <w:rsid w:val="002776C0"/>
    <w:rsid w:val="00277A51"/>
    <w:rsid w:val="00285F1B"/>
    <w:rsid w:val="00291246"/>
    <w:rsid w:val="00292B81"/>
    <w:rsid w:val="0029322E"/>
    <w:rsid w:val="0029407C"/>
    <w:rsid w:val="00294A0A"/>
    <w:rsid w:val="00296477"/>
    <w:rsid w:val="002974BC"/>
    <w:rsid w:val="002A2852"/>
    <w:rsid w:val="002A5EC3"/>
    <w:rsid w:val="002B18AE"/>
    <w:rsid w:val="002B3A50"/>
    <w:rsid w:val="002B434A"/>
    <w:rsid w:val="002B56FB"/>
    <w:rsid w:val="002B6472"/>
    <w:rsid w:val="002B67D3"/>
    <w:rsid w:val="002C1C93"/>
    <w:rsid w:val="002C3257"/>
    <w:rsid w:val="002C3738"/>
    <w:rsid w:val="002C5066"/>
    <w:rsid w:val="002C72EC"/>
    <w:rsid w:val="002D37C7"/>
    <w:rsid w:val="002D3F05"/>
    <w:rsid w:val="002D4AAC"/>
    <w:rsid w:val="002D6C33"/>
    <w:rsid w:val="002E0393"/>
    <w:rsid w:val="002E17B1"/>
    <w:rsid w:val="002E1AB0"/>
    <w:rsid w:val="002E41BD"/>
    <w:rsid w:val="002F045A"/>
    <w:rsid w:val="002F29B0"/>
    <w:rsid w:val="0030039D"/>
    <w:rsid w:val="00300715"/>
    <w:rsid w:val="00300C16"/>
    <w:rsid w:val="003013B5"/>
    <w:rsid w:val="0030326F"/>
    <w:rsid w:val="00310701"/>
    <w:rsid w:val="00311510"/>
    <w:rsid w:val="003138AC"/>
    <w:rsid w:val="00315980"/>
    <w:rsid w:val="003166B4"/>
    <w:rsid w:val="00316F7F"/>
    <w:rsid w:val="00320162"/>
    <w:rsid w:val="0032087E"/>
    <w:rsid w:val="003218E8"/>
    <w:rsid w:val="0032322B"/>
    <w:rsid w:val="00324D70"/>
    <w:rsid w:val="003270B1"/>
    <w:rsid w:val="00330DCE"/>
    <w:rsid w:val="00331DD1"/>
    <w:rsid w:val="00331E11"/>
    <w:rsid w:val="00333EEE"/>
    <w:rsid w:val="00334761"/>
    <w:rsid w:val="00336D32"/>
    <w:rsid w:val="00337EBC"/>
    <w:rsid w:val="0034033E"/>
    <w:rsid w:val="00341DCD"/>
    <w:rsid w:val="0034504D"/>
    <w:rsid w:val="0034563E"/>
    <w:rsid w:val="003462CE"/>
    <w:rsid w:val="003504CC"/>
    <w:rsid w:val="003518D6"/>
    <w:rsid w:val="00352AE1"/>
    <w:rsid w:val="0035460C"/>
    <w:rsid w:val="003556BD"/>
    <w:rsid w:val="003636D1"/>
    <w:rsid w:val="00364E6D"/>
    <w:rsid w:val="00365147"/>
    <w:rsid w:val="0037016E"/>
    <w:rsid w:val="00370E55"/>
    <w:rsid w:val="00370ECD"/>
    <w:rsid w:val="00372908"/>
    <w:rsid w:val="00372ECF"/>
    <w:rsid w:val="00376457"/>
    <w:rsid w:val="00377567"/>
    <w:rsid w:val="00381917"/>
    <w:rsid w:val="00383020"/>
    <w:rsid w:val="00385B72"/>
    <w:rsid w:val="00385DC7"/>
    <w:rsid w:val="00386123"/>
    <w:rsid w:val="003912DA"/>
    <w:rsid w:val="00392DD3"/>
    <w:rsid w:val="003951EF"/>
    <w:rsid w:val="003975FD"/>
    <w:rsid w:val="003A0593"/>
    <w:rsid w:val="003A7C28"/>
    <w:rsid w:val="003B2E1E"/>
    <w:rsid w:val="003B308C"/>
    <w:rsid w:val="003B3CAA"/>
    <w:rsid w:val="003B60CC"/>
    <w:rsid w:val="003B7939"/>
    <w:rsid w:val="003C1B25"/>
    <w:rsid w:val="003C2443"/>
    <w:rsid w:val="003C31E0"/>
    <w:rsid w:val="003C32A1"/>
    <w:rsid w:val="003C5DA3"/>
    <w:rsid w:val="003C6B44"/>
    <w:rsid w:val="003C7D4B"/>
    <w:rsid w:val="003D4BCD"/>
    <w:rsid w:val="003D5838"/>
    <w:rsid w:val="003E01D8"/>
    <w:rsid w:val="003E2100"/>
    <w:rsid w:val="003E2135"/>
    <w:rsid w:val="003E2BDB"/>
    <w:rsid w:val="003E45FA"/>
    <w:rsid w:val="003E53CA"/>
    <w:rsid w:val="003E5ED5"/>
    <w:rsid w:val="003E7C2B"/>
    <w:rsid w:val="003F0CB7"/>
    <w:rsid w:val="003F6F5B"/>
    <w:rsid w:val="00400F8F"/>
    <w:rsid w:val="00402416"/>
    <w:rsid w:val="0040342D"/>
    <w:rsid w:val="00403FB9"/>
    <w:rsid w:val="0040417E"/>
    <w:rsid w:val="00405E1C"/>
    <w:rsid w:val="004114A1"/>
    <w:rsid w:val="004118D4"/>
    <w:rsid w:val="0041192D"/>
    <w:rsid w:val="0041275D"/>
    <w:rsid w:val="00413EE1"/>
    <w:rsid w:val="00414F6D"/>
    <w:rsid w:val="00414FF3"/>
    <w:rsid w:val="00415862"/>
    <w:rsid w:val="00415961"/>
    <w:rsid w:val="00415964"/>
    <w:rsid w:val="0042128E"/>
    <w:rsid w:val="0042465A"/>
    <w:rsid w:val="0042630A"/>
    <w:rsid w:val="00426C6D"/>
    <w:rsid w:val="00430511"/>
    <w:rsid w:val="00431021"/>
    <w:rsid w:val="00432896"/>
    <w:rsid w:val="00432B60"/>
    <w:rsid w:val="004333E6"/>
    <w:rsid w:val="0043385A"/>
    <w:rsid w:val="00437CB9"/>
    <w:rsid w:val="00440698"/>
    <w:rsid w:val="0044197E"/>
    <w:rsid w:val="004471F2"/>
    <w:rsid w:val="00452B50"/>
    <w:rsid w:val="004540E2"/>
    <w:rsid w:val="00454454"/>
    <w:rsid w:val="00460DE1"/>
    <w:rsid w:val="00465FC8"/>
    <w:rsid w:val="00467924"/>
    <w:rsid w:val="004712A5"/>
    <w:rsid w:val="0047266F"/>
    <w:rsid w:val="004756EB"/>
    <w:rsid w:val="00476D6B"/>
    <w:rsid w:val="004861E6"/>
    <w:rsid w:val="0049013A"/>
    <w:rsid w:val="004908E6"/>
    <w:rsid w:val="004920F6"/>
    <w:rsid w:val="00492C16"/>
    <w:rsid w:val="00493805"/>
    <w:rsid w:val="00495D6B"/>
    <w:rsid w:val="004A0678"/>
    <w:rsid w:val="004A1805"/>
    <w:rsid w:val="004A48A3"/>
    <w:rsid w:val="004A6D50"/>
    <w:rsid w:val="004B0D92"/>
    <w:rsid w:val="004B0EC0"/>
    <w:rsid w:val="004B2A7E"/>
    <w:rsid w:val="004B32B2"/>
    <w:rsid w:val="004B5517"/>
    <w:rsid w:val="004B5A51"/>
    <w:rsid w:val="004B5C79"/>
    <w:rsid w:val="004B66F1"/>
    <w:rsid w:val="004C0BAB"/>
    <w:rsid w:val="004C3B7B"/>
    <w:rsid w:val="004C3EA0"/>
    <w:rsid w:val="004D46F2"/>
    <w:rsid w:val="004D582C"/>
    <w:rsid w:val="004D74CD"/>
    <w:rsid w:val="004E1F38"/>
    <w:rsid w:val="004E2284"/>
    <w:rsid w:val="004F0207"/>
    <w:rsid w:val="004F32CC"/>
    <w:rsid w:val="004F3D69"/>
    <w:rsid w:val="004F3FB7"/>
    <w:rsid w:val="004F4198"/>
    <w:rsid w:val="004F5794"/>
    <w:rsid w:val="004F7169"/>
    <w:rsid w:val="00500D66"/>
    <w:rsid w:val="005036A6"/>
    <w:rsid w:val="00506158"/>
    <w:rsid w:val="005067E4"/>
    <w:rsid w:val="00506A5B"/>
    <w:rsid w:val="00511E3E"/>
    <w:rsid w:val="00513793"/>
    <w:rsid w:val="00514C8E"/>
    <w:rsid w:val="00517F35"/>
    <w:rsid w:val="00521788"/>
    <w:rsid w:val="00523A57"/>
    <w:rsid w:val="00523ED3"/>
    <w:rsid w:val="005245A7"/>
    <w:rsid w:val="00526141"/>
    <w:rsid w:val="005270F2"/>
    <w:rsid w:val="00531DBF"/>
    <w:rsid w:val="005328EF"/>
    <w:rsid w:val="005337FC"/>
    <w:rsid w:val="00535C87"/>
    <w:rsid w:val="00541A94"/>
    <w:rsid w:val="00545759"/>
    <w:rsid w:val="00545BE0"/>
    <w:rsid w:val="00545C7E"/>
    <w:rsid w:val="00545EA4"/>
    <w:rsid w:val="0055008D"/>
    <w:rsid w:val="00554C6A"/>
    <w:rsid w:val="00555198"/>
    <w:rsid w:val="00562E85"/>
    <w:rsid w:val="0056332F"/>
    <w:rsid w:val="005647FA"/>
    <w:rsid w:val="00572BD2"/>
    <w:rsid w:val="00575427"/>
    <w:rsid w:val="00576A21"/>
    <w:rsid w:val="00577C37"/>
    <w:rsid w:val="00580D68"/>
    <w:rsid w:val="00580F74"/>
    <w:rsid w:val="00581C39"/>
    <w:rsid w:val="005834A4"/>
    <w:rsid w:val="00584F6B"/>
    <w:rsid w:val="005903B6"/>
    <w:rsid w:val="00590667"/>
    <w:rsid w:val="00590E44"/>
    <w:rsid w:val="005915E8"/>
    <w:rsid w:val="00592B20"/>
    <w:rsid w:val="005978F3"/>
    <w:rsid w:val="00597CED"/>
    <w:rsid w:val="005A0247"/>
    <w:rsid w:val="005A126E"/>
    <w:rsid w:val="005A452F"/>
    <w:rsid w:val="005A703F"/>
    <w:rsid w:val="005B140D"/>
    <w:rsid w:val="005B7035"/>
    <w:rsid w:val="005C166F"/>
    <w:rsid w:val="005C1B94"/>
    <w:rsid w:val="005C1FEA"/>
    <w:rsid w:val="005C3495"/>
    <w:rsid w:val="005C3785"/>
    <w:rsid w:val="005C4FBB"/>
    <w:rsid w:val="005C5010"/>
    <w:rsid w:val="005D4BEE"/>
    <w:rsid w:val="005E13EA"/>
    <w:rsid w:val="005E15E0"/>
    <w:rsid w:val="005E3701"/>
    <w:rsid w:val="005E3889"/>
    <w:rsid w:val="005E3DFC"/>
    <w:rsid w:val="005E49D0"/>
    <w:rsid w:val="005E60AF"/>
    <w:rsid w:val="005E7A94"/>
    <w:rsid w:val="005E7B4E"/>
    <w:rsid w:val="005F1BC0"/>
    <w:rsid w:val="005F1DEA"/>
    <w:rsid w:val="005F4932"/>
    <w:rsid w:val="00602FCB"/>
    <w:rsid w:val="00605A3E"/>
    <w:rsid w:val="00607FC9"/>
    <w:rsid w:val="00610955"/>
    <w:rsid w:val="00611E28"/>
    <w:rsid w:val="0061490C"/>
    <w:rsid w:val="00614D94"/>
    <w:rsid w:val="00616861"/>
    <w:rsid w:val="00621847"/>
    <w:rsid w:val="006229D2"/>
    <w:rsid w:val="00622B29"/>
    <w:rsid w:val="00622FE1"/>
    <w:rsid w:val="006248DA"/>
    <w:rsid w:val="0062521C"/>
    <w:rsid w:val="00630A2B"/>
    <w:rsid w:val="00630BA2"/>
    <w:rsid w:val="0063283F"/>
    <w:rsid w:val="00632DC7"/>
    <w:rsid w:val="00633896"/>
    <w:rsid w:val="006357FB"/>
    <w:rsid w:val="00637239"/>
    <w:rsid w:val="006406FC"/>
    <w:rsid w:val="0064407B"/>
    <w:rsid w:val="00646122"/>
    <w:rsid w:val="00651094"/>
    <w:rsid w:val="00653E16"/>
    <w:rsid w:val="00657220"/>
    <w:rsid w:val="0066104B"/>
    <w:rsid w:val="00661419"/>
    <w:rsid w:val="006655EE"/>
    <w:rsid w:val="006660EC"/>
    <w:rsid w:val="0066724E"/>
    <w:rsid w:val="00667C10"/>
    <w:rsid w:val="00667EF4"/>
    <w:rsid w:val="00670C8E"/>
    <w:rsid w:val="0067179E"/>
    <w:rsid w:val="00672B85"/>
    <w:rsid w:val="00673B97"/>
    <w:rsid w:val="0067428E"/>
    <w:rsid w:val="00674E59"/>
    <w:rsid w:val="00676FCA"/>
    <w:rsid w:val="00677177"/>
    <w:rsid w:val="0068056B"/>
    <w:rsid w:val="006842A1"/>
    <w:rsid w:val="006843F1"/>
    <w:rsid w:val="006856BD"/>
    <w:rsid w:val="0068612E"/>
    <w:rsid w:val="00687858"/>
    <w:rsid w:val="00687C92"/>
    <w:rsid w:val="006903B7"/>
    <w:rsid w:val="00691342"/>
    <w:rsid w:val="00692CF9"/>
    <w:rsid w:val="0069534E"/>
    <w:rsid w:val="00696365"/>
    <w:rsid w:val="0069669C"/>
    <w:rsid w:val="006A1200"/>
    <w:rsid w:val="006A2C5A"/>
    <w:rsid w:val="006A4F4E"/>
    <w:rsid w:val="006A52A0"/>
    <w:rsid w:val="006B049D"/>
    <w:rsid w:val="006B14DB"/>
    <w:rsid w:val="006B21C4"/>
    <w:rsid w:val="006B56B2"/>
    <w:rsid w:val="006B56CC"/>
    <w:rsid w:val="006B645A"/>
    <w:rsid w:val="006C0942"/>
    <w:rsid w:val="006C186D"/>
    <w:rsid w:val="006C1CCE"/>
    <w:rsid w:val="006C4A1A"/>
    <w:rsid w:val="006C7DAD"/>
    <w:rsid w:val="006D0393"/>
    <w:rsid w:val="006D1A83"/>
    <w:rsid w:val="006D2E5C"/>
    <w:rsid w:val="006D4095"/>
    <w:rsid w:val="006D5D1E"/>
    <w:rsid w:val="006D7F4E"/>
    <w:rsid w:val="006D7F91"/>
    <w:rsid w:val="006E0668"/>
    <w:rsid w:val="006E1CFE"/>
    <w:rsid w:val="006E1F40"/>
    <w:rsid w:val="006E31A2"/>
    <w:rsid w:val="006E4806"/>
    <w:rsid w:val="006E6D10"/>
    <w:rsid w:val="006F10C4"/>
    <w:rsid w:val="006F40E9"/>
    <w:rsid w:val="006F5603"/>
    <w:rsid w:val="00700E2B"/>
    <w:rsid w:val="00701400"/>
    <w:rsid w:val="007037CF"/>
    <w:rsid w:val="00703BB8"/>
    <w:rsid w:val="00704B37"/>
    <w:rsid w:val="00704D89"/>
    <w:rsid w:val="00706FFF"/>
    <w:rsid w:val="00712A1B"/>
    <w:rsid w:val="00712A8B"/>
    <w:rsid w:val="007153A1"/>
    <w:rsid w:val="00716583"/>
    <w:rsid w:val="007167C0"/>
    <w:rsid w:val="00716DFE"/>
    <w:rsid w:val="007203C3"/>
    <w:rsid w:val="00720481"/>
    <w:rsid w:val="00721642"/>
    <w:rsid w:val="00721BC7"/>
    <w:rsid w:val="007220F9"/>
    <w:rsid w:val="00724EDE"/>
    <w:rsid w:val="0072510B"/>
    <w:rsid w:val="00727C18"/>
    <w:rsid w:val="00727E2F"/>
    <w:rsid w:val="0073069C"/>
    <w:rsid w:val="0073168A"/>
    <w:rsid w:val="007322B5"/>
    <w:rsid w:val="00733193"/>
    <w:rsid w:val="0073404B"/>
    <w:rsid w:val="00735A63"/>
    <w:rsid w:val="00737CBA"/>
    <w:rsid w:val="00742983"/>
    <w:rsid w:val="00745849"/>
    <w:rsid w:val="00745C58"/>
    <w:rsid w:val="00752469"/>
    <w:rsid w:val="00752FF8"/>
    <w:rsid w:val="00754C17"/>
    <w:rsid w:val="0075732A"/>
    <w:rsid w:val="00760262"/>
    <w:rsid w:val="0076310C"/>
    <w:rsid w:val="0076744F"/>
    <w:rsid w:val="00767BCE"/>
    <w:rsid w:val="00767EFC"/>
    <w:rsid w:val="007707DE"/>
    <w:rsid w:val="00770B5D"/>
    <w:rsid w:val="00774B4A"/>
    <w:rsid w:val="007752F1"/>
    <w:rsid w:val="00776768"/>
    <w:rsid w:val="007806A8"/>
    <w:rsid w:val="0078078F"/>
    <w:rsid w:val="00782D61"/>
    <w:rsid w:val="00790931"/>
    <w:rsid w:val="00791024"/>
    <w:rsid w:val="00791307"/>
    <w:rsid w:val="007921C6"/>
    <w:rsid w:val="00794818"/>
    <w:rsid w:val="00794B5C"/>
    <w:rsid w:val="007960A2"/>
    <w:rsid w:val="007970BA"/>
    <w:rsid w:val="007A03A2"/>
    <w:rsid w:val="007A2573"/>
    <w:rsid w:val="007A286D"/>
    <w:rsid w:val="007A3B9C"/>
    <w:rsid w:val="007A7667"/>
    <w:rsid w:val="007B047A"/>
    <w:rsid w:val="007B04D9"/>
    <w:rsid w:val="007B106C"/>
    <w:rsid w:val="007B1A4E"/>
    <w:rsid w:val="007B1F09"/>
    <w:rsid w:val="007B3D05"/>
    <w:rsid w:val="007B5503"/>
    <w:rsid w:val="007B585B"/>
    <w:rsid w:val="007C050A"/>
    <w:rsid w:val="007C1E5C"/>
    <w:rsid w:val="007C3168"/>
    <w:rsid w:val="007C6BB3"/>
    <w:rsid w:val="007D14B4"/>
    <w:rsid w:val="007D3AD7"/>
    <w:rsid w:val="007E2226"/>
    <w:rsid w:val="007E24F6"/>
    <w:rsid w:val="007E2607"/>
    <w:rsid w:val="007E2DEA"/>
    <w:rsid w:val="007E45D8"/>
    <w:rsid w:val="007F3753"/>
    <w:rsid w:val="007F435D"/>
    <w:rsid w:val="00800F64"/>
    <w:rsid w:val="00802F0B"/>
    <w:rsid w:val="008031CC"/>
    <w:rsid w:val="008037EB"/>
    <w:rsid w:val="00810A67"/>
    <w:rsid w:val="0081315B"/>
    <w:rsid w:val="00814D06"/>
    <w:rsid w:val="00822EC0"/>
    <w:rsid w:val="00823440"/>
    <w:rsid w:val="00825E6A"/>
    <w:rsid w:val="00827D79"/>
    <w:rsid w:val="00833CF7"/>
    <w:rsid w:val="008379CE"/>
    <w:rsid w:val="008402FB"/>
    <w:rsid w:val="00843160"/>
    <w:rsid w:val="00845601"/>
    <w:rsid w:val="00851460"/>
    <w:rsid w:val="008524B9"/>
    <w:rsid w:val="008528B6"/>
    <w:rsid w:val="008553B6"/>
    <w:rsid w:val="00855C5C"/>
    <w:rsid w:val="0086233C"/>
    <w:rsid w:val="008633CC"/>
    <w:rsid w:val="00865CFA"/>
    <w:rsid w:val="00871779"/>
    <w:rsid w:val="00873814"/>
    <w:rsid w:val="008755B4"/>
    <w:rsid w:val="00876128"/>
    <w:rsid w:val="00883CE7"/>
    <w:rsid w:val="00885DF6"/>
    <w:rsid w:val="00887127"/>
    <w:rsid w:val="0089148F"/>
    <w:rsid w:val="008938F7"/>
    <w:rsid w:val="00895B5F"/>
    <w:rsid w:val="008A0873"/>
    <w:rsid w:val="008A187F"/>
    <w:rsid w:val="008A3C96"/>
    <w:rsid w:val="008A5890"/>
    <w:rsid w:val="008B0BBA"/>
    <w:rsid w:val="008B1627"/>
    <w:rsid w:val="008B22B1"/>
    <w:rsid w:val="008B4019"/>
    <w:rsid w:val="008B505F"/>
    <w:rsid w:val="008B5888"/>
    <w:rsid w:val="008B65C9"/>
    <w:rsid w:val="008C00AD"/>
    <w:rsid w:val="008C0D6F"/>
    <w:rsid w:val="008C28D4"/>
    <w:rsid w:val="008C2D4A"/>
    <w:rsid w:val="008C3B0C"/>
    <w:rsid w:val="008C6A05"/>
    <w:rsid w:val="008C7DBB"/>
    <w:rsid w:val="008D3900"/>
    <w:rsid w:val="008D482D"/>
    <w:rsid w:val="008D5090"/>
    <w:rsid w:val="008D6E1D"/>
    <w:rsid w:val="008D6EDB"/>
    <w:rsid w:val="008E36FE"/>
    <w:rsid w:val="008E6AF7"/>
    <w:rsid w:val="008E6F58"/>
    <w:rsid w:val="008E74E7"/>
    <w:rsid w:val="008F39B4"/>
    <w:rsid w:val="008F3AF9"/>
    <w:rsid w:val="008F4162"/>
    <w:rsid w:val="008F5599"/>
    <w:rsid w:val="008F62AD"/>
    <w:rsid w:val="00902C6D"/>
    <w:rsid w:val="00903E02"/>
    <w:rsid w:val="009110D5"/>
    <w:rsid w:val="00913175"/>
    <w:rsid w:val="009133D9"/>
    <w:rsid w:val="00916EDB"/>
    <w:rsid w:val="00920861"/>
    <w:rsid w:val="0092173A"/>
    <w:rsid w:val="00922B13"/>
    <w:rsid w:val="009242EF"/>
    <w:rsid w:val="00924AB9"/>
    <w:rsid w:val="00925B89"/>
    <w:rsid w:val="00932291"/>
    <w:rsid w:val="00933B1B"/>
    <w:rsid w:val="0093408E"/>
    <w:rsid w:val="009350ED"/>
    <w:rsid w:val="00940467"/>
    <w:rsid w:val="00942973"/>
    <w:rsid w:val="009456DF"/>
    <w:rsid w:val="00947507"/>
    <w:rsid w:val="00952DDF"/>
    <w:rsid w:val="00952EC4"/>
    <w:rsid w:val="00972423"/>
    <w:rsid w:val="00976F28"/>
    <w:rsid w:val="0097783B"/>
    <w:rsid w:val="00977A35"/>
    <w:rsid w:val="0098052C"/>
    <w:rsid w:val="009812D4"/>
    <w:rsid w:val="00982653"/>
    <w:rsid w:val="009873F4"/>
    <w:rsid w:val="00990C18"/>
    <w:rsid w:val="009920D8"/>
    <w:rsid w:val="00995726"/>
    <w:rsid w:val="00995A44"/>
    <w:rsid w:val="00995DAE"/>
    <w:rsid w:val="0099698C"/>
    <w:rsid w:val="0099722E"/>
    <w:rsid w:val="009A371F"/>
    <w:rsid w:val="009A4869"/>
    <w:rsid w:val="009A7DF0"/>
    <w:rsid w:val="009B2DA1"/>
    <w:rsid w:val="009B367D"/>
    <w:rsid w:val="009B38BE"/>
    <w:rsid w:val="009B39EB"/>
    <w:rsid w:val="009B4556"/>
    <w:rsid w:val="009B682F"/>
    <w:rsid w:val="009C0486"/>
    <w:rsid w:val="009C227B"/>
    <w:rsid w:val="009C3D0F"/>
    <w:rsid w:val="009D01E9"/>
    <w:rsid w:val="009D6232"/>
    <w:rsid w:val="009E1A83"/>
    <w:rsid w:val="009E1B19"/>
    <w:rsid w:val="009E1D6D"/>
    <w:rsid w:val="009E271B"/>
    <w:rsid w:val="009E4615"/>
    <w:rsid w:val="009E67BE"/>
    <w:rsid w:val="009E71BB"/>
    <w:rsid w:val="009E79B6"/>
    <w:rsid w:val="009F35E2"/>
    <w:rsid w:val="009F438B"/>
    <w:rsid w:val="009F65F9"/>
    <w:rsid w:val="009F68BA"/>
    <w:rsid w:val="00A01441"/>
    <w:rsid w:val="00A02962"/>
    <w:rsid w:val="00A06277"/>
    <w:rsid w:val="00A079DC"/>
    <w:rsid w:val="00A10BAB"/>
    <w:rsid w:val="00A111C2"/>
    <w:rsid w:val="00A11D29"/>
    <w:rsid w:val="00A127A7"/>
    <w:rsid w:val="00A132A7"/>
    <w:rsid w:val="00A17C39"/>
    <w:rsid w:val="00A20A86"/>
    <w:rsid w:val="00A21440"/>
    <w:rsid w:val="00A238AA"/>
    <w:rsid w:val="00A27EC5"/>
    <w:rsid w:val="00A311EE"/>
    <w:rsid w:val="00A31886"/>
    <w:rsid w:val="00A338E7"/>
    <w:rsid w:val="00A3461C"/>
    <w:rsid w:val="00A35CAA"/>
    <w:rsid w:val="00A36E7F"/>
    <w:rsid w:val="00A41C44"/>
    <w:rsid w:val="00A41E65"/>
    <w:rsid w:val="00A426F9"/>
    <w:rsid w:val="00A43517"/>
    <w:rsid w:val="00A43E0A"/>
    <w:rsid w:val="00A454B4"/>
    <w:rsid w:val="00A45637"/>
    <w:rsid w:val="00A46053"/>
    <w:rsid w:val="00A46247"/>
    <w:rsid w:val="00A46745"/>
    <w:rsid w:val="00A47F07"/>
    <w:rsid w:val="00A530C7"/>
    <w:rsid w:val="00A55F5B"/>
    <w:rsid w:val="00A56D4F"/>
    <w:rsid w:val="00A57B13"/>
    <w:rsid w:val="00A60185"/>
    <w:rsid w:val="00A611EE"/>
    <w:rsid w:val="00A622EC"/>
    <w:rsid w:val="00A62826"/>
    <w:rsid w:val="00A6323B"/>
    <w:rsid w:val="00A661EA"/>
    <w:rsid w:val="00A66263"/>
    <w:rsid w:val="00A6775C"/>
    <w:rsid w:val="00A70A6C"/>
    <w:rsid w:val="00A74D1D"/>
    <w:rsid w:val="00A74F80"/>
    <w:rsid w:val="00A83098"/>
    <w:rsid w:val="00A830E5"/>
    <w:rsid w:val="00A83DF5"/>
    <w:rsid w:val="00A842BB"/>
    <w:rsid w:val="00A84BF3"/>
    <w:rsid w:val="00A85297"/>
    <w:rsid w:val="00A857E0"/>
    <w:rsid w:val="00A87135"/>
    <w:rsid w:val="00A912D2"/>
    <w:rsid w:val="00A93280"/>
    <w:rsid w:val="00A93C73"/>
    <w:rsid w:val="00A951EA"/>
    <w:rsid w:val="00A961A6"/>
    <w:rsid w:val="00A973E1"/>
    <w:rsid w:val="00A97F71"/>
    <w:rsid w:val="00AA1317"/>
    <w:rsid w:val="00AA1C65"/>
    <w:rsid w:val="00AA2548"/>
    <w:rsid w:val="00AA3B6E"/>
    <w:rsid w:val="00AA58C4"/>
    <w:rsid w:val="00AA5F06"/>
    <w:rsid w:val="00AB11C8"/>
    <w:rsid w:val="00AB2248"/>
    <w:rsid w:val="00AB694C"/>
    <w:rsid w:val="00AC08A8"/>
    <w:rsid w:val="00AC5882"/>
    <w:rsid w:val="00AC6C06"/>
    <w:rsid w:val="00AD20F6"/>
    <w:rsid w:val="00AD56C8"/>
    <w:rsid w:val="00AD58F2"/>
    <w:rsid w:val="00AD6E12"/>
    <w:rsid w:val="00AE04F2"/>
    <w:rsid w:val="00AE5712"/>
    <w:rsid w:val="00AE615C"/>
    <w:rsid w:val="00AF0A47"/>
    <w:rsid w:val="00AF1334"/>
    <w:rsid w:val="00AF45F8"/>
    <w:rsid w:val="00AF5EA3"/>
    <w:rsid w:val="00AF6573"/>
    <w:rsid w:val="00AF65FE"/>
    <w:rsid w:val="00AF7690"/>
    <w:rsid w:val="00AF7F57"/>
    <w:rsid w:val="00B011DB"/>
    <w:rsid w:val="00B02941"/>
    <w:rsid w:val="00B0418F"/>
    <w:rsid w:val="00B0512A"/>
    <w:rsid w:val="00B05203"/>
    <w:rsid w:val="00B0529F"/>
    <w:rsid w:val="00B05D52"/>
    <w:rsid w:val="00B11342"/>
    <w:rsid w:val="00B1418B"/>
    <w:rsid w:val="00B151A0"/>
    <w:rsid w:val="00B1520C"/>
    <w:rsid w:val="00B1560E"/>
    <w:rsid w:val="00B17A10"/>
    <w:rsid w:val="00B17A6F"/>
    <w:rsid w:val="00B20E80"/>
    <w:rsid w:val="00B21195"/>
    <w:rsid w:val="00B22B3D"/>
    <w:rsid w:val="00B236E8"/>
    <w:rsid w:val="00B24B22"/>
    <w:rsid w:val="00B25310"/>
    <w:rsid w:val="00B26A18"/>
    <w:rsid w:val="00B27578"/>
    <w:rsid w:val="00B31EEB"/>
    <w:rsid w:val="00B32F8F"/>
    <w:rsid w:val="00B35A95"/>
    <w:rsid w:val="00B42C1C"/>
    <w:rsid w:val="00B42E5E"/>
    <w:rsid w:val="00B42E80"/>
    <w:rsid w:val="00B4690F"/>
    <w:rsid w:val="00B47C42"/>
    <w:rsid w:val="00B510B1"/>
    <w:rsid w:val="00B54DE9"/>
    <w:rsid w:val="00B553EC"/>
    <w:rsid w:val="00B55870"/>
    <w:rsid w:val="00B55921"/>
    <w:rsid w:val="00B56E69"/>
    <w:rsid w:val="00B60059"/>
    <w:rsid w:val="00B64750"/>
    <w:rsid w:val="00B710E3"/>
    <w:rsid w:val="00B77732"/>
    <w:rsid w:val="00B80D6D"/>
    <w:rsid w:val="00B817B9"/>
    <w:rsid w:val="00B81916"/>
    <w:rsid w:val="00B8220E"/>
    <w:rsid w:val="00B85EEB"/>
    <w:rsid w:val="00B86BEB"/>
    <w:rsid w:val="00B86F95"/>
    <w:rsid w:val="00B9154F"/>
    <w:rsid w:val="00B92D98"/>
    <w:rsid w:val="00B92E1C"/>
    <w:rsid w:val="00B93DD0"/>
    <w:rsid w:val="00B948DE"/>
    <w:rsid w:val="00B97732"/>
    <w:rsid w:val="00B97BB5"/>
    <w:rsid w:val="00BA0849"/>
    <w:rsid w:val="00BA0AD4"/>
    <w:rsid w:val="00BA25A1"/>
    <w:rsid w:val="00BA38AC"/>
    <w:rsid w:val="00BA56D7"/>
    <w:rsid w:val="00BA59F8"/>
    <w:rsid w:val="00BA65A8"/>
    <w:rsid w:val="00BA6A97"/>
    <w:rsid w:val="00BA6D19"/>
    <w:rsid w:val="00BA7461"/>
    <w:rsid w:val="00BA7DA9"/>
    <w:rsid w:val="00BB1951"/>
    <w:rsid w:val="00BB2727"/>
    <w:rsid w:val="00BC0F38"/>
    <w:rsid w:val="00BC4215"/>
    <w:rsid w:val="00BC76A6"/>
    <w:rsid w:val="00BD0396"/>
    <w:rsid w:val="00BD1A6F"/>
    <w:rsid w:val="00BD38D2"/>
    <w:rsid w:val="00BD5B71"/>
    <w:rsid w:val="00BE0DA1"/>
    <w:rsid w:val="00BE515A"/>
    <w:rsid w:val="00BE51EA"/>
    <w:rsid w:val="00BE6D3C"/>
    <w:rsid w:val="00BE7852"/>
    <w:rsid w:val="00BF16E7"/>
    <w:rsid w:val="00BF403A"/>
    <w:rsid w:val="00BF6D87"/>
    <w:rsid w:val="00BF7BBB"/>
    <w:rsid w:val="00BF7CEE"/>
    <w:rsid w:val="00C03880"/>
    <w:rsid w:val="00C04C8D"/>
    <w:rsid w:val="00C107D1"/>
    <w:rsid w:val="00C10EF8"/>
    <w:rsid w:val="00C11CBD"/>
    <w:rsid w:val="00C12143"/>
    <w:rsid w:val="00C135CF"/>
    <w:rsid w:val="00C15403"/>
    <w:rsid w:val="00C154EB"/>
    <w:rsid w:val="00C17A88"/>
    <w:rsid w:val="00C2683F"/>
    <w:rsid w:val="00C26F76"/>
    <w:rsid w:val="00C305C2"/>
    <w:rsid w:val="00C3184D"/>
    <w:rsid w:val="00C3707B"/>
    <w:rsid w:val="00C4197E"/>
    <w:rsid w:val="00C43084"/>
    <w:rsid w:val="00C43DE5"/>
    <w:rsid w:val="00C45B9C"/>
    <w:rsid w:val="00C4714E"/>
    <w:rsid w:val="00C50941"/>
    <w:rsid w:val="00C50F38"/>
    <w:rsid w:val="00C53B93"/>
    <w:rsid w:val="00C5504F"/>
    <w:rsid w:val="00C55991"/>
    <w:rsid w:val="00C57B87"/>
    <w:rsid w:val="00C63376"/>
    <w:rsid w:val="00C66103"/>
    <w:rsid w:val="00C66CB4"/>
    <w:rsid w:val="00C70B3D"/>
    <w:rsid w:val="00C711AA"/>
    <w:rsid w:val="00C74F97"/>
    <w:rsid w:val="00C76A08"/>
    <w:rsid w:val="00C803D7"/>
    <w:rsid w:val="00C8276E"/>
    <w:rsid w:val="00C82D1A"/>
    <w:rsid w:val="00C83AD1"/>
    <w:rsid w:val="00C83E71"/>
    <w:rsid w:val="00C842AC"/>
    <w:rsid w:val="00C85B7B"/>
    <w:rsid w:val="00C92AD5"/>
    <w:rsid w:val="00C93152"/>
    <w:rsid w:val="00C93FD9"/>
    <w:rsid w:val="00C95FE6"/>
    <w:rsid w:val="00C96688"/>
    <w:rsid w:val="00CA0723"/>
    <w:rsid w:val="00CA1D7D"/>
    <w:rsid w:val="00CA4542"/>
    <w:rsid w:val="00CB100D"/>
    <w:rsid w:val="00CB1690"/>
    <w:rsid w:val="00CC2251"/>
    <w:rsid w:val="00CC27E7"/>
    <w:rsid w:val="00CC2B33"/>
    <w:rsid w:val="00CC3E65"/>
    <w:rsid w:val="00CC4365"/>
    <w:rsid w:val="00CD11B0"/>
    <w:rsid w:val="00CD17D6"/>
    <w:rsid w:val="00CD5E0E"/>
    <w:rsid w:val="00CE6E66"/>
    <w:rsid w:val="00CE71C2"/>
    <w:rsid w:val="00CF2242"/>
    <w:rsid w:val="00CF27B2"/>
    <w:rsid w:val="00CF2BE5"/>
    <w:rsid w:val="00CF42D5"/>
    <w:rsid w:val="00CF4EDA"/>
    <w:rsid w:val="00CF562A"/>
    <w:rsid w:val="00CF5929"/>
    <w:rsid w:val="00D00281"/>
    <w:rsid w:val="00D006A6"/>
    <w:rsid w:val="00D01AD2"/>
    <w:rsid w:val="00D01E11"/>
    <w:rsid w:val="00D021CB"/>
    <w:rsid w:val="00D026AC"/>
    <w:rsid w:val="00D04905"/>
    <w:rsid w:val="00D10C4C"/>
    <w:rsid w:val="00D10F1A"/>
    <w:rsid w:val="00D116F8"/>
    <w:rsid w:val="00D12946"/>
    <w:rsid w:val="00D12F95"/>
    <w:rsid w:val="00D13109"/>
    <w:rsid w:val="00D15280"/>
    <w:rsid w:val="00D17596"/>
    <w:rsid w:val="00D2064A"/>
    <w:rsid w:val="00D207F7"/>
    <w:rsid w:val="00D22640"/>
    <w:rsid w:val="00D22A6B"/>
    <w:rsid w:val="00D242A5"/>
    <w:rsid w:val="00D24525"/>
    <w:rsid w:val="00D26D3A"/>
    <w:rsid w:val="00D301E7"/>
    <w:rsid w:val="00D31F4D"/>
    <w:rsid w:val="00D34B81"/>
    <w:rsid w:val="00D41F89"/>
    <w:rsid w:val="00D441B2"/>
    <w:rsid w:val="00D45C91"/>
    <w:rsid w:val="00D45DE7"/>
    <w:rsid w:val="00D45EE3"/>
    <w:rsid w:val="00D50618"/>
    <w:rsid w:val="00D509E9"/>
    <w:rsid w:val="00D53B1C"/>
    <w:rsid w:val="00D556A2"/>
    <w:rsid w:val="00D57B3D"/>
    <w:rsid w:val="00D60A59"/>
    <w:rsid w:val="00D61714"/>
    <w:rsid w:val="00D61E53"/>
    <w:rsid w:val="00D620BE"/>
    <w:rsid w:val="00D622B9"/>
    <w:rsid w:val="00D64334"/>
    <w:rsid w:val="00D64DFC"/>
    <w:rsid w:val="00D652C8"/>
    <w:rsid w:val="00D656FF"/>
    <w:rsid w:val="00D66E30"/>
    <w:rsid w:val="00D728D2"/>
    <w:rsid w:val="00D73238"/>
    <w:rsid w:val="00D759F9"/>
    <w:rsid w:val="00D761E2"/>
    <w:rsid w:val="00D82448"/>
    <w:rsid w:val="00D83615"/>
    <w:rsid w:val="00D83AAD"/>
    <w:rsid w:val="00D851FF"/>
    <w:rsid w:val="00D86150"/>
    <w:rsid w:val="00D906B3"/>
    <w:rsid w:val="00D97037"/>
    <w:rsid w:val="00DA1B12"/>
    <w:rsid w:val="00DA4D91"/>
    <w:rsid w:val="00DA4F90"/>
    <w:rsid w:val="00DA54C9"/>
    <w:rsid w:val="00DA6096"/>
    <w:rsid w:val="00DA6739"/>
    <w:rsid w:val="00DA6AC9"/>
    <w:rsid w:val="00DA6CAE"/>
    <w:rsid w:val="00DB079C"/>
    <w:rsid w:val="00DB1A9E"/>
    <w:rsid w:val="00DB31D6"/>
    <w:rsid w:val="00DB3296"/>
    <w:rsid w:val="00DB4005"/>
    <w:rsid w:val="00DB44E2"/>
    <w:rsid w:val="00DB61F1"/>
    <w:rsid w:val="00DB66A1"/>
    <w:rsid w:val="00DC325B"/>
    <w:rsid w:val="00DC34EB"/>
    <w:rsid w:val="00DC4E2E"/>
    <w:rsid w:val="00DC648B"/>
    <w:rsid w:val="00DC78C0"/>
    <w:rsid w:val="00DD34A6"/>
    <w:rsid w:val="00DD5A46"/>
    <w:rsid w:val="00DD7016"/>
    <w:rsid w:val="00DE1802"/>
    <w:rsid w:val="00DE1D07"/>
    <w:rsid w:val="00DE2C10"/>
    <w:rsid w:val="00DF10AB"/>
    <w:rsid w:val="00DF14C9"/>
    <w:rsid w:val="00DF17D4"/>
    <w:rsid w:val="00DF19FA"/>
    <w:rsid w:val="00DF1E5B"/>
    <w:rsid w:val="00DF2275"/>
    <w:rsid w:val="00DF3F5E"/>
    <w:rsid w:val="00DF5653"/>
    <w:rsid w:val="00DF5A38"/>
    <w:rsid w:val="00E033F0"/>
    <w:rsid w:val="00E0596E"/>
    <w:rsid w:val="00E06F66"/>
    <w:rsid w:val="00E10951"/>
    <w:rsid w:val="00E1537A"/>
    <w:rsid w:val="00E2111A"/>
    <w:rsid w:val="00E21678"/>
    <w:rsid w:val="00E25ABC"/>
    <w:rsid w:val="00E268D2"/>
    <w:rsid w:val="00E270CE"/>
    <w:rsid w:val="00E30683"/>
    <w:rsid w:val="00E344AA"/>
    <w:rsid w:val="00E356E5"/>
    <w:rsid w:val="00E36F81"/>
    <w:rsid w:val="00E378A8"/>
    <w:rsid w:val="00E40B9B"/>
    <w:rsid w:val="00E45765"/>
    <w:rsid w:val="00E5098C"/>
    <w:rsid w:val="00E54ECD"/>
    <w:rsid w:val="00E574EF"/>
    <w:rsid w:val="00E57CD8"/>
    <w:rsid w:val="00E57E07"/>
    <w:rsid w:val="00E60213"/>
    <w:rsid w:val="00E60C81"/>
    <w:rsid w:val="00E61BC8"/>
    <w:rsid w:val="00E625F0"/>
    <w:rsid w:val="00E63831"/>
    <w:rsid w:val="00E65983"/>
    <w:rsid w:val="00E661B2"/>
    <w:rsid w:val="00E74D29"/>
    <w:rsid w:val="00E75583"/>
    <w:rsid w:val="00E80077"/>
    <w:rsid w:val="00E806FF"/>
    <w:rsid w:val="00E81515"/>
    <w:rsid w:val="00E83C74"/>
    <w:rsid w:val="00E83CEE"/>
    <w:rsid w:val="00E87EF6"/>
    <w:rsid w:val="00E91F18"/>
    <w:rsid w:val="00E9226D"/>
    <w:rsid w:val="00E96424"/>
    <w:rsid w:val="00E97B2E"/>
    <w:rsid w:val="00EA05CE"/>
    <w:rsid w:val="00EA2A91"/>
    <w:rsid w:val="00EA30D5"/>
    <w:rsid w:val="00EA416C"/>
    <w:rsid w:val="00EA5941"/>
    <w:rsid w:val="00EB0367"/>
    <w:rsid w:val="00EB0865"/>
    <w:rsid w:val="00EB40B3"/>
    <w:rsid w:val="00EB4146"/>
    <w:rsid w:val="00EB60CE"/>
    <w:rsid w:val="00EB6BA3"/>
    <w:rsid w:val="00EB7078"/>
    <w:rsid w:val="00EB7D53"/>
    <w:rsid w:val="00EC37F0"/>
    <w:rsid w:val="00EC596B"/>
    <w:rsid w:val="00EC7371"/>
    <w:rsid w:val="00ED06C4"/>
    <w:rsid w:val="00ED0CFD"/>
    <w:rsid w:val="00ED1678"/>
    <w:rsid w:val="00ED5EEB"/>
    <w:rsid w:val="00EE0263"/>
    <w:rsid w:val="00EE13C5"/>
    <w:rsid w:val="00EE3146"/>
    <w:rsid w:val="00EE524B"/>
    <w:rsid w:val="00EF051E"/>
    <w:rsid w:val="00EF4894"/>
    <w:rsid w:val="00EF50BB"/>
    <w:rsid w:val="00EF5270"/>
    <w:rsid w:val="00EF71E4"/>
    <w:rsid w:val="00F00192"/>
    <w:rsid w:val="00F01DF6"/>
    <w:rsid w:val="00F027B8"/>
    <w:rsid w:val="00F0340D"/>
    <w:rsid w:val="00F035F2"/>
    <w:rsid w:val="00F04B63"/>
    <w:rsid w:val="00F059A6"/>
    <w:rsid w:val="00F14A04"/>
    <w:rsid w:val="00F15541"/>
    <w:rsid w:val="00F21D97"/>
    <w:rsid w:val="00F23756"/>
    <w:rsid w:val="00F238F7"/>
    <w:rsid w:val="00F2464C"/>
    <w:rsid w:val="00F2523A"/>
    <w:rsid w:val="00F25FFA"/>
    <w:rsid w:val="00F310D2"/>
    <w:rsid w:val="00F31702"/>
    <w:rsid w:val="00F31E11"/>
    <w:rsid w:val="00F32861"/>
    <w:rsid w:val="00F36F3D"/>
    <w:rsid w:val="00F37C48"/>
    <w:rsid w:val="00F41652"/>
    <w:rsid w:val="00F41C70"/>
    <w:rsid w:val="00F46FD0"/>
    <w:rsid w:val="00F477BD"/>
    <w:rsid w:val="00F50333"/>
    <w:rsid w:val="00F50C1F"/>
    <w:rsid w:val="00F53491"/>
    <w:rsid w:val="00F53DB7"/>
    <w:rsid w:val="00F54656"/>
    <w:rsid w:val="00F55386"/>
    <w:rsid w:val="00F56411"/>
    <w:rsid w:val="00F57EF3"/>
    <w:rsid w:val="00F60181"/>
    <w:rsid w:val="00F60D5A"/>
    <w:rsid w:val="00F651B2"/>
    <w:rsid w:val="00F65713"/>
    <w:rsid w:val="00F657D7"/>
    <w:rsid w:val="00F65A1C"/>
    <w:rsid w:val="00F6665E"/>
    <w:rsid w:val="00F66F50"/>
    <w:rsid w:val="00F670BA"/>
    <w:rsid w:val="00F73F75"/>
    <w:rsid w:val="00F74426"/>
    <w:rsid w:val="00F77432"/>
    <w:rsid w:val="00F80D29"/>
    <w:rsid w:val="00F81162"/>
    <w:rsid w:val="00F82FF8"/>
    <w:rsid w:val="00F8330D"/>
    <w:rsid w:val="00F84305"/>
    <w:rsid w:val="00F8485C"/>
    <w:rsid w:val="00F8587A"/>
    <w:rsid w:val="00F87149"/>
    <w:rsid w:val="00F87FFE"/>
    <w:rsid w:val="00F9032D"/>
    <w:rsid w:val="00F9138D"/>
    <w:rsid w:val="00F92336"/>
    <w:rsid w:val="00F954C9"/>
    <w:rsid w:val="00FA379E"/>
    <w:rsid w:val="00FA4C40"/>
    <w:rsid w:val="00FA4CF0"/>
    <w:rsid w:val="00FA61AA"/>
    <w:rsid w:val="00FA69A4"/>
    <w:rsid w:val="00FB1279"/>
    <w:rsid w:val="00FB1495"/>
    <w:rsid w:val="00FB4EC4"/>
    <w:rsid w:val="00FC20F8"/>
    <w:rsid w:val="00FD1694"/>
    <w:rsid w:val="00FD2134"/>
    <w:rsid w:val="00FD2569"/>
    <w:rsid w:val="00FD3C99"/>
    <w:rsid w:val="00FD6D97"/>
    <w:rsid w:val="00FD7636"/>
    <w:rsid w:val="00FE25DE"/>
    <w:rsid w:val="00FE3229"/>
    <w:rsid w:val="00FE74C3"/>
    <w:rsid w:val="00FF215C"/>
    <w:rsid w:val="00FF3481"/>
    <w:rsid w:val="00FF49E8"/>
    <w:rsid w:val="00FF590E"/>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30"/>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995A44"/>
    <w:pPr>
      <w:numPr>
        <w:numId w:val="5"/>
      </w:numPr>
    </w:pPr>
  </w:style>
  <w:style w:type="paragraph" w:styleId="ListNumber2">
    <w:name w:val="List Number 2"/>
    <w:basedOn w:val="Normal"/>
    <w:uiPriority w:val="99"/>
    <w:qFormat/>
    <w:rsid w:val="00995A44"/>
    <w:pPr>
      <w:numPr>
        <w:ilvl w:val="1"/>
        <w:numId w:val="5"/>
      </w:numPr>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link w:val="TabletextChar"/>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styleId="FootnoteText">
    <w:name w:val="footnote text"/>
    <w:basedOn w:val="Normal"/>
    <w:link w:val="FootnoteTextChar"/>
    <w:uiPriority w:val="99"/>
    <w:semiHidden/>
    <w:unhideWhenUsed/>
    <w:rsid w:val="00790931"/>
    <w:pPr>
      <w:spacing w:after="0" w:line="240" w:lineRule="auto"/>
    </w:pPr>
  </w:style>
  <w:style w:type="character" w:customStyle="1" w:styleId="FootnoteTextChar">
    <w:name w:val="Footnote Text Char"/>
    <w:basedOn w:val="DefaultParagraphFont"/>
    <w:link w:val="FootnoteText"/>
    <w:uiPriority w:val="99"/>
    <w:semiHidden/>
    <w:rsid w:val="00790931"/>
    <w:rPr>
      <w:rFonts w:eastAsia="Times New Roman" w:cs="Arial"/>
      <w:lang w:eastAsia="en-US"/>
    </w:rPr>
  </w:style>
  <w:style w:type="character" w:styleId="FootnoteReference">
    <w:name w:val="footnote reference"/>
    <w:basedOn w:val="DefaultParagraphFont"/>
    <w:uiPriority w:val="99"/>
    <w:semiHidden/>
    <w:unhideWhenUsed/>
    <w:rsid w:val="00790931"/>
    <w:rPr>
      <w:vertAlign w:val="superscript"/>
    </w:rPr>
  </w:style>
  <w:style w:type="character" w:customStyle="1" w:styleId="TabletextChar">
    <w:name w:val="Table text Char"/>
    <w:basedOn w:val="DefaultParagraphFont"/>
    <w:link w:val="Tabletext"/>
    <w:uiPriority w:val="9"/>
    <w:rsid w:val="00D851FF"/>
    <w:rPr>
      <w:rFonts w:eastAsia="Times New Roman"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2593">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472749206">
      <w:bodyDiv w:val="1"/>
      <w:marLeft w:val="0"/>
      <w:marRight w:val="0"/>
      <w:marTop w:val="0"/>
      <w:marBottom w:val="0"/>
      <w:divBdr>
        <w:top w:val="none" w:sz="0" w:space="0" w:color="auto"/>
        <w:left w:val="none" w:sz="0" w:space="0" w:color="auto"/>
        <w:bottom w:val="none" w:sz="0" w:space="0" w:color="auto"/>
        <w:right w:val="none" w:sz="0" w:space="0" w:color="auto"/>
      </w:divBdr>
    </w:div>
    <w:div w:id="16579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sc.environment.gov.au/system/files/resources/012fa918-ee79-4131-9c8d-02c9b2de65cf/files/iesc-information-guidelines-oct-201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D8AE21E6.dotm</Template>
  <TotalTime>0</TotalTime>
  <Pages>11</Pages>
  <Words>5018</Words>
  <Characters>28609</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2016-075: Wilpinjong Extension Project (EPBC 2015/7431, SSD6764) – Expansion</dc:title>
  <dc:creator/>
  <cp:lastModifiedBy/>
  <cp:revision>1</cp:revision>
  <dcterms:created xsi:type="dcterms:W3CDTF">2016-08-18T01:10:00Z</dcterms:created>
  <dcterms:modified xsi:type="dcterms:W3CDTF">2016-08-18T01:10:00Z</dcterms:modified>
</cp:coreProperties>
</file>