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B10382" w:rsidRDefault="00F027B8" w:rsidP="00277A51">
      <w:pPr>
        <w:pStyle w:val="Header"/>
        <w:suppressLineNumbers/>
      </w:pPr>
      <w:r w:rsidRPr="00B10382">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B10382" w:rsidRDefault="00F027B8" w:rsidP="00277A51">
      <w:pPr>
        <w:pStyle w:val="Header"/>
        <w:suppressLineNumbers/>
      </w:pPr>
    </w:p>
    <w:p w:rsidR="00F027B8" w:rsidRPr="00B10382" w:rsidRDefault="00F027B8" w:rsidP="00277A51">
      <w:pPr>
        <w:pStyle w:val="Header"/>
        <w:suppressLineNumbers/>
      </w:pPr>
    </w:p>
    <w:p w:rsidR="00F027B8" w:rsidRPr="00B10382" w:rsidRDefault="00F027B8" w:rsidP="00277A51">
      <w:pPr>
        <w:pStyle w:val="Header"/>
        <w:suppressLineNumbers/>
      </w:pPr>
    </w:p>
    <w:p w:rsidR="00F027B8" w:rsidRPr="00B10382" w:rsidRDefault="00F027B8" w:rsidP="00277A51">
      <w:pPr>
        <w:pStyle w:val="Heading1"/>
        <w:suppressLineNumbers/>
      </w:pPr>
    </w:p>
    <w:p w:rsidR="001765DA" w:rsidRPr="00B10382" w:rsidRDefault="00F027B8" w:rsidP="00277A51">
      <w:pPr>
        <w:pStyle w:val="Heading1"/>
        <w:suppressLineNumbers/>
      </w:pPr>
      <w:bookmarkStart w:id="0" w:name="OLE_LINK1"/>
      <w:bookmarkStart w:id="1" w:name="OLE_LINK2"/>
      <w:r w:rsidRPr="00B10382">
        <w:t>Advi</w:t>
      </w:r>
      <w:r w:rsidR="001765DA" w:rsidRPr="00B10382">
        <w:t>ce to decision maker on coal mining</w:t>
      </w:r>
      <w:r w:rsidR="002F6DA2" w:rsidRPr="00B10382">
        <w:t xml:space="preserve"> project</w:t>
      </w:r>
    </w:p>
    <w:p w:rsidR="004861E6" w:rsidRPr="00B10382" w:rsidRDefault="00D10C4C" w:rsidP="005A7E8B">
      <w:pPr>
        <w:pStyle w:val="Heading3"/>
        <w:jc w:val="center"/>
      </w:pPr>
      <w:r w:rsidRPr="00B10382">
        <w:t xml:space="preserve">IESC </w:t>
      </w:r>
      <w:r w:rsidR="00C43084" w:rsidRPr="00B10382">
        <w:t>201</w:t>
      </w:r>
      <w:r w:rsidR="002F6DA2" w:rsidRPr="00B10382">
        <w:t>5</w:t>
      </w:r>
      <w:r w:rsidR="00CC27E7" w:rsidRPr="00B10382">
        <w:t>-</w:t>
      </w:r>
      <w:r w:rsidRPr="00B10382">
        <w:t>0</w:t>
      </w:r>
      <w:r w:rsidR="002F6DA2" w:rsidRPr="00B10382">
        <w:t>66</w:t>
      </w:r>
      <w:r w:rsidR="00C231B8" w:rsidRPr="00B10382">
        <w:t xml:space="preserve"> and IESC 2015-067</w:t>
      </w:r>
      <w:r w:rsidR="001765DA" w:rsidRPr="00B10382">
        <w:t>:</w:t>
      </w:r>
      <w:r w:rsidR="002974BC" w:rsidRPr="00B10382">
        <w:t xml:space="preserve"> </w:t>
      </w:r>
      <w:r w:rsidR="00C231B8" w:rsidRPr="00B10382">
        <w:br/>
      </w:r>
      <w:r w:rsidR="002F6DA2" w:rsidRPr="00B10382">
        <w:rPr>
          <w:rFonts w:ascii="Arial Bold" w:hAnsi="Arial Bold"/>
        </w:rPr>
        <w:t>Watermark Coal Project</w:t>
      </w:r>
      <w:r w:rsidR="00C803D7" w:rsidRPr="00B10382">
        <w:t xml:space="preserve"> </w:t>
      </w:r>
      <w:r w:rsidR="00D83AAD" w:rsidRPr="00B10382">
        <w:t>(EPBC</w:t>
      </w:r>
      <w:r w:rsidR="007B047A" w:rsidRPr="00B10382">
        <w:t xml:space="preserve"> </w:t>
      </w:r>
      <w:r w:rsidR="002F6DA2" w:rsidRPr="00B10382">
        <w:t>2011/6201</w:t>
      </w:r>
      <w:r w:rsidR="00D83AAD" w:rsidRPr="00B10382">
        <w:t xml:space="preserve">) </w:t>
      </w:r>
      <w:r w:rsidR="00C803D7" w:rsidRPr="00B10382">
        <w:t>–</w:t>
      </w:r>
      <w:r w:rsidR="00B32E36" w:rsidRPr="00B10382">
        <w:t xml:space="preserve"> </w:t>
      </w:r>
      <w:r w:rsidR="00C803D7" w:rsidRPr="00B10382">
        <w:t>New Development</w:t>
      </w:r>
    </w:p>
    <w:tbl>
      <w:tblPr>
        <w:tblW w:w="9968" w:type="dxa"/>
        <w:tblBorders>
          <w:insideH w:val="single" w:sz="4" w:space="0" w:color="auto"/>
        </w:tblBorders>
        <w:tblCellMar>
          <w:top w:w="113" w:type="dxa"/>
          <w:bottom w:w="113" w:type="dxa"/>
        </w:tblCellMar>
        <w:tblLook w:val="01E0"/>
      </w:tblPr>
      <w:tblGrid>
        <w:gridCol w:w="2376"/>
        <w:gridCol w:w="3796"/>
        <w:gridCol w:w="3796"/>
      </w:tblGrid>
      <w:tr w:rsidR="00904387" w:rsidRPr="00B10382" w:rsidTr="00904387">
        <w:trPr>
          <w:trHeight w:val="367"/>
        </w:trPr>
        <w:tc>
          <w:tcPr>
            <w:tcW w:w="2376" w:type="dxa"/>
            <w:tcBorders>
              <w:top w:val="single" w:sz="4" w:space="0" w:color="auto"/>
              <w:bottom w:val="single" w:sz="4" w:space="0" w:color="auto"/>
            </w:tcBorders>
          </w:tcPr>
          <w:bookmarkEnd w:id="0"/>
          <w:bookmarkEnd w:id="1"/>
          <w:p w:rsidR="00904387" w:rsidRPr="00B10382" w:rsidRDefault="00904387" w:rsidP="00904387">
            <w:pPr>
              <w:pStyle w:val="Heading2"/>
            </w:pPr>
            <w:r w:rsidRPr="00B10382">
              <w:t>Requestor</w:t>
            </w:r>
          </w:p>
        </w:tc>
        <w:tc>
          <w:tcPr>
            <w:tcW w:w="7592" w:type="dxa"/>
            <w:gridSpan w:val="2"/>
            <w:tcBorders>
              <w:top w:val="single" w:sz="4" w:space="0" w:color="auto"/>
              <w:bottom w:val="single" w:sz="4" w:space="0" w:color="auto"/>
            </w:tcBorders>
          </w:tcPr>
          <w:p w:rsidR="00904387" w:rsidRPr="00B10382" w:rsidRDefault="00904387" w:rsidP="00904387">
            <w:pPr>
              <w:pStyle w:val="Tabletext"/>
              <w:suppressLineNumbers/>
            </w:pPr>
            <w:r w:rsidRPr="00B10382">
              <w:t>Minister for the Environment, the Hon Greg Hunt MP</w:t>
            </w:r>
          </w:p>
        </w:tc>
      </w:tr>
      <w:tr w:rsidR="00904387" w:rsidRPr="00B10382" w:rsidTr="00904387">
        <w:trPr>
          <w:trHeight w:val="19"/>
        </w:trPr>
        <w:tc>
          <w:tcPr>
            <w:tcW w:w="2376" w:type="dxa"/>
            <w:tcBorders>
              <w:top w:val="single" w:sz="4" w:space="0" w:color="auto"/>
              <w:bottom w:val="single" w:sz="4" w:space="0" w:color="auto"/>
            </w:tcBorders>
          </w:tcPr>
          <w:p w:rsidR="00904387" w:rsidRPr="00B10382" w:rsidRDefault="00904387" w:rsidP="00904387">
            <w:pPr>
              <w:pStyle w:val="Heading2"/>
            </w:pPr>
            <w:r w:rsidRPr="00B10382">
              <w:t>Date of request</w:t>
            </w:r>
          </w:p>
        </w:tc>
        <w:tc>
          <w:tcPr>
            <w:tcW w:w="3796" w:type="dxa"/>
            <w:tcBorders>
              <w:top w:val="single" w:sz="4" w:space="0" w:color="auto"/>
              <w:bottom w:val="single" w:sz="4" w:space="0" w:color="auto"/>
            </w:tcBorders>
          </w:tcPr>
          <w:p w:rsidR="00904387" w:rsidRPr="00B10382" w:rsidRDefault="00904387" w:rsidP="00904387">
            <w:pPr>
              <w:pStyle w:val="Tabletext"/>
              <w:suppressLineNumbers/>
            </w:pPr>
            <w:r w:rsidRPr="00B10382">
              <w:t>26 February 2015 (2015-066)</w:t>
            </w:r>
          </w:p>
        </w:tc>
        <w:tc>
          <w:tcPr>
            <w:tcW w:w="3796" w:type="dxa"/>
            <w:tcBorders>
              <w:top w:val="single" w:sz="4" w:space="0" w:color="auto"/>
              <w:bottom w:val="single" w:sz="4" w:space="0" w:color="auto"/>
            </w:tcBorders>
          </w:tcPr>
          <w:p w:rsidR="00904387" w:rsidRPr="00B10382" w:rsidRDefault="00904387" w:rsidP="00904387">
            <w:pPr>
              <w:pStyle w:val="Tabletext"/>
              <w:suppressLineNumbers/>
            </w:pPr>
            <w:r w:rsidRPr="00B10382">
              <w:t>23 March 2015 (2015-067)</w:t>
            </w:r>
          </w:p>
        </w:tc>
      </w:tr>
      <w:tr w:rsidR="00904387" w:rsidRPr="00B10382" w:rsidTr="00904387">
        <w:trPr>
          <w:trHeight w:val="19"/>
        </w:trPr>
        <w:tc>
          <w:tcPr>
            <w:tcW w:w="2376" w:type="dxa"/>
            <w:tcBorders>
              <w:top w:val="single" w:sz="4" w:space="0" w:color="auto"/>
              <w:bottom w:val="single" w:sz="4" w:space="0" w:color="auto"/>
            </w:tcBorders>
          </w:tcPr>
          <w:p w:rsidR="00904387" w:rsidRPr="00B10382" w:rsidRDefault="00904387" w:rsidP="00904387">
            <w:pPr>
              <w:pStyle w:val="Heading2"/>
            </w:pPr>
            <w:r w:rsidRPr="00B10382">
              <w:t>Date request accepted</w:t>
            </w:r>
          </w:p>
        </w:tc>
        <w:tc>
          <w:tcPr>
            <w:tcW w:w="3796" w:type="dxa"/>
            <w:tcBorders>
              <w:top w:val="single" w:sz="4" w:space="0" w:color="auto"/>
              <w:bottom w:val="single" w:sz="4" w:space="0" w:color="auto"/>
            </w:tcBorders>
          </w:tcPr>
          <w:p w:rsidR="00904387" w:rsidRPr="00B10382" w:rsidRDefault="00904387" w:rsidP="009719F8">
            <w:pPr>
              <w:pStyle w:val="Tabletext"/>
              <w:suppressLineNumbers/>
            </w:pPr>
            <w:r w:rsidRPr="00B10382">
              <w:t>2</w:t>
            </w:r>
            <w:r w:rsidR="009719F8">
              <w:t>7</w:t>
            </w:r>
            <w:r w:rsidRPr="00B10382">
              <w:t xml:space="preserve"> February 2015 (2015-066)</w:t>
            </w:r>
          </w:p>
        </w:tc>
        <w:tc>
          <w:tcPr>
            <w:tcW w:w="3796" w:type="dxa"/>
            <w:tcBorders>
              <w:top w:val="single" w:sz="4" w:space="0" w:color="auto"/>
              <w:bottom w:val="single" w:sz="4" w:space="0" w:color="auto"/>
            </w:tcBorders>
          </w:tcPr>
          <w:p w:rsidR="00904387" w:rsidRPr="00B10382" w:rsidRDefault="00904387" w:rsidP="00904387">
            <w:pPr>
              <w:pStyle w:val="Tabletext"/>
              <w:suppressLineNumbers/>
            </w:pPr>
            <w:r w:rsidRPr="00B10382">
              <w:t>26 March 2015 (2015-067)</w:t>
            </w:r>
          </w:p>
        </w:tc>
      </w:tr>
      <w:tr w:rsidR="00904387" w:rsidRPr="00B10382" w:rsidTr="00904387">
        <w:trPr>
          <w:trHeight w:val="19"/>
        </w:trPr>
        <w:tc>
          <w:tcPr>
            <w:tcW w:w="2376" w:type="dxa"/>
            <w:tcBorders>
              <w:top w:val="single" w:sz="4" w:space="0" w:color="auto"/>
              <w:bottom w:val="single" w:sz="4" w:space="0" w:color="auto"/>
            </w:tcBorders>
          </w:tcPr>
          <w:p w:rsidR="00904387" w:rsidRPr="00B10382" w:rsidRDefault="00904387" w:rsidP="00904387">
            <w:pPr>
              <w:pStyle w:val="Heading2"/>
            </w:pPr>
            <w:r w:rsidRPr="00B10382">
              <w:t xml:space="preserve">Advice stage </w:t>
            </w:r>
          </w:p>
        </w:tc>
        <w:tc>
          <w:tcPr>
            <w:tcW w:w="7592" w:type="dxa"/>
            <w:gridSpan w:val="2"/>
            <w:tcBorders>
              <w:top w:val="single" w:sz="4" w:space="0" w:color="auto"/>
              <w:bottom w:val="single" w:sz="4" w:space="0" w:color="auto"/>
            </w:tcBorders>
          </w:tcPr>
          <w:p w:rsidR="00904387" w:rsidRPr="00B10382" w:rsidRDefault="00904387" w:rsidP="00904387">
            <w:pPr>
              <w:pStyle w:val="Tabletext"/>
              <w:suppressLineNumbers/>
              <w:rPr>
                <w:lang w:eastAsia="en-AU"/>
              </w:rPr>
            </w:pPr>
            <w:r w:rsidRPr="00B10382">
              <w:rPr>
                <w:lang w:eastAsia="en-AU"/>
              </w:rPr>
              <w:t>Approval</w:t>
            </w:r>
          </w:p>
        </w:tc>
      </w:tr>
    </w:tbl>
    <w:p w:rsidR="00C31C6D" w:rsidRPr="00B10382" w:rsidRDefault="00C31C6D" w:rsidP="00C31C6D">
      <w:pPr>
        <w:pStyle w:val="Heading3"/>
        <w:tabs>
          <w:tab w:val="left" w:pos="3765"/>
        </w:tabs>
      </w:pPr>
      <w:r w:rsidRPr="00B10382">
        <w:t>Context</w:t>
      </w:r>
      <w:r w:rsidR="00C231B8" w:rsidRPr="00B10382">
        <w:t xml:space="preserve"> </w:t>
      </w:r>
    </w:p>
    <w:p w:rsidR="00C31C6D" w:rsidRPr="00B10382" w:rsidRDefault="00C31C6D" w:rsidP="00C31C6D">
      <w:r w:rsidRPr="00B10382">
        <w:t xml:space="preserve">The Independent Expert Scientific Committee on Coal Seam Gas and Large Coal Mining Development (IESC) was requested by the Minister for the Environment on 26 February 2015 to provide advice on the Watermark Coal Project proposed by </w:t>
      </w:r>
      <w:proofErr w:type="spellStart"/>
      <w:r w:rsidRPr="00B10382">
        <w:t>Shenhua</w:t>
      </w:r>
      <w:proofErr w:type="spellEnd"/>
      <w:r w:rsidRPr="00B10382">
        <w:t xml:space="preserve"> Watermark Coal Pty Ltd in New South Wales</w:t>
      </w:r>
      <w:r w:rsidR="00E47A38" w:rsidRPr="00B10382">
        <w:t>, which is addressed in this advice IESC 2015-066</w:t>
      </w:r>
      <w:r w:rsidRPr="00B10382">
        <w:t xml:space="preserve">. </w:t>
      </w:r>
      <w:r w:rsidR="00CB0AE3" w:rsidRPr="00B10382">
        <w:t>On 23 March 2015, t</w:t>
      </w:r>
      <w:r w:rsidRPr="00B10382">
        <w:t>he Minister requested further advice in relation to questions raised by the community</w:t>
      </w:r>
      <w:r w:rsidR="00E47A38" w:rsidRPr="00B10382">
        <w:t xml:space="preserve">, which is addressed in </w:t>
      </w:r>
      <w:r w:rsidR="008823DA" w:rsidRPr="00B10382">
        <w:t>IESC advice 2015-067 (</w:t>
      </w:r>
      <w:r w:rsidR="00E47A38" w:rsidRPr="00B10382">
        <w:rPr>
          <w:u w:val="single"/>
        </w:rPr>
        <w:t>Attachment A</w:t>
      </w:r>
      <w:r w:rsidR="008823DA" w:rsidRPr="00B10382">
        <w:t>)</w:t>
      </w:r>
      <w:r w:rsidR="006015F9" w:rsidRPr="00B10382">
        <w:t xml:space="preserve"> and </w:t>
      </w:r>
      <w:r w:rsidR="009969EE" w:rsidRPr="00B10382">
        <w:t xml:space="preserve">should be read in conjunction with </w:t>
      </w:r>
      <w:r w:rsidR="006015F9" w:rsidRPr="00B10382">
        <w:t>this advice IESC 2015-066</w:t>
      </w:r>
      <w:r w:rsidRPr="00B10382">
        <w:t xml:space="preserve">. The requests were published by the Commonwealth regulator and are </w:t>
      </w:r>
      <w:r w:rsidR="00CB0AE3" w:rsidRPr="00B10382">
        <w:t>public</w:t>
      </w:r>
      <w:r w:rsidRPr="00B10382">
        <w:t xml:space="preserve">ly available </w:t>
      </w:r>
      <w:r w:rsidR="00E47A38" w:rsidRPr="00B10382">
        <w:t xml:space="preserve">by searching </w:t>
      </w:r>
      <w:proofErr w:type="gramStart"/>
      <w:r w:rsidR="00E47A38" w:rsidRPr="00B10382">
        <w:t>for</w:t>
      </w:r>
      <w:proofErr w:type="gramEnd"/>
      <w:r w:rsidR="00E47A38" w:rsidRPr="00B10382">
        <w:t xml:space="preserve"> EPBC 2011/6201 under the ‘referrals’ page at www.environment.gov.au/node/18622.</w:t>
      </w:r>
    </w:p>
    <w:p w:rsidR="00C31C6D" w:rsidRPr="00B10382" w:rsidRDefault="00C31C6D" w:rsidP="00C31C6D">
      <w:r w:rsidRPr="00B10382">
        <w:t xml:space="preserve">The IESC </w:t>
      </w:r>
      <w:r w:rsidR="000D1B71" w:rsidRPr="00B10382">
        <w:t xml:space="preserve">previously </w:t>
      </w:r>
      <w:r w:rsidRPr="00B10382">
        <w:t xml:space="preserve">provided advice on the proposed project to the former Commonwealth Department of Sustainability, Environment, Water, Population and Communities on 27 May </w:t>
      </w:r>
      <w:r w:rsidR="003A5484" w:rsidRPr="00B10382">
        <w:t>2013</w:t>
      </w:r>
      <w:r w:rsidRPr="00B10382">
        <w:t xml:space="preserve"> (</w:t>
      </w:r>
      <w:r w:rsidR="003A5484" w:rsidRPr="00B10382">
        <w:t>IESC 2013-023</w:t>
      </w:r>
      <w:r w:rsidRPr="00B10382">
        <w:t xml:space="preserve">; see </w:t>
      </w:r>
      <w:r w:rsidRPr="00B10382">
        <w:rPr>
          <w:u w:val="single"/>
        </w:rPr>
        <w:t>Attachment </w:t>
      </w:r>
      <w:r w:rsidR="00E47A38" w:rsidRPr="00B10382">
        <w:rPr>
          <w:u w:val="single"/>
        </w:rPr>
        <w:t>B</w:t>
      </w:r>
      <w:r w:rsidR="00CB0AE3" w:rsidRPr="00B10382">
        <w:t xml:space="preserve">). </w:t>
      </w:r>
      <w:r w:rsidRPr="00B10382">
        <w:t xml:space="preserve">In developing </w:t>
      </w:r>
      <w:r w:rsidR="00167303" w:rsidRPr="00B10382">
        <w:t xml:space="preserve">these </w:t>
      </w:r>
      <w:r w:rsidR="00AE4032" w:rsidRPr="00B10382">
        <w:t xml:space="preserve">new </w:t>
      </w:r>
      <w:r w:rsidR="00167303" w:rsidRPr="00B10382">
        <w:t>advices</w:t>
      </w:r>
      <w:r w:rsidRPr="00B10382">
        <w:t xml:space="preserve"> </w:t>
      </w:r>
      <w:r w:rsidR="00C06B4B" w:rsidRPr="00B10382">
        <w:t>(IESC 2015-066</w:t>
      </w:r>
      <w:r w:rsidR="00C231B8" w:rsidRPr="00B10382">
        <w:t xml:space="preserve"> and IESC</w:t>
      </w:r>
      <w:r w:rsidR="002D1A22" w:rsidRPr="00B10382">
        <w:t> </w:t>
      </w:r>
      <w:r w:rsidR="00C231B8" w:rsidRPr="00B10382">
        <w:t>2015-067</w:t>
      </w:r>
      <w:r w:rsidR="00C06B4B" w:rsidRPr="00B10382">
        <w:t xml:space="preserve">) </w:t>
      </w:r>
      <w:r w:rsidRPr="00B10382">
        <w:t>the IESC has considered additional information including the proponent’s response</w:t>
      </w:r>
      <w:r w:rsidR="00AE4032" w:rsidRPr="00B10382">
        <w:t xml:space="preserve"> (Hansen Bailey, 2013c)</w:t>
      </w:r>
      <w:r w:rsidRPr="00B10382">
        <w:t xml:space="preserve"> </w:t>
      </w:r>
      <w:r w:rsidR="00AE4032" w:rsidRPr="00B10382">
        <w:t>to the earlier advice of the IESC on the proposed project (IESC 2013-023).</w:t>
      </w:r>
      <w:r w:rsidR="00AE4032" w:rsidRPr="00B10382" w:rsidDel="00AE4032">
        <w:t xml:space="preserve"> </w:t>
      </w:r>
      <w:r w:rsidR="00EB2C3F" w:rsidRPr="00B10382">
        <w:t>In January 2015, t</w:t>
      </w:r>
      <w:r w:rsidR="000D1B71" w:rsidRPr="00B10382">
        <w:t xml:space="preserve">he project was approved with conditions by the New South Wales Planning Assessment Commission (PAC). </w:t>
      </w:r>
      <w:r w:rsidRPr="00B10382">
        <w:t>The review and determinat</w:t>
      </w:r>
      <w:r w:rsidR="005E3A8A" w:rsidRPr="00B10382">
        <w:t xml:space="preserve">ion reports prepared by the PAC, the assessment reports prepared by the </w:t>
      </w:r>
      <w:r w:rsidRPr="00B10382">
        <w:t>New South Wales Department of Planning</w:t>
      </w:r>
      <w:r w:rsidR="00972575" w:rsidRPr="00B10382">
        <w:t xml:space="preserve"> and Environment </w:t>
      </w:r>
      <w:r w:rsidR="00082592" w:rsidRPr="00B10382">
        <w:t xml:space="preserve">(DPE) </w:t>
      </w:r>
      <w:r w:rsidRPr="00B10382">
        <w:t xml:space="preserve">and relevant available analyses </w:t>
      </w:r>
      <w:r w:rsidR="00C231B8" w:rsidRPr="00B10382">
        <w:t>have also been</w:t>
      </w:r>
      <w:r w:rsidRPr="00B10382">
        <w:t xml:space="preserve"> considered</w:t>
      </w:r>
      <w:r w:rsidR="00EB2C3F" w:rsidRPr="00B10382">
        <w:t xml:space="preserve"> in preparing these advices</w:t>
      </w:r>
      <w:r w:rsidRPr="00B10382">
        <w:t xml:space="preserve">. The project assessment documentation and additional </w:t>
      </w:r>
      <w:r w:rsidR="00CB0AE3" w:rsidRPr="00B10382">
        <w:t xml:space="preserve">published </w:t>
      </w:r>
      <w:r w:rsidRPr="00B10382">
        <w:t xml:space="preserve">information accessed by the IESC are listed in the source documentation at the end of </w:t>
      </w:r>
      <w:r w:rsidR="00B2100F" w:rsidRPr="00B10382">
        <w:t xml:space="preserve">IESC advice </w:t>
      </w:r>
      <w:r w:rsidR="00F70888" w:rsidRPr="00B10382">
        <w:t>2015-067 (</w:t>
      </w:r>
      <w:r w:rsidR="00F70888" w:rsidRPr="00B10382">
        <w:rPr>
          <w:u w:val="single"/>
        </w:rPr>
        <w:t>Attachment A</w:t>
      </w:r>
      <w:r w:rsidR="00F70888" w:rsidRPr="00B10382">
        <w:t>)</w:t>
      </w:r>
      <w:r w:rsidRPr="00B10382">
        <w:t>.</w:t>
      </w:r>
    </w:p>
    <w:p w:rsidR="00C31C6D" w:rsidRPr="00B10382" w:rsidRDefault="00C31C6D" w:rsidP="00C31C6D">
      <w:r w:rsidRPr="00B10382">
        <w:t xml:space="preserve">The proposed project is a new open cut coal mine and associated facilities located west of Breeza, 35 kilometres south-west of Gunnedah on the Liverpool Plains in the Namoi Valley. Coking and thermal coal would be extracted from the </w:t>
      </w:r>
      <w:proofErr w:type="spellStart"/>
      <w:r w:rsidRPr="00B10382">
        <w:t>Hoskissons</w:t>
      </w:r>
      <w:proofErr w:type="spellEnd"/>
      <w:r w:rsidRPr="00B10382">
        <w:t xml:space="preserve"> and </w:t>
      </w:r>
      <w:proofErr w:type="spellStart"/>
      <w:r w:rsidRPr="00B10382">
        <w:t>Melvilles</w:t>
      </w:r>
      <w:proofErr w:type="spellEnd"/>
      <w:r w:rsidRPr="00B10382">
        <w:t xml:space="preserve"> coal seams of the Permian Black Jack Group within the Gunnedah Basin at a rate of up to 10 </w:t>
      </w:r>
      <w:r w:rsidR="004036FE" w:rsidRPr="00B10382">
        <w:t>million tonnes per annum of run-of-</w:t>
      </w:r>
      <w:r w:rsidRPr="00B10382">
        <w:t>mine coal for a period of 30 years.</w:t>
      </w:r>
    </w:p>
    <w:p w:rsidR="00167303" w:rsidRPr="00B10382" w:rsidRDefault="00904387" w:rsidP="00EF3C2F">
      <w:pPr>
        <w:pStyle w:val="Heading3"/>
        <w:keepNext/>
      </w:pPr>
      <w:r w:rsidRPr="00B10382">
        <w:lastRenderedPageBreak/>
        <w:t xml:space="preserve">IESC 2015-066 </w:t>
      </w:r>
      <w:r w:rsidR="00167303" w:rsidRPr="00B10382">
        <w:t xml:space="preserve">Advice </w:t>
      </w:r>
    </w:p>
    <w:p w:rsidR="00C31C6D" w:rsidRPr="00B10382" w:rsidRDefault="00C31C6D" w:rsidP="00C31C6D">
      <w:pPr>
        <w:pStyle w:val="Default"/>
        <w:spacing w:after="200" w:line="276" w:lineRule="auto"/>
        <w:rPr>
          <w:rFonts w:ascii="Arial" w:eastAsia="Times New Roman" w:hAnsi="Arial" w:cs="Arial"/>
          <w:color w:val="auto"/>
          <w:sz w:val="20"/>
          <w:szCs w:val="20"/>
          <w:lang w:eastAsia="en-US"/>
        </w:rPr>
      </w:pPr>
      <w:r w:rsidRPr="00B10382">
        <w:rPr>
          <w:rFonts w:ascii="Arial" w:eastAsia="Times New Roman" w:hAnsi="Arial" w:cs="Arial"/>
          <w:color w:val="auto"/>
          <w:sz w:val="20"/>
          <w:szCs w:val="20"/>
          <w:lang w:eastAsia="en-US"/>
        </w:rPr>
        <w:t>The IESC’s advice, in response to the Minister’s specific questions</w:t>
      </w:r>
      <w:r w:rsidR="006A0AAB" w:rsidRPr="00B10382">
        <w:rPr>
          <w:rFonts w:ascii="Arial" w:eastAsia="Times New Roman" w:hAnsi="Arial" w:cs="Arial"/>
          <w:color w:val="auto"/>
          <w:sz w:val="20"/>
          <w:szCs w:val="20"/>
          <w:lang w:eastAsia="en-US"/>
        </w:rPr>
        <w:t xml:space="preserve"> of</w:t>
      </w:r>
      <w:r w:rsidR="00C231B8" w:rsidRPr="00B10382">
        <w:rPr>
          <w:rFonts w:ascii="Arial" w:eastAsia="Times New Roman" w:hAnsi="Arial" w:cs="Arial"/>
          <w:color w:val="auto"/>
          <w:sz w:val="20"/>
          <w:szCs w:val="20"/>
          <w:lang w:eastAsia="en-US"/>
        </w:rPr>
        <w:t xml:space="preserve"> 26 February 2015</w:t>
      </w:r>
      <w:r w:rsidR="002862F3" w:rsidRPr="00B10382">
        <w:rPr>
          <w:rFonts w:ascii="Arial" w:eastAsia="Times New Roman" w:hAnsi="Arial" w:cs="Arial"/>
          <w:color w:val="auto"/>
          <w:sz w:val="20"/>
          <w:szCs w:val="20"/>
          <w:lang w:eastAsia="en-US"/>
        </w:rPr>
        <w:t>,</w:t>
      </w:r>
      <w:r w:rsidRPr="00B10382">
        <w:rPr>
          <w:rFonts w:ascii="Arial" w:eastAsia="Times New Roman" w:hAnsi="Arial" w:cs="Arial"/>
          <w:color w:val="auto"/>
          <w:sz w:val="20"/>
          <w:szCs w:val="20"/>
          <w:lang w:eastAsia="en-US"/>
        </w:rPr>
        <w:t xml:space="preserve"> is provided below. </w:t>
      </w:r>
    </w:p>
    <w:p w:rsidR="00C31C6D" w:rsidRPr="00B10382" w:rsidRDefault="00C31C6D" w:rsidP="00C31C6D">
      <w:pPr>
        <w:pStyle w:val="Question"/>
      </w:pPr>
      <w:r w:rsidRPr="00B10382">
        <w:t>Question 1: Following consideration of the listed documentation, would the IESC make any revisions to their previous advice? Including, but not limited to:</w:t>
      </w:r>
    </w:p>
    <w:p w:rsidR="00C31C6D" w:rsidRPr="00B10382" w:rsidRDefault="00C31C6D" w:rsidP="00C31C6D">
      <w:pPr>
        <w:pStyle w:val="Question"/>
      </w:pPr>
      <w:r w:rsidRPr="00B10382">
        <w:t xml:space="preserve">a) </w:t>
      </w:r>
      <w:proofErr w:type="gramStart"/>
      <w:r w:rsidRPr="00B10382">
        <w:t>the</w:t>
      </w:r>
      <w:proofErr w:type="gramEnd"/>
      <w:r w:rsidRPr="00B10382">
        <w:t xml:space="preserve"> groundwater modelling predictions over time; and</w:t>
      </w:r>
    </w:p>
    <w:p w:rsidR="00C31C6D" w:rsidRPr="00B10382" w:rsidRDefault="00C31C6D" w:rsidP="00C31C6D">
      <w:pPr>
        <w:pStyle w:val="Question"/>
        <w:rPr>
          <w:lang w:eastAsia="en-AU"/>
        </w:rPr>
      </w:pPr>
      <w:r w:rsidRPr="00B10382">
        <w:t xml:space="preserve">b) </w:t>
      </w:r>
      <w:proofErr w:type="gramStart"/>
      <w:r w:rsidRPr="00B10382">
        <w:t>the</w:t>
      </w:r>
      <w:proofErr w:type="gramEnd"/>
      <w:r w:rsidRPr="00B10382">
        <w:t xml:space="preserve"> conclusions drawn with regard to the assessment of impacts to groundwater dependent ecosystems; and what consequences could result if impacts extend beyond that predicted, particularly in regards to EPBC-listed ecological communities in the area.</w:t>
      </w:r>
    </w:p>
    <w:p w:rsidR="00C31C6D" w:rsidRPr="00B10382" w:rsidRDefault="00C31C6D" w:rsidP="00C31C6D">
      <w:pPr>
        <w:pStyle w:val="Heading4"/>
      </w:pPr>
      <w:r w:rsidRPr="00B10382">
        <w:t>Response</w:t>
      </w:r>
    </w:p>
    <w:p w:rsidR="00FD56A1" w:rsidRPr="00B10382" w:rsidRDefault="00FD56A1" w:rsidP="00383963">
      <w:pPr>
        <w:pStyle w:val="ListNumber"/>
      </w:pPr>
      <w:r w:rsidRPr="00B10382">
        <w:t xml:space="preserve">Yes. A number of the </w:t>
      </w:r>
      <w:r w:rsidR="004A592B" w:rsidRPr="00B10382">
        <w:t xml:space="preserve">matters </w:t>
      </w:r>
      <w:proofErr w:type="gramStart"/>
      <w:r w:rsidRPr="00B10382">
        <w:t>raised</w:t>
      </w:r>
      <w:proofErr w:type="gramEnd"/>
      <w:r w:rsidRPr="00B10382">
        <w:t xml:space="preserve"> in </w:t>
      </w:r>
      <w:r w:rsidR="00117B6A" w:rsidRPr="00B10382">
        <w:t>IESC 2013-023</w:t>
      </w:r>
      <w:r w:rsidRPr="00B10382">
        <w:t xml:space="preserve"> have been examined or explained in the additional information including the groundwater conceptualisation, </w:t>
      </w:r>
      <w:r w:rsidR="003176B6" w:rsidRPr="00B10382">
        <w:t>influence</w:t>
      </w:r>
      <w:r w:rsidRPr="00B10382">
        <w:t xml:space="preserve"> of faults and sensitivity analysis of the water balance modelling. </w:t>
      </w:r>
      <w:r w:rsidR="006140B6" w:rsidRPr="00B10382">
        <w:t>However</w:t>
      </w:r>
      <w:r w:rsidR="00422E93" w:rsidRPr="00B10382">
        <w:t xml:space="preserve"> t</w:t>
      </w:r>
      <w:r w:rsidRPr="00B10382">
        <w:t xml:space="preserve">here remain some information gaps which need to be </w:t>
      </w:r>
      <w:r w:rsidR="00670B4E" w:rsidRPr="00B10382">
        <w:t>addressed</w:t>
      </w:r>
      <w:r w:rsidRPr="00B10382">
        <w:t>.</w:t>
      </w:r>
    </w:p>
    <w:p w:rsidR="00FD56A1" w:rsidRPr="00B10382" w:rsidRDefault="00B2100F" w:rsidP="008823DA">
      <w:pPr>
        <w:pStyle w:val="ListNumber2"/>
      </w:pPr>
      <w:r w:rsidRPr="00B10382">
        <w:t>In relation to</w:t>
      </w:r>
      <w:r w:rsidR="00DD276A" w:rsidRPr="00B10382">
        <w:t xml:space="preserve"> numerical</w:t>
      </w:r>
      <w:r w:rsidRPr="00B10382">
        <w:t xml:space="preserve"> groundwater modelling predictions, t</w:t>
      </w:r>
      <w:r w:rsidR="00FD56A1" w:rsidRPr="00B10382">
        <w:t xml:space="preserve">he source documentation is </w:t>
      </w:r>
      <w:r w:rsidR="00AE4032" w:rsidRPr="00B10382">
        <w:t xml:space="preserve">considered to be </w:t>
      </w:r>
      <w:r w:rsidR="00FD56A1" w:rsidRPr="00B10382">
        <w:t>sufficiently robust to draw conclusions as to the most likely impacts on the Upper Namoi Alluvium, particularly the Gunnedah Formation, at a regional scale.</w:t>
      </w:r>
      <w:r w:rsidR="004A049E" w:rsidRPr="00B10382">
        <w:t xml:space="preserve"> If the proposed project is approved</w:t>
      </w:r>
      <w:r w:rsidR="00FD56A1" w:rsidRPr="00B10382">
        <w:t xml:space="preserve">, </w:t>
      </w:r>
      <w:r w:rsidR="001901D8" w:rsidRPr="00B10382">
        <w:t xml:space="preserve">additional monitoring and </w:t>
      </w:r>
      <w:r w:rsidR="002D1A22" w:rsidRPr="00B10382">
        <w:t>finer-scale</w:t>
      </w:r>
      <w:r w:rsidR="00FD56A1" w:rsidRPr="00B10382">
        <w:t xml:space="preserve"> groundwater modelling </w:t>
      </w:r>
      <w:r w:rsidR="00D2397B" w:rsidRPr="00B10382">
        <w:t>should be undertaken</w:t>
      </w:r>
      <w:r w:rsidR="00FD56A1" w:rsidRPr="00B10382">
        <w:t xml:space="preserve"> </w:t>
      </w:r>
      <w:r w:rsidR="009969EE" w:rsidRPr="00B10382">
        <w:t>as mining progresses</w:t>
      </w:r>
      <w:r w:rsidR="004A049E" w:rsidRPr="00B10382">
        <w:t xml:space="preserve"> </w:t>
      </w:r>
      <w:r w:rsidR="00FD56A1" w:rsidRPr="00B10382">
        <w:t xml:space="preserve">to improve confidence in predictions </w:t>
      </w:r>
      <w:r w:rsidR="00BA08C9" w:rsidRPr="00B10382">
        <w:t xml:space="preserve">and support </w:t>
      </w:r>
      <w:r w:rsidR="00865B3F" w:rsidRPr="00B10382">
        <w:t>clear identification</w:t>
      </w:r>
      <w:r w:rsidR="00AE4032" w:rsidRPr="00B10382">
        <w:t xml:space="preserve"> </w:t>
      </w:r>
      <w:r w:rsidR="006A4DF5" w:rsidRPr="00B10382">
        <w:t>and response to</w:t>
      </w:r>
      <w:r w:rsidR="00BA08C9" w:rsidRPr="00B10382">
        <w:t xml:space="preserve"> mine</w:t>
      </w:r>
      <w:r w:rsidR="00431B80" w:rsidRPr="00B10382">
        <w:t>-</w:t>
      </w:r>
      <w:r w:rsidR="00BA08C9" w:rsidRPr="00B10382">
        <w:t xml:space="preserve">induced impacts </w:t>
      </w:r>
      <w:r w:rsidR="00FD56A1" w:rsidRPr="00B10382">
        <w:t>at a local scale.</w:t>
      </w:r>
      <w:r w:rsidR="00AE4032" w:rsidRPr="00B10382">
        <w:t xml:space="preserve"> </w:t>
      </w:r>
      <w:r w:rsidR="007C04F2" w:rsidRPr="00B10382">
        <w:t>Calibration and validation of the finer-scale models</w:t>
      </w:r>
      <w:r w:rsidR="001D7D45" w:rsidRPr="00B10382">
        <w:t xml:space="preserve"> would</w:t>
      </w:r>
      <w:r w:rsidR="001771D6" w:rsidRPr="00B10382">
        <w:t xml:space="preserve"> only </w:t>
      </w:r>
      <w:r w:rsidR="00053F4A" w:rsidRPr="00B10382">
        <w:t xml:space="preserve">be </w:t>
      </w:r>
      <w:r w:rsidR="001771D6" w:rsidRPr="00B10382">
        <w:t xml:space="preserve">feasible </w:t>
      </w:r>
      <w:r w:rsidR="00053F4A" w:rsidRPr="00B10382">
        <w:t xml:space="preserve">with </w:t>
      </w:r>
      <w:r w:rsidR="001771D6" w:rsidRPr="00B10382">
        <w:t>observ</w:t>
      </w:r>
      <w:r w:rsidR="00053F4A" w:rsidRPr="00B10382">
        <w:t>ations of</w:t>
      </w:r>
      <w:r w:rsidR="001771D6" w:rsidRPr="00B10382">
        <w:t xml:space="preserve"> the actual responses of the local </w:t>
      </w:r>
      <w:r w:rsidR="00CC2873" w:rsidRPr="00B10382">
        <w:t xml:space="preserve">groundwater </w:t>
      </w:r>
      <w:r w:rsidR="001771D6" w:rsidRPr="00B10382">
        <w:t xml:space="preserve">system to the </w:t>
      </w:r>
      <w:r w:rsidR="001D7D45" w:rsidRPr="00B10382">
        <w:t>proposed project</w:t>
      </w:r>
      <w:r w:rsidR="001771D6" w:rsidRPr="00B10382">
        <w:t>.</w:t>
      </w:r>
    </w:p>
    <w:p w:rsidR="00B2100F" w:rsidRPr="00B10382" w:rsidRDefault="00B2100F" w:rsidP="008823DA">
      <w:pPr>
        <w:pStyle w:val="ListNumber2"/>
      </w:pPr>
      <w:r w:rsidRPr="00B10382">
        <w:t>In relation to conclusions drawn with regard to the assessment of impacts to groundwater dependent ecosystems (GDEs), th</w:t>
      </w:r>
      <w:r w:rsidR="004025F7" w:rsidRPr="00B10382">
        <w:t xml:space="preserve">ere remains an unassessed risk to </w:t>
      </w:r>
      <w:r w:rsidRPr="00B10382">
        <w:t>GDE</w:t>
      </w:r>
      <w:r w:rsidR="008035FA" w:rsidRPr="00B10382">
        <w:t>s</w:t>
      </w:r>
      <w:r w:rsidRPr="00B10382">
        <w:t xml:space="preserve"> </w:t>
      </w:r>
      <w:r w:rsidR="004025F7" w:rsidRPr="00B10382">
        <w:t xml:space="preserve">within the groundwater drawdown extent </w:t>
      </w:r>
      <w:r w:rsidR="00942F21" w:rsidRPr="00B10382">
        <w:t xml:space="preserve">where groundwater is less than </w:t>
      </w:r>
      <w:r w:rsidR="004025F7" w:rsidRPr="00B10382">
        <w:t>20 m below the surface</w:t>
      </w:r>
      <w:r w:rsidR="006140B6" w:rsidRPr="00B10382">
        <w:t>.</w:t>
      </w:r>
      <w:r w:rsidR="00B23EC7" w:rsidRPr="00B10382">
        <w:t xml:space="preserve"> </w:t>
      </w:r>
      <w:r w:rsidR="00431B80" w:rsidRPr="00B10382">
        <w:t xml:space="preserve">Potential impacts to GDEs have been ruled out by the proponent as the </w:t>
      </w:r>
      <w:r w:rsidR="00AE4032" w:rsidRPr="00B10382">
        <w:t xml:space="preserve">ecological </w:t>
      </w:r>
      <w:r w:rsidR="00431B80" w:rsidRPr="00B10382">
        <w:t xml:space="preserve">communities considered were </w:t>
      </w:r>
      <w:r w:rsidR="008035FA" w:rsidRPr="00B10382">
        <w:t xml:space="preserve">deemed </w:t>
      </w:r>
      <w:r w:rsidR="00431B80" w:rsidRPr="00B10382">
        <w:t xml:space="preserve">not wholly dependent on groundwater. </w:t>
      </w:r>
      <w:r w:rsidR="002D5CC3" w:rsidRPr="00B10382">
        <w:t>However, by definition</w:t>
      </w:r>
      <w:r w:rsidR="002C5584" w:rsidRPr="00B10382">
        <w:t xml:space="preserve"> (Richardson et al., 2011)</w:t>
      </w:r>
      <w:r w:rsidR="002D5CC3" w:rsidRPr="00B10382">
        <w:t>,</w:t>
      </w:r>
      <w:r w:rsidR="008035FA" w:rsidRPr="00B10382">
        <w:t xml:space="preserve"> </w:t>
      </w:r>
      <w:r w:rsidR="00431B80" w:rsidRPr="00B10382">
        <w:t xml:space="preserve">GDEs include ecosystems that opportunistically use groundwater and potential impacts should be considered for all GDEs. </w:t>
      </w:r>
    </w:p>
    <w:p w:rsidR="004025F7" w:rsidRPr="00B10382" w:rsidRDefault="004025F7" w:rsidP="008823DA">
      <w:pPr>
        <w:pStyle w:val="ListNumber2"/>
      </w:pPr>
      <w:r w:rsidRPr="00B10382">
        <w:t xml:space="preserve">It is considered unlikely that groundwater drawdown will extend beyond that predicted in </w:t>
      </w:r>
      <w:r w:rsidR="001A766F" w:rsidRPr="00B10382">
        <w:t xml:space="preserve">the </w:t>
      </w:r>
      <w:r w:rsidRPr="00B10382">
        <w:t xml:space="preserve">sensitivity and uncertainty analyses in the </w:t>
      </w:r>
      <w:r w:rsidR="00C06B4B" w:rsidRPr="00B10382">
        <w:t xml:space="preserve">Environmental Impact Statement (Hansen Bailey, 2013a; </w:t>
      </w:r>
      <w:r w:rsidRPr="00B10382">
        <w:t>EIS</w:t>
      </w:r>
      <w:r w:rsidR="00C06B4B" w:rsidRPr="00B10382">
        <w:t>)</w:t>
      </w:r>
      <w:r w:rsidRPr="00B10382">
        <w:t xml:space="preserve">. </w:t>
      </w:r>
      <w:r w:rsidR="00670B4E" w:rsidRPr="00B10382">
        <w:t xml:space="preserve">Although </w:t>
      </w:r>
      <w:r w:rsidR="00250A54" w:rsidRPr="00B10382">
        <w:t>considered unlikely, if</w:t>
      </w:r>
      <w:r w:rsidRPr="00B10382">
        <w:t xml:space="preserve"> </w:t>
      </w:r>
      <w:r w:rsidR="003176B6" w:rsidRPr="00B10382">
        <w:t>drawdown</w:t>
      </w:r>
      <w:r w:rsidRPr="00B10382">
        <w:t xml:space="preserve"> impacts were to extend further than predicted, </w:t>
      </w:r>
      <w:r w:rsidR="00140BD8" w:rsidRPr="00B10382">
        <w:t xml:space="preserve">direct and indirect </w:t>
      </w:r>
      <w:r w:rsidR="00B2100F" w:rsidRPr="00B10382">
        <w:t>consequences</w:t>
      </w:r>
      <w:r w:rsidRPr="00B10382">
        <w:t xml:space="preserve"> to GDEs, including EPBC-listed </w:t>
      </w:r>
      <w:r w:rsidR="00AE4032" w:rsidRPr="00B10382">
        <w:t xml:space="preserve">ecological </w:t>
      </w:r>
      <w:r w:rsidRPr="00B10382">
        <w:t>communities</w:t>
      </w:r>
      <w:r w:rsidR="00140BD8" w:rsidRPr="00B10382">
        <w:t xml:space="preserve"> (such as </w:t>
      </w:r>
      <w:r w:rsidR="001A766F" w:rsidRPr="00B10382">
        <w:t>White Box</w:t>
      </w:r>
      <w:r w:rsidR="002D1A22" w:rsidRPr="00B10382">
        <w:t>-</w:t>
      </w:r>
      <w:r w:rsidR="001A766F" w:rsidRPr="00B10382">
        <w:t>Yellow Box</w:t>
      </w:r>
      <w:r w:rsidR="002D1A22" w:rsidRPr="00B10382">
        <w:t>-</w:t>
      </w:r>
      <w:r w:rsidR="001A766F" w:rsidRPr="00B10382">
        <w:t>Blakely’s Red Gum Grassy Woodland and Derived Native Grassland</w:t>
      </w:r>
      <w:r w:rsidR="00F5269F" w:rsidRPr="00B10382">
        <w:t>)</w:t>
      </w:r>
      <w:r w:rsidRPr="00B10382">
        <w:t xml:space="preserve"> remain uncertain</w:t>
      </w:r>
      <w:r w:rsidR="00AD6A7E" w:rsidRPr="00B10382">
        <w:t xml:space="preserve"> </w:t>
      </w:r>
      <w:r w:rsidRPr="00B10382">
        <w:t xml:space="preserve">as GDEs </w:t>
      </w:r>
      <w:r w:rsidR="007822AD" w:rsidRPr="00B10382">
        <w:t xml:space="preserve">have not been </w:t>
      </w:r>
      <w:r w:rsidR="00AE4032" w:rsidRPr="00B10382">
        <w:t xml:space="preserve">surveyed </w:t>
      </w:r>
      <w:r w:rsidRPr="00B10382">
        <w:t>and vegetation mapping ha</w:t>
      </w:r>
      <w:r w:rsidR="007822AD" w:rsidRPr="00B10382">
        <w:t>s</w:t>
      </w:r>
      <w:r w:rsidRPr="00B10382">
        <w:t xml:space="preserve"> not been provided outside the proposed project boundary. </w:t>
      </w:r>
    </w:p>
    <w:p w:rsidR="00C31C6D" w:rsidRPr="00B10382" w:rsidRDefault="00C31C6D" w:rsidP="00C31C6D">
      <w:pPr>
        <w:pStyle w:val="Heading4"/>
      </w:pPr>
      <w:r w:rsidRPr="00B10382">
        <w:t>Explanation</w:t>
      </w:r>
    </w:p>
    <w:p w:rsidR="00FD56A1" w:rsidRPr="00B10382" w:rsidRDefault="00FD56A1" w:rsidP="00383963">
      <w:pPr>
        <w:pStyle w:val="ListNumber"/>
      </w:pPr>
      <w:r w:rsidRPr="00B10382">
        <w:t xml:space="preserve">The matters from </w:t>
      </w:r>
      <w:r w:rsidR="00117B6A" w:rsidRPr="00B10382">
        <w:t>IESC 2013-023</w:t>
      </w:r>
      <w:r w:rsidRPr="00B10382">
        <w:t xml:space="preserve"> listed below have been responded to or </w:t>
      </w:r>
      <w:r w:rsidR="00CC2873" w:rsidRPr="00B10382">
        <w:t>are</w:t>
      </w:r>
      <w:r w:rsidR="00AE4032" w:rsidRPr="00B10382">
        <w:t xml:space="preserve"> expected to be</w:t>
      </w:r>
      <w:r w:rsidRPr="00B10382">
        <w:t xml:space="preserve"> addressed through the implementation of</w:t>
      </w:r>
      <w:r w:rsidR="007C29EC" w:rsidRPr="00B10382">
        <w:t xml:space="preserve"> NSW Government</w:t>
      </w:r>
      <w:r w:rsidRPr="00B10382">
        <w:t xml:space="preserve"> consent conditions</w:t>
      </w:r>
      <w:r w:rsidR="001D2638" w:rsidRPr="00B10382">
        <w:t xml:space="preserve"> (PAC, 2015)</w:t>
      </w:r>
      <w:r w:rsidR="005E423F" w:rsidRPr="00B10382">
        <w:t>.</w:t>
      </w:r>
    </w:p>
    <w:p w:rsidR="00FD56A1" w:rsidRPr="00B10382" w:rsidRDefault="005E423F" w:rsidP="00FD56A1">
      <w:pPr>
        <w:pStyle w:val="ListNumber2"/>
      </w:pPr>
      <w:r w:rsidRPr="00B10382">
        <w:t>W</w:t>
      </w:r>
      <w:r w:rsidR="00FD56A1" w:rsidRPr="00B10382">
        <w:t xml:space="preserve">ater quantity impacts at a regional scale have been </w:t>
      </w:r>
      <w:r w:rsidR="00053F4A" w:rsidRPr="00B10382">
        <w:t>assessed in the context of</w:t>
      </w:r>
      <w:r w:rsidR="00954330" w:rsidRPr="00B10382">
        <w:t xml:space="preserve"> </w:t>
      </w:r>
      <w:r w:rsidR="00FD56A1" w:rsidRPr="00B10382">
        <w:t xml:space="preserve">water licensing and extraction limits defined in water sharing plans, which </w:t>
      </w:r>
      <w:r w:rsidR="00CB0AE3" w:rsidRPr="00B10382">
        <w:t>the NSW regulator uses as</w:t>
      </w:r>
      <w:r w:rsidR="00FD56A1" w:rsidRPr="00B10382">
        <w:t xml:space="preserve"> an alternative approach to undertaking regional water balance modelling</w:t>
      </w:r>
      <w:r w:rsidRPr="00B10382">
        <w:t>.</w:t>
      </w:r>
    </w:p>
    <w:p w:rsidR="00FD56A1" w:rsidRPr="00B10382" w:rsidRDefault="005E423F" w:rsidP="00FD56A1">
      <w:pPr>
        <w:pStyle w:val="ListNumber2"/>
      </w:pPr>
      <w:r w:rsidRPr="00B10382">
        <w:lastRenderedPageBreak/>
        <w:t>T</w:t>
      </w:r>
      <w:r w:rsidR="00BB4E90" w:rsidRPr="00B10382">
        <w:t xml:space="preserve">he predicted salt loads from the proposed project are likely to have a negligible impact on salinity at a regional scale </w:t>
      </w:r>
      <w:r w:rsidR="00FD56A1" w:rsidRPr="00B10382">
        <w:t>and therefore a regional salt balance is not needed</w:t>
      </w:r>
      <w:r w:rsidRPr="00B10382">
        <w:t>.</w:t>
      </w:r>
    </w:p>
    <w:p w:rsidR="00FD56A1" w:rsidRPr="00B10382" w:rsidRDefault="005E423F" w:rsidP="00FD56A1">
      <w:pPr>
        <w:pStyle w:val="ListNumber2"/>
      </w:pPr>
      <w:r w:rsidRPr="00B10382">
        <w:t>T</w:t>
      </w:r>
      <w:r w:rsidR="003176B6" w:rsidRPr="00B10382">
        <w:t xml:space="preserve">he impact of </w:t>
      </w:r>
      <w:r w:rsidR="00FD56A1" w:rsidRPr="00B10382">
        <w:t xml:space="preserve">climate variability </w:t>
      </w:r>
      <w:r w:rsidR="003176B6" w:rsidRPr="00B10382">
        <w:t>on</w:t>
      </w:r>
      <w:r w:rsidR="00FD56A1" w:rsidRPr="00B10382">
        <w:t xml:space="preserve"> site water management was considered in the sensitivity analysis on the site water balance in the proponent’s response to submissions (Hansen Bailey, 2013b; RTS)</w:t>
      </w:r>
      <w:r w:rsidRPr="00B10382">
        <w:t>.</w:t>
      </w:r>
    </w:p>
    <w:p w:rsidR="00FD56A1" w:rsidRPr="00B10382" w:rsidRDefault="005E423F" w:rsidP="00FD56A1">
      <w:pPr>
        <w:pStyle w:val="ListNumber2"/>
      </w:pPr>
      <w:r w:rsidRPr="00B10382">
        <w:t>I</w:t>
      </w:r>
      <w:r w:rsidR="00FD56A1" w:rsidRPr="00B10382">
        <w:t xml:space="preserve">nformation has been provided that addresses the </w:t>
      </w:r>
      <w:r w:rsidR="003176B6" w:rsidRPr="00B10382">
        <w:t>influence</w:t>
      </w:r>
      <w:r w:rsidR="00FD56A1" w:rsidRPr="00B10382">
        <w:t xml:space="preserve"> of faults within the proposed project area, the representation of these faults within the numerical </w:t>
      </w:r>
      <w:r w:rsidR="00DD276A" w:rsidRPr="00B10382">
        <w:t xml:space="preserve">groundwater </w:t>
      </w:r>
      <w:r w:rsidR="00FD56A1" w:rsidRPr="00B10382">
        <w:t>model and their effect on model outcomes, as well as the sensitivity of the model to zones of high hydraulic conductivity</w:t>
      </w:r>
      <w:r w:rsidR="008C32D2" w:rsidRPr="00B10382">
        <w:t>. It is therefore considered that additional work on faults would not substantially add to the utility of th</w:t>
      </w:r>
      <w:r w:rsidR="004A049E" w:rsidRPr="00B10382">
        <w:t xml:space="preserve">e model in predicting impacts. However, if the </w:t>
      </w:r>
      <w:r w:rsidR="006015F9" w:rsidRPr="00B10382">
        <w:t xml:space="preserve">proposed </w:t>
      </w:r>
      <w:r w:rsidR="004A049E" w:rsidRPr="00B10382">
        <w:t>project receives approval, t</w:t>
      </w:r>
      <w:r w:rsidR="008C32D2" w:rsidRPr="00B10382">
        <w:t xml:space="preserve">he </w:t>
      </w:r>
      <w:r w:rsidR="001771D6" w:rsidRPr="00B10382">
        <w:t>improved characterisation and representation of faults should be included in ongoing revisions to the model</w:t>
      </w:r>
      <w:r w:rsidR="00A10598" w:rsidRPr="00B10382">
        <w:t>, particularly in finer-</w:t>
      </w:r>
      <w:r w:rsidR="008C32D2" w:rsidRPr="00B10382">
        <w:t>scale models for each pit (as described in response to Question 3a</w:t>
      </w:r>
      <w:r w:rsidR="002232CC" w:rsidRPr="00B10382">
        <w:t xml:space="preserve"> of this advice IESC 2015-066</w:t>
      </w:r>
      <w:r w:rsidR="008C32D2" w:rsidRPr="00B10382">
        <w:t>)</w:t>
      </w:r>
      <w:r w:rsidR="002232CC" w:rsidRPr="00B10382">
        <w:t>.</w:t>
      </w:r>
    </w:p>
    <w:p w:rsidR="00FD56A1" w:rsidRPr="00B10382" w:rsidRDefault="002232CC" w:rsidP="00FD56A1">
      <w:pPr>
        <w:pStyle w:val="ListNumber2"/>
      </w:pPr>
      <w:r w:rsidRPr="00B10382">
        <w:t>C</w:t>
      </w:r>
      <w:r w:rsidR="00A130F7" w:rsidRPr="00B10382">
        <w:t xml:space="preserve">onstant conditions across the northern boundary included in the numerical </w:t>
      </w:r>
      <w:r w:rsidR="00FD56A1" w:rsidRPr="00B10382">
        <w:t xml:space="preserve">groundwater model, whilst not </w:t>
      </w:r>
      <w:r w:rsidR="003A5950" w:rsidRPr="00B10382">
        <w:t>explicitly</w:t>
      </w:r>
      <w:r w:rsidR="00FD56A1" w:rsidRPr="00B10382">
        <w:t xml:space="preserve"> representing seasonal variations, </w:t>
      </w:r>
      <w:r w:rsidR="003A5950" w:rsidRPr="00B10382">
        <w:t>are unlikely to</w:t>
      </w:r>
      <w:r w:rsidR="00FD56A1" w:rsidRPr="00B10382">
        <w:t xml:space="preserve"> </w:t>
      </w:r>
      <w:r w:rsidR="007822AD" w:rsidRPr="00B10382">
        <w:t xml:space="preserve">significantly </w:t>
      </w:r>
      <w:r w:rsidR="00FD56A1" w:rsidRPr="00B10382">
        <w:t>affect predictions of impacts from mining</w:t>
      </w:r>
      <w:r w:rsidR="00BD3EE9" w:rsidRPr="00B10382">
        <w:t>,</w:t>
      </w:r>
      <w:r w:rsidR="00FD56A1" w:rsidRPr="00B10382">
        <w:t xml:space="preserve"> </w:t>
      </w:r>
      <w:r w:rsidR="00A130F7" w:rsidRPr="00B10382">
        <w:t>due to the distance of the boundary from the predicted groundwater drawdown extent</w:t>
      </w:r>
      <w:r w:rsidRPr="00B10382">
        <w:t>.</w:t>
      </w:r>
    </w:p>
    <w:p w:rsidR="00FD56A1" w:rsidRPr="00B10382" w:rsidRDefault="002232CC" w:rsidP="00FD56A1">
      <w:pPr>
        <w:pStyle w:val="ListNumber2"/>
      </w:pPr>
      <w:r w:rsidRPr="00B10382">
        <w:t>T</w:t>
      </w:r>
      <w:r w:rsidR="00FD56A1" w:rsidRPr="00B10382">
        <w:t xml:space="preserve">he distribution and range of hydraulic conductivities within the coal seams </w:t>
      </w:r>
      <w:r w:rsidR="00A353EC" w:rsidRPr="00B10382">
        <w:t xml:space="preserve">utilised in the </w:t>
      </w:r>
      <w:r w:rsidR="00DD276A" w:rsidRPr="00B10382">
        <w:t xml:space="preserve">numerical groundwater </w:t>
      </w:r>
      <w:r w:rsidR="00A353EC" w:rsidRPr="00B10382">
        <w:t xml:space="preserve">model </w:t>
      </w:r>
      <w:r w:rsidR="003A5950" w:rsidRPr="00B10382">
        <w:t xml:space="preserve">are </w:t>
      </w:r>
      <w:r w:rsidR="00421139" w:rsidRPr="00B10382">
        <w:t xml:space="preserve">considered </w:t>
      </w:r>
      <w:r w:rsidR="003A5950" w:rsidRPr="00B10382">
        <w:t>appropriate</w:t>
      </w:r>
      <w:r w:rsidR="00FD56A1" w:rsidRPr="00B10382">
        <w:t xml:space="preserve"> </w:t>
      </w:r>
      <w:r w:rsidR="00DB712F" w:rsidRPr="00B10382">
        <w:t>and representative</w:t>
      </w:r>
      <w:r w:rsidRPr="00B10382">
        <w:t>.</w:t>
      </w:r>
      <w:r w:rsidR="005260AF" w:rsidRPr="00B10382">
        <w:t xml:space="preserve"> </w:t>
      </w:r>
      <w:r w:rsidR="00AB0516" w:rsidRPr="00B10382">
        <w:t xml:space="preserve">The </w:t>
      </w:r>
      <w:r w:rsidR="006D3DA5" w:rsidRPr="00B10382">
        <w:t>values used</w:t>
      </w:r>
      <w:r w:rsidR="005260AF" w:rsidRPr="00B10382">
        <w:t xml:space="preserve"> </w:t>
      </w:r>
      <w:r w:rsidR="00AB0516" w:rsidRPr="00B10382">
        <w:t xml:space="preserve">are </w:t>
      </w:r>
      <w:r w:rsidR="005260AF" w:rsidRPr="00B10382">
        <w:t>consistent with local field and laboratory data</w:t>
      </w:r>
      <w:r w:rsidR="00AB0516" w:rsidRPr="00B10382">
        <w:t>.</w:t>
      </w:r>
    </w:p>
    <w:p w:rsidR="00FD56A1" w:rsidRPr="00B10382" w:rsidRDefault="002232CC" w:rsidP="00FD56A1">
      <w:pPr>
        <w:pStyle w:val="ListNumber2"/>
      </w:pPr>
      <w:r w:rsidRPr="00B10382">
        <w:t>A</w:t>
      </w:r>
      <w:r w:rsidR="00FD56A1" w:rsidRPr="00B10382">
        <w:t xml:space="preserve"> flood mitigation plan which considers the impact of a 1,000 year </w:t>
      </w:r>
      <w:r w:rsidR="00C06B4B" w:rsidRPr="00B10382">
        <w:t>average recurrence interval</w:t>
      </w:r>
      <w:r w:rsidR="00FD56A1" w:rsidRPr="00B10382">
        <w:t xml:space="preserve"> flood event would be addressed by design </w:t>
      </w:r>
      <w:r w:rsidR="005260AF" w:rsidRPr="00B10382">
        <w:t xml:space="preserve">of </w:t>
      </w:r>
      <w:r w:rsidR="006D3DA5" w:rsidRPr="00B10382">
        <w:t>a</w:t>
      </w:r>
      <w:r w:rsidR="005260AF" w:rsidRPr="00B10382">
        <w:t xml:space="preserve"> levee </w:t>
      </w:r>
      <w:r w:rsidR="00FD56A1" w:rsidRPr="00B10382">
        <w:t xml:space="preserve">to mitigate a probable maximum flood, </w:t>
      </w:r>
      <w:r w:rsidR="00520F3C" w:rsidRPr="00B10382">
        <w:t xml:space="preserve">as </w:t>
      </w:r>
      <w:r w:rsidR="00053F4A" w:rsidRPr="00B10382">
        <w:t>per</w:t>
      </w:r>
      <w:r w:rsidR="00FD56A1" w:rsidRPr="00B10382">
        <w:t xml:space="preserve"> the NSW Government consent</w:t>
      </w:r>
      <w:r w:rsidR="001D2638" w:rsidRPr="00B10382">
        <w:t xml:space="preserve"> condition 25 (PAC, 2015)</w:t>
      </w:r>
      <w:r w:rsidR="00FD56A1" w:rsidRPr="00B10382">
        <w:t>.</w:t>
      </w:r>
    </w:p>
    <w:p w:rsidR="003A5950" w:rsidRPr="00B10382" w:rsidRDefault="00FD56A1" w:rsidP="00383963">
      <w:pPr>
        <w:pStyle w:val="ListNumber"/>
      </w:pPr>
      <w:r w:rsidRPr="00B10382">
        <w:t xml:space="preserve">The </w:t>
      </w:r>
      <w:r w:rsidR="00880E56" w:rsidRPr="00B10382">
        <w:t xml:space="preserve">key </w:t>
      </w:r>
      <w:r w:rsidRPr="00B10382">
        <w:t xml:space="preserve">matters in </w:t>
      </w:r>
      <w:r w:rsidR="00117B6A" w:rsidRPr="00B10382">
        <w:t>IESC 2013-023</w:t>
      </w:r>
      <w:r w:rsidRPr="00B10382">
        <w:t xml:space="preserve"> that need further information</w:t>
      </w:r>
      <w:r w:rsidR="00880E56" w:rsidRPr="00B10382">
        <w:t xml:space="preserve"> are outlined below. These</w:t>
      </w:r>
      <w:r w:rsidRPr="00B10382">
        <w:t xml:space="preserve"> </w:t>
      </w:r>
      <w:r w:rsidR="003A5950" w:rsidRPr="00B10382">
        <w:t>could</w:t>
      </w:r>
      <w:r w:rsidRPr="00B10382">
        <w:t xml:space="preserve"> be addressed through collection of additional data before and during operations, with subsequent comparison and updates to predictions and regular repor</w:t>
      </w:r>
      <w:r w:rsidR="00D2397B" w:rsidRPr="00B10382">
        <w:t>ting, review and action taken.</w:t>
      </w:r>
    </w:p>
    <w:p w:rsidR="00FD56A1" w:rsidRPr="00B10382" w:rsidRDefault="00D2397B" w:rsidP="003A5950">
      <w:pPr>
        <w:pStyle w:val="ListNumber2"/>
      </w:pPr>
      <w:r w:rsidRPr="00B10382">
        <w:t>A</w:t>
      </w:r>
      <w:r w:rsidR="00FD56A1" w:rsidRPr="00B10382">
        <w:t xml:space="preserve"> targeted monitoring programme </w:t>
      </w:r>
      <w:r w:rsidR="003A2F74" w:rsidRPr="00B10382">
        <w:t>as discussed in response to Question 3a</w:t>
      </w:r>
      <w:r w:rsidR="0099716E" w:rsidRPr="00B10382">
        <w:t xml:space="preserve"> of this advice </w:t>
      </w:r>
      <w:r w:rsidR="006D3DA5" w:rsidRPr="00B10382">
        <w:t>(</w:t>
      </w:r>
      <w:r w:rsidR="0099716E" w:rsidRPr="00B10382">
        <w:t>IESC 2015-066</w:t>
      </w:r>
      <w:r w:rsidR="006D3DA5" w:rsidRPr="00B10382">
        <w:t>)</w:t>
      </w:r>
      <w:r w:rsidRPr="00B10382">
        <w:t>.</w:t>
      </w:r>
    </w:p>
    <w:p w:rsidR="00AE2ADA" w:rsidRPr="00B10382" w:rsidRDefault="00D2397B" w:rsidP="00FD56A1">
      <w:pPr>
        <w:pStyle w:val="ListNumber2"/>
      </w:pPr>
      <w:r w:rsidRPr="00B10382">
        <w:t>F</w:t>
      </w:r>
      <w:r w:rsidR="00934CEB" w:rsidRPr="00B10382">
        <w:t>iner-scale</w:t>
      </w:r>
      <w:r w:rsidR="00DD276A" w:rsidRPr="00B10382">
        <w:t xml:space="preserve"> numerical</w:t>
      </w:r>
      <w:r w:rsidR="00934CEB" w:rsidRPr="00B10382">
        <w:t xml:space="preserve"> g</w:t>
      </w:r>
      <w:r w:rsidR="00FD56A1" w:rsidRPr="00B10382">
        <w:t xml:space="preserve">roundwater modelling, </w:t>
      </w:r>
      <w:r w:rsidR="003A2F74" w:rsidRPr="00B10382">
        <w:t>with a particular focus on</w:t>
      </w:r>
      <w:r w:rsidR="00FD56A1" w:rsidRPr="00B10382">
        <w:t xml:space="preserve"> the </w:t>
      </w:r>
      <w:r w:rsidR="00DB712F" w:rsidRPr="00B10382">
        <w:t xml:space="preserve">conceptualisation and </w:t>
      </w:r>
      <w:r w:rsidR="00FD56A1" w:rsidRPr="00B10382">
        <w:t>parameterisation of the fresh and weathered Permian strata in the zone between the proposed pi</w:t>
      </w:r>
      <w:r w:rsidR="00934CEB" w:rsidRPr="00B10382">
        <w:t>ts and the Upper Namoi Alluvium</w:t>
      </w:r>
      <w:r w:rsidR="003A2F74" w:rsidRPr="00B10382">
        <w:t xml:space="preserve"> as discussed in </w:t>
      </w:r>
      <w:r w:rsidR="00AE2ADA" w:rsidRPr="00B10382">
        <w:t xml:space="preserve">response to Question 3a </w:t>
      </w:r>
      <w:r w:rsidR="0099716E" w:rsidRPr="00B10382">
        <w:t xml:space="preserve">of this advice </w:t>
      </w:r>
      <w:r w:rsidR="006D3DA5" w:rsidRPr="00B10382">
        <w:t>(</w:t>
      </w:r>
      <w:r w:rsidR="0099716E" w:rsidRPr="00B10382">
        <w:t>IESC 2015-066</w:t>
      </w:r>
      <w:r w:rsidR="006D3DA5" w:rsidRPr="00B10382">
        <w:t>)</w:t>
      </w:r>
      <w:r w:rsidRPr="00B10382">
        <w:t>.</w:t>
      </w:r>
    </w:p>
    <w:p w:rsidR="00FD56A1" w:rsidRPr="00B10382" w:rsidRDefault="00D2397B" w:rsidP="00FD56A1">
      <w:pPr>
        <w:pStyle w:val="ListNumber2"/>
      </w:pPr>
      <w:r w:rsidRPr="00B10382">
        <w:t>I</w:t>
      </w:r>
      <w:r w:rsidR="00FD56A1" w:rsidRPr="00B10382">
        <w:t xml:space="preserve">dentification and assessment of potential impacts to </w:t>
      </w:r>
      <w:r w:rsidR="00915915" w:rsidRPr="00B10382">
        <w:t>water dependent ecosystems</w:t>
      </w:r>
      <w:r w:rsidR="00FD56A1" w:rsidRPr="00B10382">
        <w:t xml:space="preserve"> </w:t>
      </w:r>
      <w:r w:rsidR="003F04F0" w:rsidRPr="00B10382">
        <w:t xml:space="preserve">and salt-sensitive biota </w:t>
      </w:r>
      <w:r w:rsidR="00E22CCE" w:rsidRPr="00B10382">
        <w:t xml:space="preserve">within and </w:t>
      </w:r>
      <w:r w:rsidR="003A2F74" w:rsidRPr="00B10382">
        <w:t>beyond</w:t>
      </w:r>
      <w:r w:rsidR="003A5950" w:rsidRPr="00B10382">
        <w:t xml:space="preserve"> the </w:t>
      </w:r>
      <w:r w:rsidR="003A2F74" w:rsidRPr="00B10382">
        <w:t xml:space="preserve">proposed </w:t>
      </w:r>
      <w:r w:rsidR="003A5950" w:rsidRPr="00B10382">
        <w:t>project boundary</w:t>
      </w:r>
      <w:r w:rsidR="003A2F74" w:rsidRPr="00B10382">
        <w:t xml:space="preserve"> as discussed below in par</w:t>
      </w:r>
      <w:r w:rsidR="005B4AAA" w:rsidRPr="00B10382">
        <w:t xml:space="preserve">agraphs </w:t>
      </w:r>
      <w:fldSimple w:instr=" REF _Ref416685073 \r \h  \* MERGEFORMAT ">
        <w:r w:rsidR="007F7D51">
          <w:t>4</w:t>
        </w:r>
      </w:fldSimple>
      <w:r w:rsidR="00AA5CAC" w:rsidRPr="00B10382">
        <w:t>-</w:t>
      </w:r>
      <w:fldSimple w:instr=" REF _Ref416684372 \r \h  \* MERGEFORMAT ">
        <w:r w:rsidR="007F7D51">
          <w:t>7</w:t>
        </w:r>
      </w:fldSimple>
      <w:r w:rsidRPr="00B10382">
        <w:t>.</w:t>
      </w:r>
    </w:p>
    <w:p w:rsidR="00934CEB" w:rsidRPr="00B10382" w:rsidRDefault="00D2397B" w:rsidP="00934CEB">
      <w:pPr>
        <w:pStyle w:val="ListNumber2"/>
      </w:pPr>
      <w:r w:rsidRPr="00B10382">
        <w:t>A</w:t>
      </w:r>
      <w:r w:rsidR="00934CEB" w:rsidRPr="00B10382">
        <w:t>ssessment of local-scale cumulative impacts</w:t>
      </w:r>
      <w:r w:rsidR="005B4AAA" w:rsidRPr="00B10382">
        <w:t xml:space="preserve"> as discussed below in paragraph </w:t>
      </w:r>
      <w:fldSimple w:instr=" REF _Ref416684418 \r \h  \* MERGEFORMAT ">
        <w:r w:rsidR="007F7D51">
          <w:t>8</w:t>
        </w:r>
      </w:fldSimple>
      <w:r w:rsidRPr="00B10382">
        <w:t>.</w:t>
      </w:r>
    </w:p>
    <w:p w:rsidR="00FD56A1" w:rsidRPr="00B10382" w:rsidRDefault="00D2397B" w:rsidP="00FD56A1">
      <w:pPr>
        <w:pStyle w:val="ListNumber2"/>
      </w:pPr>
      <w:r w:rsidRPr="00B10382">
        <w:t xml:space="preserve">Assessment of </w:t>
      </w:r>
      <w:r w:rsidR="003F04F0" w:rsidRPr="00B10382">
        <w:t>l</w:t>
      </w:r>
      <w:r w:rsidR="00FD56A1" w:rsidRPr="00B10382">
        <w:t>ong-term impacts ass</w:t>
      </w:r>
      <w:r w:rsidR="00934CEB" w:rsidRPr="00B10382">
        <w:t>ociated with the final landform</w:t>
      </w:r>
      <w:r w:rsidR="005B4AAA" w:rsidRPr="00B10382">
        <w:t xml:space="preserve"> as discussed below in paragraphs </w:t>
      </w:r>
      <w:fldSimple w:instr=" REF _Ref416684448 \r \h  \* MERGEFORMAT ">
        <w:r w:rsidR="007F7D51">
          <w:t>9</w:t>
        </w:r>
      </w:fldSimple>
      <w:r w:rsidR="005B4AAA" w:rsidRPr="00B10382">
        <w:t>-</w:t>
      </w:r>
      <w:fldSimple w:instr=" REF _Ref416684450 \r \h  \* MERGEFORMAT ">
        <w:r w:rsidR="007F7D51">
          <w:t>10</w:t>
        </w:r>
      </w:fldSimple>
      <w:r w:rsidR="00934CEB" w:rsidRPr="00B10382">
        <w:t>.</w:t>
      </w:r>
    </w:p>
    <w:p w:rsidR="00C31C6D" w:rsidRPr="00B10382" w:rsidRDefault="00915915" w:rsidP="00C31C6D">
      <w:pPr>
        <w:pStyle w:val="Heading5"/>
      </w:pPr>
      <w:r w:rsidRPr="00B10382">
        <w:t>Water</w:t>
      </w:r>
      <w:r w:rsidR="00453E84" w:rsidRPr="00B10382">
        <w:t xml:space="preserve"> </w:t>
      </w:r>
      <w:r w:rsidR="00880E56" w:rsidRPr="00B10382">
        <w:t xml:space="preserve">dependent ecosystems </w:t>
      </w:r>
    </w:p>
    <w:p w:rsidR="004025F7" w:rsidRPr="00B10382" w:rsidRDefault="004025F7" w:rsidP="00383963">
      <w:pPr>
        <w:pStyle w:val="ListNumber"/>
      </w:pPr>
      <w:bookmarkStart w:id="2" w:name="_Ref416685073"/>
      <w:r w:rsidRPr="00B10382">
        <w:t xml:space="preserve">The </w:t>
      </w:r>
      <w:r w:rsidR="004A049E" w:rsidRPr="00B10382">
        <w:t>potential</w:t>
      </w:r>
      <w:r w:rsidRPr="00B10382">
        <w:t xml:space="preserve"> impacts to </w:t>
      </w:r>
      <w:r w:rsidR="00915915" w:rsidRPr="00B10382">
        <w:t>water dependent</w:t>
      </w:r>
      <w:r w:rsidRPr="00B10382">
        <w:t xml:space="preserve"> ecosystems as a result of the </w:t>
      </w:r>
      <w:r w:rsidR="00942F21" w:rsidRPr="00B10382">
        <w:t xml:space="preserve">predicted </w:t>
      </w:r>
      <w:r w:rsidRPr="00B10382">
        <w:t xml:space="preserve">hydrological impacts remain uncertain due to insufficient survey effort. </w:t>
      </w:r>
      <w:r w:rsidR="00053F4A" w:rsidRPr="00B10382">
        <w:t>Little</w:t>
      </w:r>
      <w:r w:rsidRPr="00B10382">
        <w:t xml:space="preserve"> information has been provided that clearly identifies: ecological </w:t>
      </w:r>
      <w:r w:rsidR="008823DA" w:rsidRPr="00B10382">
        <w:t>assets</w:t>
      </w:r>
      <w:r w:rsidRPr="00B10382">
        <w:t xml:space="preserve"> beyond the proposed project boundary that are dependent </w:t>
      </w:r>
      <w:r w:rsidR="001B432F" w:rsidRPr="00B10382">
        <w:t xml:space="preserve">(either fully or partially) </w:t>
      </w:r>
      <w:r w:rsidRPr="00B10382">
        <w:t xml:space="preserve">on surface water and groundwater systems; their current condition; and how these </w:t>
      </w:r>
      <w:r w:rsidR="00167303" w:rsidRPr="00B10382">
        <w:t>assets</w:t>
      </w:r>
      <w:r w:rsidRPr="00B10382">
        <w:t xml:space="preserve"> </w:t>
      </w:r>
      <w:r w:rsidR="004A049E" w:rsidRPr="00B10382">
        <w:t>may</w:t>
      </w:r>
      <w:r w:rsidRPr="00B10382">
        <w:t xml:space="preserve"> be impacted by both the proposed project and any cumulative impacts.</w:t>
      </w:r>
      <w:bookmarkEnd w:id="2"/>
      <w:r w:rsidRPr="00B10382">
        <w:t xml:space="preserve"> </w:t>
      </w:r>
    </w:p>
    <w:p w:rsidR="00C31C6D" w:rsidRPr="00B10382" w:rsidRDefault="00C31C6D" w:rsidP="00383963">
      <w:pPr>
        <w:pStyle w:val="ListNumber"/>
      </w:pPr>
      <w:bookmarkStart w:id="3" w:name="_Ref416684368"/>
      <w:r w:rsidRPr="00B10382">
        <w:t>In order to better understand the potential impacts to GDEs</w:t>
      </w:r>
      <w:r w:rsidR="000865F8" w:rsidRPr="00B10382">
        <w:t>,</w:t>
      </w:r>
      <w:r w:rsidRPr="00B10382">
        <w:t xml:space="preserve"> </w:t>
      </w:r>
      <w:r w:rsidR="00AA5CAC" w:rsidRPr="00B10382">
        <w:t>a</w:t>
      </w:r>
      <w:r w:rsidRPr="00B10382">
        <w:t xml:space="preserve"> systematic assessment of GDEs </w:t>
      </w:r>
      <w:r w:rsidR="00AA5CAC" w:rsidRPr="00B10382">
        <w:t xml:space="preserve">including EPBC-listed ecological communities </w:t>
      </w:r>
      <w:r w:rsidRPr="00B10382">
        <w:t>is needed</w:t>
      </w:r>
      <w:bookmarkEnd w:id="3"/>
      <w:r w:rsidR="00D2397B" w:rsidRPr="00B10382">
        <w:t>.</w:t>
      </w:r>
    </w:p>
    <w:p w:rsidR="00C31C6D" w:rsidRPr="00B10382" w:rsidRDefault="00D2397B" w:rsidP="00523A74">
      <w:pPr>
        <w:pStyle w:val="ListNumber2"/>
        <w:rPr>
          <w:lang w:val="en-US"/>
        </w:rPr>
      </w:pPr>
      <w:r w:rsidRPr="00B10382">
        <w:rPr>
          <w:lang w:val="en-US"/>
        </w:rPr>
        <w:t>A</w:t>
      </w:r>
      <w:r w:rsidR="00C31C6D" w:rsidRPr="00B10382">
        <w:rPr>
          <w:lang w:val="en-US"/>
        </w:rPr>
        <w:t xml:space="preserve">reas of shallow </w:t>
      </w:r>
      <w:r w:rsidR="001A77C4" w:rsidRPr="00B10382">
        <w:rPr>
          <w:lang w:val="en-US"/>
        </w:rPr>
        <w:t>groundwater (less than 20 m</w:t>
      </w:r>
      <w:r w:rsidR="00C31C6D" w:rsidRPr="00B10382">
        <w:rPr>
          <w:lang w:val="en-US"/>
        </w:rPr>
        <w:t xml:space="preserve"> below ground level) and groundwater discharge </w:t>
      </w:r>
      <w:r w:rsidRPr="00B10382">
        <w:rPr>
          <w:lang w:val="en-US"/>
        </w:rPr>
        <w:t>should be</w:t>
      </w:r>
      <w:r w:rsidR="00C31C6D" w:rsidRPr="00B10382">
        <w:rPr>
          <w:lang w:val="en-US"/>
        </w:rPr>
        <w:t xml:space="preserve"> identified from the </w:t>
      </w:r>
      <w:proofErr w:type="spellStart"/>
      <w:r w:rsidR="00C31C6D" w:rsidRPr="00B10382">
        <w:rPr>
          <w:lang w:val="en-US"/>
        </w:rPr>
        <w:t>hydrogeological</w:t>
      </w:r>
      <w:proofErr w:type="spellEnd"/>
      <w:r w:rsidR="00C31C6D" w:rsidRPr="00B10382">
        <w:rPr>
          <w:lang w:val="en-US"/>
        </w:rPr>
        <w:t xml:space="preserve"> </w:t>
      </w:r>
      <w:proofErr w:type="spellStart"/>
      <w:r w:rsidR="005E7013" w:rsidRPr="00B10382">
        <w:rPr>
          <w:lang w:val="en-US"/>
        </w:rPr>
        <w:t>conceptualisation</w:t>
      </w:r>
      <w:proofErr w:type="spellEnd"/>
      <w:r w:rsidRPr="00B10382">
        <w:rPr>
          <w:lang w:val="en-US"/>
        </w:rPr>
        <w:t>.</w:t>
      </w:r>
    </w:p>
    <w:p w:rsidR="00C31C6D" w:rsidRPr="00B10382" w:rsidRDefault="00D2397B" w:rsidP="00523A74">
      <w:pPr>
        <w:pStyle w:val="ListNumber2"/>
        <w:rPr>
          <w:lang w:val="en-US"/>
        </w:rPr>
      </w:pPr>
      <w:r w:rsidRPr="00B10382">
        <w:rPr>
          <w:lang w:val="en-US"/>
        </w:rPr>
        <w:t>V</w:t>
      </w:r>
      <w:r w:rsidR="00C31C6D" w:rsidRPr="00B10382">
        <w:rPr>
          <w:lang w:val="en-US"/>
        </w:rPr>
        <w:t xml:space="preserve">egetation and wetland mapping, </w:t>
      </w:r>
      <w:r w:rsidR="008035FA" w:rsidRPr="00B10382">
        <w:rPr>
          <w:lang w:val="en-US"/>
        </w:rPr>
        <w:t xml:space="preserve">and </w:t>
      </w:r>
      <w:r w:rsidR="00C31C6D" w:rsidRPr="00B10382">
        <w:rPr>
          <w:lang w:val="en-US"/>
        </w:rPr>
        <w:t xml:space="preserve">fauna (such as </w:t>
      </w:r>
      <w:proofErr w:type="spellStart"/>
      <w:r w:rsidR="00C31C6D" w:rsidRPr="00B10382">
        <w:rPr>
          <w:lang w:val="en-US"/>
        </w:rPr>
        <w:t>stygofauna</w:t>
      </w:r>
      <w:proofErr w:type="spellEnd"/>
      <w:r w:rsidR="00C31C6D" w:rsidRPr="00B10382">
        <w:rPr>
          <w:lang w:val="en-US"/>
        </w:rPr>
        <w:t xml:space="preserve">, </w:t>
      </w:r>
      <w:proofErr w:type="spellStart"/>
      <w:r w:rsidR="00C31C6D" w:rsidRPr="00B10382">
        <w:rPr>
          <w:lang w:val="en-US"/>
        </w:rPr>
        <w:t>macroinvertebrates</w:t>
      </w:r>
      <w:proofErr w:type="spellEnd"/>
      <w:r w:rsidR="00C31C6D" w:rsidRPr="00B10382">
        <w:rPr>
          <w:lang w:val="en-US"/>
        </w:rPr>
        <w:t xml:space="preserve"> and fish), flora and habitat surveys </w:t>
      </w:r>
      <w:r w:rsidRPr="00B10382">
        <w:rPr>
          <w:lang w:val="en-US"/>
        </w:rPr>
        <w:t>should be</w:t>
      </w:r>
      <w:r w:rsidR="00C31C6D" w:rsidRPr="00B10382">
        <w:rPr>
          <w:lang w:val="en-US"/>
        </w:rPr>
        <w:t xml:space="preserve"> overlaid to identify areas of </w:t>
      </w:r>
      <w:r w:rsidR="005E7013" w:rsidRPr="00B10382">
        <w:rPr>
          <w:lang w:val="en-US"/>
        </w:rPr>
        <w:t>potential GDEs</w:t>
      </w:r>
      <w:r w:rsidRPr="00B10382">
        <w:rPr>
          <w:lang w:val="en-US"/>
        </w:rPr>
        <w:t>.</w:t>
      </w:r>
    </w:p>
    <w:p w:rsidR="00C31C6D" w:rsidRPr="00B10382" w:rsidRDefault="00D2397B" w:rsidP="00523A74">
      <w:pPr>
        <w:pStyle w:val="ListNumber2"/>
        <w:rPr>
          <w:lang w:val="en-US"/>
        </w:rPr>
      </w:pPr>
      <w:r w:rsidRPr="00B10382">
        <w:rPr>
          <w:lang w:val="en-US"/>
        </w:rPr>
        <w:t>T</w:t>
      </w:r>
      <w:r w:rsidR="00C31C6D" w:rsidRPr="00B10382">
        <w:rPr>
          <w:lang w:val="en-US"/>
        </w:rPr>
        <w:t xml:space="preserve">echniques from the Australian GDE Toolbox (Richardson et al., 2011) </w:t>
      </w:r>
      <w:r w:rsidRPr="00B10382">
        <w:rPr>
          <w:lang w:val="en-US"/>
        </w:rPr>
        <w:t>should</w:t>
      </w:r>
      <w:r w:rsidR="00C31C6D" w:rsidRPr="00B10382">
        <w:rPr>
          <w:lang w:val="en-US"/>
        </w:rPr>
        <w:t xml:space="preserve"> then </w:t>
      </w:r>
      <w:r w:rsidRPr="00B10382">
        <w:rPr>
          <w:lang w:val="en-US"/>
        </w:rPr>
        <w:t xml:space="preserve">be </w:t>
      </w:r>
      <w:r w:rsidR="00C31C6D" w:rsidRPr="00B10382">
        <w:rPr>
          <w:lang w:val="en-US"/>
        </w:rPr>
        <w:t xml:space="preserve">applied to confirm groundwater use by vegetation and </w:t>
      </w:r>
      <w:r w:rsidR="008035FA" w:rsidRPr="00B10382">
        <w:rPr>
          <w:lang w:val="en-US"/>
        </w:rPr>
        <w:t xml:space="preserve">other </w:t>
      </w:r>
      <w:r w:rsidR="00C31C6D" w:rsidRPr="00B10382">
        <w:rPr>
          <w:lang w:val="en-US"/>
        </w:rPr>
        <w:t>biota and identify groundwater discharge to surface water bodies.</w:t>
      </w:r>
    </w:p>
    <w:p w:rsidR="00B55235" w:rsidRPr="00B10382" w:rsidRDefault="00B55235" w:rsidP="00383963">
      <w:pPr>
        <w:pStyle w:val="ListNumber"/>
      </w:pPr>
      <w:bookmarkStart w:id="4" w:name="_Ref416684370"/>
      <w:r w:rsidRPr="00B10382">
        <w:t>Groundwater levels along Native Dog Gully are within two metres of the surface (Hansen Bailey</w:t>
      </w:r>
      <w:r w:rsidR="00117B6A" w:rsidRPr="00B10382">
        <w:t>,</w:t>
      </w:r>
      <w:r w:rsidRPr="00B10382">
        <w:t xml:space="preserve"> 2013a, App U, Table 1), so riparian vegetation associated with Native Dog Gully should be assessed for groundwater </w:t>
      </w:r>
      <w:r w:rsidR="007C6350" w:rsidRPr="00B10382">
        <w:t>dependence</w:t>
      </w:r>
      <w:r w:rsidRPr="00B10382">
        <w:t xml:space="preserve"> and potential </w:t>
      </w:r>
      <w:r w:rsidR="00DD276A" w:rsidRPr="00B10382">
        <w:t xml:space="preserve">groundwater </w:t>
      </w:r>
      <w:r w:rsidRPr="00B10382">
        <w:t>drawdown impacts.</w:t>
      </w:r>
      <w:bookmarkEnd w:id="4"/>
      <w:r w:rsidRPr="00B10382">
        <w:t xml:space="preserve"> </w:t>
      </w:r>
    </w:p>
    <w:p w:rsidR="007654F3" w:rsidRPr="00B10382" w:rsidRDefault="00C31C6D" w:rsidP="00383963">
      <w:pPr>
        <w:pStyle w:val="ListNumber"/>
      </w:pPr>
      <w:bookmarkStart w:id="5" w:name="_Ref416684372"/>
      <w:r w:rsidRPr="00B10382">
        <w:t xml:space="preserve">Potential impacts to GDEs associated with the </w:t>
      </w:r>
      <w:proofErr w:type="spellStart"/>
      <w:r w:rsidRPr="00B10382">
        <w:t>Mooki</w:t>
      </w:r>
      <w:proofErr w:type="spellEnd"/>
      <w:r w:rsidRPr="00B10382">
        <w:t xml:space="preserve"> River have not been well characterised. There is no consideration of the potential ecological impact of </w:t>
      </w:r>
      <w:r w:rsidR="00DD276A" w:rsidRPr="00B10382">
        <w:t xml:space="preserve">groundwater </w:t>
      </w:r>
      <w:r w:rsidRPr="00B10382">
        <w:t xml:space="preserve">drawdown on the </w:t>
      </w:r>
      <w:proofErr w:type="spellStart"/>
      <w:r w:rsidRPr="00B10382">
        <w:t>instream</w:t>
      </w:r>
      <w:proofErr w:type="spellEnd"/>
      <w:r w:rsidRPr="00B10382">
        <w:t xml:space="preserve"> community in the </w:t>
      </w:r>
      <w:proofErr w:type="spellStart"/>
      <w:r w:rsidRPr="00B10382">
        <w:t>Mooki</w:t>
      </w:r>
      <w:proofErr w:type="spellEnd"/>
      <w:r w:rsidRPr="00B10382">
        <w:t xml:space="preserve"> River. The combined impacts of loss of </w:t>
      </w:r>
      <w:proofErr w:type="spellStart"/>
      <w:r w:rsidRPr="00B10382">
        <w:t>streamflow</w:t>
      </w:r>
      <w:proofErr w:type="spellEnd"/>
      <w:r w:rsidRPr="00B10382">
        <w:t xml:space="preserve"> as well as changes to water quality, particularly salt loads during ‘first flush’ events on </w:t>
      </w:r>
      <w:r w:rsidR="000C035C" w:rsidRPr="00B10382">
        <w:t xml:space="preserve">Native Dog Gully and </w:t>
      </w:r>
      <w:r w:rsidR="007B240B" w:rsidRPr="00B10382">
        <w:t xml:space="preserve">the </w:t>
      </w:r>
      <w:proofErr w:type="spellStart"/>
      <w:r w:rsidRPr="00B10382">
        <w:t>Mooki</w:t>
      </w:r>
      <w:proofErr w:type="spellEnd"/>
      <w:r w:rsidRPr="00B10382">
        <w:t xml:space="preserve"> River</w:t>
      </w:r>
      <w:r w:rsidR="001A766F" w:rsidRPr="00B10382">
        <w:t>,</w:t>
      </w:r>
      <w:r w:rsidRPr="00B10382">
        <w:t xml:space="preserve"> should be </w:t>
      </w:r>
      <w:r w:rsidR="00414CC2" w:rsidRPr="00B10382">
        <w:t xml:space="preserve">further </w:t>
      </w:r>
      <w:r w:rsidRPr="00B10382">
        <w:t xml:space="preserve">considered. This consideration should be informed by </w:t>
      </w:r>
      <w:r w:rsidR="002D1A22" w:rsidRPr="00B10382">
        <w:t>finer-scale</w:t>
      </w:r>
      <w:r w:rsidRPr="00B10382">
        <w:t xml:space="preserve"> modelling of the </w:t>
      </w:r>
      <w:proofErr w:type="spellStart"/>
      <w:r w:rsidRPr="00B10382">
        <w:t>Mooki</w:t>
      </w:r>
      <w:proofErr w:type="spellEnd"/>
      <w:r w:rsidRPr="00B10382">
        <w:t xml:space="preserve"> River, Native Dog Gully and associated alluvium in the vicinity of the </w:t>
      </w:r>
      <w:r w:rsidR="005C300C" w:rsidRPr="00B10382">
        <w:t>e</w:t>
      </w:r>
      <w:r w:rsidRPr="00B10382">
        <w:t xml:space="preserve">astern and </w:t>
      </w:r>
      <w:r w:rsidR="005C300C" w:rsidRPr="00B10382">
        <w:t>s</w:t>
      </w:r>
      <w:r w:rsidRPr="00B10382">
        <w:t xml:space="preserve">outhern pits supplemented by appropriate </w:t>
      </w:r>
      <w:r w:rsidR="00AA5CAC" w:rsidRPr="00B10382">
        <w:t xml:space="preserve">continuous </w:t>
      </w:r>
      <w:r w:rsidR="007C6350" w:rsidRPr="00B10382">
        <w:t>or</w:t>
      </w:r>
      <w:r w:rsidR="00AA5CAC" w:rsidRPr="00B10382">
        <w:t xml:space="preserve"> </w:t>
      </w:r>
      <w:r w:rsidRPr="00B10382">
        <w:t>event-based monitoring of water</w:t>
      </w:r>
      <w:r w:rsidR="002D1A22" w:rsidRPr="00B10382">
        <w:t xml:space="preserve"> </w:t>
      </w:r>
      <w:r w:rsidRPr="00B10382">
        <w:t>quality and aquatic biota (see response to Question 3a</w:t>
      </w:r>
      <w:r w:rsidR="0099716E" w:rsidRPr="00B10382">
        <w:t xml:space="preserve"> in this advice IESC 2015-066</w:t>
      </w:r>
      <w:r w:rsidRPr="00B10382">
        <w:t>).</w:t>
      </w:r>
      <w:bookmarkEnd w:id="5"/>
      <w:r w:rsidRPr="00B10382">
        <w:t xml:space="preserve"> </w:t>
      </w:r>
    </w:p>
    <w:p w:rsidR="008C32D2" w:rsidRPr="00B10382" w:rsidRDefault="008C32D2" w:rsidP="008C32D2">
      <w:pPr>
        <w:pStyle w:val="Heading5"/>
      </w:pPr>
      <w:r w:rsidRPr="00B10382">
        <w:t>Assessment of cumulative impacts</w:t>
      </w:r>
    </w:p>
    <w:p w:rsidR="008C32D2" w:rsidRPr="00B10382" w:rsidRDefault="008C32D2" w:rsidP="00383963">
      <w:pPr>
        <w:pStyle w:val="ListNumber"/>
      </w:pPr>
      <w:bookmarkStart w:id="6" w:name="_Ref416684418"/>
      <w:r w:rsidRPr="00B10382">
        <w:t xml:space="preserve">There is a risk of cumulative impacts to the south of the proposed project area, where the maximum alluvial </w:t>
      </w:r>
      <w:r w:rsidR="00DD276A" w:rsidRPr="00B10382">
        <w:t xml:space="preserve">groundwater </w:t>
      </w:r>
      <w:r w:rsidRPr="00B10382">
        <w:t xml:space="preserve">drawdown as a result of the proposed project is predicted and there is the potential for groundwater drawdown associated with the proposed Caroona Coal Project. </w:t>
      </w:r>
      <w:r w:rsidR="00140BD8" w:rsidRPr="00B10382">
        <w:t xml:space="preserve">To </w:t>
      </w:r>
      <w:r w:rsidR="004A049E" w:rsidRPr="00B10382">
        <w:t xml:space="preserve">better </w:t>
      </w:r>
      <w:r w:rsidR="00140BD8" w:rsidRPr="00B10382">
        <w:t>understand cumulative impacts, further investigation into</w:t>
      </w:r>
      <w:r w:rsidRPr="00B10382">
        <w:t xml:space="preserve"> local connectivity between the Permian and alluvial groundwater systems, particularly the properties of the </w:t>
      </w:r>
      <w:r w:rsidR="002D1A22" w:rsidRPr="00B10382">
        <w:t xml:space="preserve">fresh and weathered Permian strata in the zone between the proposed pits and the Upper Namoi Alluvium </w:t>
      </w:r>
      <w:r w:rsidR="00140BD8" w:rsidRPr="00B10382">
        <w:t>is warranted</w:t>
      </w:r>
      <w:r w:rsidRPr="00B10382">
        <w:t xml:space="preserve">. A local-scale investigation into this connectivity should be undertaken by the proponents </w:t>
      </w:r>
      <w:r w:rsidR="002862F3" w:rsidRPr="00B10382">
        <w:t>of</w:t>
      </w:r>
      <w:r w:rsidRPr="00B10382">
        <w:t xml:space="preserve"> this project and the Caroona Coal Project, as </w:t>
      </w:r>
      <w:r w:rsidR="00D2397B" w:rsidRPr="00B10382">
        <w:t>per</w:t>
      </w:r>
      <w:r w:rsidRPr="00B10382">
        <w:t xml:space="preserve"> IESC </w:t>
      </w:r>
      <w:r w:rsidR="00D2397B" w:rsidRPr="00B10382">
        <w:t xml:space="preserve">advice </w:t>
      </w:r>
      <w:r w:rsidRPr="00B10382">
        <w:t>on both projects (</w:t>
      </w:r>
      <w:r w:rsidR="003A5484" w:rsidRPr="00B10382">
        <w:t>IESC 2013-023</w:t>
      </w:r>
      <w:r w:rsidRPr="00B10382">
        <w:t xml:space="preserve"> and</w:t>
      </w:r>
      <w:r w:rsidR="007822AD" w:rsidRPr="00B10382">
        <w:t xml:space="preserve"> </w:t>
      </w:r>
      <w:r w:rsidR="003A5484" w:rsidRPr="00B10382">
        <w:t>IESC 2014-047</w:t>
      </w:r>
      <w:r w:rsidR="007822AD" w:rsidRPr="00B10382">
        <w:t>)</w:t>
      </w:r>
      <w:r w:rsidRPr="00B10382">
        <w:t>.</w:t>
      </w:r>
      <w:bookmarkEnd w:id="6"/>
      <w:r w:rsidR="00140BD8" w:rsidRPr="00B10382">
        <w:t xml:space="preserve"> </w:t>
      </w:r>
      <w:r w:rsidR="00E15C9F" w:rsidRPr="00B10382">
        <w:t>If the project is approved, t</w:t>
      </w:r>
      <w:r w:rsidR="00410968" w:rsidRPr="00B10382">
        <w:t xml:space="preserve">his investigation could </w:t>
      </w:r>
      <w:r w:rsidR="00DB712F" w:rsidRPr="00B10382">
        <w:t xml:space="preserve">occur before mining of the southern pit, and </w:t>
      </w:r>
      <w:r w:rsidR="00410968" w:rsidRPr="00B10382">
        <w:t xml:space="preserve">be built into the water management plan protocol with nearby mine owners </w:t>
      </w:r>
      <w:r w:rsidR="002660AA" w:rsidRPr="00B10382">
        <w:t xml:space="preserve">as </w:t>
      </w:r>
      <w:r w:rsidR="00053F4A" w:rsidRPr="00B10382">
        <w:t>per</w:t>
      </w:r>
      <w:r w:rsidR="00410968" w:rsidRPr="00B10382">
        <w:t xml:space="preserve"> the NSW Government consent condition </w:t>
      </w:r>
      <w:r w:rsidR="0072268E" w:rsidRPr="00B10382">
        <w:t>26c (</w:t>
      </w:r>
      <w:r w:rsidR="00410968" w:rsidRPr="00B10382">
        <w:t>vi)</w:t>
      </w:r>
      <w:r w:rsidR="001D2638" w:rsidRPr="00B10382">
        <w:t xml:space="preserve"> (PAC,</w:t>
      </w:r>
      <w:r w:rsidR="002232CC" w:rsidRPr="00B10382">
        <w:t> </w:t>
      </w:r>
      <w:r w:rsidR="001D2638" w:rsidRPr="00B10382">
        <w:t>2015)</w:t>
      </w:r>
      <w:r w:rsidR="00410968" w:rsidRPr="00B10382">
        <w:t>.</w:t>
      </w:r>
    </w:p>
    <w:p w:rsidR="00C31C6D" w:rsidRPr="00B10382" w:rsidRDefault="00C31C6D" w:rsidP="00C31C6D">
      <w:pPr>
        <w:pStyle w:val="Heading5"/>
      </w:pPr>
      <w:r w:rsidRPr="00B10382">
        <w:t>Final landform</w:t>
      </w:r>
    </w:p>
    <w:p w:rsidR="00C31C6D" w:rsidRPr="00B10382" w:rsidRDefault="00C31C6D" w:rsidP="00383963">
      <w:pPr>
        <w:pStyle w:val="ListNumber"/>
      </w:pPr>
      <w:bookmarkStart w:id="7" w:name="_Ref416684448"/>
      <w:r w:rsidRPr="00B10382">
        <w:t xml:space="preserve">Given the local long-term salinity risk associated with the proposed final void, the design should be supported by </w:t>
      </w:r>
      <w:r w:rsidR="007C6350" w:rsidRPr="00B10382">
        <w:t>ongoing hydrological</w:t>
      </w:r>
      <w:r w:rsidRPr="00B10382">
        <w:t xml:space="preserve"> modelling that takes into account new information gathered during mining</w:t>
      </w:r>
      <w:r w:rsidR="00A44485" w:rsidRPr="00B10382">
        <w:t>. This information should include</w:t>
      </w:r>
      <w:r w:rsidR="00F93FF3" w:rsidRPr="00B10382">
        <w:t xml:space="preserve"> additional characterisation</w:t>
      </w:r>
      <w:r w:rsidR="00A44485" w:rsidRPr="00B10382">
        <w:t xml:space="preserve"> of the </w:t>
      </w:r>
      <w:r w:rsidR="006B50EF" w:rsidRPr="00B10382">
        <w:t>spatial extent and hydraulic properties</w:t>
      </w:r>
      <w:r w:rsidR="00F93FF3" w:rsidRPr="00B10382">
        <w:t xml:space="preserve"> of Quaternary sediments, which may intersect the western edge of the final void </w:t>
      </w:r>
      <w:r w:rsidR="00A44485" w:rsidRPr="00B10382">
        <w:t xml:space="preserve">(GHD, 2011) </w:t>
      </w:r>
      <w:r w:rsidR="00F93FF3" w:rsidRPr="00B10382">
        <w:t xml:space="preserve">and </w:t>
      </w:r>
      <w:r w:rsidRPr="00B10382">
        <w:t xml:space="preserve">uncertainty analysis that incorporates the potential influence of climate variability. </w:t>
      </w:r>
      <w:bookmarkEnd w:id="7"/>
    </w:p>
    <w:p w:rsidR="007654F3" w:rsidRPr="00B10382" w:rsidRDefault="00C31C6D" w:rsidP="00383963">
      <w:pPr>
        <w:pStyle w:val="ListNumber"/>
      </w:pPr>
      <w:bookmarkStart w:id="8" w:name="_Ref416684450"/>
      <w:r w:rsidRPr="00B10382">
        <w:t>The rehabilitation management plan will also be critical to manage long-term risks associated with the void and final lan</w:t>
      </w:r>
      <w:r w:rsidR="002862F3" w:rsidRPr="00B10382">
        <w:t>dform. Potential ‘worst-</w:t>
      </w:r>
      <w:r w:rsidRPr="00B10382">
        <w:t xml:space="preserve">case’ scenarios should be considered and addressed within this plan, such as the </w:t>
      </w:r>
      <w:r w:rsidR="00954330" w:rsidRPr="00B10382">
        <w:t xml:space="preserve">potential for the </w:t>
      </w:r>
      <w:r w:rsidRPr="00B10382">
        <w:t xml:space="preserve">void water level consistently rising above local groundwater levels, void overtopping, and </w:t>
      </w:r>
      <w:r w:rsidR="00460171" w:rsidRPr="00B10382">
        <w:t xml:space="preserve">local-scale </w:t>
      </w:r>
      <w:r w:rsidRPr="00B10382">
        <w:t>salinity associated with groundwater seepages not being successfully managed by the existing rehabilitation methods.</w:t>
      </w:r>
      <w:bookmarkEnd w:id="8"/>
    </w:p>
    <w:p w:rsidR="007203C3" w:rsidRPr="00B10382" w:rsidRDefault="007203C3" w:rsidP="00D622B9">
      <w:pPr>
        <w:pStyle w:val="Question"/>
      </w:pPr>
      <w:r w:rsidRPr="00B10382">
        <w:t>Question 2:</w:t>
      </w:r>
      <w:r w:rsidR="00064C88" w:rsidRPr="00B10382">
        <w:t xml:space="preserve"> Could the IESC comment specifically on the conclusions drawn that the zone of depressurisation in the Permian is unlikely to extend beyond that described; and what regional implications may occur if the depressurisation in the Permian extends to, or beyond, those impacts predicted?</w:t>
      </w:r>
    </w:p>
    <w:p w:rsidR="008B5B06" w:rsidRPr="00B10382" w:rsidRDefault="008B5B06" w:rsidP="008B5B06">
      <w:pPr>
        <w:pStyle w:val="Heading4"/>
      </w:pPr>
      <w:r w:rsidRPr="00B10382">
        <w:t>Response</w:t>
      </w:r>
    </w:p>
    <w:p w:rsidR="008B5B06" w:rsidRPr="00B10382" w:rsidRDefault="008B5B06" w:rsidP="00383963">
      <w:pPr>
        <w:pStyle w:val="ListNumber"/>
      </w:pPr>
      <w:r w:rsidRPr="00B10382">
        <w:t>The extent of depressurisation in Permian and alluvial aquifers is considered unlikely to extend beyond that described in the sensitivity and uncertainty analysis in the EIS. This conclusion is based on</w:t>
      </w:r>
      <w:r w:rsidR="007C6350" w:rsidRPr="00B10382">
        <w:t xml:space="preserve"> two factors</w:t>
      </w:r>
      <w:r w:rsidR="00D2397B" w:rsidRPr="00B10382">
        <w:t>.</w:t>
      </w:r>
    </w:p>
    <w:p w:rsidR="008B5B06" w:rsidRPr="00B10382" w:rsidRDefault="00D2397B" w:rsidP="008B5B06">
      <w:pPr>
        <w:pStyle w:val="ListNumber2"/>
      </w:pPr>
      <w:r w:rsidRPr="00B10382">
        <w:t>T</w:t>
      </w:r>
      <w:r w:rsidR="008B5B06" w:rsidRPr="00B10382">
        <w:t xml:space="preserve">he proponent’s groundwater conceptualisation and </w:t>
      </w:r>
      <w:r w:rsidR="00DD276A" w:rsidRPr="00B10382">
        <w:t xml:space="preserve">numerical </w:t>
      </w:r>
      <w:r w:rsidR="007C6350" w:rsidRPr="00B10382">
        <w:t xml:space="preserve">model parameterisation </w:t>
      </w:r>
      <w:r w:rsidR="008B5B06" w:rsidRPr="00B10382">
        <w:t xml:space="preserve">are considered reasonable based on the </w:t>
      </w:r>
      <w:r w:rsidR="007C6350" w:rsidRPr="00B10382">
        <w:t xml:space="preserve">available field data, sensitivity and uncertainty analysis </w:t>
      </w:r>
      <w:r w:rsidR="005C4A3D" w:rsidRPr="00B10382">
        <w:t>in the EIS</w:t>
      </w:r>
      <w:r w:rsidR="006140B6" w:rsidRPr="00B10382">
        <w:t xml:space="preserve">, information provided in response to </w:t>
      </w:r>
      <w:r w:rsidR="002529F8" w:rsidRPr="00B10382">
        <w:t xml:space="preserve">a review by </w:t>
      </w:r>
      <w:r w:rsidR="006140B6" w:rsidRPr="00B10382">
        <w:t>UNSW</w:t>
      </w:r>
      <w:r w:rsidR="005C4A3D" w:rsidRPr="00B10382">
        <w:t xml:space="preserve"> </w:t>
      </w:r>
      <w:r w:rsidR="002529F8" w:rsidRPr="00B10382">
        <w:t>(</w:t>
      </w:r>
      <w:r w:rsidR="00117B6A" w:rsidRPr="00B10382">
        <w:t>DPE, 2014, App C</w:t>
      </w:r>
      <w:r w:rsidR="002529F8" w:rsidRPr="00B10382">
        <w:t xml:space="preserve">) </w:t>
      </w:r>
      <w:r w:rsidR="007C6350" w:rsidRPr="00B10382">
        <w:t>and consistency with additional modelling scenarios proposed by Dr Col Mackie</w:t>
      </w:r>
      <w:r w:rsidR="002529F8" w:rsidRPr="00B10382">
        <w:t xml:space="preserve"> (Hansen Bailey, 2014, App A)</w:t>
      </w:r>
      <w:r w:rsidRPr="00B10382">
        <w:t>.</w:t>
      </w:r>
    </w:p>
    <w:p w:rsidR="008B5B06" w:rsidRPr="00B10382" w:rsidRDefault="00D2397B" w:rsidP="008B5B06">
      <w:pPr>
        <w:pStyle w:val="ListNumber2"/>
      </w:pPr>
      <w:r w:rsidRPr="00B10382">
        <w:t>O</w:t>
      </w:r>
      <w:r w:rsidR="0089504E" w:rsidRPr="00B10382">
        <w:t xml:space="preserve">ther </w:t>
      </w:r>
      <w:r w:rsidR="005260AF" w:rsidRPr="00B10382">
        <w:t xml:space="preserve">issues </w:t>
      </w:r>
      <w:r w:rsidR="00016314" w:rsidRPr="00B10382">
        <w:t>in relation to</w:t>
      </w:r>
      <w:r w:rsidR="008B5B06" w:rsidRPr="00B10382">
        <w:t xml:space="preserve"> the numerical groundwater model, such as the representation of the </w:t>
      </w:r>
      <w:proofErr w:type="spellStart"/>
      <w:r w:rsidR="00EB7C82" w:rsidRPr="00B10382">
        <w:t>Leard</w:t>
      </w:r>
      <w:proofErr w:type="spellEnd"/>
      <w:r w:rsidR="00EB7C82" w:rsidRPr="00B10382">
        <w:t xml:space="preserve"> Formation, </w:t>
      </w:r>
      <w:proofErr w:type="spellStart"/>
      <w:r w:rsidR="00EB7C82" w:rsidRPr="00B10382">
        <w:t>Benelabri</w:t>
      </w:r>
      <w:proofErr w:type="spellEnd"/>
      <w:r w:rsidR="00EB7C82" w:rsidRPr="00B10382">
        <w:t xml:space="preserve"> Formation and drawdown contours for layer 11</w:t>
      </w:r>
      <w:r w:rsidR="008B5B06" w:rsidRPr="00B10382">
        <w:t>, are considered unlikely to have a significant impact on predictions.</w:t>
      </w:r>
    </w:p>
    <w:p w:rsidR="008B5B06" w:rsidRPr="00B10382" w:rsidRDefault="00250A54" w:rsidP="00383963">
      <w:pPr>
        <w:pStyle w:val="ListNumber"/>
      </w:pPr>
      <w:r w:rsidRPr="00B10382">
        <w:t>Whilst considered unlikely, i</w:t>
      </w:r>
      <w:r w:rsidR="001A77C4" w:rsidRPr="00B10382">
        <w:t xml:space="preserve">f </w:t>
      </w:r>
      <w:r w:rsidR="00053F4A" w:rsidRPr="00B10382">
        <w:t>depressurisation</w:t>
      </w:r>
      <w:r w:rsidR="001A77C4" w:rsidRPr="00B10382">
        <w:t xml:space="preserve"> </w:t>
      </w:r>
      <w:r w:rsidR="008B0179" w:rsidRPr="00B10382">
        <w:t xml:space="preserve">in the Permian </w:t>
      </w:r>
      <w:r w:rsidR="001A77C4" w:rsidRPr="00B10382">
        <w:t>extend</w:t>
      </w:r>
      <w:r w:rsidR="00053F4A" w:rsidRPr="00B10382">
        <w:t>s</w:t>
      </w:r>
      <w:r w:rsidR="001A77C4" w:rsidRPr="00B10382">
        <w:t xml:space="preserve"> beyond </w:t>
      </w:r>
      <w:r w:rsidR="008B0179" w:rsidRPr="00B10382">
        <w:t xml:space="preserve">that </w:t>
      </w:r>
      <w:r w:rsidR="001A77C4" w:rsidRPr="00B10382">
        <w:t>predicted, t</w:t>
      </w:r>
      <w:r w:rsidR="008B5B06" w:rsidRPr="00B10382">
        <w:t xml:space="preserve">he regional implications relate to </w:t>
      </w:r>
      <w:r w:rsidR="002A51B7" w:rsidRPr="00B10382">
        <w:t>increased</w:t>
      </w:r>
      <w:r w:rsidR="008B0179" w:rsidRPr="00B10382">
        <w:t xml:space="preserve"> </w:t>
      </w:r>
      <w:r w:rsidR="00880E56" w:rsidRPr="00B10382">
        <w:t xml:space="preserve">impacts to </w:t>
      </w:r>
      <w:r w:rsidR="008B0179" w:rsidRPr="00B10382">
        <w:t>water level or pressure</w:t>
      </w:r>
      <w:r w:rsidR="00880E56" w:rsidRPr="00B10382">
        <w:t xml:space="preserve"> of</w:t>
      </w:r>
      <w:r w:rsidR="002A51B7" w:rsidRPr="00B10382">
        <w:t xml:space="preserve"> </w:t>
      </w:r>
      <w:r w:rsidR="008B5B06" w:rsidRPr="00B10382">
        <w:t>the groundwater resource associated with the Upper Namoi Alluvium</w:t>
      </w:r>
      <w:r w:rsidR="00BB1BCF" w:rsidRPr="00B10382">
        <w:t xml:space="preserve"> and potentially other users of the Upper Namoi Alluvium</w:t>
      </w:r>
      <w:r w:rsidR="008B5B06" w:rsidRPr="00B10382">
        <w:t xml:space="preserve">. </w:t>
      </w:r>
      <w:r w:rsidR="005C4A3D" w:rsidRPr="00B10382">
        <w:t xml:space="preserve">A robust monitoring programme is needed to ensure that </w:t>
      </w:r>
      <w:r w:rsidR="008B5B06" w:rsidRPr="00B10382">
        <w:t xml:space="preserve">potential </w:t>
      </w:r>
      <w:proofErr w:type="spellStart"/>
      <w:r w:rsidR="006140B6" w:rsidRPr="00B10382">
        <w:t>exceedance</w:t>
      </w:r>
      <w:proofErr w:type="spellEnd"/>
      <w:r w:rsidR="00B32F62" w:rsidRPr="00B10382">
        <w:t xml:space="preserve"> of </w:t>
      </w:r>
      <w:r w:rsidR="00053F4A" w:rsidRPr="00B10382">
        <w:t xml:space="preserve">triggers relating to </w:t>
      </w:r>
      <w:r w:rsidR="00B32F62" w:rsidRPr="00B10382">
        <w:t xml:space="preserve">predicted </w:t>
      </w:r>
      <w:r w:rsidR="008B5B06" w:rsidRPr="00B10382">
        <w:t>impacts to water resources</w:t>
      </w:r>
      <w:r w:rsidR="00B32F62" w:rsidRPr="00B10382">
        <w:t xml:space="preserve"> and associated ecosystems</w:t>
      </w:r>
      <w:r w:rsidR="00E15C9F" w:rsidRPr="00B10382">
        <w:t>, such as groundwater drawdown,</w:t>
      </w:r>
      <w:r w:rsidR="00B32F62" w:rsidRPr="00B10382">
        <w:t xml:space="preserve"> are detected early</w:t>
      </w:r>
      <w:r w:rsidR="002A51B7" w:rsidRPr="00B10382">
        <w:t xml:space="preserve">, </w:t>
      </w:r>
      <w:r w:rsidR="006A4DF5" w:rsidRPr="00B10382">
        <w:t>as discussed in the response to Question 3</w:t>
      </w:r>
      <w:r w:rsidR="002232CC" w:rsidRPr="00B10382">
        <w:t xml:space="preserve"> of this advice </w:t>
      </w:r>
      <w:r w:rsidR="006D3DA5" w:rsidRPr="00B10382">
        <w:t>(</w:t>
      </w:r>
      <w:r w:rsidR="002232CC" w:rsidRPr="00B10382">
        <w:t>IESC 2015-066</w:t>
      </w:r>
      <w:r w:rsidR="006D3DA5" w:rsidRPr="00B10382">
        <w:t>)</w:t>
      </w:r>
      <w:r w:rsidR="006A4DF5" w:rsidRPr="00B10382">
        <w:t xml:space="preserve">. </w:t>
      </w:r>
    </w:p>
    <w:p w:rsidR="007654F3" w:rsidRPr="00B10382" w:rsidRDefault="00250A54" w:rsidP="00383963">
      <w:pPr>
        <w:pStyle w:val="ListNumber"/>
      </w:pPr>
      <w:r w:rsidRPr="00B10382">
        <w:t>Whilst considered unlikely, i</w:t>
      </w:r>
      <w:r w:rsidR="008B5B06" w:rsidRPr="00B10382">
        <w:t>f impacts did extend beyond those predicted</w:t>
      </w:r>
      <w:r w:rsidR="0064691C" w:rsidRPr="00B10382">
        <w:t xml:space="preserve"> in the sensitivity and uncertainty analysis in the EIS</w:t>
      </w:r>
      <w:r w:rsidR="008B5B06" w:rsidRPr="00B10382">
        <w:t xml:space="preserve">, there is no likelihood of transmission of impacts to the Great Artesian Basin (GAB) because of the </w:t>
      </w:r>
      <w:r w:rsidR="005C4A3D" w:rsidRPr="00B10382">
        <w:t>clear geological</w:t>
      </w:r>
      <w:r w:rsidR="008B5B06" w:rsidRPr="00B10382">
        <w:t xml:space="preserve"> </w:t>
      </w:r>
      <w:r w:rsidR="00520F3C" w:rsidRPr="00B10382">
        <w:t xml:space="preserve">and spatial </w:t>
      </w:r>
      <w:r w:rsidR="008B5B06" w:rsidRPr="00B10382">
        <w:t>separation between the mine site and the aquifers of the GAB</w:t>
      </w:r>
      <w:r w:rsidR="00CB0AE3" w:rsidRPr="00B10382">
        <w:t xml:space="preserve"> (see paragraph </w:t>
      </w:r>
      <w:fldSimple w:instr=" REF _Ref416699643 \r \h  \* MERGEFORMAT ">
        <w:r w:rsidR="007F7D51">
          <w:t>23</w:t>
        </w:r>
      </w:fldSimple>
      <w:r w:rsidR="0099716E" w:rsidRPr="00B10382">
        <w:t xml:space="preserve"> of this advice IESC 2015-066</w:t>
      </w:r>
      <w:r w:rsidR="00CB0AE3" w:rsidRPr="00B10382">
        <w:t>)</w:t>
      </w:r>
      <w:r w:rsidR="008B5B06" w:rsidRPr="00B10382">
        <w:t xml:space="preserve">. </w:t>
      </w:r>
    </w:p>
    <w:p w:rsidR="008B5B06" w:rsidRPr="00B10382" w:rsidRDefault="008B5B06" w:rsidP="008B5B06">
      <w:pPr>
        <w:pStyle w:val="Heading4"/>
      </w:pPr>
      <w:r w:rsidRPr="00B10382">
        <w:t>Explanation</w:t>
      </w:r>
    </w:p>
    <w:p w:rsidR="00620933" w:rsidRPr="00B10382" w:rsidRDefault="00620933" w:rsidP="00620933">
      <w:pPr>
        <w:pStyle w:val="Heading5"/>
      </w:pPr>
      <w:r w:rsidRPr="00B10382">
        <w:t xml:space="preserve">Conceptualisation and </w:t>
      </w:r>
      <w:r w:rsidR="00E112E5" w:rsidRPr="00B10382">
        <w:t>p</w:t>
      </w:r>
      <w:r w:rsidRPr="00B10382">
        <w:t>arameterisation</w:t>
      </w:r>
    </w:p>
    <w:p w:rsidR="002F05F3" w:rsidRPr="00B10382" w:rsidRDefault="002F05F3" w:rsidP="00383963">
      <w:pPr>
        <w:pStyle w:val="ListNumber"/>
      </w:pPr>
      <w:r w:rsidRPr="00B10382">
        <w:t xml:space="preserve">The proponent’s conceptualisation, recharge and hydraulic conductivity estimates and their reported uncertainty </w:t>
      </w:r>
      <w:r w:rsidR="00904372" w:rsidRPr="00B10382">
        <w:t xml:space="preserve">assessment </w:t>
      </w:r>
      <w:r w:rsidRPr="00B10382">
        <w:t xml:space="preserve">are justified, given the current understanding of the groundwater system and available data, including measured parameters. However, as additional information is collected </w:t>
      </w:r>
      <w:r w:rsidR="0089504E" w:rsidRPr="00B10382">
        <w:t xml:space="preserve">from targeted monitoring </w:t>
      </w:r>
      <w:r w:rsidR="00EB7C82" w:rsidRPr="00B10382">
        <w:t>the</w:t>
      </w:r>
      <w:r w:rsidR="00DD276A" w:rsidRPr="00B10382">
        <w:t xml:space="preserve"> numerical</w:t>
      </w:r>
      <w:r w:rsidR="00EB7C82" w:rsidRPr="00B10382">
        <w:t xml:space="preserve"> </w:t>
      </w:r>
      <w:r w:rsidR="00904372" w:rsidRPr="00B10382">
        <w:t xml:space="preserve">groundwater </w:t>
      </w:r>
      <w:r w:rsidR="00EB7C82" w:rsidRPr="00B10382">
        <w:t xml:space="preserve">model </w:t>
      </w:r>
      <w:r w:rsidR="0089504E" w:rsidRPr="00B10382">
        <w:t xml:space="preserve">should be </w:t>
      </w:r>
      <w:r w:rsidR="00EB7C82" w:rsidRPr="00B10382">
        <w:t xml:space="preserve">revised </w:t>
      </w:r>
      <w:r w:rsidR="002A51B7" w:rsidRPr="00B10382">
        <w:t>so that accurate predictions drive any necessary action in a timely manner.</w:t>
      </w:r>
    </w:p>
    <w:p w:rsidR="008B5B06" w:rsidRPr="00B10382" w:rsidRDefault="00E112E5" w:rsidP="00EF3C2F">
      <w:pPr>
        <w:pStyle w:val="Heading5"/>
        <w:keepNext/>
      </w:pPr>
      <w:r w:rsidRPr="00B10382">
        <w:t>Permian/w</w:t>
      </w:r>
      <w:r w:rsidR="008B5B06" w:rsidRPr="00B10382">
        <w:t>eathered zone</w:t>
      </w:r>
    </w:p>
    <w:p w:rsidR="001A77C4" w:rsidRPr="00B10382" w:rsidRDefault="008B5B06" w:rsidP="00383963">
      <w:pPr>
        <w:pStyle w:val="ListNumber"/>
      </w:pPr>
      <w:r w:rsidRPr="00B10382">
        <w:t xml:space="preserve">The proponent has conceptualised the weathered zones, including </w:t>
      </w:r>
      <w:r w:rsidR="00620933" w:rsidRPr="00B10382">
        <w:t xml:space="preserve">those </w:t>
      </w:r>
      <w:r w:rsidRPr="00B10382">
        <w:t xml:space="preserve">between the proposed pits and the </w:t>
      </w:r>
      <w:r w:rsidR="00C47AB6" w:rsidRPr="00B10382">
        <w:t>Upper Namoi Alluvium</w:t>
      </w:r>
      <w:r w:rsidRPr="00B10382">
        <w:t xml:space="preserve">, as zones of enhanced hydraulic conductivity. This approach is more likely to overestimate than underestimate potential impacts to the Upper Namoi Alluvium. </w:t>
      </w:r>
    </w:p>
    <w:p w:rsidR="007654F3" w:rsidRPr="00B10382" w:rsidRDefault="008B5B06" w:rsidP="00383963">
      <w:pPr>
        <w:pStyle w:val="ListNumber"/>
      </w:pPr>
      <w:r w:rsidRPr="00B10382">
        <w:t>Studies by the Bureau of Rural Sciences (</w:t>
      </w:r>
      <w:proofErr w:type="spellStart"/>
      <w:r w:rsidRPr="00B10382">
        <w:t>Macauley</w:t>
      </w:r>
      <w:proofErr w:type="spellEnd"/>
      <w:r w:rsidRPr="00B10382">
        <w:t xml:space="preserve"> &amp; </w:t>
      </w:r>
      <w:proofErr w:type="spellStart"/>
      <w:r w:rsidRPr="00B10382">
        <w:t>Kellett</w:t>
      </w:r>
      <w:proofErr w:type="spellEnd"/>
      <w:r w:rsidRPr="00B10382">
        <w:t xml:space="preserve">, 2009) in a similar geological environment have concluded that </w:t>
      </w:r>
      <w:proofErr w:type="spellStart"/>
      <w:r w:rsidRPr="00B10382">
        <w:t>saprolite</w:t>
      </w:r>
      <w:proofErr w:type="spellEnd"/>
      <w:r w:rsidRPr="00B10382">
        <w:t xml:space="preserve"> acts as a continuous impermeable blanket over the GAB, and prevents hydraulic connection between the alluvium and the GAB sequence. </w:t>
      </w:r>
      <w:r w:rsidR="00250A54" w:rsidRPr="00B10382">
        <w:t xml:space="preserve">Whilst there is no GAB sequence within the </w:t>
      </w:r>
      <w:r w:rsidR="00DD276A" w:rsidRPr="00B10382">
        <w:t xml:space="preserve">numerical </w:t>
      </w:r>
      <w:r w:rsidR="00250A54" w:rsidRPr="00B10382">
        <w:t>groundwater model domain, t</w:t>
      </w:r>
      <w:r w:rsidRPr="00B10382">
        <w:t xml:space="preserve">he </w:t>
      </w:r>
      <w:proofErr w:type="spellStart"/>
      <w:r w:rsidRPr="00B10382">
        <w:t>saprolite</w:t>
      </w:r>
      <w:proofErr w:type="spellEnd"/>
      <w:r w:rsidRPr="00B10382">
        <w:t xml:space="preserve"> </w:t>
      </w:r>
      <w:r w:rsidR="00250A54" w:rsidRPr="00B10382">
        <w:t xml:space="preserve">in this domain </w:t>
      </w:r>
      <w:r w:rsidRPr="00B10382">
        <w:t xml:space="preserve">has the potential to form a similar low permeability layer, which would limit the transmission of groundwater impacts to the </w:t>
      </w:r>
      <w:r w:rsidR="00C47AB6" w:rsidRPr="00B10382">
        <w:t>Upper Namoi Alluvium</w:t>
      </w:r>
      <w:r w:rsidRPr="00B10382">
        <w:t>.</w:t>
      </w:r>
    </w:p>
    <w:p w:rsidR="007654F3" w:rsidRPr="00B10382" w:rsidRDefault="00620933" w:rsidP="00383963">
      <w:pPr>
        <w:pStyle w:val="ListNumber"/>
      </w:pPr>
      <w:r w:rsidRPr="00B10382">
        <w:t>Calibrated parameters for the numerical</w:t>
      </w:r>
      <w:r w:rsidR="00DD276A" w:rsidRPr="00B10382">
        <w:t xml:space="preserve"> groundwater</w:t>
      </w:r>
      <w:r w:rsidRPr="00B10382">
        <w:t xml:space="preserve"> model </w:t>
      </w:r>
      <w:r w:rsidR="008B5B06" w:rsidRPr="00B10382">
        <w:t>are within the bounds of</w:t>
      </w:r>
      <w:r w:rsidRPr="00B10382">
        <w:t xml:space="preserve"> measured parameters</w:t>
      </w:r>
      <w:r w:rsidR="00A503C5" w:rsidRPr="00B10382">
        <w:t xml:space="preserve"> from pumping tests and smaller scale field and laboratory tests</w:t>
      </w:r>
      <w:r w:rsidRPr="00B10382">
        <w:t xml:space="preserve">. </w:t>
      </w:r>
      <w:r w:rsidR="009330D3" w:rsidRPr="00B10382">
        <w:t>T</w:t>
      </w:r>
      <w:r w:rsidRPr="00B10382">
        <w:t xml:space="preserve">here </w:t>
      </w:r>
      <w:r w:rsidR="008B5B06" w:rsidRPr="00B10382">
        <w:t xml:space="preserve">are relatively few hydraulic </w:t>
      </w:r>
      <w:r w:rsidRPr="00B10382">
        <w:t>conductivity measurements available</w:t>
      </w:r>
      <w:r w:rsidR="00E112E5" w:rsidRPr="00B10382">
        <w:t xml:space="preserve"> for the Permian </w:t>
      </w:r>
      <w:r w:rsidR="009330D3" w:rsidRPr="00B10382">
        <w:t>strata</w:t>
      </w:r>
      <w:r w:rsidR="002A51B7" w:rsidRPr="00B10382">
        <w:t>.</w:t>
      </w:r>
      <w:r w:rsidR="00941A02" w:rsidRPr="00B10382">
        <w:t xml:space="preserve"> </w:t>
      </w:r>
      <w:r w:rsidR="002A51B7" w:rsidRPr="00B10382">
        <w:t>M</w:t>
      </w:r>
      <w:r w:rsidR="00E112E5" w:rsidRPr="00B10382">
        <w:t>odel calibration</w:t>
      </w:r>
      <w:r w:rsidR="009330D3" w:rsidRPr="00B10382">
        <w:t>, parameterisation and reliability</w:t>
      </w:r>
      <w:r w:rsidR="00E112E5" w:rsidRPr="00B10382">
        <w:t xml:space="preserve"> </w:t>
      </w:r>
      <w:r w:rsidR="009330D3" w:rsidRPr="00B10382">
        <w:t xml:space="preserve">are </w:t>
      </w:r>
      <w:r w:rsidR="0089504E" w:rsidRPr="00B10382">
        <w:t xml:space="preserve">therefore expected to be </w:t>
      </w:r>
      <w:r w:rsidR="009330D3" w:rsidRPr="00B10382">
        <w:t>better in</w:t>
      </w:r>
      <w:r w:rsidR="008B5B06" w:rsidRPr="00B10382">
        <w:t xml:space="preserve"> the </w:t>
      </w:r>
      <w:r w:rsidR="00C47AB6" w:rsidRPr="00B10382">
        <w:t>Upper Namoi Alluvium</w:t>
      </w:r>
      <w:r w:rsidR="008B5B06" w:rsidRPr="00B10382">
        <w:t xml:space="preserve"> for which more data is available. For this reason, as understanding of the hydraulic characteristics of Permian </w:t>
      </w:r>
      <w:r w:rsidR="009330D3" w:rsidRPr="00B10382">
        <w:t>strata</w:t>
      </w:r>
      <w:r w:rsidR="008B5B06" w:rsidRPr="00B10382">
        <w:t xml:space="preserve"> is improved</w:t>
      </w:r>
      <w:r w:rsidR="0069178A" w:rsidRPr="00B10382">
        <w:t xml:space="preserve"> through </w:t>
      </w:r>
      <w:r w:rsidR="00520F3C" w:rsidRPr="00B10382">
        <w:t xml:space="preserve">time-series data from </w:t>
      </w:r>
      <w:r w:rsidR="0069178A" w:rsidRPr="00B10382">
        <w:t>additional targeted monitoring, especially in the zones between the pits and the alluvium</w:t>
      </w:r>
      <w:r w:rsidR="008B5B06" w:rsidRPr="00B10382">
        <w:t>, modelling should be refined to</w:t>
      </w:r>
      <w:r w:rsidR="00C63377" w:rsidRPr="00B10382">
        <w:t xml:space="preserve"> </w:t>
      </w:r>
      <w:r w:rsidR="00A503C5" w:rsidRPr="00B10382">
        <w:t xml:space="preserve">enable early warnings of trigger </w:t>
      </w:r>
      <w:proofErr w:type="spellStart"/>
      <w:r w:rsidR="00A503C5" w:rsidRPr="00B10382">
        <w:t>exce</w:t>
      </w:r>
      <w:r w:rsidR="00520F3C" w:rsidRPr="00B10382">
        <w:t>e</w:t>
      </w:r>
      <w:r w:rsidR="00A503C5" w:rsidRPr="00B10382">
        <w:t>dances</w:t>
      </w:r>
      <w:proofErr w:type="spellEnd"/>
      <w:r w:rsidR="00A503C5" w:rsidRPr="00B10382">
        <w:t xml:space="preserve"> and </w:t>
      </w:r>
      <w:r w:rsidR="008B5B06" w:rsidRPr="00B10382">
        <w:t>inform management</w:t>
      </w:r>
      <w:r w:rsidR="0089504E" w:rsidRPr="00B10382">
        <w:t xml:space="preserve"> options</w:t>
      </w:r>
      <w:r w:rsidR="008B5B06" w:rsidRPr="00B10382">
        <w:t>, as discussed in response to Question 3a</w:t>
      </w:r>
      <w:r w:rsidR="002232CC" w:rsidRPr="00B10382">
        <w:t xml:space="preserve"> of this advice </w:t>
      </w:r>
      <w:r w:rsidR="006D3DA5" w:rsidRPr="00B10382">
        <w:t>(</w:t>
      </w:r>
      <w:r w:rsidR="002232CC" w:rsidRPr="00B10382">
        <w:t>IESC 2015-066</w:t>
      </w:r>
      <w:r w:rsidR="006D3DA5" w:rsidRPr="00B10382">
        <w:t>)</w:t>
      </w:r>
      <w:r w:rsidR="008B5B06" w:rsidRPr="00B10382">
        <w:t>.</w:t>
      </w:r>
    </w:p>
    <w:p w:rsidR="008B5B06" w:rsidRPr="00B10382" w:rsidRDefault="008B5B06" w:rsidP="008B5B06">
      <w:pPr>
        <w:pStyle w:val="Heading5"/>
      </w:pPr>
      <w:r w:rsidRPr="00B10382">
        <w:t xml:space="preserve">Alluvium </w:t>
      </w:r>
      <w:r w:rsidR="0019627F" w:rsidRPr="00B10382">
        <w:t xml:space="preserve">and </w:t>
      </w:r>
      <w:proofErr w:type="spellStart"/>
      <w:r w:rsidR="0019627F" w:rsidRPr="00B10382">
        <w:t>colluvium</w:t>
      </w:r>
      <w:proofErr w:type="spellEnd"/>
    </w:p>
    <w:p w:rsidR="008B5B06" w:rsidRPr="00B10382" w:rsidRDefault="008B5B06" w:rsidP="00383963">
      <w:pPr>
        <w:pStyle w:val="ListNumber"/>
      </w:pPr>
      <w:r w:rsidRPr="00B10382">
        <w:t>The proponent conceptualises groundwater within the Upper Namoi Alluvium as occurring within two distinct systems: the poor quality, lower yielding Narrabri Formation and the fresher, highly productive Gunnedah Formation. While it is very likely that there is significant local</w:t>
      </w:r>
      <w:r w:rsidR="002D1A22" w:rsidRPr="00B10382">
        <w:t>-</w:t>
      </w:r>
      <w:r w:rsidRPr="00B10382">
        <w:t xml:space="preserve">scale variation in the hydraulic parameters and connectivity of the alluvial sediments, the simplification made in the proponent’s conceptualisation is appropriate </w:t>
      </w:r>
      <w:r w:rsidR="00E91802" w:rsidRPr="00B10382">
        <w:t xml:space="preserve">at the regional scale </w:t>
      </w:r>
      <w:r w:rsidRPr="00B10382">
        <w:t>and is consistent with previous modelling studies in the region.</w:t>
      </w:r>
    </w:p>
    <w:p w:rsidR="007654F3" w:rsidRPr="00B10382" w:rsidRDefault="00EB7C82" w:rsidP="00383963">
      <w:pPr>
        <w:pStyle w:val="ListNumber"/>
      </w:pPr>
      <w:r w:rsidRPr="00B10382">
        <w:t xml:space="preserve">Geological mapping (GHD, 2011) indicates zones of </w:t>
      </w:r>
      <w:proofErr w:type="spellStart"/>
      <w:r w:rsidRPr="00B10382">
        <w:t>colluvial</w:t>
      </w:r>
      <w:proofErr w:type="spellEnd"/>
      <w:r w:rsidRPr="00B10382">
        <w:t xml:space="preserve"> and alluvial deposits </w:t>
      </w:r>
      <w:r w:rsidR="001A766F" w:rsidRPr="00B10382">
        <w:t xml:space="preserve">around the proposed </w:t>
      </w:r>
      <w:r w:rsidR="005C300C" w:rsidRPr="00B10382">
        <w:t>w</w:t>
      </w:r>
      <w:r w:rsidR="001A766F" w:rsidRPr="00B10382">
        <w:t xml:space="preserve">estern </w:t>
      </w:r>
      <w:r w:rsidR="005C300C" w:rsidRPr="00B10382">
        <w:t>p</w:t>
      </w:r>
      <w:r w:rsidR="001A766F" w:rsidRPr="00B10382">
        <w:t>it</w:t>
      </w:r>
      <w:r w:rsidR="00B1557C" w:rsidRPr="00B10382">
        <w:t xml:space="preserve">, which have </w:t>
      </w:r>
      <w:r w:rsidR="00124913" w:rsidRPr="00B10382">
        <w:t>on some occasions</w:t>
      </w:r>
      <w:r w:rsidR="00B1557C" w:rsidRPr="00B10382">
        <w:t xml:space="preserve"> been referred to as ‘</w:t>
      </w:r>
      <w:proofErr w:type="spellStart"/>
      <w:r w:rsidR="00B1557C" w:rsidRPr="00B10382">
        <w:t>paleochannels</w:t>
      </w:r>
      <w:proofErr w:type="spellEnd"/>
      <w:r w:rsidR="00B1557C" w:rsidRPr="00B10382">
        <w:t>’</w:t>
      </w:r>
      <w:r w:rsidR="00EC5AF1" w:rsidRPr="00B10382">
        <w:t xml:space="preserve"> (</w:t>
      </w:r>
      <w:r w:rsidR="00124E5C" w:rsidRPr="00B10382">
        <w:t>P8, for example</w:t>
      </w:r>
      <w:r w:rsidR="00EC5AF1" w:rsidRPr="00B10382">
        <w:t>)</w:t>
      </w:r>
      <w:r w:rsidRPr="00B10382">
        <w:t xml:space="preserve">. </w:t>
      </w:r>
      <w:proofErr w:type="spellStart"/>
      <w:r w:rsidR="002A51B7" w:rsidRPr="00B10382">
        <w:t>H</w:t>
      </w:r>
      <w:r w:rsidRPr="00B10382">
        <w:t>ydrogeological</w:t>
      </w:r>
      <w:proofErr w:type="spellEnd"/>
      <w:r w:rsidRPr="00B10382">
        <w:t xml:space="preserve"> data</w:t>
      </w:r>
      <w:r w:rsidR="00BB1BCF" w:rsidRPr="00B10382">
        <w:t xml:space="preserve"> </w:t>
      </w:r>
      <w:r w:rsidR="00426637" w:rsidRPr="00B10382">
        <w:t>presented in the EIS</w:t>
      </w:r>
      <w:r w:rsidR="002A51B7" w:rsidRPr="00B10382">
        <w:t>, although limited,</w:t>
      </w:r>
      <w:r w:rsidRPr="00B10382">
        <w:t xml:space="preserve"> suggests that these zones have relatively low hydraulic conductivity</w:t>
      </w:r>
      <w:r w:rsidR="00803D9E" w:rsidRPr="00B10382">
        <w:t xml:space="preserve"> and high salinity</w:t>
      </w:r>
      <w:r w:rsidR="00E80D0F" w:rsidRPr="00B10382">
        <w:t xml:space="preserve"> (</w:t>
      </w:r>
      <w:r w:rsidR="00CC5D8E" w:rsidRPr="00B10382">
        <w:t>the latter also a strong indicator implying low hydraulic conductivity</w:t>
      </w:r>
      <w:r w:rsidR="003C1528" w:rsidRPr="00B10382">
        <w:t xml:space="preserve"> and little natural </w:t>
      </w:r>
      <w:proofErr w:type="spellStart"/>
      <w:r w:rsidR="003C1528" w:rsidRPr="00B10382">
        <w:t>throughflow</w:t>
      </w:r>
      <w:proofErr w:type="spellEnd"/>
      <w:r w:rsidR="003C1528" w:rsidRPr="00B10382">
        <w:t xml:space="preserve"> of groundwater</w:t>
      </w:r>
      <w:r w:rsidR="00E80D0F" w:rsidRPr="00B10382">
        <w:t>)</w:t>
      </w:r>
      <w:r w:rsidR="00124913" w:rsidRPr="00B10382">
        <w:t xml:space="preserve">. The </w:t>
      </w:r>
      <w:r w:rsidR="00B1557C" w:rsidRPr="00B10382">
        <w:t xml:space="preserve">numerical </w:t>
      </w:r>
      <w:r w:rsidR="00DD276A" w:rsidRPr="00B10382">
        <w:t xml:space="preserve">groundwater </w:t>
      </w:r>
      <w:r w:rsidR="00B1557C" w:rsidRPr="00B10382">
        <w:t xml:space="preserve">model </w:t>
      </w:r>
      <w:r w:rsidR="00124913" w:rsidRPr="00B10382">
        <w:t xml:space="preserve">has represented these deposits </w:t>
      </w:r>
      <w:r w:rsidR="00B1557C" w:rsidRPr="00B10382">
        <w:t>as weathered material</w:t>
      </w:r>
      <w:r w:rsidR="00124913" w:rsidRPr="00B10382">
        <w:t xml:space="preserve">, </w:t>
      </w:r>
      <w:r w:rsidR="00124E5C" w:rsidRPr="00B10382">
        <w:t xml:space="preserve">with enhanced hydraulic conductivity. This approach </w:t>
      </w:r>
      <w:r w:rsidR="00124913" w:rsidRPr="00B10382">
        <w:t>is appropriate and likely to overestimate any potential impacts</w:t>
      </w:r>
      <w:r w:rsidR="00EC5AF1" w:rsidRPr="00B10382">
        <w:t xml:space="preserve"> on the Upper Namoi Alluvium</w:t>
      </w:r>
      <w:r w:rsidR="00B1557C" w:rsidRPr="00B10382">
        <w:t xml:space="preserve">. </w:t>
      </w:r>
    </w:p>
    <w:p w:rsidR="007654F3" w:rsidRPr="00B10382" w:rsidRDefault="008B5B06" w:rsidP="00383963">
      <w:pPr>
        <w:pStyle w:val="ListNumber"/>
      </w:pPr>
      <w:r w:rsidRPr="00B10382">
        <w:t xml:space="preserve">Better definition </w:t>
      </w:r>
      <w:r w:rsidR="00A353EC" w:rsidRPr="00B10382">
        <w:t xml:space="preserve">and parameterisation </w:t>
      </w:r>
      <w:r w:rsidRPr="00B10382">
        <w:t>of the hydrogeology and geology at a local</w:t>
      </w:r>
      <w:r w:rsidR="002D1A22" w:rsidRPr="00B10382">
        <w:t>-</w:t>
      </w:r>
      <w:r w:rsidRPr="00B10382">
        <w:t>scale</w:t>
      </w:r>
      <w:r w:rsidR="00E91802" w:rsidRPr="00B10382">
        <w:t xml:space="preserve">, particularly in relation to the alluvium and </w:t>
      </w:r>
      <w:proofErr w:type="spellStart"/>
      <w:r w:rsidR="00E91802" w:rsidRPr="00B10382">
        <w:t>colluvium</w:t>
      </w:r>
      <w:proofErr w:type="spellEnd"/>
      <w:r w:rsidR="00E91802" w:rsidRPr="00B10382">
        <w:t>, should</w:t>
      </w:r>
      <w:r w:rsidRPr="00B10382">
        <w:t xml:space="preserve"> inform </w:t>
      </w:r>
      <w:r w:rsidR="002D1A22" w:rsidRPr="00B10382">
        <w:t>finer-scale</w:t>
      </w:r>
      <w:r w:rsidRPr="00B10382">
        <w:t xml:space="preserve"> </w:t>
      </w:r>
      <w:r w:rsidR="00DD276A" w:rsidRPr="00B10382">
        <w:t xml:space="preserve">numerical groundwater </w:t>
      </w:r>
      <w:r w:rsidRPr="00B10382">
        <w:t xml:space="preserve">modelling discussed in response to Question 3a </w:t>
      </w:r>
      <w:r w:rsidR="002232CC" w:rsidRPr="00B10382">
        <w:t xml:space="preserve">of this advice </w:t>
      </w:r>
      <w:r w:rsidR="00C046FB" w:rsidRPr="00B10382">
        <w:t>(</w:t>
      </w:r>
      <w:r w:rsidR="002232CC" w:rsidRPr="00B10382">
        <w:t>IESC 2015-066</w:t>
      </w:r>
      <w:r w:rsidR="00C046FB" w:rsidRPr="00B10382">
        <w:t>)</w:t>
      </w:r>
      <w:r w:rsidR="002232CC" w:rsidRPr="00B10382">
        <w:t xml:space="preserve"> </w:t>
      </w:r>
      <w:r w:rsidR="00E91802" w:rsidRPr="00B10382">
        <w:t>to</w:t>
      </w:r>
      <w:r w:rsidRPr="00B10382">
        <w:t xml:space="preserve"> improve confidence in the prediction of local </w:t>
      </w:r>
      <w:r w:rsidR="00DD276A" w:rsidRPr="00B10382">
        <w:t xml:space="preserve">groundwater </w:t>
      </w:r>
      <w:r w:rsidRPr="00B10382">
        <w:t>drawdown effects</w:t>
      </w:r>
      <w:r w:rsidR="000C4130" w:rsidRPr="00B10382">
        <w:t xml:space="preserve"> and </w:t>
      </w:r>
      <w:r w:rsidR="00865B3F" w:rsidRPr="00B10382">
        <w:t>clear identification</w:t>
      </w:r>
      <w:r w:rsidR="00AE4032" w:rsidRPr="00B10382">
        <w:t xml:space="preserve"> </w:t>
      </w:r>
      <w:r w:rsidR="006A4DF5" w:rsidRPr="00B10382">
        <w:t>and response to</w:t>
      </w:r>
      <w:r w:rsidR="000C4130" w:rsidRPr="00B10382">
        <w:t xml:space="preserve"> mine</w:t>
      </w:r>
      <w:r w:rsidR="00A86216" w:rsidRPr="00B10382">
        <w:t>-</w:t>
      </w:r>
      <w:r w:rsidR="000C4130" w:rsidRPr="00B10382">
        <w:t>induced impacts</w:t>
      </w:r>
      <w:r w:rsidRPr="00B10382">
        <w:t>.</w:t>
      </w:r>
    </w:p>
    <w:p w:rsidR="00E112E5" w:rsidRPr="00B10382" w:rsidRDefault="00E112E5" w:rsidP="00E112E5">
      <w:pPr>
        <w:pStyle w:val="Heading5"/>
      </w:pPr>
      <w:r w:rsidRPr="00B10382">
        <w:t>Sensitivity and uncertainty analysis</w:t>
      </w:r>
    </w:p>
    <w:p w:rsidR="00E112E5" w:rsidRPr="00B10382" w:rsidRDefault="00E112E5" w:rsidP="00383963">
      <w:pPr>
        <w:pStyle w:val="ListNumber"/>
      </w:pPr>
      <w:bookmarkStart w:id="9" w:name="_Ref415674701"/>
      <w:r w:rsidRPr="00B10382">
        <w:t xml:space="preserve">The sensitivity analysis and uncertainty analysis within Hansen Bailey (2013a) </w:t>
      </w:r>
      <w:r w:rsidR="00460171" w:rsidRPr="00B10382">
        <w:t xml:space="preserve">provide investigation of </w:t>
      </w:r>
      <w:r w:rsidRPr="00B10382">
        <w:t xml:space="preserve">uncertainties associated with </w:t>
      </w:r>
      <w:r w:rsidR="00460171" w:rsidRPr="00B10382">
        <w:t xml:space="preserve">key variables: </w:t>
      </w:r>
      <w:r w:rsidRPr="00B10382">
        <w:t xml:space="preserve">hydraulic conductivity, </w:t>
      </w:r>
      <w:proofErr w:type="spellStart"/>
      <w:r w:rsidRPr="00B10382">
        <w:t>storativity</w:t>
      </w:r>
      <w:proofErr w:type="spellEnd"/>
      <w:r w:rsidRPr="00B10382">
        <w:t xml:space="preserve"> and recharge. These analyses provide a good estimate of the median impact and improve confidence in impact predictions. </w:t>
      </w:r>
      <w:r w:rsidR="009330D3" w:rsidRPr="00B10382">
        <w:t>Additional M</w:t>
      </w:r>
      <w:r w:rsidRPr="00B10382">
        <w:t xml:space="preserve">onte Carlo simulations </w:t>
      </w:r>
      <w:r w:rsidR="001043EE" w:rsidRPr="00B10382">
        <w:t>would improve the reliability of</w:t>
      </w:r>
      <w:r w:rsidRPr="00B10382">
        <w:t xml:space="preserve"> </w:t>
      </w:r>
      <w:r w:rsidR="001043EE" w:rsidRPr="00B10382">
        <w:t>estimations for</w:t>
      </w:r>
      <w:r w:rsidRPr="00B10382">
        <w:t xml:space="preserve"> the extremes of the predictive interval. </w:t>
      </w:r>
    </w:p>
    <w:bookmarkEnd w:id="9"/>
    <w:p w:rsidR="008B5B06" w:rsidRPr="00B10382" w:rsidRDefault="00E112E5" w:rsidP="008B5B06">
      <w:pPr>
        <w:pStyle w:val="Heading5"/>
      </w:pPr>
      <w:r w:rsidRPr="00B10382">
        <w:t xml:space="preserve">Numerical </w:t>
      </w:r>
      <w:r w:rsidR="00DD276A" w:rsidRPr="00B10382">
        <w:t xml:space="preserve">groundwater </w:t>
      </w:r>
      <w:r w:rsidRPr="00B10382">
        <w:t>model - r</w:t>
      </w:r>
      <w:r w:rsidR="008B5B06" w:rsidRPr="00B10382">
        <w:t xml:space="preserve">epresentation of </w:t>
      </w:r>
      <w:proofErr w:type="spellStart"/>
      <w:r w:rsidR="008B5B06" w:rsidRPr="00B10382">
        <w:t>hydrostratigraphy</w:t>
      </w:r>
      <w:proofErr w:type="spellEnd"/>
      <w:r w:rsidR="008B5B06" w:rsidRPr="00B10382">
        <w:t xml:space="preserve"> and </w:t>
      </w:r>
      <w:r w:rsidR="00DD276A" w:rsidRPr="00B10382">
        <w:t xml:space="preserve">groundwater </w:t>
      </w:r>
      <w:r w:rsidR="008B5B06" w:rsidRPr="00B10382">
        <w:t>drawdown</w:t>
      </w:r>
    </w:p>
    <w:p w:rsidR="008B5B06" w:rsidRPr="00B10382" w:rsidRDefault="008B5B06" w:rsidP="00383963">
      <w:pPr>
        <w:pStyle w:val="ListNumber"/>
      </w:pPr>
      <w:r w:rsidRPr="00B10382">
        <w:t xml:space="preserve">There are several </w:t>
      </w:r>
      <w:r w:rsidR="007822AD" w:rsidRPr="00B10382">
        <w:t xml:space="preserve">minor </w:t>
      </w:r>
      <w:r w:rsidRPr="00B10382">
        <w:t xml:space="preserve">issues with the presentation of information relating to model layers and possible issues with the representation of </w:t>
      </w:r>
      <w:proofErr w:type="spellStart"/>
      <w:r w:rsidRPr="00B10382">
        <w:t>hydrostratigraphic</w:t>
      </w:r>
      <w:proofErr w:type="spellEnd"/>
      <w:r w:rsidRPr="00B10382">
        <w:t xml:space="preserve"> units in the mode</w:t>
      </w:r>
      <w:r w:rsidR="007450F5" w:rsidRPr="00B10382">
        <w:t>l</w:t>
      </w:r>
      <w:r w:rsidR="00053F4A" w:rsidRPr="00B10382">
        <w:t>, as outlined below</w:t>
      </w:r>
      <w:r w:rsidRPr="00B10382">
        <w:t xml:space="preserve">. Confidence in the model’s predictions would be </w:t>
      </w:r>
      <w:r w:rsidR="00803D9E" w:rsidRPr="00B10382">
        <w:t>improved</w:t>
      </w:r>
      <w:r w:rsidRPr="00B10382">
        <w:t xml:space="preserve"> if more information </w:t>
      </w:r>
      <w:proofErr w:type="gramStart"/>
      <w:r w:rsidRPr="00B10382">
        <w:t>were</w:t>
      </w:r>
      <w:proofErr w:type="gramEnd"/>
      <w:r w:rsidRPr="00B10382">
        <w:t xml:space="preserve"> provided relating to the model layers, but it is considered that resolution of these issues would not have a substantial impact on model predictions</w:t>
      </w:r>
      <w:r w:rsidR="00053F4A" w:rsidRPr="00B10382">
        <w:t>.</w:t>
      </w:r>
    </w:p>
    <w:p w:rsidR="008B5B06" w:rsidRPr="00B10382" w:rsidRDefault="00DD276A" w:rsidP="008B5B06">
      <w:pPr>
        <w:pStyle w:val="ListNumber2"/>
      </w:pPr>
      <w:r w:rsidRPr="00B10382">
        <w:t>Groundwater d</w:t>
      </w:r>
      <w:r w:rsidR="008B5B06" w:rsidRPr="00B10382">
        <w:t xml:space="preserve">rawdown contours have not been provided for model layer 11 (described as representing the Watermark to </w:t>
      </w:r>
      <w:proofErr w:type="spellStart"/>
      <w:r w:rsidR="008B5B06" w:rsidRPr="00B10382">
        <w:t>Maules</w:t>
      </w:r>
      <w:proofErr w:type="spellEnd"/>
      <w:r w:rsidR="008B5B06" w:rsidRPr="00B10382">
        <w:t xml:space="preserve"> Creek Formations), which underlies layers 1 and 2 in the northern and eastern area of the model. Presentation of modelled drawdown in this layer for all scenarios would </w:t>
      </w:r>
      <w:r w:rsidR="00803D9E" w:rsidRPr="00B10382">
        <w:t>assist in confirming</w:t>
      </w:r>
      <w:r w:rsidR="00ED79B6" w:rsidRPr="00B10382">
        <w:t xml:space="preserve"> that there is a low likelihood</w:t>
      </w:r>
      <w:r w:rsidR="008B5B06" w:rsidRPr="00B10382">
        <w:t xml:space="preserve"> of drawdown in the overlying </w:t>
      </w:r>
      <w:r w:rsidR="00C47AB6" w:rsidRPr="00B10382">
        <w:t>Upper Namoi Alluvium</w:t>
      </w:r>
      <w:r w:rsidR="00ED79B6" w:rsidRPr="00B10382">
        <w:t xml:space="preserve"> to the north-east of the proposed project area</w:t>
      </w:r>
      <w:r w:rsidR="008B5B06" w:rsidRPr="00B10382">
        <w:t>.</w:t>
      </w:r>
    </w:p>
    <w:p w:rsidR="008B5B06" w:rsidRPr="00B10382" w:rsidRDefault="008B5B06" w:rsidP="008B5B06">
      <w:pPr>
        <w:pStyle w:val="ListNumber2"/>
      </w:pPr>
      <w:r w:rsidRPr="00B10382">
        <w:t xml:space="preserve">The </w:t>
      </w:r>
      <w:proofErr w:type="spellStart"/>
      <w:r w:rsidRPr="00B10382">
        <w:t>Leard</w:t>
      </w:r>
      <w:proofErr w:type="spellEnd"/>
      <w:r w:rsidRPr="00B10382">
        <w:t xml:space="preserve"> Formation is not described as being incorporated into any of the numerical model layers. It is presumed that it has been included in layer 11. Given that this stratum is located deep in the groundwater system in the vicinity of the mine and does not have high </w:t>
      </w:r>
      <w:r w:rsidR="00942F21" w:rsidRPr="00B10382">
        <w:t xml:space="preserve">hydraulic </w:t>
      </w:r>
      <w:r w:rsidRPr="00B10382">
        <w:t>conductivity, it is unlikely that its inclusion or otherwise would have a significant impact on the model’s predictions.</w:t>
      </w:r>
    </w:p>
    <w:p w:rsidR="008B5B06" w:rsidRPr="00B10382" w:rsidRDefault="008B5B06" w:rsidP="008B5B06">
      <w:pPr>
        <w:pStyle w:val="ListNumber2"/>
      </w:pPr>
      <w:r w:rsidRPr="00B10382">
        <w:t xml:space="preserve">The </w:t>
      </w:r>
      <w:proofErr w:type="spellStart"/>
      <w:r w:rsidRPr="00B10382">
        <w:t>Benelabri</w:t>
      </w:r>
      <w:proofErr w:type="spellEnd"/>
      <w:r w:rsidRPr="00B10382">
        <w:t xml:space="preserve"> Formation is shown in the EIS to overlie the Clare Sandstone</w:t>
      </w:r>
      <w:r w:rsidR="002862F3" w:rsidRPr="00B10382">
        <w:t>. H</w:t>
      </w:r>
      <w:r w:rsidRPr="00B10382">
        <w:t xml:space="preserve">owever in relevant literature it is described as underlying the Clare Sandstone. This inconsistency </w:t>
      </w:r>
      <w:r w:rsidR="00AE2ADA" w:rsidRPr="00B10382">
        <w:t>is not likely to</w:t>
      </w:r>
      <w:r w:rsidRPr="00B10382">
        <w:t xml:space="preserve"> impact the model results.</w:t>
      </w:r>
    </w:p>
    <w:p w:rsidR="008B5B06" w:rsidRPr="00B10382" w:rsidRDefault="008B5B06" w:rsidP="008B5B06">
      <w:pPr>
        <w:pStyle w:val="Heading5"/>
      </w:pPr>
      <w:r w:rsidRPr="00B10382">
        <w:t>Great Artesian Basin</w:t>
      </w:r>
    </w:p>
    <w:p w:rsidR="001A77C4" w:rsidRPr="00B10382" w:rsidRDefault="008B5B06" w:rsidP="00383963">
      <w:pPr>
        <w:pStyle w:val="ListNumber"/>
      </w:pPr>
      <w:bookmarkStart w:id="10" w:name="_Ref416699643"/>
      <w:r w:rsidRPr="00B10382">
        <w:t xml:space="preserve">The areas of Pilliga Sandstone immediately to the south and west of the proposed project area are outliers and are not hydraulically connected to the Pilliga Sandstone aquifer of the GAB, which outcrops approximately 66 km to the west of the proposed project area. Therefore any impact to groundwater in the Pilliga Sandstone in </w:t>
      </w:r>
      <w:r w:rsidR="00056B02" w:rsidRPr="00B10382">
        <w:t>the proposed project</w:t>
      </w:r>
      <w:r w:rsidRPr="00B10382">
        <w:t xml:space="preserve"> area </w:t>
      </w:r>
      <w:r w:rsidR="00CC5D8E" w:rsidRPr="00B10382">
        <w:t>is</w:t>
      </w:r>
      <w:r w:rsidR="002A51B7" w:rsidRPr="00B10382">
        <w:t xml:space="preserve"> </w:t>
      </w:r>
      <w:r w:rsidRPr="00B10382">
        <w:t xml:space="preserve">not </w:t>
      </w:r>
      <w:r w:rsidR="006A4DF5" w:rsidRPr="00B10382">
        <w:t>expected to be</w:t>
      </w:r>
      <w:r w:rsidR="002A51B7" w:rsidRPr="00B10382">
        <w:t xml:space="preserve"> </w:t>
      </w:r>
      <w:r w:rsidRPr="00B10382">
        <w:t>transmitted to the GAB.</w:t>
      </w:r>
      <w:bookmarkEnd w:id="10"/>
    </w:p>
    <w:p w:rsidR="009911A8" w:rsidRPr="00B10382" w:rsidRDefault="009911A8" w:rsidP="00B421E6">
      <w:pPr>
        <w:pStyle w:val="Question"/>
        <w:pBdr>
          <w:bottom w:val="single" w:sz="4" w:space="0" w:color="auto"/>
        </w:pBdr>
      </w:pPr>
      <w:r w:rsidRPr="00B10382">
        <w:t>Question 3</w:t>
      </w:r>
      <w:r w:rsidR="00037403" w:rsidRPr="00B10382">
        <w:t>a</w:t>
      </w:r>
      <w:r w:rsidRPr="00B10382">
        <w:t>:</w:t>
      </w:r>
      <w:r w:rsidR="00064C88" w:rsidRPr="00B10382">
        <w:t xml:space="preserve"> Is the IESC satisfied the proposed surface water and groundwater monitoring programmes are robust and any potential impacts on water resources and water related assets (including the Upper Namoi Alluvium and Permian) will be detected? </w:t>
      </w:r>
      <w:r w:rsidR="00067AD4" w:rsidRPr="00B10382">
        <w:t>Is there appropriate spatial and temporal coverage?</w:t>
      </w:r>
    </w:p>
    <w:p w:rsidR="00B80BAA" w:rsidRPr="00B10382" w:rsidRDefault="00B80BAA" w:rsidP="00B80BAA">
      <w:pPr>
        <w:pStyle w:val="Heading4"/>
      </w:pPr>
      <w:r w:rsidRPr="00B10382">
        <w:t>Response</w:t>
      </w:r>
    </w:p>
    <w:p w:rsidR="00B80BAA" w:rsidRPr="00B10382" w:rsidRDefault="00B80BAA" w:rsidP="00383963">
      <w:pPr>
        <w:pStyle w:val="ListNumber"/>
      </w:pPr>
      <w:r w:rsidRPr="00B10382">
        <w:t xml:space="preserve">No. The proposed monitoring programme has not changed from that </w:t>
      </w:r>
      <w:r w:rsidR="00056B02" w:rsidRPr="00B10382">
        <w:t>used</w:t>
      </w:r>
      <w:r w:rsidRPr="00B10382">
        <w:t xml:space="preserve"> to obtain baseline information and its spatial and temporal coverage is not considered sufficient to:</w:t>
      </w:r>
    </w:p>
    <w:p w:rsidR="00B80BAA" w:rsidRPr="00B10382" w:rsidRDefault="00D2397B" w:rsidP="00B80BAA">
      <w:pPr>
        <w:pStyle w:val="ListNumber2"/>
      </w:pPr>
      <w:r w:rsidRPr="00B10382">
        <w:t>E</w:t>
      </w:r>
      <w:r w:rsidR="00B80BAA" w:rsidRPr="00B10382">
        <w:t>nable derivation of appropriate trigger values for water quality</w:t>
      </w:r>
      <w:r w:rsidRPr="00B10382">
        <w:t>.</w:t>
      </w:r>
    </w:p>
    <w:p w:rsidR="00B80BAA" w:rsidRPr="00B10382" w:rsidRDefault="00D2397B" w:rsidP="00B80BAA">
      <w:pPr>
        <w:pStyle w:val="ListNumber2"/>
      </w:pPr>
      <w:r w:rsidRPr="00B10382">
        <w:t>E</w:t>
      </w:r>
      <w:r w:rsidR="00B80BAA" w:rsidRPr="00B10382">
        <w:t xml:space="preserve">nsure early warnings of impacts exceeding predictions in time to implement </w:t>
      </w:r>
      <w:r w:rsidR="00053F4A" w:rsidRPr="00B10382">
        <w:t>corrective action and</w:t>
      </w:r>
      <w:r w:rsidR="00B80BAA" w:rsidRPr="00B10382">
        <w:t xml:space="preserve"> management strategies</w:t>
      </w:r>
      <w:r w:rsidRPr="00B10382">
        <w:t>.</w:t>
      </w:r>
    </w:p>
    <w:p w:rsidR="00B80BAA" w:rsidRPr="00B10382" w:rsidRDefault="00D2397B" w:rsidP="00B80BAA">
      <w:pPr>
        <w:pStyle w:val="ListNumber2"/>
      </w:pPr>
      <w:r w:rsidRPr="00B10382">
        <w:t>D</w:t>
      </w:r>
      <w:r w:rsidR="00B80BAA" w:rsidRPr="00B10382">
        <w:t xml:space="preserve">etermine </w:t>
      </w:r>
      <w:proofErr w:type="spellStart"/>
      <w:r w:rsidR="00B80BAA" w:rsidRPr="00B10382">
        <w:t>exceedance</w:t>
      </w:r>
      <w:proofErr w:type="spellEnd"/>
      <w:r w:rsidR="00B80BAA" w:rsidRPr="00B10382">
        <w:t xml:space="preserve"> of triggers in a quantifiable and robust manner, and </w:t>
      </w:r>
      <w:r w:rsidR="002D1A22" w:rsidRPr="00B10382">
        <w:t>to</w:t>
      </w:r>
      <w:r w:rsidR="00B80BAA" w:rsidRPr="00B10382">
        <w:t xml:space="preserve"> be capable of determining the contribution of the proposed project to any observed impacts, as distinct from those caused by othe</w:t>
      </w:r>
      <w:r w:rsidRPr="00B10382">
        <w:t>r users and climatic conditions.</w:t>
      </w:r>
    </w:p>
    <w:p w:rsidR="00B80BAA" w:rsidRPr="00B10382" w:rsidRDefault="00D2397B" w:rsidP="00B80BAA">
      <w:pPr>
        <w:pStyle w:val="ListNumber2"/>
      </w:pPr>
      <w:r w:rsidRPr="00B10382">
        <w:t>O</w:t>
      </w:r>
      <w:r w:rsidR="00B80BAA" w:rsidRPr="00B10382">
        <w:t xml:space="preserve">btain the additional data needed to reduce uncertainties in </w:t>
      </w:r>
      <w:r w:rsidR="00DD276A" w:rsidRPr="00B10382">
        <w:t xml:space="preserve">the numerical groundwater </w:t>
      </w:r>
      <w:r w:rsidRPr="00B10382">
        <w:t>model predictions.</w:t>
      </w:r>
    </w:p>
    <w:p w:rsidR="00B80BAA" w:rsidRPr="00B10382" w:rsidRDefault="00D2397B" w:rsidP="00B80BAA">
      <w:pPr>
        <w:pStyle w:val="ListNumber2"/>
      </w:pPr>
      <w:r w:rsidRPr="00B10382">
        <w:t>D</w:t>
      </w:r>
      <w:r w:rsidR="00B80BAA" w:rsidRPr="00B10382">
        <w:t xml:space="preserve">etect post-mining impacts. </w:t>
      </w:r>
    </w:p>
    <w:p w:rsidR="00B80BAA" w:rsidRPr="00B10382" w:rsidRDefault="00B80BAA" w:rsidP="00383963">
      <w:pPr>
        <w:pStyle w:val="ListNumber"/>
      </w:pPr>
      <w:r w:rsidRPr="00B10382">
        <w:t>Noting that the NSW Government consent condition 26</w:t>
      </w:r>
      <w:r w:rsidR="001D2638" w:rsidRPr="00B10382">
        <w:t>c(iv)</w:t>
      </w:r>
      <w:r w:rsidRPr="00B10382">
        <w:t xml:space="preserve"> </w:t>
      </w:r>
      <w:r w:rsidR="001D2638" w:rsidRPr="00B10382">
        <w:t xml:space="preserve">(PAC, 2015) </w:t>
      </w:r>
      <w:r w:rsidRPr="00B10382">
        <w:t xml:space="preserve">requires monitoring of post-mining groundwater recovery to continue for at least </w:t>
      </w:r>
      <w:r w:rsidR="00D57AEA" w:rsidRPr="00B10382">
        <w:t>ten</w:t>
      </w:r>
      <w:r w:rsidRPr="00B10382">
        <w:t xml:space="preserve"> years, the additional information </w:t>
      </w:r>
      <w:r w:rsidR="007F5A51" w:rsidRPr="00B10382">
        <w:t xml:space="preserve">provided by the proponent </w:t>
      </w:r>
      <w:r w:rsidRPr="00B10382">
        <w:t>is unclear as to the scale and extent of water monitoring following the cessation of mining.</w:t>
      </w:r>
    </w:p>
    <w:p w:rsidR="007654F3" w:rsidRPr="00B10382" w:rsidRDefault="00B80BAA" w:rsidP="00383963">
      <w:pPr>
        <w:pStyle w:val="ListNumber"/>
      </w:pPr>
      <w:bookmarkStart w:id="11" w:name="_Ref416967081"/>
      <w:bookmarkStart w:id="12" w:name="_Ref416701069"/>
      <w:r w:rsidRPr="00B10382">
        <w:t>A staged approach to further monitoring would be appropriate to be undertaken in line with the proposed mine plan</w:t>
      </w:r>
      <w:r w:rsidR="002D1A22" w:rsidRPr="00B10382">
        <w:t>, particularly in the Permian strata and weathered zone in the area between the mine pit</w:t>
      </w:r>
      <w:r w:rsidR="005260AF" w:rsidRPr="00B10382">
        <w:t>s</w:t>
      </w:r>
      <w:r w:rsidR="00C044EB" w:rsidRPr="00B10382">
        <w:t xml:space="preserve"> (in particular the </w:t>
      </w:r>
      <w:r w:rsidR="00B5044E" w:rsidRPr="00B10382">
        <w:t>eastern</w:t>
      </w:r>
      <w:r w:rsidR="00C044EB" w:rsidRPr="00B10382">
        <w:t xml:space="preserve"> and </w:t>
      </w:r>
      <w:r w:rsidR="00B5044E" w:rsidRPr="00B10382">
        <w:t>southern</w:t>
      </w:r>
      <w:r w:rsidR="00C044EB" w:rsidRPr="00B10382">
        <w:t xml:space="preserve"> pits)</w:t>
      </w:r>
      <w:r w:rsidR="002D1A22" w:rsidRPr="00B10382">
        <w:t xml:space="preserve"> and Upper Namoi Alluvium</w:t>
      </w:r>
      <w:r w:rsidRPr="00B10382">
        <w:t>.</w:t>
      </w:r>
      <w:r w:rsidR="00A10598" w:rsidRPr="00B10382">
        <w:t xml:space="preserve"> </w:t>
      </w:r>
      <w:r w:rsidRPr="00B10382">
        <w:t xml:space="preserve">This monitoring </w:t>
      </w:r>
      <w:r w:rsidR="002D1A22" w:rsidRPr="00B10382">
        <w:t>should</w:t>
      </w:r>
      <w:r w:rsidRPr="00B10382">
        <w:t xml:space="preserve"> be undertaken in conjunction with development of finer-scale groundwater models focussing on each pit, with more detailed </w:t>
      </w:r>
      <w:r w:rsidR="002862F3" w:rsidRPr="00B10382">
        <w:t xml:space="preserve">definition of </w:t>
      </w:r>
      <w:r w:rsidRPr="00B10382">
        <w:t>strata</w:t>
      </w:r>
      <w:r w:rsidR="00836DBE" w:rsidRPr="00B10382">
        <w:t>, seasonal variation</w:t>
      </w:r>
      <w:r w:rsidRPr="00B10382">
        <w:t xml:space="preserve"> and boundary condition</w:t>
      </w:r>
      <w:r w:rsidR="002862F3" w:rsidRPr="00B10382">
        <w:t>s</w:t>
      </w:r>
      <w:r w:rsidRPr="00B10382">
        <w:t>.</w:t>
      </w:r>
      <w:r w:rsidR="00A10598" w:rsidRPr="00B10382">
        <w:t xml:space="preserve"> </w:t>
      </w:r>
      <w:r w:rsidRPr="00B10382">
        <w:t xml:space="preserve">Improved understanding of the </w:t>
      </w:r>
      <w:proofErr w:type="spellStart"/>
      <w:r w:rsidRPr="00B10382">
        <w:t>hydrogeological</w:t>
      </w:r>
      <w:proofErr w:type="spellEnd"/>
      <w:r w:rsidRPr="00B10382">
        <w:t xml:space="preserve"> system gained during operations </w:t>
      </w:r>
      <w:r w:rsidR="00681D30" w:rsidRPr="00B10382">
        <w:t>in one pit should be used to assess potential impacts associated with the next</w:t>
      </w:r>
      <w:r w:rsidR="00053F4A" w:rsidRPr="00B10382">
        <w:t xml:space="preserve"> pit</w:t>
      </w:r>
      <w:r w:rsidR="00681D30" w:rsidRPr="00B10382">
        <w:t xml:space="preserve">. The knowledge gained during operations </w:t>
      </w:r>
      <w:r w:rsidRPr="00B10382">
        <w:t>should be used to inform the assessment of potential impacts from the final landform, including the proposed void and potential seepages and determination of mitigation or management strategies.</w:t>
      </w:r>
      <w:bookmarkEnd w:id="11"/>
      <w:r w:rsidRPr="00B10382">
        <w:t xml:space="preserve"> </w:t>
      </w:r>
    </w:p>
    <w:p w:rsidR="007654F3" w:rsidRPr="00B10382" w:rsidRDefault="00B80BAA" w:rsidP="00383963">
      <w:pPr>
        <w:pStyle w:val="ListNumber"/>
      </w:pPr>
      <w:bookmarkStart w:id="13" w:name="_Ref416967948"/>
      <w:bookmarkEnd w:id="12"/>
      <w:r w:rsidRPr="00B10382">
        <w:t xml:space="preserve">Suggested expansions to surface water and groundwater monitoring spatial coverage are identified below. </w:t>
      </w:r>
      <w:r w:rsidR="00D57AEA" w:rsidRPr="00B10382">
        <w:t>Commitments for surface water and groundwater monitoring should be presented as part of a water monitoring plan and should be consistent with the National Water Quality Management Str</w:t>
      </w:r>
      <w:r w:rsidR="00E45853" w:rsidRPr="00B10382">
        <w:t>ategy (ANZECC and ARMCANZ, 2000</w:t>
      </w:r>
      <w:r w:rsidR="00D57AEA" w:rsidRPr="00B10382">
        <w:t xml:space="preserve">). </w:t>
      </w:r>
      <w:r w:rsidRPr="00B10382">
        <w:t>Where additional sites have been identified, monitoring should begin immediately to establish baseline conditions before mining commences.</w:t>
      </w:r>
      <w:bookmarkEnd w:id="13"/>
    </w:p>
    <w:p w:rsidR="00B80BAA" w:rsidRPr="00B10382" w:rsidRDefault="00B80BAA" w:rsidP="00B80BAA">
      <w:pPr>
        <w:pStyle w:val="Heading4"/>
      </w:pPr>
      <w:r w:rsidRPr="00B10382">
        <w:t>Explanation</w:t>
      </w:r>
    </w:p>
    <w:p w:rsidR="00B80BAA" w:rsidRPr="00B10382" w:rsidRDefault="00B80BAA" w:rsidP="00B80BAA">
      <w:pPr>
        <w:pStyle w:val="Heading5"/>
      </w:pPr>
      <w:r w:rsidRPr="00B10382">
        <w:t>Surface Water</w:t>
      </w:r>
    </w:p>
    <w:p w:rsidR="005630BF" w:rsidRPr="00B10382" w:rsidRDefault="00B80BAA" w:rsidP="00383963">
      <w:pPr>
        <w:pStyle w:val="ListNumber"/>
      </w:pPr>
      <w:bookmarkStart w:id="14" w:name="_Ref417042267"/>
      <w:bookmarkStart w:id="15" w:name="_Ref415658084"/>
      <w:r w:rsidRPr="00B10382">
        <w:t xml:space="preserve">The </w:t>
      </w:r>
      <w:r w:rsidR="006A7098" w:rsidRPr="00B10382">
        <w:t xml:space="preserve">surface water </w:t>
      </w:r>
      <w:r w:rsidRPr="00B10382">
        <w:t>monitoring programme</w:t>
      </w:r>
      <w:r w:rsidR="00D85762" w:rsidRPr="00B10382">
        <w:t xml:space="preserve"> should be designed to</w:t>
      </w:r>
      <w:r w:rsidR="005630BF" w:rsidRPr="00B10382">
        <w:t>:</w:t>
      </w:r>
      <w:bookmarkEnd w:id="14"/>
    </w:p>
    <w:p w:rsidR="00A9130E" w:rsidRPr="00B10382" w:rsidRDefault="00D2397B">
      <w:pPr>
        <w:pStyle w:val="ListNumber2"/>
      </w:pPr>
      <w:r w:rsidRPr="00B10382">
        <w:t>E</w:t>
      </w:r>
      <w:r w:rsidR="00375E11" w:rsidRPr="00B10382">
        <w:t>stablish the flow regime in ephemeral water courses</w:t>
      </w:r>
      <w:r w:rsidR="005B3104" w:rsidRPr="00B10382">
        <w:t xml:space="preserve"> and monitor any changes to the flow resulting from the proposed project</w:t>
      </w:r>
      <w:r w:rsidRPr="00B10382">
        <w:t>.</w:t>
      </w:r>
    </w:p>
    <w:p w:rsidR="005630BF" w:rsidRPr="00B10382" w:rsidRDefault="00D2397B" w:rsidP="005630BF">
      <w:pPr>
        <w:pStyle w:val="ListNumber2"/>
      </w:pPr>
      <w:r w:rsidRPr="00B10382">
        <w:t>E</w:t>
      </w:r>
      <w:r w:rsidR="00D85762" w:rsidRPr="00B10382">
        <w:t xml:space="preserve">nable determination of </w:t>
      </w:r>
      <w:proofErr w:type="spellStart"/>
      <w:r w:rsidR="00D85762" w:rsidRPr="00B10382">
        <w:t>exceed</w:t>
      </w:r>
      <w:r w:rsidR="008D0EB1" w:rsidRPr="00B10382">
        <w:t>a</w:t>
      </w:r>
      <w:r w:rsidR="00D85762" w:rsidRPr="00B10382">
        <w:t>nce</w:t>
      </w:r>
      <w:proofErr w:type="spellEnd"/>
      <w:r w:rsidR="00D85762" w:rsidRPr="00B10382">
        <w:t xml:space="preserve"> of site-specific water quality trigger</w:t>
      </w:r>
      <w:r w:rsidR="005630BF" w:rsidRPr="00B10382">
        <w:t xml:space="preserve">s in Watermark Gully, Native Dog Gully and the </w:t>
      </w:r>
      <w:proofErr w:type="spellStart"/>
      <w:r w:rsidR="005630BF" w:rsidRPr="00B10382">
        <w:t>Mooki</w:t>
      </w:r>
      <w:proofErr w:type="spellEnd"/>
      <w:r w:rsidR="005630BF" w:rsidRPr="00B10382">
        <w:t xml:space="preserve"> River</w:t>
      </w:r>
      <w:r w:rsidR="005B3104" w:rsidRPr="00B10382">
        <w:t xml:space="preserve"> and subsequent initiation of management options</w:t>
      </w:r>
      <w:r w:rsidRPr="00B10382">
        <w:t>.</w:t>
      </w:r>
    </w:p>
    <w:p w:rsidR="00350EE2" w:rsidRPr="00B10382" w:rsidRDefault="00D2397B">
      <w:pPr>
        <w:pStyle w:val="ListNumber2"/>
      </w:pPr>
      <w:r w:rsidRPr="00B10382">
        <w:t>I</w:t>
      </w:r>
      <w:r w:rsidR="00350EE2" w:rsidRPr="00B10382">
        <w:t xml:space="preserve">mprove the local-scale understanding of surface-groundwater interactions along the </w:t>
      </w:r>
      <w:proofErr w:type="spellStart"/>
      <w:r w:rsidR="00350EE2" w:rsidRPr="00B10382">
        <w:t>Mooki</w:t>
      </w:r>
      <w:proofErr w:type="spellEnd"/>
      <w:r w:rsidR="002D1A22" w:rsidRPr="00B10382">
        <w:t> </w:t>
      </w:r>
      <w:r w:rsidR="00350EE2" w:rsidRPr="00B10382">
        <w:t>River in the vicinity of the proposed project area, to inform finer</w:t>
      </w:r>
      <w:r w:rsidR="008035FA" w:rsidRPr="00B10382">
        <w:t>-</w:t>
      </w:r>
      <w:r w:rsidR="00350EE2" w:rsidRPr="00B10382">
        <w:t xml:space="preserve">scale groundwater modelling </w:t>
      </w:r>
      <w:r w:rsidR="00710517" w:rsidRPr="00B10382">
        <w:t>discussed in</w:t>
      </w:r>
      <w:r w:rsidR="00350EE2" w:rsidRPr="00B10382">
        <w:t xml:space="preserve"> paragraph </w:t>
      </w:r>
      <w:fldSimple w:instr=" REF _Ref416967081 \r \h  \* MERGEFORMAT ">
        <w:r w:rsidR="007F7D51">
          <w:t>26</w:t>
        </w:r>
      </w:fldSimple>
      <w:r w:rsidR="0099716E" w:rsidRPr="00B10382">
        <w:t xml:space="preserve"> of this advice </w:t>
      </w:r>
      <w:r w:rsidR="006D3DA5" w:rsidRPr="00B10382">
        <w:t>(</w:t>
      </w:r>
      <w:r w:rsidR="0099716E" w:rsidRPr="00B10382">
        <w:t>IESC 2015-066</w:t>
      </w:r>
      <w:r w:rsidR="006D3DA5" w:rsidRPr="00B10382">
        <w:t>)</w:t>
      </w:r>
      <w:r w:rsidRPr="00B10382">
        <w:t>.</w:t>
      </w:r>
    </w:p>
    <w:p w:rsidR="00A9130E" w:rsidRPr="00B10382" w:rsidRDefault="00D2397B">
      <w:pPr>
        <w:pStyle w:val="ListNumber2"/>
      </w:pPr>
      <w:bookmarkStart w:id="16" w:name="_Ref417042120"/>
      <w:r w:rsidRPr="00B10382">
        <w:t>E</w:t>
      </w:r>
      <w:r w:rsidR="005630BF" w:rsidRPr="00B10382">
        <w:t xml:space="preserve">nable </w:t>
      </w:r>
      <w:r w:rsidR="00375E11" w:rsidRPr="00B10382">
        <w:t xml:space="preserve">detection, monitoring and management of impacts to salt-sensitive biota within and downstream of the project area. </w:t>
      </w:r>
      <w:r w:rsidR="00350EE2" w:rsidRPr="00B10382">
        <w:t>Current lack of surveys for water-dependent and salt-sensitive biota hampers determination of suitable monitoring protocols.</w:t>
      </w:r>
      <w:bookmarkEnd w:id="16"/>
    </w:p>
    <w:p w:rsidR="00A9130E" w:rsidRPr="00B10382" w:rsidRDefault="00A9130E" w:rsidP="00383963">
      <w:pPr>
        <w:pStyle w:val="ListNumber"/>
      </w:pPr>
      <w:r w:rsidRPr="00B10382">
        <w:t>This monitoring programme should include</w:t>
      </w:r>
      <w:bookmarkEnd w:id="15"/>
      <w:r w:rsidR="002862F3" w:rsidRPr="00B10382">
        <w:t>:</w:t>
      </w:r>
    </w:p>
    <w:p w:rsidR="00B80BAA" w:rsidRPr="00B10382" w:rsidRDefault="00D2397B" w:rsidP="00B80BAA">
      <w:pPr>
        <w:pStyle w:val="ListNumber2"/>
      </w:pPr>
      <w:r w:rsidRPr="00B10382">
        <w:t>E</w:t>
      </w:r>
      <w:r w:rsidR="00B80BAA" w:rsidRPr="00B10382">
        <w:t xml:space="preserve">vent-based </w:t>
      </w:r>
      <w:r w:rsidR="008035FA" w:rsidRPr="00B10382">
        <w:t xml:space="preserve">water quality </w:t>
      </w:r>
      <w:r w:rsidR="00B80BAA" w:rsidRPr="00B10382">
        <w:t xml:space="preserve">monitoring and continuous monitoring of </w:t>
      </w:r>
      <w:r w:rsidR="008035FA" w:rsidRPr="00B10382">
        <w:t xml:space="preserve">flow and </w:t>
      </w:r>
      <w:r w:rsidR="00B80BAA" w:rsidRPr="00B10382">
        <w:t>electrical conductivity (EC) in Native Dog Gully to provide context</w:t>
      </w:r>
      <w:r w:rsidRPr="00B10382">
        <w:t xml:space="preserve"> for water quality measurements.</w:t>
      </w:r>
    </w:p>
    <w:p w:rsidR="00B80BAA" w:rsidRPr="00B10382" w:rsidRDefault="00D2397B" w:rsidP="00B80BAA">
      <w:pPr>
        <w:pStyle w:val="ListNumber2"/>
      </w:pPr>
      <w:bookmarkStart w:id="17" w:name="_Ref415658302"/>
      <w:r w:rsidRPr="00B10382">
        <w:t>M</w:t>
      </w:r>
      <w:r w:rsidR="00B80BAA" w:rsidRPr="00B10382">
        <w:t>onitoring of water flow and quality (including continuous monitoring of EC) in Watermark</w:t>
      </w:r>
      <w:r w:rsidR="005C300C" w:rsidRPr="00B10382">
        <w:t> </w:t>
      </w:r>
      <w:r w:rsidR="00B80BAA" w:rsidRPr="00B10382">
        <w:t xml:space="preserve">Gully downstream of the </w:t>
      </w:r>
      <w:r w:rsidR="005C300C" w:rsidRPr="00B10382">
        <w:t>e</w:t>
      </w:r>
      <w:r w:rsidR="00B80BAA" w:rsidRPr="00B10382">
        <w:t xml:space="preserve">astern </w:t>
      </w:r>
      <w:r w:rsidR="005C300C" w:rsidRPr="00B10382">
        <w:t>p</w:t>
      </w:r>
      <w:r w:rsidR="00B80BAA" w:rsidRPr="00B10382">
        <w:t>it to detect any impacts from runoff from the overburden emplacement are</w:t>
      </w:r>
      <w:bookmarkEnd w:id="17"/>
      <w:r w:rsidR="000D1857" w:rsidRPr="00B10382">
        <w:t>a</w:t>
      </w:r>
      <w:r w:rsidRPr="00B10382">
        <w:t>.</w:t>
      </w:r>
    </w:p>
    <w:p w:rsidR="00375E11" w:rsidRPr="00B10382" w:rsidRDefault="00D2397B" w:rsidP="00375E11">
      <w:pPr>
        <w:pStyle w:val="ListNumber2"/>
      </w:pPr>
      <w:r w:rsidRPr="00B10382">
        <w:t xml:space="preserve">The </w:t>
      </w:r>
      <w:r w:rsidR="00375E11" w:rsidRPr="00B10382">
        <w:t>addi</w:t>
      </w:r>
      <w:r w:rsidR="00350EE2" w:rsidRPr="00B10382">
        <w:t>tion of</w:t>
      </w:r>
      <w:r w:rsidR="00375E11" w:rsidRPr="00B10382">
        <w:t xml:space="preserve"> selenium, aluminium and molybdenum to the suite of dissolved metals tested on a regular basis in watercourses downstream of the proposed project area to determine whether runoff from overburden emplacement areas presents any risk to water resources or water-related assets</w:t>
      </w:r>
      <w:r w:rsidRPr="00B10382">
        <w:t>.</w:t>
      </w:r>
    </w:p>
    <w:p w:rsidR="00B80BAA" w:rsidRPr="00B10382" w:rsidRDefault="00B80BAA" w:rsidP="00350EE2">
      <w:pPr>
        <w:pStyle w:val="Heading5"/>
      </w:pPr>
      <w:r w:rsidRPr="00B10382">
        <w:t>Groundwater</w:t>
      </w:r>
    </w:p>
    <w:p w:rsidR="00B80BAA" w:rsidRPr="00B10382" w:rsidRDefault="00B80BAA" w:rsidP="00383963">
      <w:pPr>
        <w:pStyle w:val="ListNumber"/>
      </w:pPr>
      <w:r w:rsidRPr="00B10382">
        <w:t>The monitoring programme should be designed to:</w:t>
      </w:r>
    </w:p>
    <w:p w:rsidR="00B80BAA" w:rsidRPr="00B10382" w:rsidRDefault="00D2397B" w:rsidP="00B80BAA">
      <w:pPr>
        <w:pStyle w:val="ListNumber2"/>
      </w:pPr>
      <w:r w:rsidRPr="00B10382">
        <w:t>E</w:t>
      </w:r>
      <w:r w:rsidR="00B80BAA" w:rsidRPr="00B10382">
        <w:t>nable clear determination</w:t>
      </w:r>
      <w:r w:rsidR="002A51B7" w:rsidRPr="00B10382">
        <w:t xml:space="preserve"> </w:t>
      </w:r>
      <w:r w:rsidR="006A4DF5" w:rsidRPr="00B10382">
        <w:t xml:space="preserve">of any </w:t>
      </w:r>
      <w:proofErr w:type="spellStart"/>
      <w:r w:rsidR="006A4DF5" w:rsidRPr="00B10382">
        <w:t>exceedance</w:t>
      </w:r>
      <w:proofErr w:type="spellEnd"/>
      <w:r w:rsidR="006A4DF5" w:rsidRPr="00B10382">
        <w:t xml:space="preserve"> of</w:t>
      </w:r>
      <w:r w:rsidR="002A51B7" w:rsidRPr="00B10382">
        <w:t xml:space="preserve"> </w:t>
      </w:r>
      <w:r w:rsidR="00B80BAA" w:rsidRPr="00B10382">
        <w:t>early-warning trigger</w:t>
      </w:r>
      <w:r w:rsidR="002A51B7" w:rsidRPr="00B10382">
        <w:t>s</w:t>
      </w:r>
      <w:r w:rsidR="00B80BAA" w:rsidRPr="00B10382">
        <w:t>, before</w:t>
      </w:r>
      <w:r w:rsidR="002A51B7" w:rsidRPr="00B10382">
        <w:t xml:space="preserve"> reaching</w:t>
      </w:r>
      <w:r w:rsidR="00B80BAA" w:rsidRPr="00B10382">
        <w:t xml:space="preserve"> limits </w:t>
      </w:r>
      <w:r w:rsidR="00803D9E" w:rsidRPr="00B10382">
        <w:t xml:space="preserve">for </w:t>
      </w:r>
      <w:r w:rsidR="00DD276A" w:rsidRPr="00B10382">
        <w:t xml:space="preserve">groundwater </w:t>
      </w:r>
      <w:r w:rsidR="00803D9E" w:rsidRPr="00B10382">
        <w:t xml:space="preserve">drawdown in the Upper Namoi Alluvium as defined </w:t>
      </w:r>
      <w:r w:rsidR="001D2638" w:rsidRPr="00B10382">
        <w:t>in NSW Government c</w:t>
      </w:r>
      <w:r w:rsidRPr="00B10382">
        <w:t>onsent condition 25 (PAC, 2015).</w:t>
      </w:r>
    </w:p>
    <w:p w:rsidR="00B80BAA" w:rsidRPr="00B10382" w:rsidRDefault="00D2397B" w:rsidP="00B80BAA">
      <w:pPr>
        <w:pStyle w:val="ListNumber2"/>
      </w:pPr>
      <w:r w:rsidRPr="00B10382">
        <w:t>E</w:t>
      </w:r>
      <w:r w:rsidR="00B80BAA" w:rsidRPr="00B10382">
        <w:t>nable groundwater pressures and quality impacts from the proposed project to be differentiated from impacts as a result of other groundwate</w:t>
      </w:r>
      <w:r w:rsidRPr="00B10382">
        <w:t>r users and climatic conditions.</w:t>
      </w:r>
    </w:p>
    <w:p w:rsidR="00B80BAA" w:rsidRPr="00B10382" w:rsidRDefault="00D2397B" w:rsidP="00B80BAA">
      <w:pPr>
        <w:pStyle w:val="ListNumber2"/>
      </w:pPr>
      <w:r w:rsidRPr="00B10382">
        <w:t>R</w:t>
      </w:r>
      <w:r w:rsidR="00B80BAA" w:rsidRPr="00B10382">
        <w:t xml:space="preserve">educe </w:t>
      </w:r>
      <w:r w:rsidR="002D0CB7" w:rsidRPr="00B10382">
        <w:t xml:space="preserve">numerical </w:t>
      </w:r>
      <w:r w:rsidR="00DD276A" w:rsidRPr="00B10382">
        <w:t xml:space="preserve">groundwater </w:t>
      </w:r>
      <w:r w:rsidR="00B80BAA" w:rsidRPr="00B10382">
        <w:t xml:space="preserve">model uncertainty to enable improved predictions of likely impacts, and subsequent management options. </w:t>
      </w:r>
    </w:p>
    <w:p w:rsidR="00B80BAA" w:rsidRPr="00B10382" w:rsidRDefault="00B80BAA" w:rsidP="00383963">
      <w:pPr>
        <w:pStyle w:val="ListNumber"/>
      </w:pPr>
      <w:r w:rsidRPr="00B10382">
        <w:t>This monitoring programme would include:</w:t>
      </w:r>
    </w:p>
    <w:p w:rsidR="00B80BAA" w:rsidRPr="00B10382" w:rsidRDefault="00D2397B" w:rsidP="00B80BAA">
      <w:pPr>
        <w:pStyle w:val="ListNumber2"/>
      </w:pPr>
      <w:r w:rsidRPr="00B10382">
        <w:t>M</w:t>
      </w:r>
      <w:r w:rsidR="00B80BAA" w:rsidRPr="00B10382">
        <w:t>onitoring of control wells located well outside zones of potential mining-induced impacts</w:t>
      </w:r>
      <w:r w:rsidRPr="00B10382">
        <w:t>.</w:t>
      </w:r>
    </w:p>
    <w:p w:rsidR="00B80BAA" w:rsidRPr="00B10382" w:rsidRDefault="00D2397B" w:rsidP="00B80BAA">
      <w:pPr>
        <w:pStyle w:val="ListNumber2"/>
      </w:pPr>
      <w:r w:rsidRPr="00B10382">
        <w:t>M</w:t>
      </w:r>
      <w:r w:rsidR="00B80BAA" w:rsidRPr="00B10382">
        <w:t xml:space="preserve">onitoring of groundwater levels and quality to inform assessment of recharge into and </w:t>
      </w:r>
      <w:r w:rsidR="00070CEC" w:rsidRPr="00B10382">
        <w:t xml:space="preserve">any </w:t>
      </w:r>
      <w:r w:rsidR="00B80BAA" w:rsidRPr="00B10382">
        <w:t xml:space="preserve">flow </w:t>
      </w:r>
      <w:r w:rsidR="00865B3F" w:rsidRPr="00B10382">
        <w:t xml:space="preserve">from the Narrabri Formation to the Gunnedah Formation </w:t>
      </w:r>
      <w:r w:rsidRPr="00B10382">
        <w:t>within the Upper Namoi Alluvium.</w:t>
      </w:r>
    </w:p>
    <w:p w:rsidR="00B80BAA" w:rsidRPr="00B10382" w:rsidRDefault="00D2397B" w:rsidP="00B80BAA">
      <w:pPr>
        <w:pStyle w:val="ListNumber2"/>
      </w:pPr>
      <w:r w:rsidRPr="00B10382">
        <w:t>M</w:t>
      </w:r>
      <w:r w:rsidR="00B80BAA" w:rsidRPr="00B10382">
        <w:t>onitoring and determination of the influence of other groundwater and surface water takes including nearby mines in the vicinity of the proposed project.</w:t>
      </w:r>
    </w:p>
    <w:p w:rsidR="00B80BAA" w:rsidRPr="00B10382" w:rsidRDefault="00B80BAA" w:rsidP="00383963">
      <w:pPr>
        <w:pStyle w:val="ListNumber"/>
      </w:pPr>
      <w:r w:rsidRPr="00B10382">
        <w:t xml:space="preserve">Additional </w:t>
      </w:r>
      <w:r w:rsidR="00056B02" w:rsidRPr="00B10382">
        <w:t xml:space="preserve">multi-level (nested) </w:t>
      </w:r>
      <w:r w:rsidRPr="00B10382">
        <w:t xml:space="preserve">monitoring wells should be installed to the north and south of the </w:t>
      </w:r>
      <w:r w:rsidR="005C300C" w:rsidRPr="00B10382">
        <w:t>e</w:t>
      </w:r>
      <w:r w:rsidRPr="00B10382">
        <w:t xml:space="preserve">astern </w:t>
      </w:r>
      <w:r w:rsidR="005C300C" w:rsidRPr="00B10382">
        <w:t>p</w:t>
      </w:r>
      <w:r w:rsidRPr="00B10382">
        <w:t xml:space="preserve">it, followed by the area to the south of the </w:t>
      </w:r>
      <w:r w:rsidR="005C300C" w:rsidRPr="00B10382">
        <w:t>s</w:t>
      </w:r>
      <w:r w:rsidRPr="00B10382">
        <w:t xml:space="preserve">outhern </w:t>
      </w:r>
      <w:r w:rsidR="005C300C" w:rsidRPr="00B10382">
        <w:t>p</w:t>
      </w:r>
      <w:r w:rsidRPr="00B10382">
        <w:t xml:space="preserve">it (where mining is not proposed to begin for 17 years), to identify any changes in groundwater pressure and provide information to reduce uncertainty in parameter estimation and predictions from </w:t>
      </w:r>
      <w:r w:rsidR="002D1A22" w:rsidRPr="00B10382">
        <w:t>finer-scale</w:t>
      </w:r>
      <w:r w:rsidRPr="00B10382">
        <w:t xml:space="preserve"> </w:t>
      </w:r>
      <w:r w:rsidR="00DD276A" w:rsidRPr="00B10382">
        <w:t xml:space="preserve">groundwater </w:t>
      </w:r>
      <w:r w:rsidRPr="00B10382">
        <w:t xml:space="preserve">models noted in paragraph </w:t>
      </w:r>
      <w:fldSimple w:instr=" REF _Ref416701069 \r \h  \* MERGEFORMAT ">
        <w:r w:rsidR="007F7D51">
          <w:t>26</w:t>
        </w:r>
      </w:fldSimple>
      <w:r w:rsidR="0099716E" w:rsidRPr="00B10382">
        <w:t xml:space="preserve"> of this advice </w:t>
      </w:r>
      <w:r w:rsidR="006D5A0E" w:rsidRPr="00B10382">
        <w:t>(</w:t>
      </w:r>
      <w:r w:rsidR="0099716E" w:rsidRPr="00B10382">
        <w:t>IESC 2015-066</w:t>
      </w:r>
      <w:r w:rsidR="006D5A0E" w:rsidRPr="00B10382">
        <w:t>)</w:t>
      </w:r>
      <w:r w:rsidRPr="00B10382">
        <w:t>.</w:t>
      </w:r>
      <w:r w:rsidR="00D95213" w:rsidRPr="00B10382">
        <w:t xml:space="preserve"> </w:t>
      </w:r>
      <w:r w:rsidR="00E74419" w:rsidRPr="00B10382">
        <w:t xml:space="preserve">Tests </w:t>
      </w:r>
      <w:r w:rsidR="0006683A" w:rsidRPr="00B10382">
        <w:t xml:space="preserve">should be undertaken during monitoring well installation </w:t>
      </w:r>
      <w:r w:rsidR="00E74419" w:rsidRPr="00B10382">
        <w:t>to obtain</w:t>
      </w:r>
      <w:r w:rsidR="00D95213" w:rsidRPr="00B10382">
        <w:t xml:space="preserve"> </w:t>
      </w:r>
      <w:r w:rsidR="0006683A" w:rsidRPr="00B10382">
        <w:t xml:space="preserve">additional </w:t>
      </w:r>
      <w:r w:rsidR="00E74419" w:rsidRPr="00B10382">
        <w:t xml:space="preserve">data on </w:t>
      </w:r>
      <w:r w:rsidR="00D95213" w:rsidRPr="00B10382">
        <w:t>hydraulic parameters.</w:t>
      </w:r>
      <w:r w:rsidRPr="00B10382">
        <w:t xml:space="preserve"> </w:t>
      </w:r>
      <w:r w:rsidR="00056B02" w:rsidRPr="00B10382">
        <w:t xml:space="preserve">The nested monitoring points should be located in each significant </w:t>
      </w:r>
      <w:proofErr w:type="spellStart"/>
      <w:r w:rsidR="00056B02" w:rsidRPr="00B10382">
        <w:t>hydrogeological</w:t>
      </w:r>
      <w:proofErr w:type="spellEnd"/>
      <w:r w:rsidR="00056B02" w:rsidRPr="00B10382">
        <w:t xml:space="preserve"> layer,</w:t>
      </w:r>
      <w:r w:rsidR="002D1A22" w:rsidRPr="00B10382">
        <w:t xml:space="preserve"> particularly the Permian and weathered zone,</w:t>
      </w:r>
      <w:r w:rsidR="00056B02" w:rsidRPr="00B10382">
        <w:t xml:space="preserve"> correlating to those created in updated groundwater models. </w:t>
      </w:r>
      <w:r w:rsidRPr="00B10382">
        <w:t>This would assist in earl</w:t>
      </w:r>
      <w:r w:rsidR="002A51B7" w:rsidRPr="00B10382">
        <w:t>y</w:t>
      </w:r>
      <w:r w:rsidRPr="00B10382">
        <w:t xml:space="preserve"> detection of unexpected </w:t>
      </w:r>
      <w:r w:rsidR="00056B02" w:rsidRPr="00B10382">
        <w:t xml:space="preserve">depressurisation and </w:t>
      </w:r>
      <w:r w:rsidR="00865B3F" w:rsidRPr="00B10382">
        <w:t>clear identification</w:t>
      </w:r>
      <w:r w:rsidR="00AE4032" w:rsidRPr="00B10382">
        <w:t xml:space="preserve"> </w:t>
      </w:r>
      <w:r w:rsidR="006A4DF5" w:rsidRPr="00B10382">
        <w:t>and response to</w:t>
      </w:r>
      <w:r w:rsidR="00056B02" w:rsidRPr="00B10382">
        <w:t xml:space="preserve"> mine-induced impacts</w:t>
      </w:r>
      <w:r w:rsidRPr="00B10382">
        <w:t>.</w:t>
      </w:r>
    </w:p>
    <w:p w:rsidR="007654F3" w:rsidRPr="00B10382" w:rsidRDefault="00B80BAA" w:rsidP="00383963">
      <w:pPr>
        <w:pStyle w:val="ListNumber"/>
      </w:pPr>
      <w:bookmarkStart w:id="18" w:name="_Ref416967962"/>
      <w:r w:rsidRPr="00B10382">
        <w:t xml:space="preserve">The additional information </w:t>
      </w:r>
      <w:r w:rsidR="003B5220" w:rsidRPr="00B10382">
        <w:t xml:space="preserve">(Hansen Bailey, 2014, App A) </w:t>
      </w:r>
      <w:r w:rsidRPr="00B10382">
        <w:t xml:space="preserve">has identified the need for more monitoring wells to be installed and located within the predicted zone of depressurisation to assess the extent and rate of depressurisation against </w:t>
      </w:r>
      <w:r w:rsidR="00DD276A" w:rsidRPr="00B10382">
        <w:t xml:space="preserve">numerical groundwater </w:t>
      </w:r>
      <w:r w:rsidRPr="00B10382">
        <w:t xml:space="preserve">model predictions. Even though </w:t>
      </w:r>
      <w:r w:rsidR="00DD276A" w:rsidRPr="00B10382">
        <w:t xml:space="preserve">groundwater </w:t>
      </w:r>
      <w:r w:rsidRPr="00B10382">
        <w:t xml:space="preserve">drawdown is not predicted in the Upper Namoi Alluvium to the north of the </w:t>
      </w:r>
      <w:r w:rsidR="005C300C" w:rsidRPr="00B10382">
        <w:t>e</w:t>
      </w:r>
      <w:r w:rsidRPr="00B10382">
        <w:t xml:space="preserve">astern </w:t>
      </w:r>
      <w:r w:rsidR="005C300C" w:rsidRPr="00B10382">
        <w:t>p</w:t>
      </w:r>
      <w:r w:rsidRPr="00B10382">
        <w:t>it, additional multi-level (nested) monitoring wells should be placed in this area to confirm model predictions and provide an early warning of any variation from predicted depressurisation in this area.</w:t>
      </w:r>
      <w:bookmarkEnd w:id="18"/>
    </w:p>
    <w:p w:rsidR="00B80BAA" w:rsidRPr="00B10382" w:rsidRDefault="00B80BAA" w:rsidP="00B80BAA">
      <w:pPr>
        <w:pStyle w:val="Question"/>
        <w:pBdr>
          <w:bottom w:val="single" w:sz="4" w:space="0" w:color="auto"/>
        </w:pBdr>
      </w:pPr>
      <w:r w:rsidRPr="00B10382">
        <w:t>Question 3b: Could the IESC provide advice on the appropriate management responses if triggers are exceeded?</w:t>
      </w:r>
    </w:p>
    <w:p w:rsidR="00B80BAA" w:rsidRPr="00B10382" w:rsidRDefault="00B80BAA" w:rsidP="00B80BAA">
      <w:pPr>
        <w:pStyle w:val="Heading4"/>
      </w:pPr>
      <w:r w:rsidRPr="00B10382">
        <w:t>Response</w:t>
      </w:r>
    </w:p>
    <w:p w:rsidR="00B80BAA" w:rsidRPr="00B10382" w:rsidRDefault="00B80BAA" w:rsidP="00383963">
      <w:pPr>
        <w:pStyle w:val="ListNumber"/>
      </w:pPr>
      <w:r w:rsidRPr="00B10382">
        <w:t>Groundwater</w:t>
      </w:r>
      <w:r w:rsidR="00E21F08" w:rsidRPr="00B10382">
        <w:t>,</w:t>
      </w:r>
      <w:r w:rsidRPr="00B10382">
        <w:t xml:space="preserve"> surface water </w:t>
      </w:r>
      <w:r w:rsidR="00E21F08" w:rsidRPr="00B10382">
        <w:t xml:space="preserve">and ecological </w:t>
      </w:r>
      <w:r w:rsidRPr="00B10382">
        <w:t xml:space="preserve">triggers and </w:t>
      </w:r>
      <w:r w:rsidR="00056B02" w:rsidRPr="00B10382">
        <w:t xml:space="preserve">subsequent </w:t>
      </w:r>
      <w:r w:rsidRPr="00B10382">
        <w:t xml:space="preserve">management responses are proposed to be developed within management plans in the post approval process. </w:t>
      </w:r>
      <w:r w:rsidR="009633FA" w:rsidRPr="00B10382">
        <w:t>T</w:t>
      </w:r>
      <w:r w:rsidRPr="00B10382">
        <w:t xml:space="preserve">he IESC is unable to comment on their appropriateness as the plans are not yet available. </w:t>
      </w:r>
    </w:p>
    <w:p w:rsidR="007654F3" w:rsidRPr="00B10382" w:rsidRDefault="00053F4A" w:rsidP="00383963">
      <w:pPr>
        <w:pStyle w:val="ListNumber"/>
      </w:pPr>
      <w:r w:rsidRPr="00B10382">
        <w:t>W</w:t>
      </w:r>
      <w:r w:rsidR="00B80BAA" w:rsidRPr="00B10382">
        <w:t>here triggers and limits are exceeded, management responses for surface water and groundwater should be clearly stated within an enforceable</w:t>
      </w:r>
      <w:r w:rsidR="000D1857" w:rsidRPr="00B10382">
        <w:t xml:space="preserve"> adaptive management framework. Management responses may include, but should not be limited to, the elements listed below.</w:t>
      </w:r>
    </w:p>
    <w:p w:rsidR="00B80BAA" w:rsidRPr="00B10382" w:rsidRDefault="000D1857" w:rsidP="00B80BAA">
      <w:pPr>
        <w:pStyle w:val="ListNumber2"/>
      </w:pPr>
      <w:proofErr w:type="spellStart"/>
      <w:r w:rsidRPr="00B10382">
        <w:t>E</w:t>
      </w:r>
      <w:r w:rsidR="00B80BAA" w:rsidRPr="00B10382">
        <w:t>cotoxicity</w:t>
      </w:r>
      <w:proofErr w:type="spellEnd"/>
      <w:r w:rsidR="00B80BAA" w:rsidRPr="00B10382">
        <w:t xml:space="preserve"> testing </w:t>
      </w:r>
      <w:r w:rsidR="007F5A51" w:rsidRPr="00B10382">
        <w:t>of discharges and surface waters to assess</w:t>
      </w:r>
      <w:r w:rsidR="00B80BAA" w:rsidRPr="00B10382">
        <w:t xml:space="preserve"> bioavailability </w:t>
      </w:r>
      <w:r w:rsidR="007F5A51" w:rsidRPr="00B10382">
        <w:t xml:space="preserve">of contaminants in these </w:t>
      </w:r>
      <w:r w:rsidRPr="00B10382">
        <w:t>mixtures.</w:t>
      </w:r>
    </w:p>
    <w:p w:rsidR="00B80BAA" w:rsidRPr="00B10382" w:rsidRDefault="000D1857" w:rsidP="00B80BAA">
      <w:pPr>
        <w:pStyle w:val="ListNumber2"/>
      </w:pPr>
      <w:r w:rsidRPr="00B10382">
        <w:t>W</w:t>
      </w:r>
      <w:r w:rsidR="00B80BAA" w:rsidRPr="00B10382">
        <w:t>ater allocation and engineering management options</w:t>
      </w:r>
      <w:r w:rsidR="0069178A" w:rsidRPr="00B10382">
        <w:t xml:space="preserve"> including</w:t>
      </w:r>
      <w:r w:rsidR="008B7A97" w:rsidRPr="00B10382">
        <w:t>:</w:t>
      </w:r>
      <w:r w:rsidR="0069178A" w:rsidRPr="00B10382">
        <w:t xml:space="preserve"> water treatment</w:t>
      </w:r>
      <w:r w:rsidR="00FD26D4" w:rsidRPr="00B10382">
        <w:t xml:space="preserve">; </w:t>
      </w:r>
      <w:r w:rsidR="008B7A97" w:rsidRPr="00B10382">
        <w:t xml:space="preserve">dam sizing; increasing the </w:t>
      </w:r>
      <w:r w:rsidR="00FD26D4" w:rsidRPr="00B10382">
        <w:t xml:space="preserve">capacity of </w:t>
      </w:r>
      <w:r w:rsidR="008B7A97" w:rsidRPr="00B10382">
        <w:t xml:space="preserve">the </w:t>
      </w:r>
      <w:r w:rsidR="00FD26D4" w:rsidRPr="00B10382">
        <w:t>water</w:t>
      </w:r>
      <w:r w:rsidR="008B7A97" w:rsidRPr="00B10382">
        <w:t xml:space="preserve"> management</w:t>
      </w:r>
      <w:r w:rsidR="00FD26D4" w:rsidRPr="00B10382">
        <w:t xml:space="preserve"> system;</w:t>
      </w:r>
      <w:r w:rsidR="0069178A" w:rsidRPr="00B10382">
        <w:t xml:space="preserve"> and </w:t>
      </w:r>
      <w:r w:rsidR="00FD26D4" w:rsidRPr="00B10382">
        <w:t xml:space="preserve">redesign, capping and revegetation of overburden. </w:t>
      </w:r>
      <w:r w:rsidR="008B7A97" w:rsidRPr="00B10382">
        <w:t>T</w:t>
      </w:r>
      <w:r w:rsidR="0069178A" w:rsidRPr="00B10382">
        <w:t>he proponent suggests</w:t>
      </w:r>
      <w:r w:rsidR="008B7A97" w:rsidRPr="00B10382">
        <w:t xml:space="preserve"> </w:t>
      </w:r>
      <w:r w:rsidR="0069178A" w:rsidRPr="00B10382">
        <w:t>cut</w:t>
      </w:r>
      <w:r w:rsidR="004036FE" w:rsidRPr="00B10382">
        <w:t xml:space="preserve"> </w:t>
      </w:r>
      <w:r w:rsidR="0069178A" w:rsidRPr="00B10382">
        <w:t>off measures</w:t>
      </w:r>
      <w:r w:rsidR="00B80BAA" w:rsidRPr="00B10382">
        <w:t xml:space="preserve"> and reinjection of water into depressurised aquifers to mitigate </w:t>
      </w:r>
      <w:r w:rsidR="008B7A97" w:rsidRPr="00B10382">
        <w:t xml:space="preserve">groundwater </w:t>
      </w:r>
      <w:r w:rsidR="00B80BAA" w:rsidRPr="00B10382">
        <w:t xml:space="preserve">drawdown. A stronger rationale </w:t>
      </w:r>
      <w:r w:rsidR="00FD26D4" w:rsidRPr="00B10382">
        <w:t>is needed</w:t>
      </w:r>
      <w:r w:rsidR="00B80BAA" w:rsidRPr="00B10382">
        <w:t xml:space="preserve"> for reinjection </w:t>
      </w:r>
      <w:r w:rsidR="00E80D0F" w:rsidRPr="00B10382">
        <w:t xml:space="preserve">with </w:t>
      </w:r>
      <w:r w:rsidR="00B80BAA" w:rsidRPr="00B10382">
        <w:t>consideration</w:t>
      </w:r>
      <w:r w:rsidR="00E80D0F" w:rsidRPr="00B10382">
        <w:t xml:space="preserve"> </w:t>
      </w:r>
      <w:r w:rsidR="00B80BAA" w:rsidRPr="00B10382">
        <w:t>given to</w:t>
      </w:r>
      <w:r w:rsidR="00167303" w:rsidRPr="00B10382">
        <w:t>:</w:t>
      </w:r>
      <w:r w:rsidR="00B80BAA" w:rsidRPr="00B10382">
        <w:t xml:space="preserve"> the goals of the option</w:t>
      </w:r>
      <w:r w:rsidR="00167303" w:rsidRPr="00B10382">
        <w:t>;</w:t>
      </w:r>
      <w:r w:rsidR="00B80BAA" w:rsidRPr="00B10382">
        <w:t xml:space="preserve"> the likely sources of water for reinjection</w:t>
      </w:r>
      <w:r w:rsidR="00167303" w:rsidRPr="00B10382">
        <w:t>;</w:t>
      </w:r>
      <w:r w:rsidR="00B80BAA" w:rsidRPr="00B10382">
        <w:t xml:space="preserve"> the suitability of the water </w:t>
      </w:r>
      <w:r w:rsidR="009A4362" w:rsidRPr="00B10382">
        <w:t xml:space="preserve">with </w:t>
      </w:r>
      <w:r w:rsidR="00B80BAA" w:rsidRPr="00B10382">
        <w:t xml:space="preserve">regards </w:t>
      </w:r>
      <w:r w:rsidR="009A4362" w:rsidRPr="00B10382">
        <w:t xml:space="preserve">to </w:t>
      </w:r>
      <w:r w:rsidR="00B80BAA" w:rsidRPr="00B10382">
        <w:t>matching water quality at the injection site</w:t>
      </w:r>
      <w:r w:rsidR="00167303" w:rsidRPr="00B10382">
        <w:t>;</w:t>
      </w:r>
      <w:r w:rsidR="00B80BAA" w:rsidRPr="00B10382">
        <w:t xml:space="preserve"> the potential impacts to </w:t>
      </w:r>
      <w:r w:rsidR="00167303" w:rsidRPr="00B10382">
        <w:t xml:space="preserve">both </w:t>
      </w:r>
      <w:r w:rsidR="00B80BAA" w:rsidRPr="00B10382">
        <w:t>the injection site and the source site</w:t>
      </w:r>
      <w:r w:rsidR="00070CEC" w:rsidRPr="00B10382">
        <w:t xml:space="preserve">; and evaluation of the reinjection against alternative </w:t>
      </w:r>
      <w:r w:rsidR="006015F9" w:rsidRPr="00B10382">
        <w:t>management options</w:t>
      </w:r>
      <w:r w:rsidR="00FD26D4" w:rsidRPr="00B10382">
        <w:t xml:space="preserve"> such as </w:t>
      </w:r>
      <w:r w:rsidR="008B7A97" w:rsidRPr="00B10382">
        <w:t xml:space="preserve">purchasing additional groundwater licences or </w:t>
      </w:r>
      <w:r w:rsidR="00FD26D4" w:rsidRPr="00B10382">
        <w:t xml:space="preserve">altering </w:t>
      </w:r>
      <w:r w:rsidR="008B7A97" w:rsidRPr="00B10382">
        <w:t xml:space="preserve">the </w:t>
      </w:r>
      <w:r w:rsidR="00FD26D4" w:rsidRPr="00B10382">
        <w:t>mine plan</w:t>
      </w:r>
      <w:r w:rsidR="00B80BAA" w:rsidRPr="00B10382">
        <w:t xml:space="preserve">. </w:t>
      </w:r>
    </w:p>
    <w:p w:rsidR="00B80BAA" w:rsidRPr="00B10382" w:rsidRDefault="00B80BAA" w:rsidP="00B80BAA">
      <w:pPr>
        <w:pStyle w:val="ListNumber2"/>
      </w:pPr>
      <w:r w:rsidRPr="00B10382">
        <w:t>Mine plan management options including limiting depth and lateral extents of mining to reduce effects of depressurisation.</w:t>
      </w:r>
    </w:p>
    <w:p w:rsidR="00B80BAA" w:rsidRPr="00B10382" w:rsidRDefault="00B80BAA" w:rsidP="00B80BAA">
      <w:pPr>
        <w:pStyle w:val="ListNumber2"/>
      </w:pPr>
      <w:r w:rsidRPr="00B10382">
        <w:t>Regular ongoing assessment, validation, recalibration and peer review of models to reduce uncertainties in model predictions and to enable proposed management processes.</w:t>
      </w:r>
    </w:p>
    <w:p w:rsidR="00B80BAA" w:rsidRPr="00B10382" w:rsidRDefault="00B80BAA" w:rsidP="00B80BAA">
      <w:pPr>
        <w:pStyle w:val="ListNumber2"/>
      </w:pPr>
      <w:r w:rsidRPr="00B10382">
        <w:t>Regulatory options whe</w:t>
      </w:r>
      <w:r w:rsidR="000D1B71" w:rsidRPr="00B10382">
        <w:t xml:space="preserve">re </w:t>
      </w:r>
      <w:r w:rsidR="00DD276A" w:rsidRPr="00B10382">
        <w:t xml:space="preserve">groundwater </w:t>
      </w:r>
      <w:r w:rsidR="000D1B71" w:rsidRPr="00B10382">
        <w:t>drawdown limits are exceeded</w:t>
      </w:r>
      <w:r w:rsidRPr="00B10382">
        <w:t xml:space="preserve"> and reassessment of suitability of approval limits and triggers.</w:t>
      </w:r>
    </w:p>
    <w:p w:rsidR="0048483D" w:rsidRPr="00B10382" w:rsidRDefault="0048483D" w:rsidP="0048483D">
      <w:pPr>
        <w:pStyle w:val="Heading5"/>
      </w:pPr>
      <w:r w:rsidRPr="00B10382">
        <w:t>Groundwater</w:t>
      </w:r>
    </w:p>
    <w:p w:rsidR="00CC2873" w:rsidRPr="00B10382" w:rsidRDefault="00B80BAA" w:rsidP="00383963">
      <w:pPr>
        <w:pStyle w:val="ListNumber"/>
      </w:pPr>
      <w:r w:rsidRPr="00B10382">
        <w:t xml:space="preserve">In light of the </w:t>
      </w:r>
      <w:r w:rsidR="006A4DF5" w:rsidRPr="00B10382">
        <w:t xml:space="preserve">results of the sensitivity and uncertainty analysis undertaken for the EIS it would have been beneficial to have a corresponding uncertainty analysis for the </w:t>
      </w:r>
      <w:r w:rsidR="008035FA" w:rsidRPr="00B10382">
        <w:t xml:space="preserve">scenarios posed by </w:t>
      </w:r>
      <w:r w:rsidR="004036FE" w:rsidRPr="00B10382">
        <w:t>Dr </w:t>
      </w:r>
      <w:r w:rsidR="006A4DF5" w:rsidRPr="00B10382">
        <w:t xml:space="preserve">Col Mackie </w:t>
      </w:r>
      <w:r w:rsidR="00EC7427" w:rsidRPr="00B10382">
        <w:t xml:space="preserve">and </w:t>
      </w:r>
      <w:r w:rsidR="00426637" w:rsidRPr="00B10382">
        <w:t>referenced</w:t>
      </w:r>
      <w:r w:rsidR="00EC7427" w:rsidRPr="00B10382">
        <w:t xml:space="preserve"> by the PAC </w:t>
      </w:r>
      <w:r w:rsidR="006A4DF5" w:rsidRPr="00B10382">
        <w:t xml:space="preserve">(Scenarios 3, 6, 7, and 11 in Hansen Bailey, 2014, App A) </w:t>
      </w:r>
      <w:r w:rsidR="00053F4A" w:rsidRPr="00B10382">
        <w:t xml:space="preserve">in order </w:t>
      </w:r>
      <w:r w:rsidR="006A4DF5" w:rsidRPr="00B10382">
        <w:t>to understand more fully the potential for exceeding the conditions relating to</w:t>
      </w:r>
      <w:r w:rsidR="00DD276A" w:rsidRPr="00B10382">
        <w:t xml:space="preserve"> groundwater</w:t>
      </w:r>
      <w:r w:rsidR="006A4DF5" w:rsidRPr="00B10382">
        <w:t xml:space="preserve"> drawdown impacts in the Upper Namoi Alluvium set in the NSW Government consent (PAC, 2015). In the absence o</w:t>
      </w:r>
      <w:r w:rsidR="004036FE" w:rsidRPr="00B10382">
        <w:t xml:space="preserve">f such an uncertainty analysis, </w:t>
      </w:r>
      <w:r w:rsidR="006A4DF5" w:rsidRPr="00B10382">
        <w:t>stro</w:t>
      </w:r>
      <w:r w:rsidRPr="00B10382">
        <w:t>ng emphasis should be placed on developing:</w:t>
      </w:r>
    </w:p>
    <w:p w:rsidR="00B80BAA" w:rsidRPr="00B10382" w:rsidRDefault="00D2397B" w:rsidP="00B80BAA">
      <w:pPr>
        <w:pStyle w:val="ListNumber2"/>
      </w:pPr>
      <w:r w:rsidRPr="00B10382">
        <w:t>A</w:t>
      </w:r>
      <w:r w:rsidR="00B80BAA" w:rsidRPr="00B10382">
        <w:t xml:space="preserve"> monitoring programme that enables early warnings of greater depre</w:t>
      </w:r>
      <w:r w:rsidR="000D1857" w:rsidRPr="00B10382">
        <w:t>ssurisation than predicted</w:t>
      </w:r>
      <w:r w:rsidRPr="00B10382">
        <w:t>.</w:t>
      </w:r>
    </w:p>
    <w:p w:rsidR="00B80BAA" w:rsidRPr="00B10382" w:rsidRDefault="00D2397B" w:rsidP="00B80BAA">
      <w:pPr>
        <w:pStyle w:val="ListNumber2"/>
      </w:pPr>
      <w:r w:rsidRPr="00B10382">
        <w:t>R</w:t>
      </w:r>
      <w:r w:rsidR="00B80BAA" w:rsidRPr="00B10382">
        <w:t xml:space="preserve">obust enforceable management protocols (for proponent and regulator) </w:t>
      </w:r>
      <w:r w:rsidR="006A4DF5" w:rsidRPr="00B10382">
        <w:t xml:space="preserve">for action to be taken </w:t>
      </w:r>
      <w:r w:rsidR="00A436E0" w:rsidRPr="00B10382">
        <w:t>in time so that limits are not exceeded</w:t>
      </w:r>
      <w:r w:rsidR="00B80BAA" w:rsidRPr="00B10382">
        <w:t>.</w:t>
      </w:r>
    </w:p>
    <w:p w:rsidR="00B80BAA" w:rsidRPr="00B10382" w:rsidRDefault="00B80BAA" w:rsidP="00B80BAA">
      <w:pPr>
        <w:pStyle w:val="Heading5"/>
      </w:pPr>
      <w:r w:rsidRPr="00B10382">
        <w:t>Surface Water</w:t>
      </w:r>
    </w:p>
    <w:p w:rsidR="00B80BAA" w:rsidRPr="00B10382" w:rsidRDefault="00B80BAA" w:rsidP="00383963">
      <w:pPr>
        <w:pStyle w:val="ListNumber"/>
      </w:pPr>
      <w:r w:rsidRPr="00B10382">
        <w:t xml:space="preserve">The mitigation and management measures that will be employed if salt loads exceed the site-specific trigger values in Watermark Gully, Native Dog Gully or the </w:t>
      </w:r>
      <w:proofErr w:type="spellStart"/>
      <w:r w:rsidRPr="00B10382">
        <w:t>Mooki</w:t>
      </w:r>
      <w:proofErr w:type="spellEnd"/>
      <w:r w:rsidRPr="00B10382">
        <w:t xml:space="preserve"> River should be proposed by the proponent based on its assessment of salt-sensitive biota as discussed in paragraph </w:t>
      </w:r>
      <w:fldSimple w:instr=" REF _Ref417042120 \r \h  \* MERGEFORMAT ">
        <w:r w:rsidR="007F7D51">
          <w:t>28.d</w:t>
        </w:r>
      </w:fldSimple>
      <w:r w:rsidR="0099716E" w:rsidRPr="00B10382">
        <w:t xml:space="preserve"> of this advice </w:t>
      </w:r>
      <w:r w:rsidR="006D3DA5" w:rsidRPr="00B10382">
        <w:t>(</w:t>
      </w:r>
      <w:r w:rsidR="0099716E" w:rsidRPr="00B10382">
        <w:t>IESC 2015-066</w:t>
      </w:r>
      <w:r w:rsidR="006D3DA5" w:rsidRPr="00B10382">
        <w:t>)</w:t>
      </w:r>
      <w:r w:rsidR="004036FE" w:rsidRPr="00B10382">
        <w:t>.</w:t>
      </w:r>
    </w:p>
    <w:p w:rsidR="007654F3" w:rsidRPr="00B10382" w:rsidRDefault="00B80BAA" w:rsidP="00383963">
      <w:pPr>
        <w:pStyle w:val="ListNumber"/>
      </w:pPr>
      <w:r w:rsidRPr="00B10382">
        <w:t>Excess salt loads from sediment dam spills can be mitigated by increasing the size of sediment dams or the mine water system to reduce the volume and frequency of overflow. Contingency measures should be developed to prevent the release of sediment</w:t>
      </w:r>
      <w:r w:rsidR="005C300C" w:rsidRPr="00B10382">
        <w:t xml:space="preserve"> </w:t>
      </w:r>
      <w:r w:rsidRPr="00B10382">
        <w:t xml:space="preserve">dam water in extreme rainfall events if the water quality, particularly salt load and total suspended solids, is not suitable for release. </w:t>
      </w:r>
    </w:p>
    <w:p w:rsidR="007654F3" w:rsidRPr="00B10382" w:rsidRDefault="00B80BAA" w:rsidP="00383963">
      <w:pPr>
        <w:pStyle w:val="ListNumber"/>
      </w:pPr>
      <w:r w:rsidRPr="00B10382">
        <w:t xml:space="preserve">The Mine Rehabilitation Plan should consider measures to prevent impacts to the biota of Native Dog Gully and the </w:t>
      </w:r>
      <w:proofErr w:type="spellStart"/>
      <w:r w:rsidRPr="00B10382">
        <w:t>Mooki</w:t>
      </w:r>
      <w:proofErr w:type="spellEnd"/>
      <w:r w:rsidRPr="00B10382">
        <w:t xml:space="preserve"> River from long-term saline seepage from the </w:t>
      </w:r>
      <w:r w:rsidR="005C300C" w:rsidRPr="00B10382">
        <w:t>e</w:t>
      </w:r>
      <w:r w:rsidRPr="00B10382">
        <w:t xml:space="preserve">astern and </w:t>
      </w:r>
      <w:r w:rsidR="005C300C" w:rsidRPr="00B10382">
        <w:t>s</w:t>
      </w:r>
      <w:r w:rsidRPr="00B10382">
        <w:t>outhern mining areas. Measures could include:</w:t>
      </w:r>
    </w:p>
    <w:p w:rsidR="00B80BAA" w:rsidRPr="00B10382" w:rsidRDefault="00D2397B" w:rsidP="00B80BAA">
      <w:pPr>
        <w:pStyle w:val="ListNumber2"/>
      </w:pPr>
      <w:r w:rsidRPr="00B10382">
        <w:t>M</w:t>
      </w:r>
      <w:r w:rsidR="00B80BAA" w:rsidRPr="00B10382">
        <w:t xml:space="preserve">onitoring overburden emplacement area runoff as discussed in paragraph </w:t>
      </w:r>
      <w:fldSimple w:instr=" REF _Ref415658302 \r \h  \* MERGEFORMAT ">
        <w:r w:rsidR="007F7D51">
          <w:t>29.b</w:t>
        </w:r>
      </w:fldSimple>
      <w:r w:rsidR="00B80BAA" w:rsidRPr="00B10382">
        <w:t xml:space="preserve"> </w:t>
      </w:r>
      <w:r w:rsidR="0099716E" w:rsidRPr="00B10382">
        <w:t xml:space="preserve">of this advice </w:t>
      </w:r>
      <w:r w:rsidR="006D3DA5" w:rsidRPr="00B10382">
        <w:t>(</w:t>
      </w:r>
      <w:r w:rsidR="0099716E" w:rsidRPr="00B10382">
        <w:t>IESC 2015-066</w:t>
      </w:r>
      <w:r w:rsidR="006D3DA5" w:rsidRPr="00B10382">
        <w:t>)</w:t>
      </w:r>
      <w:r w:rsidR="0099716E" w:rsidRPr="00B10382">
        <w:t xml:space="preserve"> </w:t>
      </w:r>
      <w:r w:rsidR="00B80BAA" w:rsidRPr="00B10382">
        <w:t>to refine es</w:t>
      </w:r>
      <w:r w:rsidRPr="00B10382">
        <w:t>timates of long-term salt loads.</w:t>
      </w:r>
    </w:p>
    <w:p w:rsidR="00B80BAA" w:rsidRPr="00B10382" w:rsidRDefault="00D2397B" w:rsidP="00B80BAA">
      <w:pPr>
        <w:pStyle w:val="ListNumber2"/>
      </w:pPr>
      <w:r w:rsidRPr="00B10382">
        <w:t>D</w:t>
      </w:r>
      <w:r w:rsidR="00B80BAA" w:rsidRPr="00B10382">
        <w:t xml:space="preserve">esign of overburden emplacement areas based on updated </w:t>
      </w:r>
      <w:proofErr w:type="spellStart"/>
      <w:r w:rsidR="00B80BAA" w:rsidRPr="00B10382">
        <w:t>hydrogeological</w:t>
      </w:r>
      <w:proofErr w:type="spellEnd"/>
      <w:r w:rsidR="00B80BAA" w:rsidRPr="00B10382">
        <w:t xml:space="preserve"> information gained during mining, including capping and revegetation to minimise seepage.</w:t>
      </w:r>
    </w:p>
    <w:tbl>
      <w:tblPr>
        <w:tblW w:w="9322" w:type="dxa"/>
        <w:tblBorders>
          <w:insideH w:val="single" w:sz="4" w:space="0" w:color="auto"/>
        </w:tblBorders>
        <w:tblCellMar>
          <w:top w:w="113" w:type="dxa"/>
          <w:bottom w:w="113" w:type="dxa"/>
        </w:tblCellMar>
        <w:tblLook w:val="01E0"/>
      </w:tblPr>
      <w:tblGrid>
        <w:gridCol w:w="1809"/>
        <w:gridCol w:w="7513"/>
      </w:tblGrid>
      <w:tr w:rsidR="007203C3" w:rsidRPr="00B10382" w:rsidTr="008A2AA7">
        <w:trPr>
          <w:trHeight w:val="19"/>
        </w:trPr>
        <w:tc>
          <w:tcPr>
            <w:tcW w:w="1809" w:type="dxa"/>
            <w:tcBorders>
              <w:top w:val="single" w:sz="4" w:space="0" w:color="auto"/>
              <w:bottom w:val="single" w:sz="4" w:space="0" w:color="auto"/>
            </w:tcBorders>
          </w:tcPr>
          <w:p w:rsidR="007203C3" w:rsidRPr="00B10382" w:rsidRDefault="007203C3" w:rsidP="005A7E8B">
            <w:pPr>
              <w:pStyle w:val="Heading2"/>
            </w:pPr>
            <w:r w:rsidRPr="00B10382">
              <w:t>Date of advice</w:t>
            </w:r>
          </w:p>
        </w:tc>
        <w:tc>
          <w:tcPr>
            <w:tcW w:w="7513" w:type="dxa"/>
            <w:tcBorders>
              <w:top w:val="single" w:sz="4" w:space="0" w:color="auto"/>
              <w:bottom w:val="single" w:sz="4" w:space="0" w:color="auto"/>
            </w:tcBorders>
          </w:tcPr>
          <w:p w:rsidR="007203C3" w:rsidRPr="00B10382" w:rsidRDefault="006D3DA5" w:rsidP="00B10382">
            <w:pPr>
              <w:pStyle w:val="Tabletext"/>
            </w:pPr>
            <w:r w:rsidRPr="00B10382">
              <w:t>2</w:t>
            </w:r>
            <w:r w:rsidR="00B10382">
              <w:t>7</w:t>
            </w:r>
            <w:r w:rsidRPr="00B10382">
              <w:t xml:space="preserve"> </w:t>
            </w:r>
            <w:r w:rsidR="009911A8" w:rsidRPr="00B10382">
              <w:t>April</w:t>
            </w:r>
            <w:r w:rsidR="007203C3" w:rsidRPr="00B10382">
              <w:t xml:space="preserve"> 201</w:t>
            </w:r>
            <w:r w:rsidR="009911A8" w:rsidRPr="00B10382">
              <w:t>5</w:t>
            </w:r>
          </w:p>
        </w:tc>
      </w:tr>
    </w:tbl>
    <w:p w:rsidR="00F70888" w:rsidRPr="00B10382" w:rsidRDefault="00F70888" w:rsidP="000145C1">
      <w:pPr>
        <w:pStyle w:val="Heading3"/>
        <w:sectPr w:rsidR="00F70888" w:rsidRPr="00B10382" w:rsidSect="00BB0B3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25" w:footer="425" w:gutter="0"/>
          <w:pgNumType w:start="1"/>
          <w:cols w:space="708"/>
          <w:titlePg/>
          <w:docGrid w:linePitch="360"/>
        </w:sectPr>
      </w:pPr>
    </w:p>
    <w:p w:rsidR="00C605B6" w:rsidRPr="00B10382" w:rsidRDefault="00C605B6" w:rsidP="00C605B6">
      <w:pPr>
        <w:pStyle w:val="Heading3"/>
      </w:pPr>
      <w:r w:rsidRPr="00B10382">
        <w:t>IESC 2015-067 Advice</w:t>
      </w:r>
    </w:p>
    <w:p w:rsidR="00C605B6" w:rsidRPr="00B10382" w:rsidRDefault="00C605B6" w:rsidP="00C605B6">
      <w:pPr>
        <w:pStyle w:val="Default"/>
        <w:spacing w:after="200" w:line="276" w:lineRule="auto"/>
        <w:rPr>
          <w:rFonts w:ascii="Arial" w:eastAsia="Times New Roman" w:hAnsi="Arial" w:cs="Arial"/>
          <w:color w:val="auto"/>
          <w:sz w:val="20"/>
          <w:szCs w:val="20"/>
          <w:lang w:eastAsia="en-US"/>
        </w:rPr>
      </w:pPr>
      <w:r w:rsidRPr="00B10382">
        <w:rPr>
          <w:rFonts w:ascii="Arial" w:eastAsia="Times New Roman" w:hAnsi="Arial" w:cs="Arial"/>
          <w:color w:val="auto"/>
          <w:sz w:val="20"/>
          <w:szCs w:val="20"/>
          <w:lang w:eastAsia="en-US"/>
        </w:rPr>
        <w:t xml:space="preserve">The IESC’s advice, in response to the Minister’s additional request of 23 March 2015 concerning questions raised by the community, is provided below. </w:t>
      </w:r>
    </w:p>
    <w:p w:rsidR="00C605B6" w:rsidRPr="00B10382" w:rsidRDefault="00C605B6" w:rsidP="00C605B6">
      <w:pPr>
        <w:pStyle w:val="Default"/>
        <w:spacing w:after="200" w:line="276" w:lineRule="auto"/>
        <w:rPr>
          <w:rFonts w:ascii="Arial" w:eastAsia="Times New Roman" w:hAnsi="Arial" w:cs="Arial"/>
          <w:b/>
          <w:color w:val="auto"/>
          <w:sz w:val="20"/>
          <w:szCs w:val="20"/>
          <w:lang w:eastAsia="en-US"/>
        </w:rPr>
      </w:pPr>
      <w:r w:rsidRPr="00B10382">
        <w:rPr>
          <w:rFonts w:ascii="Arial" w:eastAsia="Times New Roman" w:hAnsi="Arial" w:cs="Arial"/>
          <w:b/>
          <w:color w:val="auto"/>
          <w:sz w:val="20"/>
          <w:szCs w:val="20"/>
          <w:lang w:eastAsia="en-US"/>
        </w:rPr>
        <w:t xml:space="preserve">Questions from Ms Juanita </w:t>
      </w:r>
      <w:proofErr w:type="spellStart"/>
      <w:r w:rsidRPr="00B10382">
        <w:rPr>
          <w:rFonts w:ascii="Arial" w:eastAsia="Times New Roman" w:hAnsi="Arial" w:cs="Arial"/>
          <w:b/>
          <w:color w:val="auto"/>
          <w:sz w:val="20"/>
          <w:szCs w:val="20"/>
          <w:lang w:eastAsia="en-US"/>
        </w:rPr>
        <w:t>Hamparsum</w:t>
      </w:r>
      <w:proofErr w:type="spellEnd"/>
    </w:p>
    <w:p w:rsidR="00C605B6" w:rsidRPr="00B10382" w:rsidRDefault="00C605B6" w:rsidP="00C605B6">
      <w:pPr>
        <w:pStyle w:val="Question"/>
        <w:rPr>
          <w:lang w:eastAsia="en-AU"/>
        </w:rPr>
      </w:pPr>
      <w:r w:rsidRPr="00B10382">
        <w:t>Question 1: Has the revised information provided by the proponent addressed all of the Committees advice issued on 27 May 2013?</w:t>
      </w:r>
    </w:p>
    <w:p w:rsidR="00C605B6" w:rsidRPr="00B10382" w:rsidRDefault="00C605B6" w:rsidP="00C605B6">
      <w:pPr>
        <w:pStyle w:val="Heading4"/>
      </w:pPr>
      <w:r w:rsidRPr="00B10382">
        <w:t>Response</w:t>
      </w:r>
    </w:p>
    <w:p w:rsidR="00C605B6" w:rsidRPr="00B10382" w:rsidRDefault="00C11686" w:rsidP="00383963">
      <w:pPr>
        <w:pStyle w:val="ListNumber"/>
        <w:rPr>
          <w:rFonts w:eastAsiaTheme="minorHAnsi"/>
        </w:rPr>
      </w:pPr>
      <w:r w:rsidRPr="00B10382">
        <w:t>No, not all matters have been addressed</w:t>
      </w:r>
      <w:r w:rsidR="00A57E42" w:rsidRPr="00B10382">
        <w:t xml:space="preserve"> at this stage</w:t>
      </w:r>
      <w:r w:rsidRPr="00B10382">
        <w:t xml:space="preserve">. </w:t>
      </w:r>
      <w:r w:rsidR="00C605B6" w:rsidRPr="00B10382">
        <w:t xml:space="preserve">A number of the </w:t>
      </w:r>
      <w:r w:rsidR="004A592B" w:rsidRPr="00B10382">
        <w:t xml:space="preserve">matters </w:t>
      </w:r>
      <w:r w:rsidR="00C605B6" w:rsidRPr="00B10382">
        <w:t>raised in IESC</w:t>
      </w:r>
      <w:r w:rsidR="004E7B1E" w:rsidRPr="00B10382">
        <w:t> </w:t>
      </w:r>
      <w:r w:rsidR="00C605B6" w:rsidRPr="00B10382">
        <w:t xml:space="preserve">2013-023 have been examined or explained in the additional information or would be addressed through the implementation of NSW Government consent conditions (PAC, 2015) including: the groundwater conceptualisation; likely impacts on the Upper Namoi Alluvium, particularly the Gunnedah Formation, at a regional scale; the influence of faults; and sensitivity analysis of the water balance modelling. </w:t>
      </w:r>
    </w:p>
    <w:p w:rsidR="00C605B6" w:rsidRPr="00B10382" w:rsidRDefault="00C605B6" w:rsidP="00383963">
      <w:pPr>
        <w:pStyle w:val="ListNumber"/>
      </w:pPr>
      <w:r w:rsidRPr="00B10382">
        <w:t xml:space="preserve">The </w:t>
      </w:r>
      <w:r w:rsidR="00053F4A" w:rsidRPr="00B10382">
        <w:t xml:space="preserve">key </w:t>
      </w:r>
      <w:r w:rsidRPr="00B10382">
        <w:t xml:space="preserve">matters in IESC 2013-023 that need further information </w:t>
      </w:r>
      <w:r w:rsidR="00956DA5" w:rsidRPr="00B10382">
        <w:t xml:space="preserve">are outlined below. These </w:t>
      </w:r>
      <w:r w:rsidRPr="00B10382">
        <w:t>could be addressed through collection of additional data before and during operations with subsequent comparison and updates to predictions as needed, and regular reporting, review and action taken, if the mine is approved:</w:t>
      </w:r>
    </w:p>
    <w:p w:rsidR="00C605B6" w:rsidRPr="00B10382" w:rsidRDefault="00D2397B" w:rsidP="00C605B6">
      <w:pPr>
        <w:pStyle w:val="ListNumber2"/>
      </w:pPr>
      <w:r w:rsidRPr="00B10382">
        <w:t>A</w:t>
      </w:r>
      <w:r w:rsidR="00C605B6" w:rsidRPr="00B10382">
        <w:t xml:space="preserve"> targeted monitoring prog</w:t>
      </w:r>
      <w:r w:rsidRPr="00B10382">
        <w:t>ramme.</w:t>
      </w:r>
    </w:p>
    <w:p w:rsidR="00C605B6" w:rsidRPr="00B10382" w:rsidRDefault="00D2397B" w:rsidP="00C605B6">
      <w:pPr>
        <w:pStyle w:val="ListNumber2"/>
      </w:pPr>
      <w:r w:rsidRPr="00B10382">
        <w:t>F</w:t>
      </w:r>
      <w:r w:rsidR="00C605B6" w:rsidRPr="00B10382">
        <w:t>iner-scale numerical groundwater modelling, with a particular focus on the conceptualisation and parameterisation of the fresh and weathered Permian strata in the zone between the proposed pi</w:t>
      </w:r>
      <w:r w:rsidRPr="00B10382">
        <w:t>ts and the Upper Namoi Alluvium.</w:t>
      </w:r>
    </w:p>
    <w:p w:rsidR="00C605B6" w:rsidRPr="00B10382" w:rsidRDefault="00D2397B" w:rsidP="00C605B6">
      <w:pPr>
        <w:pStyle w:val="ListNumber2"/>
      </w:pPr>
      <w:r w:rsidRPr="00B10382">
        <w:t>I</w:t>
      </w:r>
      <w:r w:rsidR="00C605B6" w:rsidRPr="00B10382">
        <w:t xml:space="preserve">dentification and assessment of potential impacts to </w:t>
      </w:r>
      <w:r w:rsidR="00915915" w:rsidRPr="00B10382">
        <w:t xml:space="preserve">water dependent </w:t>
      </w:r>
      <w:r w:rsidR="00C605B6" w:rsidRPr="00B10382">
        <w:t>ecosystems</w:t>
      </w:r>
      <w:r w:rsidR="00347AEB" w:rsidRPr="00B10382">
        <w:t xml:space="preserve">, including </w:t>
      </w:r>
      <w:r w:rsidR="00C605B6" w:rsidRPr="00B10382">
        <w:t>EPBC-listed communities (such as White Box-Yellow Box-Blakely’s Red Gum Grassy Woodland and Derived Native Grassland)</w:t>
      </w:r>
      <w:r w:rsidR="00880E56" w:rsidRPr="00B10382">
        <w:t>,</w:t>
      </w:r>
      <w:r w:rsidR="00C605B6" w:rsidRPr="00B10382">
        <w:t xml:space="preserve"> and salt-sensitive biota within and beyond the proposed project bound</w:t>
      </w:r>
      <w:r w:rsidRPr="00B10382">
        <w:t>ary.</w:t>
      </w:r>
    </w:p>
    <w:p w:rsidR="00C605B6" w:rsidRPr="00B10382" w:rsidRDefault="00D2397B" w:rsidP="00C605B6">
      <w:pPr>
        <w:pStyle w:val="ListNumber2"/>
      </w:pPr>
      <w:r w:rsidRPr="00B10382">
        <w:t>A</w:t>
      </w:r>
      <w:r w:rsidR="00C605B6" w:rsidRPr="00B10382">
        <w:t>ssessment of local-scale cumulative impacts</w:t>
      </w:r>
      <w:r w:rsidRPr="00B10382">
        <w:t>.</w:t>
      </w:r>
      <w:r w:rsidR="00C605B6" w:rsidRPr="00B10382">
        <w:t xml:space="preserve"> </w:t>
      </w:r>
    </w:p>
    <w:p w:rsidR="00C605B6" w:rsidRPr="00B10382" w:rsidRDefault="00D2397B" w:rsidP="00C605B6">
      <w:pPr>
        <w:pStyle w:val="ListNumber2"/>
      </w:pPr>
      <w:r w:rsidRPr="00B10382">
        <w:t>L</w:t>
      </w:r>
      <w:r w:rsidR="00C605B6" w:rsidRPr="00B10382">
        <w:t>ong-term impacts associated with the final landform.</w:t>
      </w:r>
    </w:p>
    <w:p w:rsidR="00C605B6" w:rsidRPr="00B10382" w:rsidRDefault="00C605B6" w:rsidP="00C605B6">
      <w:pPr>
        <w:pStyle w:val="Question"/>
      </w:pPr>
      <w:r w:rsidRPr="00B10382">
        <w:t xml:space="preserve">Question 2: What are the key uncertainties and risks of the project and/or potential impacts on groundwater and surface water resources? </w:t>
      </w:r>
    </w:p>
    <w:p w:rsidR="00C605B6" w:rsidRPr="00B10382" w:rsidRDefault="00C605B6" w:rsidP="00C605B6">
      <w:pPr>
        <w:pStyle w:val="Heading4"/>
      </w:pPr>
      <w:r w:rsidRPr="00B10382">
        <w:t>Response</w:t>
      </w:r>
    </w:p>
    <w:p w:rsidR="00C605B6" w:rsidRPr="00B10382" w:rsidRDefault="00C605B6" w:rsidP="00383963">
      <w:pPr>
        <w:pStyle w:val="ListNumber"/>
      </w:pPr>
      <w:r w:rsidRPr="00B10382">
        <w:t>The key potential impact associated with the proposed project is change to groundwater pressure and/or level within the Upper Namoi Alluvium groundwater resource. The IESC considers that impacts to the highly productive Upper Namoi Alluvium groundwater resource are likely to be less than those predicted in the numerical groundwater model sensitivity and uncertainty analysis of the Environmental Impact Statement (Hansen Bailey, 2013a</w:t>
      </w:r>
      <w:r w:rsidR="00E9391C" w:rsidRPr="00B10382">
        <w:t>; EIS</w:t>
      </w:r>
      <w:r w:rsidRPr="00B10382">
        <w:t>)</w:t>
      </w:r>
      <w:r w:rsidR="00EB77BD" w:rsidRPr="00B10382">
        <w:t>. A</w:t>
      </w:r>
      <w:r w:rsidR="000E0C79" w:rsidRPr="00B10382">
        <w:t>n uncertainty analysis would be needed to judge</w:t>
      </w:r>
      <w:r w:rsidR="00996242" w:rsidRPr="00B10382">
        <w:t xml:space="preserve"> </w:t>
      </w:r>
      <w:r w:rsidR="000E0C79" w:rsidRPr="00B10382">
        <w:t xml:space="preserve">whether </w:t>
      </w:r>
      <w:r w:rsidR="00EB77BD" w:rsidRPr="00B10382">
        <w:t xml:space="preserve">groundwater impacts </w:t>
      </w:r>
      <w:r w:rsidR="00AB0516" w:rsidRPr="00B10382">
        <w:t xml:space="preserve">to the Upper Namoi Alluvium </w:t>
      </w:r>
      <w:r w:rsidRPr="00B10382">
        <w:t>may exceed those predicted using Dr</w:t>
      </w:r>
      <w:r w:rsidR="006D3DA5" w:rsidRPr="00B10382">
        <w:t> </w:t>
      </w:r>
      <w:r w:rsidRPr="00B10382">
        <w:t>Col</w:t>
      </w:r>
      <w:r w:rsidR="006D3DA5" w:rsidRPr="00B10382">
        <w:t> </w:t>
      </w:r>
      <w:r w:rsidRPr="00B10382">
        <w:t xml:space="preserve">Mackie’s preferred scenarios (Hansen Bailey, 2014, App A), which constitute the groundwater drawdown limit in the NSW Government consent </w:t>
      </w:r>
      <w:r w:rsidR="00426637" w:rsidRPr="00B10382">
        <w:t xml:space="preserve">conditions </w:t>
      </w:r>
      <w:r w:rsidRPr="00B10382">
        <w:t xml:space="preserve">(PAC, 2015). There is also the potential for local-scale impacts to surface water quality and long-term salinity changes associated with the final landform. </w:t>
      </w:r>
    </w:p>
    <w:p w:rsidR="007654F3" w:rsidRPr="00B10382" w:rsidRDefault="00C605B6" w:rsidP="00383963">
      <w:pPr>
        <w:pStyle w:val="ListNumber"/>
      </w:pPr>
      <w:r w:rsidRPr="00B10382">
        <w:t xml:space="preserve">The main factors that influence groundwater drawdown in the Upper Namoi Alluvium are recharge and hydraulic parameters, particularly for weathered and unweathered Permian strata between the proposed pits and the Upper Namoi Alluvium. These factors influence the potential for drawdown in the Permian sequence to be transmitted to the overlying Upper Namoi Alluvium. </w:t>
      </w:r>
    </w:p>
    <w:p w:rsidR="007654F3" w:rsidRPr="00B10382" w:rsidRDefault="00C605B6" w:rsidP="00383963">
      <w:pPr>
        <w:pStyle w:val="ListNumber"/>
      </w:pPr>
      <w:r w:rsidRPr="00B10382">
        <w:t>There is uncertainty as to the</w:t>
      </w:r>
      <w:r w:rsidR="00426637" w:rsidRPr="00B10382">
        <w:t xml:space="preserve"> potential</w:t>
      </w:r>
      <w:r w:rsidRPr="00B10382">
        <w:t xml:space="preserve"> impacts to aquatic ecosystems as a result of the hydrological impacts predicted, due to insufficient survey effort. </w:t>
      </w:r>
      <w:r w:rsidR="00956DA5" w:rsidRPr="00B10382">
        <w:t>Little</w:t>
      </w:r>
      <w:r w:rsidRPr="00B10382">
        <w:t xml:space="preserve"> information has been provided that clearly identifies: ecological assets beyond the proposed project boundary that are dependent (either fully or partially) on surface water and groundwater systems; their current condition; and how these assets will be impacted by both the proposed project and any cumulative impacts. Should the project be approved, these information needs could be met by targeted additional data collection and improvements to the monitoring and management programme before and during operations.</w:t>
      </w:r>
    </w:p>
    <w:p w:rsidR="00C605B6" w:rsidRPr="00B10382" w:rsidRDefault="00C605B6" w:rsidP="00C605B6">
      <w:pPr>
        <w:pStyle w:val="Question"/>
      </w:pPr>
      <w:r w:rsidRPr="00B10382">
        <w:t>Question 3: The proponent has concluded that there is a low risk of direct hydraulic connection between the Upper Namoi Alluvium and the Permian sequence and has therefore concluded that the floodplain alluviums will not be impacted. Does the Committee agree with this conclusion?</w:t>
      </w:r>
    </w:p>
    <w:p w:rsidR="00C605B6" w:rsidRPr="00B10382" w:rsidRDefault="00C605B6" w:rsidP="00C605B6">
      <w:pPr>
        <w:pStyle w:val="Heading4"/>
      </w:pPr>
      <w:r w:rsidRPr="00B10382">
        <w:t>Response</w:t>
      </w:r>
    </w:p>
    <w:p w:rsidR="00C605B6" w:rsidRPr="00B10382" w:rsidRDefault="00C605B6" w:rsidP="00383963">
      <w:pPr>
        <w:pStyle w:val="ListNumber"/>
      </w:pPr>
      <w:r w:rsidRPr="00B10382">
        <w:t xml:space="preserve">The </w:t>
      </w:r>
      <w:r w:rsidR="00AA5016" w:rsidRPr="00B10382">
        <w:t>proponent’s numerical groundwater model</w:t>
      </w:r>
      <w:r w:rsidR="006370E6" w:rsidRPr="00B10382">
        <w:t>, which the IESC considers to be reasonable,</w:t>
      </w:r>
      <w:r w:rsidR="00AA5016" w:rsidRPr="00B10382">
        <w:t xml:space="preserve"> demonstrates a direct</w:t>
      </w:r>
      <w:r w:rsidRPr="00B10382">
        <w:t xml:space="preserve"> hydraulic connection between the Upper Namoi Alluvium and the Permian strata and predicts groundwater drawdown </w:t>
      </w:r>
      <w:r w:rsidR="00AA5016" w:rsidRPr="00B10382">
        <w:t>within the floodplain alluviums</w:t>
      </w:r>
      <w:r w:rsidRPr="00B10382">
        <w:t xml:space="preserve"> as a result of the proposed project. </w:t>
      </w:r>
      <w:r w:rsidR="00956DA5" w:rsidRPr="00B10382">
        <w:t xml:space="preserve">The </w:t>
      </w:r>
      <w:r w:rsidR="00AA5016" w:rsidRPr="00B10382">
        <w:t xml:space="preserve">magnitude and </w:t>
      </w:r>
      <w:r w:rsidR="00956DA5" w:rsidRPr="00B10382">
        <w:t xml:space="preserve">extent of </w:t>
      </w:r>
      <w:r w:rsidR="006D3DA5" w:rsidRPr="00B10382">
        <w:t xml:space="preserve">groundwater drawdown </w:t>
      </w:r>
      <w:r w:rsidR="00956DA5" w:rsidRPr="00B10382">
        <w:t xml:space="preserve">in the alluvial aquifers is considered unlikely to </w:t>
      </w:r>
      <w:r w:rsidR="006370E6" w:rsidRPr="00B10382">
        <w:t>be significant, based on predictions</w:t>
      </w:r>
      <w:r w:rsidR="00956DA5" w:rsidRPr="00B10382">
        <w:t xml:space="preserve"> described in the sensitivity and </w:t>
      </w:r>
      <w:r w:rsidR="00A57E42" w:rsidRPr="00B10382">
        <w:t>uncertainty</w:t>
      </w:r>
      <w:r w:rsidR="00956DA5" w:rsidRPr="00B10382">
        <w:t xml:space="preserve"> analyses in the EIS. </w:t>
      </w:r>
      <w:r w:rsidR="00D2397B" w:rsidRPr="00B10382">
        <w:t>T</w:t>
      </w:r>
      <w:r w:rsidRPr="00B10382">
        <w:t xml:space="preserve">o improve confidence in </w:t>
      </w:r>
      <w:r w:rsidR="006370E6" w:rsidRPr="00B10382">
        <w:t xml:space="preserve">groundwater drawdown </w:t>
      </w:r>
      <w:r w:rsidRPr="00B10382">
        <w:t xml:space="preserve">predictions over time, additional data </w:t>
      </w:r>
      <w:r w:rsidR="00D2397B" w:rsidRPr="00B10382">
        <w:t>should be</w:t>
      </w:r>
      <w:r w:rsidRPr="00B10382">
        <w:t xml:space="preserve"> gathered on the hydraulic connectivity between the Permian strata and the Upper Namoi Alluvium</w:t>
      </w:r>
      <w:r w:rsidR="00D2397B" w:rsidRPr="00B10382">
        <w:t xml:space="preserve"> (as discussed in response to Question 3a within IESC 2015-066)</w:t>
      </w:r>
      <w:r w:rsidRPr="00B10382">
        <w:t xml:space="preserve">. </w:t>
      </w:r>
    </w:p>
    <w:p w:rsidR="00C605B6" w:rsidRPr="00B10382" w:rsidRDefault="00C605B6" w:rsidP="00C605B6">
      <w:pPr>
        <w:pStyle w:val="Question"/>
      </w:pPr>
      <w:r w:rsidRPr="00B10382">
        <w:t>Question 4: Is justification and verification of the conceptual groundwater model adequate? Has the proponent adequately addressed the uncertainty of hydraulic connectivity and impacts to the Gunnedah Formation, Narrabri Formation and Permian ‘hard rock’ aquifers? Are the confidence levels around the predicted impacts to these structures sufficiently high to be relied upon to make a decision around matters of national environmental significance?</w:t>
      </w:r>
    </w:p>
    <w:p w:rsidR="00C605B6" w:rsidRPr="00B10382" w:rsidRDefault="00C605B6" w:rsidP="00C605B6">
      <w:pPr>
        <w:pStyle w:val="Heading4"/>
      </w:pPr>
      <w:r w:rsidRPr="00B10382">
        <w:t>Response</w:t>
      </w:r>
    </w:p>
    <w:p w:rsidR="00321476" w:rsidRPr="00B10382" w:rsidRDefault="00C11686" w:rsidP="00383963">
      <w:pPr>
        <w:pStyle w:val="ListNumber"/>
      </w:pPr>
      <w:r w:rsidRPr="00B10382">
        <w:t xml:space="preserve">Yes. </w:t>
      </w:r>
      <w:r w:rsidR="00C605B6" w:rsidRPr="00B10382">
        <w:t xml:space="preserve">The proponent’s groundwater conceptualisation is considered to be adequate on the basis of alignment of the range of modelled parameter values with field data and the consistency of the proponent’s conceptualisation with previous </w:t>
      </w:r>
      <w:proofErr w:type="spellStart"/>
      <w:r w:rsidR="00C605B6" w:rsidRPr="00B10382">
        <w:t>hydrogeological</w:t>
      </w:r>
      <w:proofErr w:type="spellEnd"/>
      <w:r w:rsidR="00C605B6" w:rsidRPr="00B10382">
        <w:t xml:space="preserve"> studies in the region. </w:t>
      </w:r>
      <w:r w:rsidR="006A4B28" w:rsidRPr="00B10382">
        <w:t>Should the project be approved, further verification resulting from additional monitoring and finer-scale modelling (as described in IESC 2015-066</w:t>
      </w:r>
      <w:r w:rsidR="00371BF2" w:rsidRPr="00B10382">
        <w:t>,</w:t>
      </w:r>
      <w:r w:rsidR="006A4B28" w:rsidRPr="00B10382">
        <w:t xml:space="preserve"> paragraph </w:t>
      </w:r>
      <w:fldSimple w:instr=" REF _Ref416967081 \r \h  \* MERGEFORMAT ">
        <w:r w:rsidR="007F7D51">
          <w:t>26</w:t>
        </w:r>
      </w:fldSimple>
      <w:r w:rsidR="006A4B28" w:rsidRPr="00B10382">
        <w:t>) would improve confidence in predictions.</w:t>
      </w:r>
    </w:p>
    <w:p w:rsidR="007654F3" w:rsidRPr="00B10382" w:rsidRDefault="00456EBB" w:rsidP="00383963">
      <w:pPr>
        <w:pStyle w:val="ListNumber"/>
      </w:pPr>
      <w:r w:rsidRPr="00B10382">
        <w:t xml:space="preserve">Yes. </w:t>
      </w:r>
      <w:r w:rsidR="00C605B6" w:rsidRPr="00B10382">
        <w:t xml:space="preserve">The numerical groundwater model sensitivity analysis and uncertainty analysis within </w:t>
      </w:r>
      <w:r w:rsidR="00947EBD" w:rsidRPr="00B10382">
        <w:t>the EIS</w:t>
      </w:r>
      <w:r w:rsidR="005C300C" w:rsidRPr="00B10382">
        <w:t>, information provided in response to a</w:t>
      </w:r>
      <w:r w:rsidR="00321476" w:rsidRPr="00B10382">
        <w:t xml:space="preserve"> review by UNSW (DPE, 2014, App </w:t>
      </w:r>
      <w:r w:rsidR="005C300C" w:rsidRPr="00B10382">
        <w:t>C) and additional modelling scenarios proposed by Dr Col Mackie</w:t>
      </w:r>
      <w:r w:rsidR="006D3DA5" w:rsidRPr="00B10382">
        <w:t xml:space="preserve"> (Hansen Bailey, 2014, App A)</w:t>
      </w:r>
      <w:r w:rsidR="000C035C" w:rsidRPr="00B10382">
        <w:t>,</w:t>
      </w:r>
      <w:r w:rsidR="00C605B6" w:rsidRPr="00B10382">
        <w:t xml:space="preserve"> </w:t>
      </w:r>
      <w:r w:rsidR="00321476" w:rsidRPr="00B10382">
        <w:t xml:space="preserve">have reasonably addressed </w:t>
      </w:r>
      <w:r w:rsidR="00C605B6" w:rsidRPr="00B10382">
        <w:t>uncertainties associated with</w:t>
      </w:r>
      <w:r w:rsidR="00321476" w:rsidRPr="00B10382">
        <w:t xml:space="preserve"> </w:t>
      </w:r>
      <w:r w:rsidR="008B3948" w:rsidRPr="00B10382">
        <w:t>the model</w:t>
      </w:r>
      <w:r w:rsidR="00321476" w:rsidRPr="00B10382">
        <w:t xml:space="preserve"> including potential variability of</w:t>
      </w:r>
      <w:r w:rsidR="00C605B6" w:rsidRPr="00B10382">
        <w:t xml:space="preserve"> hydraulic conductivity. These analyses</w:t>
      </w:r>
      <w:r w:rsidR="005C300C" w:rsidRPr="00B10382">
        <w:t xml:space="preserve"> </w:t>
      </w:r>
      <w:r w:rsidR="00C605B6" w:rsidRPr="00B10382">
        <w:t xml:space="preserve">improve confidence </w:t>
      </w:r>
      <w:r w:rsidR="00321476" w:rsidRPr="00B10382">
        <w:t xml:space="preserve">that </w:t>
      </w:r>
      <w:r w:rsidR="00C605B6" w:rsidRPr="00B10382">
        <w:t>impact</w:t>
      </w:r>
      <w:r w:rsidR="00321476" w:rsidRPr="00B10382">
        <w:t>s</w:t>
      </w:r>
      <w:r w:rsidR="00C605B6" w:rsidRPr="00B10382">
        <w:t xml:space="preserve"> </w:t>
      </w:r>
      <w:r w:rsidR="007654F3" w:rsidRPr="00B10382">
        <w:t>to the Gunnedah Formation, Narrabri Formation and Permian ‘hard rock’ aquifers</w:t>
      </w:r>
      <w:r w:rsidR="00321476" w:rsidRPr="00B10382">
        <w:t xml:space="preserve"> are not likely to exceed those predicted </w:t>
      </w:r>
      <w:r w:rsidR="0049775F" w:rsidRPr="00B10382">
        <w:t>in the sensitivity and uncertainty analyses in the</w:t>
      </w:r>
      <w:r w:rsidR="00321476" w:rsidRPr="00B10382">
        <w:t xml:space="preserve"> EIS</w:t>
      </w:r>
      <w:r w:rsidR="00C605B6" w:rsidRPr="00B10382">
        <w:t xml:space="preserve">. </w:t>
      </w:r>
    </w:p>
    <w:p w:rsidR="00001745" w:rsidRPr="00B10382" w:rsidRDefault="00456EBB" w:rsidP="00383963">
      <w:pPr>
        <w:pStyle w:val="ListNumber"/>
      </w:pPr>
      <w:r w:rsidRPr="00B10382">
        <w:t xml:space="preserve">Yes. </w:t>
      </w:r>
      <w:r w:rsidR="00C605B6" w:rsidRPr="00B10382">
        <w:t xml:space="preserve">The proponent’s documentation is considered to be sufficiently robust and confidence levels surrounding the current numerical groundwater modelling are considered to be sufficient to draw conclusions surrounding the most likely range of groundwater drawdown impacts </w:t>
      </w:r>
      <w:r w:rsidR="007654F3" w:rsidRPr="00B10382">
        <w:t xml:space="preserve">to </w:t>
      </w:r>
      <w:r w:rsidR="00E75091" w:rsidRPr="00B10382">
        <w:t>the Gunnedah Formation, Narrabri Formation and Permian ‘hard rock’ aquifers</w:t>
      </w:r>
      <w:r w:rsidR="00C605B6" w:rsidRPr="00B10382">
        <w:t>.</w:t>
      </w:r>
      <w:r w:rsidR="00001745" w:rsidRPr="00B10382">
        <w:t xml:space="preserve"> There remains an unassessed risk to GDEs, which include EPBC-listed ecological communities (such as White Box-Yellow Box-Blakely’s Red Gum Grassy Woodland and Derived Native </w:t>
      </w:r>
      <w:proofErr w:type="gramStart"/>
      <w:r w:rsidR="00001745" w:rsidRPr="00B10382">
        <w:t>Grassland)</w:t>
      </w:r>
      <w:proofErr w:type="gramEnd"/>
      <w:r w:rsidR="00001745" w:rsidRPr="00B10382">
        <w:t xml:space="preserve"> within the groundwater drawdown extent. Potential impacts to GDEs have been ruled out by the proponent as the GDEs considered were deemed not wholly dependent on groundwater. However, by definition (Richardson et al., 2011), GDEs include ecosystems that opportunistically use groundwater and potential impacts should be considered for all GDEs. Additionally</w:t>
      </w:r>
      <w:r w:rsidR="00D2397B" w:rsidRPr="00B10382">
        <w:t>,</w:t>
      </w:r>
      <w:r w:rsidR="00001745" w:rsidRPr="00B10382">
        <w:t xml:space="preserve"> potential impacts to water dependent ecosystems beyond the proposed project area remain uncertain due to insufficient survey effort.</w:t>
      </w:r>
    </w:p>
    <w:p w:rsidR="00C605B6" w:rsidRPr="00B10382" w:rsidRDefault="00C605B6" w:rsidP="00C605B6">
      <w:pPr>
        <w:pStyle w:val="Question"/>
      </w:pPr>
      <w:r w:rsidRPr="00B10382">
        <w:t>Question 5: Are the revised groundwater models and the relevant data, assumptions and analyses valid and adequate to assess the potential impacts to groundwater?</w:t>
      </w:r>
    </w:p>
    <w:p w:rsidR="00C605B6" w:rsidRPr="00B10382" w:rsidRDefault="00C605B6" w:rsidP="00C605B6">
      <w:pPr>
        <w:pStyle w:val="Heading4"/>
      </w:pPr>
      <w:r w:rsidRPr="00B10382">
        <w:t>Response</w:t>
      </w:r>
    </w:p>
    <w:p w:rsidR="00C605B6" w:rsidRPr="00B10382" w:rsidRDefault="00C605B6" w:rsidP="00383963">
      <w:pPr>
        <w:pStyle w:val="ListNumber"/>
      </w:pPr>
      <w:r w:rsidRPr="00B10382">
        <w:t xml:space="preserve">Yes. The revised groundwater models, relevant data, assumptions and analysis are considered to be adequate to assess the potential hydrological impacts to groundwater. The proponent’s groundwater conceptualisation and model parameterisation are considered to be reasonable based on the available field data, sensitivity and uncertainty analysis in the EIS, information provided in response to a review by UNSW (DPE, 2014, App C) and consistency with additional modelling scenarios proposed by Dr Col Mackie (Hansen Bailey, 2014, App A). </w:t>
      </w:r>
      <w:r w:rsidR="00383963" w:rsidRPr="00B10382">
        <w:t>Should the project progress</w:t>
      </w:r>
      <w:r w:rsidR="001901D8" w:rsidRPr="00B10382">
        <w:t xml:space="preserve">, additional monitoring and finer-scale groundwater modelling </w:t>
      </w:r>
      <w:r w:rsidR="00383963" w:rsidRPr="00B10382">
        <w:t>would</w:t>
      </w:r>
      <w:r w:rsidR="001901D8" w:rsidRPr="00B10382">
        <w:t xml:space="preserve"> improve confidence in predictions and support clear identification and response to mine-induced impacts at a local scale. Calibration and validation of the finer-scale models would only be feasible with observations of the actual responses of the local groundwater system to the proposed project.</w:t>
      </w:r>
    </w:p>
    <w:p w:rsidR="00C605B6" w:rsidRPr="00B10382" w:rsidRDefault="00C605B6" w:rsidP="00C605B6">
      <w:pPr>
        <w:pStyle w:val="Question"/>
      </w:pPr>
      <w:r w:rsidRPr="00B10382">
        <w:t>Question 6: Are there additional measures and commitments required to monitor, mitigate and manage impacts resulting from changes to surface or groundwater resources?</w:t>
      </w:r>
    </w:p>
    <w:p w:rsidR="00C605B6" w:rsidRPr="00B10382" w:rsidRDefault="00C605B6" w:rsidP="00C605B6">
      <w:pPr>
        <w:pStyle w:val="Heading4"/>
      </w:pPr>
      <w:r w:rsidRPr="00B10382">
        <w:t>Response</w:t>
      </w:r>
    </w:p>
    <w:p w:rsidR="00C605B6" w:rsidRPr="00B10382" w:rsidRDefault="00C605B6" w:rsidP="00383963">
      <w:pPr>
        <w:pStyle w:val="ListNumber"/>
      </w:pPr>
      <w:r w:rsidRPr="00B10382">
        <w:t>Yes</w:t>
      </w:r>
      <w:r w:rsidR="00BA4E66" w:rsidRPr="00B10382">
        <w:t xml:space="preserve">, the IESC </w:t>
      </w:r>
      <w:r w:rsidR="00352B43" w:rsidRPr="00B10382">
        <w:t>has identified a</w:t>
      </w:r>
      <w:r w:rsidRPr="00B10382">
        <w:t xml:space="preserve">dditional measures </w:t>
      </w:r>
      <w:r w:rsidR="00352B43" w:rsidRPr="00B10382">
        <w:t xml:space="preserve">that </w:t>
      </w:r>
      <w:r w:rsidRPr="00B10382">
        <w:t>should be implemented to monitor, mitigate and manage the potential impacts to water resources and water-related assets.</w:t>
      </w:r>
    </w:p>
    <w:p w:rsidR="007654F3" w:rsidRPr="00B10382" w:rsidRDefault="00C605B6" w:rsidP="00383963">
      <w:pPr>
        <w:pStyle w:val="ListNumber"/>
      </w:pPr>
      <w:r w:rsidRPr="00B10382">
        <w:t>The spatial and temporal coverage of the surface water, groundwater and ecological monitoring programmes should be expanded to ensure monitoring is sufficient to:</w:t>
      </w:r>
    </w:p>
    <w:p w:rsidR="00C605B6" w:rsidRPr="00B10382" w:rsidRDefault="00D2397B" w:rsidP="00C605B6">
      <w:pPr>
        <w:pStyle w:val="ListNumber2"/>
      </w:pPr>
      <w:r w:rsidRPr="00B10382">
        <w:t>E</w:t>
      </w:r>
      <w:r w:rsidR="00C605B6" w:rsidRPr="00B10382">
        <w:t>nable derivation of appropriate trigger values for water quality and ecological</w:t>
      </w:r>
      <w:r w:rsidRPr="00B10382">
        <w:t xml:space="preserve"> values for each water resource.</w:t>
      </w:r>
    </w:p>
    <w:p w:rsidR="00C605B6" w:rsidRPr="00B10382" w:rsidRDefault="00D2397B" w:rsidP="00C605B6">
      <w:pPr>
        <w:pStyle w:val="ListNumber2"/>
      </w:pPr>
      <w:r w:rsidRPr="00B10382">
        <w:t>E</w:t>
      </w:r>
      <w:r w:rsidR="00977DCC" w:rsidRPr="00B10382">
        <w:t>nsure</w:t>
      </w:r>
      <w:r w:rsidR="00C605B6" w:rsidRPr="00B10382">
        <w:t xml:space="preserve"> early warnings of impacts exceeding predictions, in time to implement </w:t>
      </w:r>
      <w:r w:rsidR="00F016D1" w:rsidRPr="00B10382">
        <w:t xml:space="preserve">corrective action and </w:t>
      </w:r>
      <w:r w:rsidRPr="00B10382">
        <w:t>management strategies.</w:t>
      </w:r>
    </w:p>
    <w:p w:rsidR="00C605B6" w:rsidRPr="00B10382" w:rsidRDefault="00D2397B" w:rsidP="00C605B6">
      <w:pPr>
        <w:pStyle w:val="ListNumber2"/>
      </w:pPr>
      <w:r w:rsidRPr="00B10382">
        <w:t>D</w:t>
      </w:r>
      <w:r w:rsidR="00C605B6" w:rsidRPr="00B10382">
        <w:t xml:space="preserve">etermine </w:t>
      </w:r>
      <w:proofErr w:type="spellStart"/>
      <w:r w:rsidR="00C605B6" w:rsidRPr="00B10382">
        <w:t>exceed</w:t>
      </w:r>
      <w:r w:rsidR="00AD6A7E" w:rsidRPr="00B10382">
        <w:t>a</w:t>
      </w:r>
      <w:r w:rsidR="00C605B6" w:rsidRPr="00B10382">
        <w:t>nce</w:t>
      </w:r>
      <w:proofErr w:type="spellEnd"/>
      <w:r w:rsidR="00C605B6" w:rsidRPr="00B10382">
        <w:t xml:space="preserve"> of triggers in a quantifiable robust manner, and </w:t>
      </w:r>
      <w:r w:rsidR="006B4CF0" w:rsidRPr="00B10382">
        <w:t>to</w:t>
      </w:r>
      <w:r w:rsidR="00C605B6" w:rsidRPr="00B10382">
        <w:t xml:space="preserve"> be capable of determining the contribution of the proposed project to any observed impacts, as distinct from those caused by other users and c</w:t>
      </w:r>
      <w:r w:rsidRPr="00B10382">
        <w:t>limatic conditions.</w:t>
      </w:r>
    </w:p>
    <w:p w:rsidR="00C605B6" w:rsidRPr="00B10382" w:rsidRDefault="00D2397B" w:rsidP="00C605B6">
      <w:pPr>
        <w:pStyle w:val="ListNumber2"/>
      </w:pPr>
      <w:r w:rsidRPr="00B10382">
        <w:t>O</w:t>
      </w:r>
      <w:r w:rsidR="00C605B6" w:rsidRPr="00B10382">
        <w:t>btain the additional data needed to reduce uncertainties in the numerical groundwater model predictions</w:t>
      </w:r>
      <w:r w:rsidRPr="00B10382">
        <w:t>.</w:t>
      </w:r>
    </w:p>
    <w:p w:rsidR="00C605B6" w:rsidRPr="00B10382" w:rsidRDefault="00D2397B" w:rsidP="00C605B6">
      <w:pPr>
        <w:pStyle w:val="ListNumber2"/>
      </w:pPr>
      <w:r w:rsidRPr="00B10382">
        <w:t>D</w:t>
      </w:r>
      <w:r w:rsidR="00C605B6" w:rsidRPr="00B10382">
        <w:t xml:space="preserve">etect post-mining impacts. </w:t>
      </w:r>
    </w:p>
    <w:p w:rsidR="00C605B6" w:rsidRPr="00B10382" w:rsidRDefault="00C605B6" w:rsidP="00383963">
      <w:pPr>
        <w:pStyle w:val="ListNumber"/>
      </w:pPr>
      <w:r w:rsidRPr="00B10382">
        <w:t>IESC 2015-066 makes specific suggestions for expanding the proposed surface water and groundwater monitoring spatial coverage (</w:t>
      </w:r>
      <w:r w:rsidR="00A92D30" w:rsidRPr="00B10382">
        <w:t xml:space="preserve">see </w:t>
      </w:r>
      <w:r w:rsidRPr="00B10382">
        <w:t xml:space="preserve">paragraphs </w:t>
      </w:r>
      <w:fldSimple w:instr=" REF _Ref416967081 \r \h  \* MERGEFORMAT ">
        <w:r w:rsidR="007F7D51">
          <w:t>26</w:t>
        </w:r>
      </w:fldSimple>
      <w:r w:rsidRPr="00B10382">
        <w:t>-</w:t>
      </w:r>
      <w:fldSimple w:instr=" REF _Ref416967962 \r \h  \* MERGEFORMAT ">
        <w:r w:rsidR="007F7D51">
          <w:t>33</w:t>
        </w:r>
      </w:fldSimple>
      <w:r w:rsidRPr="00B10382">
        <w:t xml:space="preserve">). An ecological monitoring programme should be informed by surveys of water-dependent and salt-sensitive biota within and downstream of the project area. </w:t>
      </w:r>
    </w:p>
    <w:p w:rsidR="007654F3" w:rsidRPr="00B10382" w:rsidRDefault="00C605B6" w:rsidP="00383963">
      <w:pPr>
        <w:pStyle w:val="ListNumber"/>
      </w:pPr>
      <w:r w:rsidRPr="00B10382">
        <w:t>If triggers and limits are exceeded, management responses for surface water and groundwater should be clearly stated within an enforceable adaptive management framework and may include</w:t>
      </w:r>
      <w:r w:rsidR="00001745" w:rsidRPr="00B10382">
        <w:t>,</w:t>
      </w:r>
      <w:r w:rsidRPr="00B10382">
        <w:t xml:space="preserve"> but should not be limited to, the elements listed below.</w:t>
      </w:r>
    </w:p>
    <w:p w:rsidR="00C605B6" w:rsidRPr="00B10382" w:rsidRDefault="00C605B6" w:rsidP="00C605B6">
      <w:pPr>
        <w:pStyle w:val="ListNumber2"/>
      </w:pPr>
      <w:proofErr w:type="spellStart"/>
      <w:r w:rsidRPr="00B10382">
        <w:t>Ecotoxicity</w:t>
      </w:r>
      <w:proofErr w:type="spellEnd"/>
      <w:r w:rsidRPr="00B10382">
        <w:t xml:space="preserve"> testing of discharges and surface waters to assess bioavailability of contaminants in these mixtures.</w:t>
      </w:r>
    </w:p>
    <w:p w:rsidR="00C605B6" w:rsidRPr="00B10382" w:rsidRDefault="00C605B6" w:rsidP="00C605B6">
      <w:pPr>
        <w:pStyle w:val="ListNumber2"/>
      </w:pPr>
      <w:r w:rsidRPr="00B10382">
        <w:t xml:space="preserve">Water allocation and engineering management options including: water treatment; dam sizing; increasing the capacity of the water management system; and redesign, capping and revegetation of overburden. </w:t>
      </w:r>
      <w:r w:rsidR="005013A5" w:rsidRPr="00B10382">
        <w:t>The proponent suggests cut off measures and reinjection of water into depressurised aquifers to mitigate groundwater drawdown. A stronger rationale is needed for reinjection with consideration given to: the goals of the option; the likely sources of water for reinjection; the suitability of the water with regards to matching water quality at the injection site; the potential impacts to both the injection site and the source site; and evaluation of the reinjection against alternative management options such as purchasing additional groundwater licences or altering the mine plan.</w:t>
      </w:r>
    </w:p>
    <w:p w:rsidR="00C605B6" w:rsidRPr="00B10382" w:rsidRDefault="00C605B6" w:rsidP="00C605B6">
      <w:pPr>
        <w:pStyle w:val="ListNumber2"/>
      </w:pPr>
      <w:r w:rsidRPr="00B10382">
        <w:t>Mine plan management options including limiting depth and lateral extents of mining to reduce effects of depressurisation.</w:t>
      </w:r>
    </w:p>
    <w:p w:rsidR="00C605B6" w:rsidRPr="00B10382" w:rsidRDefault="00C605B6" w:rsidP="00C605B6">
      <w:pPr>
        <w:pStyle w:val="ListNumber2"/>
      </w:pPr>
      <w:r w:rsidRPr="00B10382">
        <w:t>Regular ongoing assessment, validation, recalibration and peer review of models to reduce uncertainties in model predictions and to enable initiation and/or variation of proposed management processes.</w:t>
      </w:r>
    </w:p>
    <w:p w:rsidR="00C605B6" w:rsidRPr="00B10382" w:rsidRDefault="00C605B6" w:rsidP="00C605B6">
      <w:pPr>
        <w:pStyle w:val="ListNumber2"/>
      </w:pPr>
      <w:r w:rsidRPr="00B10382">
        <w:t>Regulatory options where groundwater drawdown limits are exceeded and reassessment of suitability of approval limits and triggers.</w:t>
      </w:r>
    </w:p>
    <w:p w:rsidR="00C605B6" w:rsidRPr="00B10382" w:rsidRDefault="00C605B6" w:rsidP="00C605B6">
      <w:pPr>
        <w:pStyle w:val="Question"/>
      </w:pPr>
      <w:r w:rsidRPr="00B10382">
        <w:t>Question 6(a): Has the proponent adequately addressed the salinity risks associated with the project at a local and regional scale?</w:t>
      </w:r>
    </w:p>
    <w:p w:rsidR="00C605B6" w:rsidRPr="00B10382" w:rsidRDefault="00C605B6" w:rsidP="00C605B6">
      <w:pPr>
        <w:pStyle w:val="Heading4"/>
      </w:pPr>
      <w:r w:rsidRPr="00B10382">
        <w:t>Response</w:t>
      </w:r>
    </w:p>
    <w:p w:rsidR="00C605B6" w:rsidRPr="00B10382" w:rsidRDefault="006B4CF0" w:rsidP="00383963">
      <w:pPr>
        <w:pStyle w:val="ListNumber"/>
      </w:pPr>
      <w:r w:rsidRPr="00B10382">
        <w:t>Yes at the regional scale but not at</w:t>
      </w:r>
      <w:r w:rsidR="00C605B6" w:rsidRPr="00B10382">
        <w:t xml:space="preserve"> the local</w:t>
      </w:r>
      <w:r w:rsidR="006D3DA5" w:rsidRPr="00B10382">
        <w:t xml:space="preserve"> </w:t>
      </w:r>
      <w:r w:rsidR="00C605B6" w:rsidRPr="00B10382">
        <w:t>scale</w:t>
      </w:r>
      <w:r w:rsidRPr="00B10382">
        <w:t xml:space="preserve">. </w:t>
      </w:r>
      <w:r w:rsidR="00C605B6" w:rsidRPr="00B10382">
        <w:t xml:space="preserve">The current lack of adequate surveys identifying water-dependent and salt-sensitive biota prevents an assessment of the risk of sediment dam saline discharges and long-term seepages at the local scale. Salt-sensitive biota within and downstream of the proposed project area should be identified, assessed for potential impacts and monitored. </w:t>
      </w:r>
    </w:p>
    <w:p w:rsidR="007654F3" w:rsidRPr="00B10382" w:rsidRDefault="00BB4E90" w:rsidP="00383963">
      <w:pPr>
        <w:pStyle w:val="ListNumber"/>
      </w:pPr>
      <w:r w:rsidRPr="00B10382">
        <w:t xml:space="preserve">The predicted salt loads from the proposed project </w:t>
      </w:r>
      <w:r w:rsidR="00C605B6" w:rsidRPr="00B10382">
        <w:t xml:space="preserve">are likely to </w:t>
      </w:r>
      <w:r w:rsidRPr="00B10382">
        <w:t xml:space="preserve">have a </w:t>
      </w:r>
      <w:r w:rsidR="00C605B6" w:rsidRPr="00B10382">
        <w:t>negligible</w:t>
      </w:r>
      <w:r w:rsidRPr="00B10382">
        <w:t xml:space="preserve"> impact on salinity</w:t>
      </w:r>
      <w:r w:rsidR="00C605B6" w:rsidRPr="00B10382">
        <w:t xml:space="preserve"> at a regional scale</w:t>
      </w:r>
      <w:r w:rsidR="008D2551" w:rsidRPr="00B10382">
        <w:t>.</w:t>
      </w:r>
      <w:r w:rsidR="00C605B6" w:rsidRPr="00B10382">
        <w:t xml:space="preserve"> As such the regional</w:t>
      </w:r>
      <w:r w:rsidR="00E50502" w:rsidRPr="00B10382">
        <w:t>-</w:t>
      </w:r>
      <w:r w:rsidR="00C605B6" w:rsidRPr="00B10382">
        <w:t>scale salinity risk is considered to have been adequately addressed.</w:t>
      </w:r>
    </w:p>
    <w:p w:rsidR="00F62124" w:rsidRPr="00B10382" w:rsidRDefault="00C605B6" w:rsidP="00EF3C2F">
      <w:pPr>
        <w:pStyle w:val="Question"/>
        <w:keepNext/>
      </w:pPr>
      <w:r w:rsidRPr="00B10382">
        <w:t>Question 6(b): Are there additional measures and commitments required to monitor, mitigate and manage impacts resulting from salinity impacts?</w:t>
      </w:r>
    </w:p>
    <w:p w:rsidR="00F62124" w:rsidRPr="00B10382" w:rsidRDefault="00C605B6">
      <w:pPr>
        <w:pStyle w:val="Heading4"/>
        <w:keepNext/>
      </w:pPr>
      <w:r w:rsidRPr="00B10382">
        <w:t>Response</w:t>
      </w:r>
    </w:p>
    <w:p w:rsidR="00F62124" w:rsidRPr="00B10382" w:rsidRDefault="00C605B6" w:rsidP="00383963">
      <w:pPr>
        <w:pStyle w:val="ListNumber"/>
      </w:pPr>
      <w:bookmarkStart w:id="19" w:name="_Ref417042461"/>
      <w:r w:rsidRPr="00B10382">
        <w:t>Yes</w:t>
      </w:r>
      <w:r w:rsidR="00352B43" w:rsidRPr="00B10382">
        <w:t>,</w:t>
      </w:r>
      <w:r w:rsidR="00456EBB" w:rsidRPr="00B10382">
        <w:t xml:space="preserve"> </w:t>
      </w:r>
      <w:r w:rsidR="00352B43" w:rsidRPr="00B10382">
        <w:t xml:space="preserve">the IESC has identified additional measures that should be implemented </w:t>
      </w:r>
      <w:r w:rsidRPr="00B10382">
        <w:t>to manage the potential impacts from salinity at the local scale. Additions to the monitoring programme should include</w:t>
      </w:r>
      <w:r w:rsidR="007D3134" w:rsidRPr="00B10382">
        <w:t xml:space="preserve"> the elements listed below.</w:t>
      </w:r>
      <w:bookmarkEnd w:id="19"/>
    </w:p>
    <w:p w:rsidR="00C605B6" w:rsidRPr="00B10382" w:rsidRDefault="00C605B6" w:rsidP="00C605B6">
      <w:pPr>
        <w:pStyle w:val="ListNumber2"/>
      </w:pPr>
      <w:r w:rsidRPr="00B10382">
        <w:t>Identification, establishment of trigger values and monitoring of salt</w:t>
      </w:r>
      <w:r w:rsidR="00347AEB" w:rsidRPr="00B10382">
        <w:t>-</w:t>
      </w:r>
      <w:r w:rsidRPr="00B10382">
        <w:t xml:space="preserve">sensitive biota within and downstream of the proposed project area. </w:t>
      </w:r>
    </w:p>
    <w:p w:rsidR="00C605B6" w:rsidRPr="00B10382" w:rsidRDefault="00C605B6" w:rsidP="00C605B6">
      <w:pPr>
        <w:pStyle w:val="ListNumber2"/>
      </w:pPr>
      <w:r w:rsidRPr="00B10382">
        <w:t xml:space="preserve">Event-based water quality monitoring and continuous monitoring of flow and electrical conductivity (EC) in Native Dog Gully to provide context for water quality measurements, establish the flow regime, and monitor changes to the regime as a result of the proposed project. </w:t>
      </w:r>
    </w:p>
    <w:p w:rsidR="00C605B6" w:rsidRPr="00B10382" w:rsidRDefault="00C605B6" w:rsidP="00C605B6">
      <w:pPr>
        <w:pStyle w:val="ListNumber2"/>
      </w:pPr>
      <w:r w:rsidRPr="00B10382">
        <w:t xml:space="preserve">Monitoring of water flow and quality (including continuous monitoring of EC) in Watermark Gully downstream of the </w:t>
      </w:r>
      <w:r w:rsidR="005C300C" w:rsidRPr="00B10382">
        <w:t>e</w:t>
      </w:r>
      <w:r w:rsidRPr="00B10382">
        <w:t xml:space="preserve">astern </w:t>
      </w:r>
      <w:r w:rsidR="005C300C" w:rsidRPr="00B10382">
        <w:t>p</w:t>
      </w:r>
      <w:r w:rsidRPr="00B10382">
        <w:t xml:space="preserve">it to detect any impacts from runoff from the overburden emplacement area. </w:t>
      </w:r>
    </w:p>
    <w:p w:rsidR="00C605B6" w:rsidRPr="00B10382" w:rsidRDefault="00C605B6" w:rsidP="00383963">
      <w:pPr>
        <w:pStyle w:val="ListNumber"/>
      </w:pPr>
      <w:r w:rsidRPr="00B10382">
        <w:t xml:space="preserve">The surface water management plan should detail the mitigation and management measures that will be employed if salt loads exceed the </w:t>
      </w:r>
      <w:r w:rsidR="002D1A22" w:rsidRPr="00B10382">
        <w:t>site-specific</w:t>
      </w:r>
      <w:r w:rsidRPr="00B10382">
        <w:t xml:space="preserve"> trigger values in Watermark Gully, Native Dog Gully or the </w:t>
      </w:r>
      <w:proofErr w:type="spellStart"/>
      <w:r w:rsidRPr="00B10382">
        <w:t>Mooki</w:t>
      </w:r>
      <w:proofErr w:type="spellEnd"/>
      <w:r w:rsidRPr="00B10382">
        <w:t xml:space="preserve"> River. </w:t>
      </w:r>
    </w:p>
    <w:p w:rsidR="007654F3" w:rsidRPr="00B10382" w:rsidRDefault="00C605B6" w:rsidP="00383963">
      <w:pPr>
        <w:pStyle w:val="ListNumber"/>
      </w:pPr>
      <w:bookmarkStart w:id="20" w:name="_Ref417042465"/>
      <w:r w:rsidRPr="00B10382">
        <w:t>Management responses may include, but should not be limited to: water treatment; dam sizing; increasing the capacity of the water management system; and redesign, capping and revegetation of overburden.</w:t>
      </w:r>
      <w:bookmarkEnd w:id="20"/>
    </w:p>
    <w:p w:rsidR="00C605B6" w:rsidRPr="00B10382" w:rsidRDefault="00C605B6" w:rsidP="00C605B6">
      <w:pPr>
        <w:pStyle w:val="Question"/>
      </w:pPr>
      <w:r w:rsidRPr="00B10382">
        <w:t>Question 7: Are there any significant gaps in the scientific data presented that should be obtained to increase the confidence levels around the predicted impacts? If so, what data should be obtained?</w:t>
      </w:r>
    </w:p>
    <w:p w:rsidR="00C605B6" w:rsidRPr="00B10382" w:rsidRDefault="00C605B6" w:rsidP="00C605B6">
      <w:pPr>
        <w:pStyle w:val="Heading4"/>
      </w:pPr>
      <w:r w:rsidRPr="00B10382">
        <w:t>Response</w:t>
      </w:r>
    </w:p>
    <w:p w:rsidR="00C605B6" w:rsidRPr="00B10382" w:rsidRDefault="00C605B6" w:rsidP="00383963">
      <w:pPr>
        <w:pStyle w:val="ListNumber"/>
      </w:pPr>
      <w:r w:rsidRPr="00B10382">
        <w:t xml:space="preserve">In relation to numerical groundwater modelling predictions, the scientific data is considered to be sufficiently robust to draw conclusions as to the most likely impacts on the Upper Namoi Alluvium, particularly the Gunnedah Formation, at a regional scale. </w:t>
      </w:r>
      <w:r w:rsidR="00383963" w:rsidRPr="00B10382">
        <w:t>Should the project progress</w:t>
      </w:r>
      <w:r w:rsidRPr="00B10382">
        <w:t xml:space="preserve">, </w:t>
      </w:r>
      <w:r w:rsidR="001901D8" w:rsidRPr="00B10382">
        <w:t xml:space="preserve">additional monitoring and </w:t>
      </w:r>
      <w:r w:rsidR="002D1A22" w:rsidRPr="00B10382">
        <w:t>finer-scale</w:t>
      </w:r>
      <w:r w:rsidRPr="00B10382">
        <w:t xml:space="preserve"> groundwater modelling </w:t>
      </w:r>
      <w:r w:rsidR="00710517" w:rsidRPr="00B10382">
        <w:t>would</w:t>
      </w:r>
      <w:r w:rsidRPr="00B10382">
        <w:t xml:space="preserve"> improve confidence in predictions and support clear identification and response to mine-induced impacts at a local scale. </w:t>
      </w:r>
      <w:r w:rsidR="009633FA" w:rsidRPr="00B10382">
        <w:t xml:space="preserve">Calibration and validation of finer-scale models </w:t>
      </w:r>
      <w:r w:rsidR="006B4CF0" w:rsidRPr="00B10382">
        <w:t>would</w:t>
      </w:r>
      <w:r w:rsidRPr="00B10382">
        <w:t xml:space="preserve"> only </w:t>
      </w:r>
      <w:r w:rsidR="006B4CF0" w:rsidRPr="00B10382">
        <w:t xml:space="preserve">be </w:t>
      </w:r>
      <w:r w:rsidRPr="00B10382">
        <w:t>feasible</w:t>
      </w:r>
      <w:r w:rsidR="00BB0BB7" w:rsidRPr="00B10382">
        <w:t xml:space="preserve"> with</w:t>
      </w:r>
      <w:r w:rsidRPr="00B10382">
        <w:t xml:space="preserve"> observ</w:t>
      </w:r>
      <w:r w:rsidR="006B4CF0" w:rsidRPr="00B10382">
        <w:t>ations of</w:t>
      </w:r>
      <w:r w:rsidRPr="00B10382">
        <w:t xml:space="preserve"> the actual responses of the local groundwater system to the </w:t>
      </w:r>
      <w:r w:rsidR="005A4275" w:rsidRPr="00B10382">
        <w:t>proposed project</w:t>
      </w:r>
      <w:r w:rsidRPr="00B10382">
        <w:t>.</w:t>
      </w:r>
    </w:p>
    <w:p w:rsidR="007654F3" w:rsidRPr="00B10382" w:rsidRDefault="00C605B6" w:rsidP="00383963">
      <w:pPr>
        <w:pStyle w:val="ListNumber"/>
      </w:pPr>
      <w:r w:rsidRPr="00B10382">
        <w:t>A staged approach to further monitoring would be appropriate to be undertaken in line with the proposed mine plan</w:t>
      </w:r>
      <w:r w:rsidR="000C035C" w:rsidRPr="00B10382">
        <w:t>, particularly in the Permian strata and weathered zone in the area between the mine pit</w:t>
      </w:r>
      <w:r w:rsidR="00EB77BD" w:rsidRPr="00B10382">
        <w:t>s (in particular the eastern and southern pits)</w:t>
      </w:r>
      <w:r w:rsidR="000C035C" w:rsidRPr="00B10382">
        <w:t xml:space="preserve"> and Upper Namoi Alluvium</w:t>
      </w:r>
      <w:r w:rsidRPr="00B10382">
        <w:t xml:space="preserve">. This monitoring </w:t>
      </w:r>
      <w:r w:rsidR="000C035C" w:rsidRPr="00B10382">
        <w:t>should</w:t>
      </w:r>
      <w:r w:rsidRPr="00B10382">
        <w:t xml:space="preserve"> be undertaken in conjunction with development of finer-scale groundwater models focussing on each pit, with more detailed definition of strata, seasonal variation and boundary conditions. Improved understanding of the </w:t>
      </w:r>
      <w:proofErr w:type="spellStart"/>
      <w:r w:rsidRPr="00B10382">
        <w:t>hydrogeological</w:t>
      </w:r>
      <w:proofErr w:type="spellEnd"/>
      <w:r w:rsidRPr="00B10382">
        <w:t xml:space="preserve"> system gained during operations in one pit should be used to assess potential impacts associated with the next</w:t>
      </w:r>
      <w:r w:rsidR="000C035C" w:rsidRPr="00B10382">
        <w:t xml:space="preserve"> pit</w:t>
      </w:r>
      <w:r w:rsidRPr="00B10382">
        <w:t xml:space="preserve">. The knowledge gained during operations should be used to inform the assessment of potential impacts from the final landform, including the proposed void and potential seepages and determination of mitigation or management strategies. </w:t>
      </w:r>
    </w:p>
    <w:p w:rsidR="007654F3" w:rsidRPr="00B10382" w:rsidRDefault="00C605B6" w:rsidP="00383963">
      <w:pPr>
        <w:pStyle w:val="ListNumber"/>
      </w:pPr>
      <w:r w:rsidRPr="00B10382">
        <w:t>Additional information on the following matters would improve confidence levels around the potential impacts to water resources. The IESC considers that these information needs could be met by targeted additional data collection and improvements to the monitoring and management programme before and during operations.</w:t>
      </w:r>
    </w:p>
    <w:p w:rsidR="00C605B6" w:rsidRPr="00B10382" w:rsidRDefault="00C605B6" w:rsidP="00C605B6">
      <w:pPr>
        <w:pStyle w:val="ListNumber2"/>
      </w:pPr>
      <w:r w:rsidRPr="00B10382">
        <w:t>Identification of GDEs beyond the proposed project boundary and an assessment of their current condition, any potential impacts from the proposed project, and any cumulative impacts.</w:t>
      </w:r>
    </w:p>
    <w:p w:rsidR="00C605B6" w:rsidRPr="00B10382" w:rsidRDefault="00C605B6" w:rsidP="00C605B6">
      <w:pPr>
        <w:pStyle w:val="ListNumber2"/>
      </w:pPr>
      <w:r w:rsidRPr="00B10382">
        <w:t xml:space="preserve">An assessment of the potential ecological impact of the project on the </w:t>
      </w:r>
      <w:proofErr w:type="spellStart"/>
      <w:r w:rsidRPr="00B10382">
        <w:t>instream</w:t>
      </w:r>
      <w:proofErr w:type="spellEnd"/>
      <w:r w:rsidRPr="00B10382">
        <w:t xml:space="preserve"> community in the </w:t>
      </w:r>
      <w:proofErr w:type="spellStart"/>
      <w:r w:rsidRPr="00B10382">
        <w:t>Mooki</w:t>
      </w:r>
      <w:proofErr w:type="spellEnd"/>
      <w:r w:rsidRPr="00B10382">
        <w:t xml:space="preserve"> River. The combined impacts of loss of </w:t>
      </w:r>
      <w:proofErr w:type="spellStart"/>
      <w:r w:rsidRPr="00B10382">
        <w:t>streamflow</w:t>
      </w:r>
      <w:proofErr w:type="spellEnd"/>
      <w:r w:rsidRPr="00B10382">
        <w:t xml:space="preserve"> as well as changes to water quality, particularly salt loads and dissolved metals during ‘first flush’ events on Native Dog Gully and the </w:t>
      </w:r>
      <w:proofErr w:type="spellStart"/>
      <w:r w:rsidRPr="00B10382">
        <w:t>Mooki</w:t>
      </w:r>
      <w:proofErr w:type="spellEnd"/>
      <w:r w:rsidRPr="00B10382">
        <w:t xml:space="preserve"> River should be further considered.</w:t>
      </w:r>
    </w:p>
    <w:p w:rsidR="00C605B6" w:rsidRPr="00B10382" w:rsidRDefault="00C605B6" w:rsidP="00C605B6">
      <w:pPr>
        <w:pStyle w:val="ListNumber2"/>
      </w:pPr>
      <w:r w:rsidRPr="00B10382">
        <w:t>A thorough assessment of the risk to water resources and water-related assets from runoff from</w:t>
      </w:r>
      <w:r w:rsidR="00001745" w:rsidRPr="00B10382">
        <w:t xml:space="preserve"> overburden emplacement areas. This assessment should be informed by the m</w:t>
      </w:r>
      <w:r w:rsidRPr="00B10382">
        <w:t xml:space="preserve">onitoring of surface water quality in Watermark Gully downstream of the </w:t>
      </w:r>
      <w:r w:rsidR="005C300C" w:rsidRPr="00B10382">
        <w:t>e</w:t>
      </w:r>
      <w:r w:rsidRPr="00B10382">
        <w:t xml:space="preserve">astern </w:t>
      </w:r>
      <w:r w:rsidR="005C300C" w:rsidRPr="00B10382">
        <w:t>p</w:t>
      </w:r>
      <w:r w:rsidR="00001745" w:rsidRPr="00B10382">
        <w:t>it</w:t>
      </w:r>
      <w:r w:rsidRPr="00B10382">
        <w:t xml:space="preserve"> and the addition of selenium, aluminium and molybdenum to the suite of metals tested on a regular basis in watercourses downstream of the proposed project area. </w:t>
      </w:r>
    </w:p>
    <w:p w:rsidR="00C605B6" w:rsidRPr="00B10382" w:rsidRDefault="00C605B6" w:rsidP="00C605B6">
      <w:pPr>
        <w:pStyle w:val="Question"/>
        <w:keepNext/>
      </w:pPr>
      <w:r w:rsidRPr="00B10382">
        <w:t>Question 8: Are the proposed management responses to groundwater alluvium interception adequate? If not, are there additional measures and commitments required to mitigate and manage impacts?</w:t>
      </w:r>
    </w:p>
    <w:p w:rsidR="00C605B6" w:rsidRPr="00B10382" w:rsidRDefault="00C605B6" w:rsidP="00C605B6">
      <w:pPr>
        <w:pStyle w:val="Heading4"/>
        <w:keepNext/>
      </w:pPr>
      <w:r w:rsidRPr="00B10382">
        <w:t>Response</w:t>
      </w:r>
    </w:p>
    <w:p w:rsidR="00C605B6" w:rsidRPr="00B10382" w:rsidRDefault="00C90F99" w:rsidP="00383963">
      <w:pPr>
        <w:pStyle w:val="ListNumber"/>
      </w:pPr>
      <w:r w:rsidRPr="00B10382">
        <w:t>The adequacy of these measures cannot be determined at this stage as m</w:t>
      </w:r>
      <w:r w:rsidR="00C605B6" w:rsidRPr="00B10382">
        <w:t>anagement responses have not been stated explicitly. To ensure management responses are adequate, clear trig</w:t>
      </w:r>
      <w:r w:rsidR="00001745" w:rsidRPr="00B10382">
        <w:t xml:space="preserve">ger and limit </w:t>
      </w:r>
      <w:proofErr w:type="spellStart"/>
      <w:r w:rsidR="00001745" w:rsidRPr="00B10382">
        <w:t>exceedance</w:t>
      </w:r>
      <w:proofErr w:type="spellEnd"/>
      <w:r w:rsidR="00001745" w:rsidRPr="00B10382">
        <w:t xml:space="preserve"> levels</w:t>
      </w:r>
      <w:r w:rsidR="00C605B6" w:rsidRPr="00B10382">
        <w:t xml:space="preserve"> and robust regulatory enforcement mechanisms should be established.</w:t>
      </w:r>
    </w:p>
    <w:p w:rsidR="007654F3" w:rsidRPr="00B10382" w:rsidRDefault="00C605B6" w:rsidP="00456EBB">
      <w:pPr>
        <w:pStyle w:val="Heading4"/>
      </w:pPr>
      <w:r w:rsidRPr="00B10382">
        <w:t>Explanation</w:t>
      </w:r>
    </w:p>
    <w:p w:rsidR="007654F3" w:rsidRPr="00B10382" w:rsidRDefault="00C605B6" w:rsidP="00383963">
      <w:pPr>
        <w:pStyle w:val="ListNumber"/>
      </w:pPr>
      <w:r w:rsidRPr="00B10382">
        <w:t>Groundwater triggers and subsequent management responses are proposed to be developed within water management plans in the post approval process</w:t>
      </w:r>
      <w:r w:rsidR="00646BD5" w:rsidRPr="00B10382">
        <w:t xml:space="preserve">. </w:t>
      </w:r>
      <w:r w:rsidRPr="00B10382">
        <w:t xml:space="preserve">The IESC is unable to comment on their appropriateness, as the plans are not yet available. </w:t>
      </w:r>
    </w:p>
    <w:p w:rsidR="007654F3" w:rsidRPr="00B10382" w:rsidRDefault="00C605B6" w:rsidP="00383963">
      <w:pPr>
        <w:pStyle w:val="ListNumber"/>
      </w:pPr>
      <w:r w:rsidRPr="00B10382">
        <w:t xml:space="preserve">The additional information (Hansen Bailey, 2014, App A) has identified the need for more monitoring wells to be installed and located within the predicted zone of depressurisation to assess the extent and rate of depressurisation against numerical groundwater model predictions. Even though groundwater drawdown is not predicted in the Upper Namoi Alluvium to the north of the </w:t>
      </w:r>
      <w:r w:rsidR="005C300C" w:rsidRPr="00B10382">
        <w:t>e</w:t>
      </w:r>
      <w:r w:rsidRPr="00B10382">
        <w:t xml:space="preserve">astern </w:t>
      </w:r>
      <w:r w:rsidR="005C300C" w:rsidRPr="00B10382">
        <w:t>p</w:t>
      </w:r>
      <w:r w:rsidRPr="00B10382">
        <w:t>it, additional multi-level (nested) monitoring wells should be placed in this area to confirm model predictions and provide an early warning of any variation from predicted depressurisation in this area.</w:t>
      </w:r>
    </w:p>
    <w:p w:rsidR="007654F3" w:rsidRPr="00B10382" w:rsidRDefault="00C605B6" w:rsidP="00383963">
      <w:pPr>
        <w:pStyle w:val="ListNumber"/>
      </w:pPr>
      <w:r w:rsidRPr="00B10382">
        <w:t>In light of the results of the sensitivity and uncertainty analysis undertaken for the EIS it would have been beneficial to have a corresponding uncertainty analysi</w:t>
      </w:r>
      <w:r w:rsidR="008D2551" w:rsidRPr="00B10382">
        <w:t>s for the scenarios posed by Dr </w:t>
      </w:r>
      <w:r w:rsidRPr="00B10382">
        <w:t>Col Mackie</w:t>
      </w:r>
      <w:r w:rsidR="00426637" w:rsidRPr="00B10382">
        <w:t xml:space="preserve"> and referenced by the PAC</w:t>
      </w:r>
      <w:r w:rsidRPr="00B10382">
        <w:t xml:space="preserve"> (Scenarios 3, 6, 7, and 11 in Hansen Bailey, 2014, App A)</w:t>
      </w:r>
      <w:r w:rsidR="00426637" w:rsidRPr="00B10382">
        <w:t xml:space="preserve"> in order</w:t>
      </w:r>
      <w:r w:rsidRPr="00B10382">
        <w:t xml:space="preserve"> to understand more fully the potential for exceeding the conditions relating to groundwater drawdown impacts in the Upper Namoi Alluvium set in the NSW Government consent (PAC, 2015). In the absence of such an uncertainty analysis, a strong emphasis should be placed on developing:</w:t>
      </w:r>
    </w:p>
    <w:p w:rsidR="00C605B6" w:rsidRPr="00B10382" w:rsidRDefault="00D2397B" w:rsidP="00C605B6">
      <w:pPr>
        <w:pStyle w:val="ListNumber2"/>
      </w:pPr>
      <w:r w:rsidRPr="00B10382">
        <w:t>A</w:t>
      </w:r>
      <w:r w:rsidR="00C605B6" w:rsidRPr="00B10382">
        <w:t xml:space="preserve"> monitoring programme that enables early warnings of </w:t>
      </w:r>
      <w:r w:rsidR="00FC6F1D" w:rsidRPr="00B10382">
        <w:t xml:space="preserve">greater </w:t>
      </w:r>
      <w:r w:rsidR="00C605B6" w:rsidRPr="00B10382">
        <w:t>depressurisation</w:t>
      </w:r>
      <w:r w:rsidR="00FC6F1D" w:rsidRPr="00B10382">
        <w:t xml:space="preserve"> than predicted</w:t>
      </w:r>
      <w:r w:rsidRPr="00B10382">
        <w:t>.</w:t>
      </w:r>
    </w:p>
    <w:p w:rsidR="00C605B6" w:rsidRPr="00B10382" w:rsidRDefault="00D2397B" w:rsidP="00C605B6">
      <w:pPr>
        <w:pStyle w:val="ListNumber2"/>
      </w:pPr>
      <w:r w:rsidRPr="00B10382">
        <w:t>R</w:t>
      </w:r>
      <w:r w:rsidR="00C605B6" w:rsidRPr="00B10382">
        <w:t xml:space="preserve">obust, enforceable management protocols (for proponent and regulator) for action to be taken </w:t>
      </w:r>
      <w:r w:rsidR="00A436E0" w:rsidRPr="00B10382">
        <w:t>in time so that limits are not exceeded.</w:t>
      </w:r>
    </w:p>
    <w:p w:rsidR="00C605B6" w:rsidRPr="00B10382" w:rsidRDefault="00C605B6" w:rsidP="00C605B6">
      <w:pPr>
        <w:pStyle w:val="Question"/>
      </w:pPr>
      <w:r w:rsidRPr="00B10382">
        <w:t>Question 9: Are the proposed management responses to increasing salinity levels adequate? If not, are there additional measures and commitments required to mitigate and manage impacts?</w:t>
      </w:r>
    </w:p>
    <w:p w:rsidR="00C605B6" w:rsidRPr="00B10382" w:rsidRDefault="00C605B6" w:rsidP="00C605B6">
      <w:pPr>
        <w:pStyle w:val="Heading4"/>
      </w:pPr>
      <w:r w:rsidRPr="00B10382">
        <w:t>Response</w:t>
      </w:r>
    </w:p>
    <w:p w:rsidR="00C605B6" w:rsidRPr="00B10382" w:rsidRDefault="00C605B6" w:rsidP="00383963">
      <w:pPr>
        <w:pStyle w:val="ListNumber"/>
      </w:pPr>
      <w:r w:rsidRPr="00B10382">
        <w:t xml:space="preserve">The </w:t>
      </w:r>
      <w:r w:rsidR="00C90F99" w:rsidRPr="00B10382">
        <w:t xml:space="preserve">adequacy of these measures cannot be determined at this stage as </w:t>
      </w:r>
      <w:r w:rsidRPr="00B10382">
        <w:t xml:space="preserve">proposed management responses </w:t>
      </w:r>
      <w:r w:rsidR="006B4CF0" w:rsidRPr="00B10382">
        <w:t>are to</w:t>
      </w:r>
      <w:r w:rsidRPr="00B10382">
        <w:t xml:space="preserve"> be included in the </w:t>
      </w:r>
      <w:r w:rsidR="00A92D30" w:rsidRPr="00B10382">
        <w:t>w</w:t>
      </w:r>
      <w:r w:rsidRPr="00B10382">
        <w:t xml:space="preserve">ater </w:t>
      </w:r>
      <w:r w:rsidR="00A92D30" w:rsidRPr="00B10382">
        <w:t>m</w:t>
      </w:r>
      <w:r w:rsidRPr="00B10382">
        <w:t xml:space="preserve">anagement </w:t>
      </w:r>
      <w:r w:rsidR="00A92D30" w:rsidRPr="00B10382">
        <w:t>p</w:t>
      </w:r>
      <w:r w:rsidRPr="00B10382">
        <w:t xml:space="preserve">lan. </w:t>
      </w:r>
    </w:p>
    <w:p w:rsidR="007654F3" w:rsidRPr="00B10382" w:rsidRDefault="005A7DE2" w:rsidP="00383963">
      <w:pPr>
        <w:pStyle w:val="ListNumber"/>
        <w:rPr>
          <w:b/>
          <w:i/>
        </w:rPr>
      </w:pPr>
      <w:r w:rsidRPr="00B10382">
        <w:t xml:space="preserve">Yes. </w:t>
      </w:r>
      <w:r w:rsidR="00C605B6" w:rsidRPr="00B10382">
        <w:t xml:space="preserve">The IESC </w:t>
      </w:r>
      <w:r w:rsidR="00836C7C" w:rsidRPr="00B10382">
        <w:t xml:space="preserve">has identified </w:t>
      </w:r>
      <w:r w:rsidR="00C605B6" w:rsidRPr="00B10382">
        <w:t>additional measures to mitigate</w:t>
      </w:r>
      <w:r w:rsidR="00FC6F1D" w:rsidRPr="00B10382">
        <w:t xml:space="preserve"> and manage</w:t>
      </w:r>
      <w:r w:rsidR="00C605B6" w:rsidRPr="00B10382">
        <w:t xml:space="preserve"> the potential impacts from salinity at the local scale as per paragraphs </w:t>
      </w:r>
      <w:fldSimple w:instr=" REF _Ref417042461 \r \h  \* MERGEFORMAT ">
        <w:r w:rsidR="007F7D51">
          <w:t>56</w:t>
        </w:r>
      </w:fldSimple>
      <w:r w:rsidR="008D2551" w:rsidRPr="00B10382">
        <w:t>-</w:t>
      </w:r>
      <w:fldSimple w:instr=" REF _Ref417042465 \r \h  \* MERGEFORMAT ">
        <w:r w:rsidR="007F7D51">
          <w:t>58</w:t>
        </w:r>
      </w:fldSimple>
      <w:r w:rsidR="00C605B6" w:rsidRPr="00B10382">
        <w:t xml:space="preserve"> of this advice </w:t>
      </w:r>
      <w:r w:rsidR="006D3DA5" w:rsidRPr="00B10382">
        <w:t>(</w:t>
      </w:r>
      <w:r w:rsidR="00C605B6" w:rsidRPr="00B10382">
        <w:t>IESC 2015-067</w:t>
      </w:r>
      <w:r w:rsidR="006D3DA5" w:rsidRPr="00B10382">
        <w:t>)</w:t>
      </w:r>
      <w:r w:rsidR="00C605B6" w:rsidRPr="00B10382">
        <w:t xml:space="preserve">.  </w:t>
      </w:r>
    </w:p>
    <w:p w:rsidR="00C605B6" w:rsidRPr="00B10382" w:rsidRDefault="00C605B6" w:rsidP="00C605B6">
      <w:pPr>
        <w:pStyle w:val="Question"/>
      </w:pPr>
      <w:r w:rsidRPr="00B10382">
        <w:t>Question 10: Has the proponent adequately assessed the cumulative impacts to the region in the context of all current, proposed and possible extractive industry projects?</w:t>
      </w:r>
    </w:p>
    <w:p w:rsidR="00C605B6" w:rsidRPr="00B10382" w:rsidRDefault="00C605B6" w:rsidP="00C605B6">
      <w:pPr>
        <w:pStyle w:val="Heading4"/>
      </w:pPr>
      <w:r w:rsidRPr="00B10382">
        <w:t>Response</w:t>
      </w:r>
    </w:p>
    <w:p w:rsidR="00C605B6" w:rsidRPr="00B10382" w:rsidRDefault="00C605B6" w:rsidP="00383963">
      <w:pPr>
        <w:pStyle w:val="ListNumber"/>
      </w:pPr>
      <w:r w:rsidRPr="00B10382">
        <w:t>The proponent appropriately utilised the Namoi Catchment Water Study (SWS, 2012) to assess potential cumulative impacts to groundwater</w:t>
      </w:r>
      <w:r w:rsidR="00372E51" w:rsidRPr="00B10382">
        <w:t xml:space="preserve"> </w:t>
      </w:r>
      <w:r w:rsidR="00996242" w:rsidRPr="00B10382">
        <w:t>in the context of the</w:t>
      </w:r>
      <w:r w:rsidR="00372E51" w:rsidRPr="00B10382">
        <w:t xml:space="preserve"> </w:t>
      </w:r>
      <w:r w:rsidR="00B5044E" w:rsidRPr="00B10382">
        <w:t>current</w:t>
      </w:r>
      <w:r w:rsidR="00372E51" w:rsidRPr="00B10382">
        <w:t xml:space="preserve"> and </w:t>
      </w:r>
      <w:r w:rsidR="00B5044E" w:rsidRPr="00B10382">
        <w:t>proposed</w:t>
      </w:r>
      <w:r w:rsidR="00372E51" w:rsidRPr="00B10382">
        <w:t xml:space="preserve"> </w:t>
      </w:r>
      <w:r w:rsidR="00B5044E" w:rsidRPr="00B10382">
        <w:t xml:space="preserve">projects included within the bioregional assessment coal </w:t>
      </w:r>
      <w:r w:rsidR="00FB6A22" w:rsidRPr="00B10382">
        <w:t>and coal seam gas resource assessment for the Namoi subregion</w:t>
      </w:r>
      <w:r w:rsidR="00BF51F2" w:rsidRPr="00B10382">
        <w:t xml:space="preserve"> (</w:t>
      </w:r>
      <w:proofErr w:type="spellStart"/>
      <w:r w:rsidR="00BF51F2" w:rsidRPr="00B10382">
        <w:t>Northey</w:t>
      </w:r>
      <w:proofErr w:type="spellEnd"/>
      <w:r w:rsidR="00BF51F2" w:rsidRPr="00B10382">
        <w:t>, Pinetown and Sander, 2014)</w:t>
      </w:r>
      <w:r w:rsidR="008D2551" w:rsidRPr="00B10382">
        <w:t>.</w:t>
      </w:r>
      <w:r w:rsidRPr="00B10382">
        <w:t xml:space="preserve"> </w:t>
      </w:r>
      <w:r w:rsidR="00BF51F2" w:rsidRPr="00B10382">
        <w:t>To better understand cumulative impacts, further investigation into local connectivity between the Permian and alluvial groundwater systems, particularly the properties of the fresh and weathered Permian strata in the zone between the proposed pits and the Upper Namoi Alluvium is warranted. F</w:t>
      </w:r>
      <w:r w:rsidRPr="00B10382">
        <w:t xml:space="preserve">urther investigation into the potential cumulative impacts to surface water and GDEs, as identified in </w:t>
      </w:r>
      <w:r w:rsidR="00001745" w:rsidRPr="00B10382">
        <w:t>SWS (2012)</w:t>
      </w:r>
      <w:r w:rsidR="008D2551" w:rsidRPr="00B10382">
        <w:t xml:space="preserve">, could </w:t>
      </w:r>
      <w:r w:rsidR="00BF51F2" w:rsidRPr="00B10382">
        <w:t xml:space="preserve">also </w:t>
      </w:r>
      <w:r w:rsidR="008D2551" w:rsidRPr="00B10382">
        <w:t>be undertaken.</w:t>
      </w:r>
      <w:r w:rsidRPr="00B10382">
        <w:t xml:space="preserve"> </w:t>
      </w:r>
    </w:p>
    <w:p w:rsidR="007654F3" w:rsidRPr="00B10382" w:rsidRDefault="00C605B6" w:rsidP="00383963">
      <w:pPr>
        <w:pStyle w:val="ListNumber"/>
      </w:pPr>
      <w:r w:rsidRPr="00B10382">
        <w:t xml:space="preserve">There is a risk of cumulative impacts to the south of the proposed project area, where the maximum alluvial groundwater drawdown as a result of the proposed project is predicted and there is the potential for groundwater drawdown associated with the proposed Caroona Coal Project. A local-scale investigation into this connectivity should be undertaken by the proponents of this project and the Caroona Coal Project, as </w:t>
      </w:r>
      <w:r w:rsidR="00710517" w:rsidRPr="00B10382">
        <w:t>per</w:t>
      </w:r>
      <w:r w:rsidRPr="00B10382">
        <w:t xml:space="preserve"> IESC </w:t>
      </w:r>
      <w:r w:rsidR="00710517" w:rsidRPr="00B10382">
        <w:t>advice on both projects (IESC 2013-023 and IESC</w:t>
      </w:r>
      <w:r w:rsidRPr="00B10382">
        <w:t xml:space="preserve"> 2014-047). If the project is approved, this investigation could occur be</w:t>
      </w:r>
      <w:r w:rsidR="00001745" w:rsidRPr="00B10382">
        <w:t>fore mining of the southern pit</w:t>
      </w:r>
      <w:r w:rsidRPr="00B10382">
        <w:t xml:space="preserve"> and be built into the water management plan protocol with nearby mine owners </w:t>
      </w:r>
      <w:r w:rsidR="00FC6F1D" w:rsidRPr="00B10382">
        <w:t>as per</w:t>
      </w:r>
      <w:r w:rsidRPr="00B10382">
        <w:t xml:space="preserve"> the NSW Government consent condition 26c (vi) (PAC, 2015).</w:t>
      </w:r>
    </w:p>
    <w:p w:rsidR="00C605B6" w:rsidRPr="00B10382" w:rsidRDefault="00C605B6" w:rsidP="00C605B6">
      <w:pPr>
        <w:pStyle w:val="Question"/>
      </w:pPr>
      <w:r w:rsidRPr="00B10382">
        <w:t>Question 11: Has the proponent adequately assessed the cumulative impacts to the bioregion?</w:t>
      </w:r>
    </w:p>
    <w:p w:rsidR="00C605B6" w:rsidRPr="00B10382" w:rsidRDefault="00C605B6" w:rsidP="00C605B6">
      <w:pPr>
        <w:pStyle w:val="Heading4"/>
      </w:pPr>
      <w:r w:rsidRPr="00B10382">
        <w:t>Response</w:t>
      </w:r>
    </w:p>
    <w:p w:rsidR="00C605B6" w:rsidRPr="00B10382" w:rsidRDefault="005A7DE2" w:rsidP="00383963">
      <w:pPr>
        <w:pStyle w:val="ListNumber"/>
      </w:pPr>
      <w:r w:rsidRPr="00B10382">
        <w:t xml:space="preserve">It is not considered necessary for the proponent to assess cumulative impacts to the bioregion. </w:t>
      </w:r>
      <w:r w:rsidR="00C605B6" w:rsidRPr="00B10382">
        <w:t xml:space="preserve">The proponent has referred to data sources specific to the Namoi catchment, such as aspects of the proposed framework for assessing the cumulative risk of mining on natural resource assets in the Namoi </w:t>
      </w:r>
      <w:r w:rsidR="009633FA" w:rsidRPr="00B10382">
        <w:t>C</w:t>
      </w:r>
      <w:r w:rsidR="00C605B6" w:rsidRPr="00B10382">
        <w:t xml:space="preserve">atchment (Eco Logical, 2011) and the Namoi Catchment Water Study (SWS, 2012). </w:t>
      </w:r>
      <w:r w:rsidR="006B4CF0" w:rsidRPr="00B10382">
        <w:t xml:space="preserve"> </w:t>
      </w:r>
      <w:r w:rsidR="00C605B6" w:rsidRPr="00B10382">
        <w:t xml:space="preserve">The </w:t>
      </w:r>
      <w:r w:rsidR="005A4275" w:rsidRPr="00B10382">
        <w:t xml:space="preserve">Australian </w:t>
      </w:r>
      <w:r w:rsidR="006B4CF0" w:rsidRPr="00B10382">
        <w:t>Government’s</w:t>
      </w:r>
      <w:r w:rsidR="00C605B6" w:rsidRPr="00B10382">
        <w:t xml:space="preserve"> bioregional assessment of the Namoi subregion </w:t>
      </w:r>
      <w:r w:rsidR="006B4CF0" w:rsidRPr="00B10382">
        <w:t>will provide additional information and analyses to</w:t>
      </w:r>
      <w:r w:rsidR="00C605B6" w:rsidRPr="00B10382">
        <w:t xml:space="preserve"> further assess potential cumulative impacts.</w:t>
      </w:r>
    </w:p>
    <w:p w:rsidR="007654F3" w:rsidRPr="00B10382" w:rsidRDefault="00C605B6" w:rsidP="00383963">
      <w:pPr>
        <w:pStyle w:val="ListNumber"/>
      </w:pPr>
      <w:r w:rsidRPr="00B10382">
        <w:t>Data and relevant information from the proposed project, including that collected during the life of the mine, should be made accessible for this Bioregional Assessment to assist the knowledge base for regional</w:t>
      </w:r>
      <w:r w:rsidR="00D2397B" w:rsidRPr="00B10382">
        <w:t>-</w:t>
      </w:r>
      <w:r w:rsidRPr="00B10382">
        <w:t>scale assessments.</w:t>
      </w:r>
    </w:p>
    <w:p w:rsidR="00F62124" w:rsidRPr="00B10382" w:rsidRDefault="00C605B6" w:rsidP="00EF3C2F">
      <w:pPr>
        <w:pStyle w:val="Heading2"/>
        <w:keepNext/>
        <w:spacing w:after="240"/>
      </w:pPr>
      <w:r w:rsidRPr="00B10382">
        <w:t xml:space="preserve">Questions from Ms Fiona </w:t>
      </w:r>
      <w:proofErr w:type="spellStart"/>
      <w:r w:rsidRPr="00B10382">
        <w:t>Simson</w:t>
      </w:r>
      <w:proofErr w:type="spellEnd"/>
      <w:r w:rsidRPr="00B10382">
        <w:t>, President NSW Farmers</w:t>
      </w:r>
    </w:p>
    <w:p w:rsidR="00F62124" w:rsidRPr="00B10382" w:rsidRDefault="00C605B6">
      <w:pPr>
        <w:pStyle w:val="Question"/>
        <w:keepNext/>
      </w:pPr>
      <w:r w:rsidRPr="00B10382">
        <w:t>Question 1: Has the information provided by the proponent addressed concerns raised by the IESC in its advice issued on 27 May 2013?</w:t>
      </w:r>
    </w:p>
    <w:p w:rsidR="00C605B6" w:rsidRPr="00B10382" w:rsidRDefault="00C605B6" w:rsidP="00C605B6">
      <w:pPr>
        <w:pStyle w:val="Heading4"/>
      </w:pPr>
      <w:r w:rsidRPr="00B10382">
        <w:t>Response</w:t>
      </w:r>
    </w:p>
    <w:p w:rsidR="00C605B6" w:rsidRPr="00B10382" w:rsidRDefault="003B12B0" w:rsidP="00383963">
      <w:pPr>
        <w:pStyle w:val="ListNumber"/>
        <w:rPr>
          <w:rFonts w:eastAsiaTheme="minorHAnsi"/>
        </w:rPr>
      </w:pPr>
      <w:r w:rsidRPr="00B10382">
        <w:t xml:space="preserve">No, not all </w:t>
      </w:r>
      <w:r w:rsidR="00DE5945" w:rsidRPr="00B10382">
        <w:t>matters have been addressed</w:t>
      </w:r>
      <w:r w:rsidR="00A57E42" w:rsidRPr="00B10382">
        <w:t xml:space="preserve"> at this stage</w:t>
      </w:r>
      <w:r w:rsidR="00DE5945" w:rsidRPr="00B10382">
        <w:t xml:space="preserve">. </w:t>
      </w:r>
      <w:r w:rsidR="00C605B6" w:rsidRPr="00B10382">
        <w:t xml:space="preserve">A number of the </w:t>
      </w:r>
      <w:r w:rsidR="004A592B" w:rsidRPr="00B10382">
        <w:t xml:space="preserve">matters </w:t>
      </w:r>
      <w:r w:rsidR="00C605B6" w:rsidRPr="00B10382">
        <w:t>raised in IESC</w:t>
      </w:r>
      <w:r w:rsidR="007D3134" w:rsidRPr="00B10382">
        <w:t> </w:t>
      </w:r>
      <w:r w:rsidR="00C605B6" w:rsidRPr="00B10382">
        <w:t xml:space="preserve">2013-023 have been examined or explained in the additional information or would be addressed through the implementation of NSW Government consent conditions (PAC, 2015) including: the groundwater conceptualisation; likely impacts on the Upper Namoi Alluvium, particularly the Gunnedah Formation, at a regional scale; the influence of faults; and sensitivity analysis of the water balance modelling. </w:t>
      </w:r>
    </w:p>
    <w:p w:rsidR="007654F3" w:rsidRPr="00B10382" w:rsidRDefault="00C605B6" w:rsidP="00383963">
      <w:pPr>
        <w:pStyle w:val="ListNumber"/>
      </w:pPr>
      <w:r w:rsidRPr="00B10382">
        <w:t xml:space="preserve">The </w:t>
      </w:r>
      <w:r w:rsidR="00A57E42" w:rsidRPr="00B10382">
        <w:t xml:space="preserve">key </w:t>
      </w:r>
      <w:r w:rsidRPr="00B10382">
        <w:t>matters in IESC 2013-023 that need further information</w:t>
      </w:r>
      <w:r w:rsidR="00A57E42" w:rsidRPr="00B10382">
        <w:t xml:space="preserve"> are outlined below. These</w:t>
      </w:r>
      <w:r w:rsidRPr="00B10382">
        <w:t xml:space="preserve"> could be addressed through collection of additional data before and during operations, with subsequent comparison and u</w:t>
      </w:r>
      <w:r w:rsidR="00001745" w:rsidRPr="00B10382">
        <w:t>pdates to predictions as needed</w:t>
      </w:r>
      <w:r w:rsidRPr="00B10382">
        <w:t xml:space="preserve"> and regular reporting, review and action taken, if the mine is approved</w:t>
      </w:r>
      <w:r w:rsidR="00880E56" w:rsidRPr="00B10382">
        <w:t>:</w:t>
      </w:r>
    </w:p>
    <w:p w:rsidR="00C605B6" w:rsidRPr="00B10382" w:rsidRDefault="00D2397B" w:rsidP="00C605B6">
      <w:pPr>
        <w:pStyle w:val="ListNumber2"/>
      </w:pPr>
      <w:r w:rsidRPr="00B10382">
        <w:t>A</w:t>
      </w:r>
      <w:r w:rsidR="00C605B6" w:rsidRPr="00B10382">
        <w:t xml:space="preserve"> targeted monitoring programme </w:t>
      </w:r>
    </w:p>
    <w:p w:rsidR="00C605B6" w:rsidRPr="00B10382" w:rsidRDefault="00D2397B" w:rsidP="00C605B6">
      <w:pPr>
        <w:pStyle w:val="ListNumber2"/>
      </w:pPr>
      <w:r w:rsidRPr="00B10382">
        <w:t>F</w:t>
      </w:r>
      <w:r w:rsidR="00C605B6" w:rsidRPr="00B10382">
        <w:t xml:space="preserve">iner-scale numerical groundwater modelling, with a particular focus on the conceptualisation and parameterisation of the fresh and weathered Permian strata in the zone between the proposed pits and the Upper Namoi Alluvium </w:t>
      </w:r>
    </w:p>
    <w:p w:rsidR="00C605B6" w:rsidRPr="00B10382" w:rsidRDefault="00D2397B" w:rsidP="00C605B6">
      <w:pPr>
        <w:pStyle w:val="ListNumber2"/>
      </w:pPr>
      <w:r w:rsidRPr="00B10382">
        <w:t>I</w:t>
      </w:r>
      <w:r w:rsidR="00C605B6" w:rsidRPr="00B10382">
        <w:t xml:space="preserve">dentification and assessment of potential impacts to </w:t>
      </w:r>
      <w:r w:rsidR="00347AEB" w:rsidRPr="00B10382">
        <w:t>water dependent</w:t>
      </w:r>
      <w:r w:rsidR="00C605B6" w:rsidRPr="00B10382">
        <w:t xml:space="preserve"> ecosystems</w:t>
      </w:r>
      <w:r w:rsidR="00347AEB" w:rsidRPr="00B10382">
        <w:t xml:space="preserve">, including </w:t>
      </w:r>
      <w:r w:rsidR="00C605B6" w:rsidRPr="00B10382">
        <w:t>EPBC-listed communities (such as White Box-Yellow Box-Blakely’s Red Gum Grassy Woodland and Derived Native Grassland)</w:t>
      </w:r>
      <w:r w:rsidR="00880E56" w:rsidRPr="00B10382">
        <w:t>,</w:t>
      </w:r>
      <w:r w:rsidR="00C605B6" w:rsidRPr="00B10382">
        <w:t xml:space="preserve"> and salt-sensitive biota within and beyon</w:t>
      </w:r>
      <w:r w:rsidRPr="00B10382">
        <w:t>d the proposed project boundary.</w:t>
      </w:r>
    </w:p>
    <w:p w:rsidR="00C605B6" w:rsidRPr="00B10382" w:rsidRDefault="00D2397B" w:rsidP="00C605B6">
      <w:pPr>
        <w:pStyle w:val="ListNumber2"/>
      </w:pPr>
      <w:r w:rsidRPr="00B10382">
        <w:t>A</w:t>
      </w:r>
      <w:r w:rsidR="00C605B6" w:rsidRPr="00B10382">
        <w:t>ssessment of</w:t>
      </w:r>
      <w:r w:rsidRPr="00B10382">
        <w:t xml:space="preserve"> local-scale cumulative impacts.</w:t>
      </w:r>
    </w:p>
    <w:p w:rsidR="00C605B6" w:rsidRPr="00B10382" w:rsidRDefault="00D2397B" w:rsidP="00C605B6">
      <w:pPr>
        <w:pStyle w:val="ListNumber2"/>
      </w:pPr>
      <w:r w:rsidRPr="00B10382">
        <w:t>L</w:t>
      </w:r>
      <w:r w:rsidR="00C605B6" w:rsidRPr="00B10382">
        <w:t>ong-term impacts associated with the final landform.</w:t>
      </w:r>
    </w:p>
    <w:p w:rsidR="00C605B6" w:rsidRPr="00B10382" w:rsidRDefault="00C605B6" w:rsidP="00C605B6">
      <w:pPr>
        <w:pStyle w:val="Question"/>
      </w:pPr>
      <w:r w:rsidRPr="00B10382">
        <w:t>Question 2: Is the conceptual groundwater model appropriate and adequate? Does the Committee consider that any changes should be made to the conceptual groundwater model?</w:t>
      </w:r>
    </w:p>
    <w:p w:rsidR="00C605B6" w:rsidRPr="00B10382" w:rsidRDefault="00C605B6" w:rsidP="00C605B6">
      <w:pPr>
        <w:pStyle w:val="Heading4"/>
      </w:pPr>
      <w:r w:rsidRPr="00B10382">
        <w:t>Response</w:t>
      </w:r>
    </w:p>
    <w:p w:rsidR="00C605B6" w:rsidRPr="00B10382" w:rsidRDefault="00C605B6" w:rsidP="00383963">
      <w:pPr>
        <w:pStyle w:val="ListNumber"/>
      </w:pPr>
      <w:r w:rsidRPr="00B10382">
        <w:t xml:space="preserve">Yes, the proponent’s groundwater conceptualisation is considered to be appropriate and adequate to assess potential groundwater drawdown impacts to groundwater resources as a result of the proposed project. This view is based on the alignment of the range of modelled parameter values with field data and the consistency of the proponent’s conceptualisation with previous </w:t>
      </w:r>
      <w:proofErr w:type="spellStart"/>
      <w:r w:rsidRPr="00B10382">
        <w:t>hydrogeological</w:t>
      </w:r>
      <w:proofErr w:type="spellEnd"/>
      <w:r w:rsidRPr="00B10382">
        <w:t xml:space="preserve"> studies in the region. </w:t>
      </w:r>
      <w:r w:rsidR="006A4B28" w:rsidRPr="00B10382">
        <w:t>Should the project be approved, f</w:t>
      </w:r>
      <w:r w:rsidRPr="00B10382">
        <w:t>urther verification</w:t>
      </w:r>
      <w:r w:rsidR="006A4B28" w:rsidRPr="00B10382">
        <w:t xml:space="preserve"> resulting from</w:t>
      </w:r>
      <w:r w:rsidR="00FC6F1D" w:rsidRPr="00B10382">
        <w:t xml:space="preserve"> </w:t>
      </w:r>
      <w:r w:rsidR="006A4B28" w:rsidRPr="00B10382">
        <w:t>additional</w:t>
      </w:r>
      <w:r w:rsidR="00FC6F1D" w:rsidRPr="00B10382">
        <w:t xml:space="preserve"> monitoring and finer-scale </w:t>
      </w:r>
      <w:r w:rsidR="00D2397B" w:rsidRPr="00B10382">
        <w:t xml:space="preserve">groundwater </w:t>
      </w:r>
      <w:r w:rsidR="00FC6F1D" w:rsidRPr="00B10382">
        <w:t xml:space="preserve">modelling </w:t>
      </w:r>
      <w:r w:rsidR="006A4B28" w:rsidRPr="00B10382">
        <w:t>(</w:t>
      </w:r>
      <w:r w:rsidR="00FC6F1D" w:rsidRPr="00B10382">
        <w:t>as described in IESC</w:t>
      </w:r>
      <w:r w:rsidR="005013A5" w:rsidRPr="00B10382">
        <w:t> </w:t>
      </w:r>
      <w:r w:rsidR="00FC6F1D" w:rsidRPr="00B10382">
        <w:t>2015-066</w:t>
      </w:r>
      <w:r w:rsidR="006A4B28" w:rsidRPr="00B10382">
        <w:t xml:space="preserve">, paragraph </w:t>
      </w:r>
      <w:fldSimple w:instr=" REF _Ref416967081 \r \h  \* MERGEFORMAT ">
        <w:r w:rsidR="007F7D51">
          <w:t>26</w:t>
        </w:r>
      </w:fldSimple>
      <w:r w:rsidR="006A4B28" w:rsidRPr="00B10382">
        <w:t xml:space="preserve">) would </w:t>
      </w:r>
      <w:r w:rsidRPr="00B10382">
        <w:t xml:space="preserve">improve confidence in predictions. </w:t>
      </w:r>
    </w:p>
    <w:p w:rsidR="00C605B6" w:rsidRPr="00B10382" w:rsidRDefault="00C605B6" w:rsidP="00C605B6">
      <w:pPr>
        <w:pStyle w:val="Question"/>
      </w:pPr>
      <w:r w:rsidRPr="00B10382">
        <w:t>Question 3: Are the revised groundwater models, relevant data, assumptions and analysis adequate to assess the potential impacts to groundwater at a local and regional scale?</w:t>
      </w:r>
    </w:p>
    <w:p w:rsidR="00C605B6" w:rsidRPr="00B10382" w:rsidRDefault="00C605B6" w:rsidP="00C605B6">
      <w:pPr>
        <w:pStyle w:val="Heading4"/>
      </w:pPr>
      <w:r w:rsidRPr="00B10382">
        <w:t>Response</w:t>
      </w:r>
    </w:p>
    <w:p w:rsidR="00C605B6" w:rsidRPr="00B10382" w:rsidRDefault="00C605B6" w:rsidP="00383963">
      <w:pPr>
        <w:pStyle w:val="ListNumber"/>
      </w:pPr>
      <w:r w:rsidRPr="00B10382">
        <w:t xml:space="preserve">Yes. The revised groundwater models, relevant data, assumptions and analysis are considered to be adequate to assess the potential hydrological impacts to groundwater. The proponent’s groundwater conceptualisation and model parameterisation are considered to be reasonable based on the available field data, sensitivity and uncertainty analysis in the EIS, information provided in response to a review by UNSW (DPE, 2014, App C) and consistency with additional modelling scenarios proposed by Dr Col Mackie (Hansen Bailey, 2014, App A). </w:t>
      </w:r>
      <w:r w:rsidR="00383963" w:rsidRPr="00B10382">
        <w:t>Should the project progress</w:t>
      </w:r>
      <w:r w:rsidR="001901D8" w:rsidRPr="00B10382">
        <w:t>, additional monitoring and finer-scale groundwater modelling would improve confidence in predictions and support clear identification and response to mine-induced impacts at a local scale. Calibration and validation of finer-scale models would only be feasible with observations of the actual responses of the local groundwater system to the proposed project.</w:t>
      </w:r>
    </w:p>
    <w:p w:rsidR="00C605B6" w:rsidRPr="00B10382" w:rsidRDefault="00C605B6" w:rsidP="00C605B6">
      <w:pPr>
        <w:pStyle w:val="Question"/>
      </w:pPr>
      <w:r w:rsidRPr="00B10382">
        <w:t xml:space="preserve">Question 4a: What are the key uncertainties and risks of the project and/or potential impacts on groundwater and surface water resources? </w:t>
      </w:r>
    </w:p>
    <w:p w:rsidR="00C605B6" w:rsidRPr="00B10382" w:rsidRDefault="00C605B6" w:rsidP="00C605B6">
      <w:pPr>
        <w:pStyle w:val="Heading4"/>
      </w:pPr>
      <w:r w:rsidRPr="00B10382">
        <w:t>Response</w:t>
      </w:r>
    </w:p>
    <w:p w:rsidR="00C605B6" w:rsidRPr="00B10382" w:rsidRDefault="00C605B6" w:rsidP="00383963">
      <w:pPr>
        <w:pStyle w:val="ListNumber"/>
      </w:pPr>
      <w:r w:rsidRPr="00B10382">
        <w:t>The key potential impact associated with the proposed project is change to groundwater pressure and/or level within the Upper Namoi Alluvium groundwater resource. The IESC considers that impacts to the highly productive Upper Namoi Alluvium groundwater resource are likely to be less than those predicted in the numerical groundwater model sensitivity and uncertainty analysis within the EIS (Hansen Bailey, 2013a)</w:t>
      </w:r>
      <w:r w:rsidR="006D3DA5" w:rsidRPr="00B10382">
        <w:t>. An uncertainty analysis would be needed to judge whether groundwater impacts to the Upper Namoi Alluvium may exceed those predicted using Dr Col Mackie’s preferred scenarios</w:t>
      </w:r>
      <w:r w:rsidR="00426637" w:rsidRPr="00B10382">
        <w:t xml:space="preserve"> </w:t>
      </w:r>
      <w:r w:rsidRPr="00B10382">
        <w:t>(Hansen Bailey, 2014</w:t>
      </w:r>
      <w:r w:rsidR="00347AEB" w:rsidRPr="00B10382">
        <w:t>, App A</w:t>
      </w:r>
      <w:r w:rsidRPr="00B10382">
        <w:t xml:space="preserve">), which constitute the groundwater drawdown limit in the NSW Government consent </w:t>
      </w:r>
      <w:r w:rsidR="00426637" w:rsidRPr="00B10382">
        <w:t xml:space="preserve">conditions </w:t>
      </w:r>
      <w:r w:rsidRPr="00B10382">
        <w:t>(PAC, 2015). There is also the potential for local-scale impacts to surface water quality and long-term salinity changes associated with the final landform.</w:t>
      </w:r>
    </w:p>
    <w:p w:rsidR="007654F3" w:rsidRPr="00B10382" w:rsidRDefault="00C605B6" w:rsidP="00383963">
      <w:pPr>
        <w:pStyle w:val="ListNumber"/>
      </w:pPr>
      <w:r w:rsidRPr="00B10382">
        <w:t xml:space="preserve">The main factors that influence drawdown in the Upper Namoi Alluvium are recharge and hydraulic parameters, particularly for weathered and unweathered Permian strata between the proposed pits and the Upper Namoi Alluvium. These factors influence the potential for drawdown in the Permian sequence to be transmitted to the overlying Upper Namoi Alluvium. </w:t>
      </w:r>
    </w:p>
    <w:p w:rsidR="007654F3" w:rsidRPr="00B10382" w:rsidRDefault="00C605B6" w:rsidP="00383963">
      <w:pPr>
        <w:pStyle w:val="ListNumber"/>
      </w:pPr>
      <w:r w:rsidRPr="00B10382">
        <w:t xml:space="preserve">There is uncertainty as to the </w:t>
      </w:r>
      <w:r w:rsidR="00426637" w:rsidRPr="00B10382">
        <w:t xml:space="preserve">potential </w:t>
      </w:r>
      <w:r w:rsidRPr="00B10382">
        <w:t xml:space="preserve">impacts to aquatic ecosystems as a result of the hydrological impacts predicted, due to insufficient survey effort. </w:t>
      </w:r>
      <w:r w:rsidR="00A57E42" w:rsidRPr="00B10382">
        <w:t xml:space="preserve">Little </w:t>
      </w:r>
      <w:r w:rsidRPr="00B10382">
        <w:t>information has been provided that clearly identifies: ecological assets beyond the proposed project boundary that are dependent (either fully or partially) on surface water and groundwater systems; their current condition; and how these assets may be impacted by both the proposed project and any cumulative impacts. Should the project be approved, these information needs could be met by targeted additional data collection and improvements to the monitoring and management programme before and during operations.</w:t>
      </w:r>
    </w:p>
    <w:p w:rsidR="00C605B6" w:rsidRPr="00B10382" w:rsidRDefault="00C605B6" w:rsidP="00C605B6">
      <w:pPr>
        <w:pStyle w:val="Question"/>
      </w:pPr>
      <w:r w:rsidRPr="00B10382">
        <w:t>Question 4b: What additional measures and commitments could be required or undertaken to monitor, mitigate and manage impacts resulting from changes to surface or groundwater resources at a local and regional scale?</w:t>
      </w:r>
    </w:p>
    <w:p w:rsidR="00C605B6" w:rsidRPr="00B10382" w:rsidRDefault="00C605B6" w:rsidP="00C605B6">
      <w:pPr>
        <w:pStyle w:val="Heading4"/>
      </w:pPr>
      <w:r w:rsidRPr="00B10382">
        <w:t>Response</w:t>
      </w:r>
    </w:p>
    <w:p w:rsidR="00C605B6" w:rsidRPr="00B10382" w:rsidRDefault="00B5544B" w:rsidP="00383963">
      <w:pPr>
        <w:pStyle w:val="ListNumber"/>
      </w:pPr>
      <w:r w:rsidRPr="00B10382">
        <w:t>T</w:t>
      </w:r>
      <w:r w:rsidR="00BA4E66" w:rsidRPr="00B10382">
        <w:t xml:space="preserve">he IESC </w:t>
      </w:r>
      <w:r w:rsidRPr="00B10382">
        <w:t>has identified</w:t>
      </w:r>
      <w:r w:rsidR="00BA4E66" w:rsidRPr="00B10382">
        <w:t xml:space="preserve"> a</w:t>
      </w:r>
      <w:r w:rsidR="00C605B6" w:rsidRPr="00B10382">
        <w:t xml:space="preserve">dditional monitoring and management measures </w:t>
      </w:r>
      <w:r w:rsidRPr="00B10382">
        <w:t xml:space="preserve">that should </w:t>
      </w:r>
      <w:r w:rsidR="00C605B6" w:rsidRPr="00B10382">
        <w:t xml:space="preserve">be implemented to </w:t>
      </w:r>
      <w:r w:rsidR="006A4B28" w:rsidRPr="00B10382">
        <w:t xml:space="preserve">monitor, </w:t>
      </w:r>
      <w:r w:rsidR="00C605B6" w:rsidRPr="00B10382">
        <w:t>mitigate</w:t>
      </w:r>
      <w:r w:rsidR="006A4B28" w:rsidRPr="00B10382">
        <w:t xml:space="preserve"> and manage</w:t>
      </w:r>
      <w:r w:rsidR="00C605B6" w:rsidRPr="00B10382">
        <w:t xml:space="preserve"> the potential impacts to water resources and water-related assets at a local and regional scale. </w:t>
      </w:r>
    </w:p>
    <w:p w:rsidR="007654F3" w:rsidRPr="00B10382" w:rsidRDefault="00C605B6" w:rsidP="00383963">
      <w:pPr>
        <w:pStyle w:val="ListNumber"/>
      </w:pPr>
      <w:r w:rsidRPr="00B10382">
        <w:t>The spatial and temporal coverage of the surface water, groundwater and ecological monitoring programmes should be expanded to ensure monitoring is sufficient to:</w:t>
      </w:r>
    </w:p>
    <w:p w:rsidR="00C605B6" w:rsidRPr="00B10382" w:rsidRDefault="00D2397B" w:rsidP="00C605B6">
      <w:pPr>
        <w:pStyle w:val="ListNumber2"/>
      </w:pPr>
      <w:r w:rsidRPr="00B10382">
        <w:t>E</w:t>
      </w:r>
      <w:r w:rsidR="00C605B6" w:rsidRPr="00B10382">
        <w:t>nable derivation of appropriate trigger values for water quality and ecological</w:t>
      </w:r>
      <w:r w:rsidRPr="00B10382">
        <w:t xml:space="preserve"> values for each water resource.</w:t>
      </w:r>
    </w:p>
    <w:p w:rsidR="00C605B6" w:rsidRPr="00B10382" w:rsidRDefault="00D2397B" w:rsidP="00C605B6">
      <w:pPr>
        <w:pStyle w:val="ListNumber2"/>
      </w:pPr>
      <w:r w:rsidRPr="00B10382">
        <w:t>E</w:t>
      </w:r>
      <w:r w:rsidR="00363133" w:rsidRPr="00B10382">
        <w:t>nsure</w:t>
      </w:r>
      <w:r w:rsidR="00C605B6" w:rsidRPr="00B10382">
        <w:t xml:space="preserve"> early warnings of impacts exceeding predictions, in time to implement </w:t>
      </w:r>
      <w:r w:rsidR="00F016D1" w:rsidRPr="00B10382">
        <w:t xml:space="preserve">corrective action and </w:t>
      </w:r>
      <w:r w:rsidRPr="00B10382">
        <w:t>management strategies.</w:t>
      </w:r>
    </w:p>
    <w:p w:rsidR="00C605B6" w:rsidRPr="00B10382" w:rsidRDefault="00D2397B" w:rsidP="00C605B6">
      <w:pPr>
        <w:pStyle w:val="ListNumber2"/>
      </w:pPr>
      <w:r w:rsidRPr="00B10382">
        <w:t>D</w:t>
      </w:r>
      <w:r w:rsidR="00C605B6" w:rsidRPr="00B10382">
        <w:t xml:space="preserve">etermine </w:t>
      </w:r>
      <w:proofErr w:type="spellStart"/>
      <w:r w:rsidR="00C605B6" w:rsidRPr="00B10382">
        <w:t>exceedance</w:t>
      </w:r>
      <w:proofErr w:type="spellEnd"/>
      <w:r w:rsidR="00C605B6" w:rsidRPr="00B10382">
        <w:t xml:space="preserve"> of triggers in a quantifiable robust ma</w:t>
      </w:r>
      <w:r w:rsidR="00001745" w:rsidRPr="00B10382">
        <w:t>nner</w:t>
      </w:r>
      <w:r w:rsidR="00C605B6" w:rsidRPr="00B10382">
        <w:t xml:space="preserve"> and </w:t>
      </w:r>
      <w:r w:rsidR="00B53A60" w:rsidRPr="00B10382">
        <w:t>to</w:t>
      </w:r>
      <w:r w:rsidR="00C605B6" w:rsidRPr="00B10382">
        <w:t xml:space="preserve"> be capable of determining the contribution of the proposed project to any observed impacts, as distinct from those caused by othe</w:t>
      </w:r>
      <w:r w:rsidRPr="00B10382">
        <w:t>r users and climatic conditions.</w:t>
      </w:r>
    </w:p>
    <w:p w:rsidR="00C605B6" w:rsidRPr="00B10382" w:rsidRDefault="00D2397B" w:rsidP="00C605B6">
      <w:pPr>
        <w:pStyle w:val="ListNumber2"/>
      </w:pPr>
      <w:r w:rsidRPr="00B10382">
        <w:t>O</w:t>
      </w:r>
      <w:r w:rsidR="00C605B6" w:rsidRPr="00B10382">
        <w:t>btain the additional data needed to reduce uncertainties in the numerical ground</w:t>
      </w:r>
      <w:r w:rsidR="00001745" w:rsidRPr="00B10382">
        <w:t>water model predictions</w:t>
      </w:r>
      <w:r w:rsidRPr="00B10382">
        <w:t>.</w:t>
      </w:r>
    </w:p>
    <w:p w:rsidR="00C605B6" w:rsidRPr="00B10382" w:rsidRDefault="00D2397B" w:rsidP="00C605B6">
      <w:pPr>
        <w:pStyle w:val="ListNumber2"/>
      </w:pPr>
      <w:r w:rsidRPr="00B10382">
        <w:t>D</w:t>
      </w:r>
      <w:r w:rsidR="00C605B6" w:rsidRPr="00B10382">
        <w:t xml:space="preserve">etect post-mining impacts. </w:t>
      </w:r>
    </w:p>
    <w:p w:rsidR="00C605B6" w:rsidRPr="00B10382" w:rsidRDefault="00C605B6" w:rsidP="00383963">
      <w:pPr>
        <w:pStyle w:val="ListNumber"/>
      </w:pPr>
      <w:r w:rsidRPr="00B10382">
        <w:t>IESC 2015-066</w:t>
      </w:r>
      <w:r w:rsidR="00AD6A7E" w:rsidRPr="00B10382">
        <w:t xml:space="preserve"> </w:t>
      </w:r>
      <w:r w:rsidRPr="00B10382">
        <w:t>makes specific suggestions for expanding the proposed surface water and groundwater monitoring spatial coverage</w:t>
      </w:r>
      <w:r w:rsidR="00A92D30" w:rsidRPr="00B10382">
        <w:t xml:space="preserve"> (see paragraphs </w:t>
      </w:r>
      <w:fldSimple w:instr=" REF _Ref416967081 \r \h  \* MERGEFORMAT ">
        <w:r w:rsidR="007F7D51">
          <w:t>26</w:t>
        </w:r>
      </w:fldSimple>
      <w:r w:rsidR="00A92D30" w:rsidRPr="00B10382">
        <w:t>-</w:t>
      </w:r>
      <w:fldSimple w:instr=" REF _Ref416967962 \r \h  \* MERGEFORMAT ">
        <w:r w:rsidR="007F7D51">
          <w:t>33</w:t>
        </w:r>
      </w:fldSimple>
      <w:r w:rsidR="00A92D30" w:rsidRPr="00B10382">
        <w:t>)</w:t>
      </w:r>
      <w:r w:rsidRPr="00B10382">
        <w:t xml:space="preserve">. An ecological monitoring programme should be informed by surveys of water-dependent and salt-sensitive biota within and downstream of the project area. </w:t>
      </w:r>
    </w:p>
    <w:p w:rsidR="007654F3" w:rsidRPr="00B10382" w:rsidRDefault="00C605B6" w:rsidP="00383963">
      <w:pPr>
        <w:pStyle w:val="ListNumber"/>
      </w:pPr>
      <w:r w:rsidRPr="00B10382">
        <w:t>If triggers and limits are exceeded, management responses for surface water and groundwater should be clearly stated within an enforceable adaptive management framework and may include</w:t>
      </w:r>
      <w:r w:rsidR="00001745" w:rsidRPr="00B10382">
        <w:t>,</w:t>
      </w:r>
      <w:r w:rsidRPr="00B10382">
        <w:t xml:space="preserve"> but should not be limited to, the elements listed below.</w:t>
      </w:r>
    </w:p>
    <w:p w:rsidR="00C605B6" w:rsidRPr="00B10382" w:rsidRDefault="00C605B6" w:rsidP="00C605B6">
      <w:pPr>
        <w:pStyle w:val="ListNumber2"/>
      </w:pPr>
      <w:proofErr w:type="spellStart"/>
      <w:r w:rsidRPr="00B10382">
        <w:t>Ecotoxicity</w:t>
      </w:r>
      <w:proofErr w:type="spellEnd"/>
      <w:r w:rsidRPr="00B10382">
        <w:t xml:space="preserve"> testing of discharges and surface waters to assess bioavailability of contaminants in these mixtures.</w:t>
      </w:r>
    </w:p>
    <w:p w:rsidR="00C605B6" w:rsidRPr="00B10382" w:rsidRDefault="00C605B6" w:rsidP="00C605B6">
      <w:pPr>
        <w:pStyle w:val="ListNumber2"/>
      </w:pPr>
      <w:r w:rsidRPr="00B10382">
        <w:t xml:space="preserve">Water allocation and engineering management options including: water treatment; dam sizing; increasing the capacity of the water management system; and redesign, capping and revegetation of overburden. </w:t>
      </w:r>
      <w:r w:rsidR="005013A5" w:rsidRPr="00B10382">
        <w:t>The proponent suggests cut off measures and reinjection of water into depressurised aquifers to mitigate groundwater drawdown. A stronger rationale is needed for reinjection with consideration given to: the goals of the option; the likely sources of water for reinjection; the suitability of the water with regards to matching water quality at the injection site; the potential impacts to both the injection site and the source site; and evaluation of the reinjection against alternative management options such as purchasing additional groundwater licences or altering the mine plan.</w:t>
      </w:r>
    </w:p>
    <w:p w:rsidR="00C605B6" w:rsidRPr="00B10382" w:rsidRDefault="00C605B6" w:rsidP="00C605B6">
      <w:pPr>
        <w:pStyle w:val="ListNumber2"/>
      </w:pPr>
      <w:r w:rsidRPr="00B10382">
        <w:t>Mine plan management options including limiting depth and lateral extents of mining to reduce effects of depressurisation.</w:t>
      </w:r>
    </w:p>
    <w:p w:rsidR="00C605B6" w:rsidRPr="00B10382" w:rsidRDefault="00C605B6" w:rsidP="00C605B6">
      <w:pPr>
        <w:pStyle w:val="ListNumber2"/>
      </w:pPr>
      <w:r w:rsidRPr="00B10382">
        <w:t>Regular ongoing assessment, validation, recalibration and peer review of models to reduce uncertainties in model predictions and to enable initiation and/or variation of proposed management processes.</w:t>
      </w:r>
    </w:p>
    <w:p w:rsidR="00C605B6" w:rsidRPr="00B10382" w:rsidRDefault="00C605B6" w:rsidP="00C605B6">
      <w:pPr>
        <w:pStyle w:val="ListNumber2"/>
      </w:pPr>
      <w:r w:rsidRPr="00B10382">
        <w:t>Regulatory options where groundwater drawdown limits are exceeded and reassessment of suitability of approval limits and triggers.</w:t>
      </w:r>
    </w:p>
    <w:p w:rsidR="00C605B6" w:rsidRPr="00B10382" w:rsidRDefault="00C605B6" w:rsidP="00C605B6">
      <w:pPr>
        <w:pStyle w:val="Question"/>
      </w:pPr>
      <w:r w:rsidRPr="00B10382">
        <w:t>Question 5a: Has the revised information adequately addressed any salinity risks associated with the project at a local and regional scale?</w:t>
      </w:r>
    </w:p>
    <w:p w:rsidR="00C605B6" w:rsidRPr="00B10382" w:rsidRDefault="00C605B6" w:rsidP="00C605B6">
      <w:pPr>
        <w:pStyle w:val="Heading4"/>
      </w:pPr>
      <w:r w:rsidRPr="00B10382">
        <w:t>Response</w:t>
      </w:r>
    </w:p>
    <w:p w:rsidR="00C605B6" w:rsidRPr="00B10382" w:rsidRDefault="00DE5945" w:rsidP="00383963">
      <w:pPr>
        <w:pStyle w:val="ListNumber"/>
      </w:pPr>
      <w:r w:rsidRPr="00B10382">
        <w:t>Yes, at the regional scale, but not at the local scale.</w:t>
      </w:r>
      <w:r w:rsidR="00C605B6" w:rsidRPr="00B10382">
        <w:t xml:space="preserve"> The current lack of adequate surveys identifying water-dependent and salt-sensitive biota prevents an assessment of the risk of sediment dam saline discharges and long-term seepages at the local scale. Salt-sensitive biota within and downstream of the proposed project area should be identified, assessed for potential impacts and monitored. </w:t>
      </w:r>
    </w:p>
    <w:p w:rsidR="007654F3" w:rsidRPr="00B10382" w:rsidRDefault="00BB4E90" w:rsidP="00383963">
      <w:pPr>
        <w:pStyle w:val="ListNumber"/>
      </w:pPr>
      <w:r w:rsidRPr="00B10382">
        <w:t xml:space="preserve">The predicted salt loads from the proposed project are likely to be </w:t>
      </w:r>
      <w:proofErr w:type="gramStart"/>
      <w:r w:rsidRPr="00B10382">
        <w:t>have</w:t>
      </w:r>
      <w:proofErr w:type="gramEnd"/>
      <w:r w:rsidRPr="00B10382">
        <w:t xml:space="preserve"> a negligible impact on salinity at a regional scale</w:t>
      </w:r>
      <w:r w:rsidR="00363133" w:rsidRPr="00B10382">
        <w:t>.</w:t>
      </w:r>
      <w:r w:rsidR="00C605B6" w:rsidRPr="00B10382">
        <w:t xml:space="preserve"> As such the regional</w:t>
      </w:r>
      <w:r w:rsidR="00B71FBA" w:rsidRPr="00B10382">
        <w:t>-</w:t>
      </w:r>
      <w:r w:rsidR="00C605B6" w:rsidRPr="00B10382">
        <w:t>scale salinity risk is considered to have been adequately addressed.</w:t>
      </w:r>
    </w:p>
    <w:p w:rsidR="00C605B6" w:rsidRPr="00B10382" w:rsidRDefault="00C605B6" w:rsidP="00C605B6">
      <w:pPr>
        <w:pStyle w:val="Question"/>
      </w:pPr>
      <w:r w:rsidRPr="00B10382">
        <w:t>Question 5b: Are there additional measures and commitments required to monitor, mitigate and manage impacts resulting from salinity impacts?</w:t>
      </w:r>
    </w:p>
    <w:p w:rsidR="00C605B6" w:rsidRPr="00B10382" w:rsidRDefault="00C605B6" w:rsidP="00C605B6">
      <w:pPr>
        <w:pStyle w:val="Heading4"/>
      </w:pPr>
      <w:r w:rsidRPr="00B10382">
        <w:t>Response</w:t>
      </w:r>
    </w:p>
    <w:p w:rsidR="00C605B6" w:rsidRPr="00B10382" w:rsidRDefault="00C605B6" w:rsidP="00383963">
      <w:pPr>
        <w:pStyle w:val="ListNumber"/>
      </w:pPr>
      <w:bookmarkStart w:id="21" w:name="_Ref417461003"/>
      <w:r w:rsidRPr="00B10382">
        <w:t xml:space="preserve">Yes, </w:t>
      </w:r>
      <w:r w:rsidR="00BA4E66" w:rsidRPr="00B10382">
        <w:t xml:space="preserve">the IESC </w:t>
      </w:r>
      <w:r w:rsidR="00B5544B" w:rsidRPr="00B10382">
        <w:t xml:space="preserve">has identified </w:t>
      </w:r>
      <w:r w:rsidRPr="00B10382">
        <w:t xml:space="preserve">additional measures </w:t>
      </w:r>
      <w:r w:rsidR="00026171" w:rsidRPr="00B10382">
        <w:t>that should be implemented</w:t>
      </w:r>
      <w:r w:rsidR="00B53A60" w:rsidRPr="00B10382">
        <w:t xml:space="preserve"> </w:t>
      </w:r>
      <w:r w:rsidRPr="00B10382">
        <w:t xml:space="preserve">to </w:t>
      </w:r>
      <w:r w:rsidR="00A92D30" w:rsidRPr="00B10382">
        <w:t xml:space="preserve">monitor, mitigate and </w:t>
      </w:r>
      <w:r w:rsidRPr="00B10382">
        <w:t>manage the potential impacts from salinity at the local scale. Additions to the monitoring programme should include</w:t>
      </w:r>
      <w:bookmarkEnd w:id="21"/>
      <w:r w:rsidR="003D5028" w:rsidRPr="00B10382">
        <w:t xml:space="preserve"> the elements listed below.</w:t>
      </w:r>
    </w:p>
    <w:p w:rsidR="00C605B6" w:rsidRPr="00B10382" w:rsidRDefault="00C605B6" w:rsidP="00C605B6">
      <w:pPr>
        <w:pStyle w:val="ListNumber2"/>
      </w:pPr>
      <w:r w:rsidRPr="00B10382">
        <w:t>Identification, establishment of trigger values and monitoring of salt</w:t>
      </w:r>
      <w:r w:rsidR="00026171" w:rsidRPr="00B10382">
        <w:t>-</w:t>
      </w:r>
      <w:r w:rsidRPr="00B10382">
        <w:t xml:space="preserve">sensitive biota within and downstream of the proposed project area. </w:t>
      </w:r>
    </w:p>
    <w:p w:rsidR="00C605B6" w:rsidRPr="00B10382" w:rsidRDefault="00C605B6" w:rsidP="00C605B6">
      <w:pPr>
        <w:pStyle w:val="ListNumber2"/>
      </w:pPr>
      <w:r w:rsidRPr="00B10382">
        <w:t xml:space="preserve">Event-based water quality monitoring and continuous monitoring of flow and electrical conductivity (EC) in Native Dog Gully to provide context for water quality measurements, establish the flow regime, and monitor changes to the regime as a result of the proposed project. </w:t>
      </w:r>
    </w:p>
    <w:p w:rsidR="00C605B6" w:rsidRPr="00B10382" w:rsidRDefault="00C605B6" w:rsidP="00C605B6">
      <w:pPr>
        <w:pStyle w:val="ListNumber2"/>
      </w:pPr>
      <w:r w:rsidRPr="00B10382">
        <w:t xml:space="preserve">Monitoring of water flow and quality (including continuous monitoring of EC) in Watermark Gully downstream of the </w:t>
      </w:r>
      <w:r w:rsidR="005C300C" w:rsidRPr="00B10382">
        <w:t>e</w:t>
      </w:r>
      <w:r w:rsidRPr="00B10382">
        <w:t xml:space="preserve">astern </w:t>
      </w:r>
      <w:r w:rsidR="005C300C" w:rsidRPr="00B10382">
        <w:t>p</w:t>
      </w:r>
      <w:r w:rsidRPr="00B10382">
        <w:t xml:space="preserve">it to detect any impacts from runoff from the overburden emplacement area. </w:t>
      </w:r>
    </w:p>
    <w:p w:rsidR="00C605B6" w:rsidRPr="00B10382" w:rsidRDefault="00C605B6" w:rsidP="00383963">
      <w:pPr>
        <w:pStyle w:val="ListNumber"/>
      </w:pPr>
      <w:r w:rsidRPr="00B10382">
        <w:t xml:space="preserve">The surface water management plan should detail the mitigation and management measures that will be employed if salt loads exceed the </w:t>
      </w:r>
      <w:r w:rsidR="002D1A22" w:rsidRPr="00B10382">
        <w:t>site-specific</w:t>
      </w:r>
      <w:r w:rsidRPr="00B10382">
        <w:t xml:space="preserve"> trigger values in Watermark Gully, Native Dog Gully or the </w:t>
      </w:r>
      <w:proofErr w:type="spellStart"/>
      <w:r w:rsidRPr="00B10382">
        <w:t>Mooki</w:t>
      </w:r>
      <w:proofErr w:type="spellEnd"/>
      <w:r w:rsidRPr="00B10382">
        <w:t xml:space="preserve"> River. </w:t>
      </w:r>
    </w:p>
    <w:p w:rsidR="00C605B6" w:rsidRPr="00B10382" w:rsidRDefault="00C605B6" w:rsidP="00383963">
      <w:pPr>
        <w:pStyle w:val="ListNumber"/>
      </w:pPr>
      <w:bookmarkStart w:id="22" w:name="_Ref417461005"/>
      <w:r w:rsidRPr="00B10382">
        <w:t>Management responses may include, but should not be limited to: water treatment; dam sizing; increasing the capacity of the water management system; and redesign, capping and revegetation of overburden.</w:t>
      </w:r>
      <w:bookmarkEnd w:id="22"/>
    </w:p>
    <w:p w:rsidR="00C605B6" w:rsidRPr="00B10382" w:rsidRDefault="00C605B6" w:rsidP="00C605B6">
      <w:pPr>
        <w:pStyle w:val="Question"/>
        <w:keepNext/>
      </w:pPr>
      <w:r w:rsidRPr="00B10382">
        <w:t>Question 6a: Has the proponent adequately addressed the uncertainty of hydraulic connectivity and impacts to the Gunnedah Formation, Narrabri Formation and Permian ‘hard rock’ aquifers?</w:t>
      </w:r>
    </w:p>
    <w:p w:rsidR="00C605B6" w:rsidRPr="00B10382" w:rsidRDefault="00C605B6" w:rsidP="00C605B6">
      <w:pPr>
        <w:pStyle w:val="Heading4"/>
        <w:keepNext/>
      </w:pPr>
      <w:r w:rsidRPr="00B10382">
        <w:t>Response</w:t>
      </w:r>
    </w:p>
    <w:p w:rsidR="00321476" w:rsidRPr="00B10382" w:rsidRDefault="00321476" w:rsidP="00383963">
      <w:pPr>
        <w:pStyle w:val="ListNumber"/>
      </w:pPr>
      <w:r w:rsidRPr="00B10382">
        <w:t xml:space="preserve">Yes. The numerical groundwater model sensitivity analysis and uncertainty analysis within </w:t>
      </w:r>
      <w:r w:rsidR="006D3DA5" w:rsidRPr="00B10382">
        <w:t>the EIS</w:t>
      </w:r>
      <w:r w:rsidRPr="00B10382">
        <w:t>, information provided in response to a review by UNSW (DPE, 2014, App C) and additional modelling scenarios proposed by Dr Col Mackie</w:t>
      </w:r>
      <w:r w:rsidR="004A592B" w:rsidRPr="00B10382">
        <w:t xml:space="preserve"> (Hansen Bailey, 2014, App A)</w:t>
      </w:r>
      <w:r w:rsidRPr="00B10382">
        <w:t xml:space="preserve">, have reasonably addressed uncertainties associated with </w:t>
      </w:r>
      <w:r w:rsidR="004A592B" w:rsidRPr="00B10382">
        <w:t>the model</w:t>
      </w:r>
      <w:r w:rsidRPr="00B10382">
        <w:t xml:space="preserve"> including potential variability of hydraulic conductivity. These analyses improve confidence that impacts to the Gunnedah Formation, Narrabri Formation and Permian ‘hard rock’ aquifers are not likely to exceed those predicted </w:t>
      </w:r>
      <w:r w:rsidR="0049775F" w:rsidRPr="00B10382">
        <w:t>in the sensitivity and uncertainty analyses in the</w:t>
      </w:r>
      <w:r w:rsidRPr="00B10382">
        <w:t xml:space="preserve"> EIS. </w:t>
      </w:r>
    </w:p>
    <w:p w:rsidR="007654F3" w:rsidRPr="00B10382" w:rsidRDefault="00B71FBA" w:rsidP="00383963">
      <w:pPr>
        <w:pStyle w:val="ListNumber"/>
      </w:pPr>
      <w:r w:rsidRPr="00B10382">
        <w:t>A</w:t>
      </w:r>
      <w:r w:rsidR="00C605B6" w:rsidRPr="00B10382">
        <w:t>s described in the IESC 2015-066</w:t>
      </w:r>
      <w:r w:rsidR="00371BF2" w:rsidRPr="00B10382">
        <w:t xml:space="preserve"> (paragraph </w:t>
      </w:r>
      <w:fldSimple w:instr=" REF _Ref416967081 \r \h  \* MERGEFORMAT ">
        <w:r w:rsidR="007F7D51">
          <w:t>26</w:t>
        </w:r>
      </w:fldSimple>
      <w:r w:rsidR="00371BF2" w:rsidRPr="00B10382">
        <w:t>)</w:t>
      </w:r>
      <w:r w:rsidR="00C605B6" w:rsidRPr="00B10382">
        <w:t xml:space="preserve"> the proponent should undertake further monitoring and finer-scale </w:t>
      </w:r>
      <w:r w:rsidR="00D2397B" w:rsidRPr="00B10382">
        <w:t xml:space="preserve">groundwater </w:t>
      </w:r>
      <w:r w:rsidR="00C605B6" w:rsidRPr="00B10382">
        <w:t xml:space="preserve">modelling as the project progresses to further reduce uncertainty. This will </w:t>
      </w:r>
      <w:r w:rsidR="005A4275" w:rsidRPr="00B10382">
        <w:t xml:space="preserve">improve confidence in predictions and support clear identification and response to mine-induced impacts at a local scale. </w:t>
      </w:r>
      <w:r w:rsidR="009633FA" w:rsidRPr="00B10382">
        <w:t xml:space="preserve">Calibration and validation of finer-scale models </w:t>
      </w:r>
      <w:r w:rsidR="005A4275" w:rsidRPr="00B10382">
        <w:t>would only be feasible with observations of the actual responses of the local groundwater system to the proposed project.</w:t>
      </w:r>
    </w:p>
    <w:p w:rsidR="00F62124" w:rsidRPr="00B10382" w:rsidRDefault="00C605B6">
      <w:pPr>
        <w:pStyle w:val="Question"/>
        <w:keepNext/>
      </w:pPr>
      <w:r w:rsidRPr="00B10382">
        <w:t>Question 6b:</w:t>
      </w:r>
      <w:r w:rsidRPr="00B10382">
        <w:rPr>
          <w:rFonts w:eastAsia="Calibri" w:cs="Times New Roman"/>
          <w:sz w:val="22"/>
          <w:szCs w:val="22"/>
        </w:rPr>
        <w:t xml:space="preserve"> </w:t>
      </w:r>
      <w:r w:rsidRPr="00B10382">
        <w:t>Are the confidence levels around the predicted impacts to these structures sufficiently low to be relied upon to make a decision around matters of national environmental significance?</w:t>
      </w:r>
    </w:p>
    <w:p w:rsidR="00F62124" w:rsidRPr="00B10382" w:rsidRDefault="00C605B6">
      <w:pPr>
        <w:pStyle w:val="Heading4"/>
        <w:keepNext/>
      </w:pPr>
      <w:r w:rsidRPr="00B10382">
        <w:t>Response</w:t>
      </w:r>
    </w:p>
    <w:p w:rsidR="00C605B6" w:rsidRPr="00B10382" w:rsidRDefault="00C605B6" w:rsidP="00383963">
      <w:pPr>
        <w:pStyle w:val="ListNumber"/>
      </w:pPr>
      <w:r w:rsidRPr="00B10382">
        <w:t xml:space="preserve">In relation to groundwater modelling predictions, the source documentation is considered to be sufficiently robust to draw conclusions to the most likely range of groundwater drawdown impacts to the </w:t>
      </w:r>
      <w:r w:rsidR="00371BF2" w:rsidRPr="00B10382">
        <w:t>Gunnedah Formation, Narrabri Formation and Permian ‘hard rock’ aquifers</w:t>
      </w:r>
      <w:r w:rsidRPr="00B10382">
        <w:t xml:space="preserve">. </w:t>
      </w:r>
      <w:r w:rsidR="009633FA" w:rsidRPr="00B10382">
        <w:t xml:space="preserve">However, there remains an unassessed risk to GDEs and </w:t>
      </w:r>
      <w:r w:rsidRPr="00B10382">
        <w:t>the proponent should underta</w:t>
      </w:r>
      <w:r w:rsidR="00363133" w:rsidRPr="00B10382">
        <w:t xml:space="preserve">ke further monitoring and </w:t>
      </w:r>
      <w:r w:rsidR="002D1A22" w:rsidRPr="00B10382">
        <w:t>finer-scale</w:t>
      </w:r>
      <w:r w:rsidRPr="00B10382">
        <w:t xml:space="preserve"> </w:t>
      </w:r>
      <w:r w:rsidR="00D2397B" w:rsidRPr="00B10382">
        <w:t xml:space="preserve">groundwater </w:t>
      </w:r>
      <w:r w:rsidRPr="00B10382">
        <w:t>modelling as the project progresses, as described in IESC 2015-066</w:t>
      </w:r>
      <w:r w:rsidR="00371BF2" w:rsidRPr="00B10382">
        <w:t xml:space="preserve"> (paragraph </w:t>
      </w:r>
      <w:fldSimple w:instr=" REF _Ref416967081 \r \h  \* MERGEFORMAT ">
        <w:r w:rsidR="007F7D51">
          <w:t>26</w:t>
        </w:r>
      </w:fldSimple>
      <w:r w:rsidR="00371BF2" w:rsidRPr="00B10382">
        <w:t>)</w:t>
      </w:r>
      <w:r w:rsidRPr="00B10382">
        <w:t>, to further improve confidence and ensure that accurate predictions drive any necessary action in a timely manner to keep impacts within the bounds of those originally predicted.</w:t>
      </w:r>
    </w:p>
    <w:p w:rsidR="007654F3" w:rsidRPr="00B10382" w:rsidRDefault="00C605B6" w:rsidP="00383963">
      <w:pPr>
        <w:pStyle w:val="ListNumber"/>
      </w:pPr>
      <w:r w:rsidRPr="00B10382">
        <w:t xml:space="preserve">While the confidence levels around predicted groundwater drawdown impacts to </w:t>
      </w:r>
      <w:r w:rsidR="00E75091" w:rsidRPr="00B10382">
        <w:t>the Gunnedah Formation, Narrabri Formation and Permian ‘hard rock’ aquifers</w:t>
      </w:r>
      <w:r w:rsidRPr="00B10382">
        <w:t xml:space="preserve"> </w:t>
      </w:r>
      <w:r w:rsidR="006B4CF0" w:rsidRPr="00B10382">
        <w:t>are</w:t>
      </w:r>
      <w:r w:rsidRPr="00B10382">
        <w:t xml:space="preserve"> reasonable, there remains an unassessed risk to GDEs, which include EPBC-listed ecological communities (such as White</w:t>
      </w:r>
      <w:r w:rsidR="00001745" w:rsidRPr="00B10382">
        <w:t> </w:t>
      </w:r>
      <w:r w:rsidRPr="00B10382">
        <w:t xml:space="preserve">Box-Yellow Box-Blakely’s Red Gum Grassy Woodland and Derived Native Grassland) within the groundwater drawdown extent. Potential impacts to GDEs have been ruled out by the proponent as the GDEs considered were deemed not wholly dependent on groundwater. </w:t>
      </w:r>
      <w:r w:rsidR="0049775F" w:rsidRPr="00B10382">
        <w:t>However, by definition</w:t>
      </w:r>
      <w:r w:rsidR="00026171" w:rsidRPr="00B10382">
        <w:t xml:space="preserve"> (Richardson et al., 2011)</w:t>
      </w:r>
      <w:r w:rsidR="0023001D" w:rsidRPr="00B10382">
        <w:t xml:space="preserve">, </w:t>
      </w:r>
      <w:r w:rsidRPr="00B10382">
        <w:t xml:space="preserve">GDEs include ecosystems that opportunistically use groundwater and potential impacts should be considered for all GDEs. Additionally potential impacts to </w:t>
      </w:r>
      <w:r w:rsidR="00347AEB" w:rsidRPr="00B10382">
        <w:t xml:space="preserve">water dependent </w:t>
      </w:r>
      <w:r w:rsidRPr="00B10382">
        <w:t>ecosystems</w:t>
      </w:r>
      <w:r w:rsidR="00001745" w:rsidRPr="00B10382">
        <w:t xml:space="preserve"> beyond the proposed project area </w:t>
      </w:r>
      <w:r w:rsidRPr="00B10382">
        <w:t>remain uncertain due to insufficient survey effort.</w:t>
      </w:r>
    </w:p>
    <w:p w:rsidR="00C605B6" w:rsidRPr="00B10382" w:rsidRDefault="00C605B6" w:rsidP="00C605B6">
      <w:pPr>
        <w:pStyle w:val="Question"/>
      </w:pPr>
      <w:r w:rsidRPr="00B10382">
        <w:t>Question 6c: Are there any significant gaps in the scientific data presented that should be obtained to increase the confidence levels around the predicted impacts? If so, what data should be obtained?</w:t>
      </w:r>
    </w:p>
    <w:p w:rsidR="00C605B6" w:rsidRPr="00B10382" w:rsidRDefault="00C605B6" w:rsidP="00C605B6">
      <w:pPr>
        <w:pStyle w:val="Heading4"/>
      </w:pPr>
      <w:r w:rsidRPr="00B10382">
        <w:t>Response</w:t>
      </w:r>
    </w:p>
    <w:p w:rsidR="00C605B6" w:rsidRPr="00B10382" w:rsidRDefault="00646BD5" w:rsidP="00383963">
      <w:pPr>
        <w:pStyle w:val="ListNumber"/>
      </w:pPr>
      <w:r w:rsidRPr="00B10382">
        <w:t>In relation</w:t>
      </w:r>
      <w:r w:rsidR="00C605B6" w:rsidRPr="00B10382">
        <w:t xml:space="preserve"> to numerical groundwater modelling predictions, the scientific data is considered to be sufficiently robust to draw conclusions as to the most likely impacts on the Upper Namoi Alluvium, particularly the Gunnedah Formation, at a regional scale. </w:t>
      </w:r>
      <w:r w:rsidR="00383963" w:rsidRPr="00B10382">
        <w:t>Should the project progress</w:t>
      </w:r>
      <w:r w:rsidR="00C605B6" w:rsidRPr="00B10382">
        <w:t xml:space="preserve">, </w:t>
      </w:r>
      <w:r w:rsidR="00383963" w:rsidRPr="00B10382">
        <w:t xml:space="preserve">additional monitoring and </w:t>
      </w:r>
      <w:r w:rsidR="002D1A22" w:rsidRPr="00B10382">
        <w:t>finer-scale</w:t>
      </w:r>
      <w:r w:rsidR="00C605B6" w:rsidRPr="00B10382">
        <w:t xml:space="preserve"> groundwater modelling </w:t>
      </w:r>
      <w:r w:rsidR="00710517" w:rsidRPr="00B10382">
        <w:t>would</w:t>
      </w:r>
      <w:r w:rsidR="00C605B6" w:rsidRPr="00B10382">
        <w:t xml:space="preserve"> improve confidence in predictions and support clear identification and response to mine-induced impacts at a local scale. </w:t>
      </w:r>
      <w:r w:rsidR="009633FA" w:rsidRPr="00B10382">
        <w:t xml:space="preserve">Calibration and validation of finer-scale models </w:t>
      </w:r>
      <w:r w:rsidR="00E75091" w:rsidRPr="00B10382">
        <w:t>would only be feasible with observations of the actual responses of the local groundwater system to the proposed project.</w:t>
      </w:r>
    </w:p>
    <w:p w:rsidR="007654F3" w:rsidRPr="00B10382" w:rsidRDefault="00C605B6" w:rsidP="00383963">
      <w:pPr>
        <w:pStyle w:val="ListNumber"/>
      </w:pPr>
      <w:r w:rsidRPr="00B10382">
        <w:t>A staged approach to further monitoring would be appropriate to be undertaken in line with the proposed mine plan</w:t>
      </w:r>
      <w:r w:rsidR="000C035C" w:rsidRPr="00B10382">
        <w:t>, particularly in the Permian strata and weathered zone in the area between the mine pit</w:t>
      </w:r>
      <w:r w:rsidR="006D3DA5" w:rsidRPr="00B10382">
        <w:t>s (in particular the eastern and southern pits)</w:t>
      </w:r>
      <w:r w:rsidR="000C035C" w:rsidRPr="00B10382">
        <w:t xml:space="preserve"> and </w:t>
      </w:r>
      <w:r w:rsidR="006D3DA5" w:rsidRPr="00B10382">
        <w:t xml:space="preserve">the </w:t>
      </w:r>
      <w:r w:rsidR="000C035C" w:rsidRPr="00B10382">
        <w:t>Upper Namoi Alluvium</w:t>
      </w:r>
      <w:r w:rsidRPr="00B10382">
        <w:t xml:space="preserve">. This monitoring </w:t>
      </w:r>
      <w:r w:rsidR="000C035C" w:rsidRPr="00B10382">
        <w:t>should</w:t>
      </w:r>
      <w:r w:rsidRPr="00B10382">
        <w:t xml:space="preserve"> be undertaken in conjunction with development of finer-scale groundwater models focussing on each pit, with more detailed definition of strata, seasonal variation and boundary conditions. Improved understanding of the </w:t>
      </w:r>
      <w:proofErr w:type="spellStart"/>
      <w:r w:rsidRPr="00B10382">
        <w:t>hydrogeological</w:t>
      </w:r>
      <w:proofErr w:type="spellEnd"/>
      <w:r w:rsidRPr="00B10382">
        <w:t xml:space="preserve"> system gained during operations in one pit should be used to assess potential impacts associated with the next</w:t>
      </w:r>
      <w:r w:rsidR="000C035C" w:rsidRPr="00B10382">
        <w:t xml:space="preserve"> pit</w:t>
      </w:r>
      <w:r w:rsidRPr="00B10382">
        <w:t xml:space="preserve">. The knowledge gained during operations should be used to inform the assessment of potential impacts from the final landform, including the proposed void and potential seepages and determination of mitigation or management strategies. </w:t>
      </w:r>
    </w:p>
    <w:p w:rsidR="007654F3" w:rsidRPr="00B10382" w:rsidRDefault="00C605B6" w:rsidP="00383963">
      <w:pPr>
        <w:pStyle w:val="ListNumber"/>
      </w:pPr>
      <w:r w:rsidRPr="00B10382">
        <w:t>Additional information on the following matters would improve confidence levels around the potential impacts to water resources. The IESC considers that these information needs could be met by targeted additional data collection and improvements to the monitoring and management programme before and during operations.</w:t>
      </w:r>
    </w:p>
    <w:p w:rsidR="00C605B6" w:rsidRPr="00B10382" w:rsidRDefault="00C605B6" w:rsidP="00C605B6">
      <w:pPr>
        <w:pStyle w:val="ListNumber2"/>
      </w:pPr>
      <w:r w:rsidRPr="00B10382">
        <w:t>Identification of GDEs beyond the proposed project boundary and an assessment of their current condition, any potential impacts from the proposed project, and any cumulative impacts.</w:t>
      </w:r>
    </w:p>
    <w:p w:rsidR="00C605B6" w:rsidRPr="00B10382" w:rsidRDefault="00C605B6" w:rsidP="00C605B6">
      <w:pPr>
        <w:pStyle w:val="ListNumber2"/>
      </w:pPr>
      <w:r w:rsidRPr="00B10382">
        <w:t xml:space="preserve">An assessment of the potential ecological impact of the project on the </w:t>
      </w:r>
      <w:proofErr w:type="spellStart"/>
      <w:r w:rsidRPr="00B10382">
        <w:t>instream</w:t>
      </w:r>
      <w:proofErr w:type="spellEnd"/>
      <w:r w:rsidRPr="00B10382">
        <w:t xml:space="preserve"> community in the </w:t>
      </w:r>
      <w:proofErr w:type="spellStart"/>
      <w:r w:rsidRPr="00B10382">
        <w:t>Mooki</w:t>
      </w:r>
      <w:proofErr w:type="spellEnd"/>
      <w:r w:rsidRPr="00B10382">
        <w:t xml:space="preserve"> River. The combined impacts of loss of </w:t>
      </w:r>
      <w:proofErr w:type="spellStart"/>
      <w:r w:rsidRPr="00B10382">
        <w:t>streamflow</w:t>
      </w:r>
      <w:proofErr w:type="spellEnd"/>
      <w:r w:rsidRPr="00B10382">
        <w:t xml:space="preserve"> as well as changes to water quality, particularly salt loads and dissolved metals during ‘first flush’ events on Native Dog Gully and the </w:t>
      </w:r>
      <w:proofErr w:type="spellStart"/>
      <w:r w:rsidRPr="00B10382">
        <w:t>Mooki</w:t>
      </w:r>
      <w:proofErr w:type="spellEnd"/>
      <w:r w:rsidRPr="00B10382">
        <w:t xml:space="preserve"> River should be further considered.</w:t>
      </w:r>
    </w:p>
    <w:p w:rsidR="00C605B6" w:rsidRPr="00B10382" w:rsidRDefault="00C605B6" w:rsidP="00C605B6">
      <w:pPr>
        <w:pStyle w:val="ListNumber2"/>
      </w:pPr>
      <w:r w:rsidRPr="00B10382">
        <w:t xml:space="preserve">A thorough assessment of the risk to water resources and water-related assets from runoff from overburden emplacement areas. Monitoring of surface water quality in Watermark Gully downstream of the </w:t>
      </w:r>
      <w:r w:rsidR="005C300C" w:rsidRPr="00B10382">
        <w:t>e</w:t>
      </w:r>
      <w:r w:rsidRPr="00B10382">
        <w:t xml:space="preserve">astern </w:t>
      </w:r>
      <w:r w:rsidR="005C300C" w:rsidRPr="00B10382">
        <w:t>p</w:t>
      </w:r>
      <w:r w:rsidRPr="00B10382">
        <w:t>it, and the addition of selenium, aluminium and molybdenum to the suite of metals tested on a regular basis in watercourses downstream of the proposed project area</w:t>
      </w:r>
      <w:proofErr w:type="gramStart"/>
      <w:r w:rsidR="00FC6F1D" w:rsidRPr="00B10382">
        <w:t>.</w:t>
      </w:r>
      <w:r w:rsidRPr="00B10382">
        <w:t>.</w:t>
      </w:r>
      <w:proofErr w:type="gramEnd"/>
      <w:r w:rsidRPr="00B10382">
        <w:t xml:space="preserve"> </w:t>
      </w:r>
    </w:p>
    <w:p w:rsidR="00C605B6" w:rsidRPr="00B10382" w:rsidRDefault="00C605B6" w:rsidP="00C605B6">
      <w:pPr>
        <w:pStyle w:val="Question"/>
      </w:pPr>
      <w:r w:rsidRPr="00B10382">
        <w:t>Question 7: Are the proposed management responses to groundwater alluvium interception adequate? If not, are there additional measures and commitments required to mitigate and manage impacts?</w:t>
      </w:r>
    </w:p>
    <w:p w:rsidR="00C605B6" w:rsidRPr="00B10382" w:rsidRDefault="00C605B6" w:rsidP="00C605B6">
      <w:pPr>
        <w:pStyle w:val="Heading4"/>
      </w:pPr>
      <w:r w:rsidRPr="00B10382">
        <w:t>Response</w:t>
      </w:r>
    </w:p>
    <w:p w:rsidR="00C605B6" w:rsidRPr="00B10382" w:rsidRDefault="00C338FD" w:rsidP="00383963">
      <w:pPr>
        <w:pStyle w:val="ListNumber"/>
      </w:pPr>
      <w:r w:rsidRPr="00B10382">
        <w:t xml:space="preserve">The adequacy of these measures cannot be determined at this stage as </w:t>
      </w:r>
      <w:r w:rsidR="0049775F" w:rsidRPr="00B10382">
        <w:t>mitigation</w:t>
      </w:r>
      <w:r w:rsidR="00A92D30" w:rsidRPr="00B10382">
        <w:t xml:space="preserve"> and </w:t>
      </w:r>
      <w:r w:rsidRPr="00B10382">
        <w:t>m</w:t>
      </w:r>
      <w:r w:rsidR="00C605B6" w:rsidRPr="00B10382">
        <w:t>anagement responses have not been stated explicitly.</w:t>
      </w:r>
      <w:r w:rsidR="00FC6F1D" w:rsidRPr="00B10382">
        <w:t xml:space="preserve"> To</w:t>
      </w:r>
      <w:r w:rsidR="00C605B6" w:rsidRPr="00B10382">
        <w:t xml:space="preserve"> ensure management responses are adequate, clear trigger and limit </w:t>
      </w:r>
      <w:proofErr w:type="spellStart"/>
      <w:r w:rsidR="00C605B6" w:rsidRPr="00B10382">
        <w:t>exceedance</w:t>
      </w:r>
      <w:proofErr w:type="spellEnd"/>
      <w:r w:rsidR="00C605B6" w:rsidRPr="00B10382">
        <w:t xml:space="preserve"> levels, and robust regulatory enforcement mechanisms should be established.</w:t>
      </w:r>
    </w:p>
    <w:p w:rsidR="00E93055" w:rsidRPr="00B10382" w:rsidRDefault="00C605B6">
      <w:pPr>
        <w:pStyle w:val="Heading4"/>
      </w:pPr>
      <w:r w:rsidRPr="00B10382">
        <w:t>Explanation</w:t>
      </w:r>
    </w:p>
    <w:p w:rsidR="00E93055" w:rsidRPr="00B10382" w:rsidRDefault="00C605B6" w:rsidP="00383963">
      <w:pPr>
        <w:pStyle w:val="ListNumber"/>
      </w:pPr>
      <w:r w:rsidRPr="00B10382">
        <w:t xml:space="preserve">Groundwater triggers and subsequent management responses are proposed to be developed within water management plans in the post approval process. The IESC is unable to comment on their appropriateness, as the plans are not yet available. </w:t>
      </w:r>
    </w:p>
    <w:p w:rsidR="007654F3" w:rsidRPr="00B10382" w:rsidRDefault="00C605B6" w:rsidP="00383963">
      <w:pPr>
        <w:pStyle w:val="ListNumber"/>
      </w:pPr>
      <w:r w:rsidRPr="00B10382">
        <w:t xml:space="preserve">The additional information (Hansen Bailey, 2014, App A) has identified the need for more monitoring wells to be installed and located within the predicted zone of depressurisation to assess the extent and rate of depressurisation against numerical groundwater model predictions. Even though groundwater drawdown is not predicted in the Upper Namoi Alluvium to the north of the </w:t>
      </w:r>
      <w:r w:rsidR="005C300C" w:rsidRPr="00B10382">
        <w:t>e</w:t>
      </w:r>
      <w:r w:rsidRPr="00B10382">
        <w:t xml:space="preserve">astern </w:t>
      </w:r>
      <w:r w:rsidR="005C300C" w:rsidRPr="00B10382">
        <w:t>p</w:t>
      </w:r>
      <w:r w:rsidRPr="00B10382">
        <w:t>it, additional multi-level (nested) monitoring wells should be placed in this area to confirm model predictions and provide an early warning of any variation from predicted depressurisation in this area.</w:t>
      </w:r>
    </w:p>
    <w:p w:rsidR="007654F3" w:rsidRPr="00B10382" w:rsidRDefault="00C605B6" w:rsidP="00383963">
      <w:pPr>
        <w:pStyle w:val="ListNumber"/>
      </w:pPr>
      <w:r w:rsidRPr="00B10382">
        <w:t>In light of the results of the sensitivity and uncertainty analysis undertaken for the EIS it would have been beneficial to have a corresponding uncertainty analysis for the scenario posed by Dr</w:t>
      </w:r>
      <w:r w:rsidR="00363133" w:rsidRPr="00B10382">
        <w:t> Col Mackie</w:t>
      </w:r>
      <w:r w:rsidR="00426637" w:rsidRPr="00B10382">
        <w:t xml:space="preserve"> and referenced by the PAC</w:t>
      </w:r>
      <w:r w:rsidRPr="00B10382">
        <w:t xml:space="preserve"> (Scenarios 3, 6, 7, and 11 in Hansen Bailey, 2014, App A)</w:t>
      </w:r>
      <w:r w:rsidR="00426637" w:rsidRPr="00B10382">
        <w:t xml:space="preserve"> in order</w:t>
      </w:r>
      <w:r w:rsidRPr="00B10382">
        <w:t xml:space="preserve"> to understand more fully the potential for exceeding the conditions relating to groundwater drawdown impacts in the Upper Namoi Alluvium set in the NSW Government consent (PAC, 2015). In the absence of such an uncertainty analysis, a strong emphasis should be placed on developing:</w:t>
      </w:r>
    </w:p>
    <w:p w:rsidR="00C605B6" w:rsidRPr="00B10382" w:rsidRDefault="00D2397B" w:rsidP="00C605B6">
      <w:pPr>
        <w:pStyle w:val="ListNumber2"/>
      </w:pPr>
      <w:r w:rsidRPr="00B10382">
        <w:t>A</w:t>
      </w:r>
      <w:r w:rsidR="00C605B6" w:rsidRPr="00B10382">
        <w:t xml:space="preserve"> monitoring programme that enables early warnings of </w:t>
      </w:r>
      <w:r w:rsidR="00FC6F1D" w:rsidRPr="00B10382">
        <w:t xml:space="preserve">greater </w:t>
      </w:r>
      <w:r w:rsidR="00C605B6" w:rsidRPr="00B10382">
        <w:t>depressurisation</w:t>
      </w:r>
      <w:r w:rsidR="00FC6F1D" w:rsidRPr="00B10382">
        <w:t xml:space="preserve"> than predicted</w:t>
      </w:r>
      <w:r w:rsidRPr="00B10382">
        <w:t>.</w:t>
      </w:r>
    </w:p>
    <w:p w:rsidR="00C605B6" w:rsidRPr="00B10382" w:rsidRDefault="00D2397B" w:rsidP="00C605B6">
      <w:pPr>
        <w:pStyle w:val="ListNumber2"/>
      </w:pPr>
      <w:r w:rsidRPr="00B10382">
        <w:t>R</w:t>
      </w:r>
      <w:r w:rsidR="00C605B6" w:rsidRPr="00B10382">
        <w:t xml:space="preserve">obust enforceable management protocols (for proponent and regulator) for action to be taken </w:t>
      </w:r>
      <w:r w:rsidR="00A436E0" w:rsidRPr="00B10382">
        <w:t>in time so that limits are not exceeded.</w:t>
      </w:r>
    </w:p>
    <w:p w:rsidR="00C605B6" w:rsidRPr="00B10382" w:rsidRDefault="00C605B6" w:rsidP="00C605B6">
      <w:pPr>
        <w:pStyle w:val="Question"/>
      </w:pPr>
      <w:r w:rsidRPr="00B10382">
        <w:t>Question 8: Are the proposed management responses to increasing salinity levels adequate? If not, are there additional measure and commitments required to mitigate and manage impacts?</w:t>
      </w:r>
    </w:p>
    <w:p w:rsidR="00C605B6" w:rsidRPr="00B10382" w:rsidRDefault="00C605B6" w:rsidP="00C605B6">
      <w:pPr>
        <w:pStyle w:val="Heading4"/>
      </w:pPr>
      <w:r w:rsidRPr="00B10382">
        <w:t>Response</w:t>
      </w:r>
    </w:p>
    <w:p w:rsidR="00C605B6" w:rsidRPr="00B10382" w:rsidRDefault="00C338FD" w:rsidP="00383963">
      <w:pPr>
        <w:pStyle w:val="ListNumber"/>
      </w:pPr>
      <w:r w:rsidRPr="00B10382">
        <w:t>The adequacy of these measures cannot be determined at this stage as t</w:t>
      </w:r>
      <w:r w:rsidR="00C605B6" w:rsidRPr="00B10382">
        <w:t xml:space="preserve">he proposed </w:t>
      </w:r>
      <w:r w:rsidR="0049775F" w:rsidRPr="00B10382">
        <w:t>mitigation and</w:t>
      </w:r>
      <w:r w:rsidR="00A92D30" w:rsidRPr="00B10382">
        <w:t xml:space="preserve"> </w:t>
      </w:r>
      <w:r w:rsidR="00C605B6" w:rsidRPr="00B10382">
        <w:t xml:space="preserve">management responses </w:t>
      </w:r>
      <w:r w:rsidR="00A92D30" w:rsidRPr="00B10382">
        <w:t xml:space="preserve">are to </w:t>
      </w:r>
      <w:r w:rsidR="00C605B6" w:rsidRPr="00B10382">
        <w:t xml:space="preserve">be included in the </w:t>
      </w:r>
      <w:r w:rsidR="00A92D30" w:rsidRPr="00B10382">
        <w:t>w</w:t>
      </w:r>
      <w:r w:rsidR="00C605B6" w:rsidRPr="00B10382">
        <w:t xml:space="preserve">ater </w:t>
      </w:r>
      <w:r w:rsidR="00A92D30" w:rsidRPr="00B10382">
        <w:t>m</w:t>
      </w:r>
      <w:r w:rsidR="00C605B6" w:rsidRPr="00B10382">
        <w:t xml:space="preserve">anagement </w:t>
      </w:r>
      <w:r w:rsidR="00A92D30" w:rsidRPr="00B10382">
        <w:t>p</w:t>
      </w:r>
      <w:r w:rsidR="00C605B6" w:rsidRPr="00B10382">
        <w:t xml:space="preserve">lan. </w:t>
      </w:r>
    </w:p>
    <w:p w:rsidR="00C605B6" w:rsidRPr="00B10382" w:rsidRDefault="00C605B6" w:rsidP="00383963">
      <w:pPr>
        <w:pStyle w:val="ListNumber"/>
      </w:pPr>
      <w:r w:rsidRPr="00B10382">
        <w:t xml:space="preserve">The IESC </w:t>
      </w:r>
      <w:r w:rsidR="00AE0397" w:rsidRPr="00B10382">
        <w:t xml:space="preserve">has identified </w:t>
      </w:r>
      <w:r w:rsidRPr="00B10382">
        <w:t xml:space="preserve">additional measures to mitigate </w:t>
      </w:r>
      <w:r w:rsidR="00FC6F1D" w:rsidRPr="00B10382">
        <w:t xml:space="preserve">and manage </w:t>
      </w:r>
      <w:r w:rsidRPr="00B10382">
        <w:t xml:space="preserve">the potential impacts from salinity at the </w:t>
      </w:r>
      <w:r w:rsidR="002D1A22" w:rsidRPr="00B10382">
        <w:t>local</w:t>
      </w:r>
      <w:r w:rsidR="00AE0397" w:rsidRPr="00B10382">
        <w:t xml:space="preserve"> </w:t>
      </w:r>
      <w:r w:rsidR="002D1A22" w:rsidRPr="00B10382">
        <w:t>scale</w:t>
      </w:r>
      <w:r w:rsidRPr="00B10382">
        <w:t xml:space="preserve"> as per</w:t>
      </w:r>
      <w:r w:rsidR="00994DB8" w:rsidRPr="00B10382">
        <w:t xml:space="preserve"> the response to Question 5(b) above</w:t>
      </w:r>
      <w:r w:rsidRPr="00B10382">
        <w:t xml:space="preserve"> </w:t>
      </w:r>
      <w:r w:rsidR="00994DB8" w:rsidRPr="00B10382">
        <w:t>(</w:t>
      </w:r>
      <w:r w:rsidR="002D5CC3" w:rsidRPr="00B10382">
        <w:t xml:space="preserve">paragraphs </w:t>
      </w:r>
      <w:fldSimple w:instr=" REF _Ref417461003 \r \h  \* MERGEFORMAT ">
        <w:r w:rsidR="007F7D51">
          <w:t>85</w:t>
        </w:r>
      </w:fldSimple>
      <w:r w:rsidR="00994DB8" w:rsidRPr="00B10382">
        <w:t>-</w:t>
      </w:r>
      <w:fldSimple w:instr=" REF _Ref417461005 \r \h  \* MERGEFORMAT ">
        <w:r w:rsidR="007F7D51">
          <w:t>87</w:t>
        </w:r>
      </w:fldSimple>
      <w:r w:rsidR="00994DB8" w:rsidRPr="00B10382">
        <w:t xml:space="preserve"> </w:t>
      </w:r>
      <w:r w:rsidRPr="00B10382">
        <w:t>of this advice IESC 2015-067</w:t>
      </w:r>
      <w:r w:rsidR="00994DB8" w:rsidRPr="00B10382">
        <w:t>)</w:t>
      </w:r>
      <w:r w:rsidR="00383963" w:rsidRPr="00B10382">
        <w:t>.</w:t>
      </w:r>
    </w:p>
    <w:p w:rsidR="00C605B6" w:rsidRPr="00B10382" w:rsidRDefault="00C605B6" w:rsidP="00C605B6">
      <w:pPr>
        <w:pStyle w:val="Question"/>
      </w:pPr>
      <w:r w:rsidRPr="00B10382">
        <w:t>Question 9: The proponent has concluded that there is a low risk of hydraulic connection between the Upper Namoi Alluvium and the Permian sequence and has therefore concluded that the floodplain alluviums will not be impacted. Does the Committee agree with this conclusion?</w:t>
      </w:r>
    </w:p>
    <w:p w:rsidR="00C605B6" w:rsidRPr="00B10382" w:rsidRDefault="00C605B6" w:rsidP="00C605B6">
      <w:pPr>
        <w:pStyle w:val="Heading4"/>
      </w:pPr>
      <w:r w:rsidRPr="00B10382">
        <w:t>Response</w:t>
      </w:r>
    </w:p>
    <w:p w:rsidR="00C605B6" w:rsidRPr="00B10382" w:rsidRDefault="002D6761" w:rsidP="00383963">
      <w:pPr>
        <w:pStyle w:val="ListNumber"/>
      </w:pPr>
      <w:r w:rsidRPr="00B10382">
        <w:t xml:space="preserve">The proponent’s numerical groundwater model, which the IESC considers to be reasonable, demonstrates a direct hydraulic connection between the Upper Namoi Alluvium and the Permian strata and predicts groundwater drawdown within the floodplain alluviums as a result of the proposed project. The magnitude and extent of groundwater drawdown in the alluvial aquifers is considered unlikely to be significant, based on predictions described in the sensitivity and uncertainty analyses in the EIS. </w:t>
      </w:r>
      <w:r w:rsidR="00710517" w:rsidRPr="00B10382">
        <w:t>T</w:t>
      </w:r>
      <w:r w:rsidRPr="00B10382">
        <w:t xml:space="preserve">o improve confidence in groundwater drawdown predictions over time, additional data </w:t>
      </w:r>
      <w:r w:rsidR="00710517" w:rsidRPr="00B10382">
        <w:t>should be</w:t>
      </w:r>
      <w:r w:rsidRPr="00B10382">
        <w:t xml:space="preserve"> gathered on the hydraulic connectivity between the Permian strata and the Upper Namoi Alluvium</w:t>
      </w:r>
      <w:r w:rsidR="00710517" w:rsidRPr="00B10382">
        <w:t xml:space="preserve"> (as discussed in response to Question 3a within IESC</w:t>
      </w:r>
      <w:r w:rsidR="006D29F6" w:rsidRPr="00B10382">
        <w:t> </w:t>
      </w:r>
      <w:r w:rsidR="00710517" w:rsidRPr="00B10382">
        <w:t>2015-066)</w:t>
      </w:r>
      <w:r w:rsidRPr="00B10382">
        <w:t xml:space="preserve">. </w:t>
      </w:r>
    </w:p>
    <w:tbl>
      <w:tblPr>
        <w:tblW w:w="9322" w:type="dxa"/>
        <w:tblBorders>
          <w:insideH w:val="single" w:sz="4" w:space="0" w:color="auto"/>
        </w:tblBorders>
        <w:tblCellMar>
          <w:top w:w="113" w:type="dxa"/>
          <w:bottom w:w="113" w:type="dxa"/>
        </w:tblCellMar>
        <w:tblLook w:val="01E0"/>
      </w:tblPr>
      <w:tblGrid>
        <w:gridCol w:w="1809"/>
        <w:gridCol w:w="7513"/>
      </w:tblGrid>
      <w:tr w:rsidR="00C605B6" w:rsidRPr="00B10382" w:rsidTr="004036FE">
        <w:trPr>
          <w:trHeight w:val="19"/>
        </w:trPr>
        <w:tc>
          <w:tcPr>
            <w:tcW w:w="1809" w:type="dxa"/>
            <w:tcBorders>
              <w:top w:val="single" w:sz="4" w:space="0" w:color="auto"/>
              <w:bottom w:val="single" w:sz="4" w:space="0" w:color="auto"/>
            </w:tcBorders>
          </w:tcPr>
          <w:p w:rsidR="00C605B6" w:rsidRPr="00B10382" w:rsidRDefault="00C605B6" w:rsidP="004036FE">
            <w:pPr>
              <w:pStyle w:val="Heading2"/>
            </w:pPr>
            <w:r w:rsidRPr="00B10382">
              <w:t>Date of advice</w:t>
            </w:r>
          </w:p>
        </w:tc>
        <w:tc>
          <w:tcPr>
            <w:tcW w:w="7513" w:type="dxa"/>
            <w:tcBorders>
              <w:top w:val="single" w:sz="4" w:space="0" w:color="auto"/>
              <w:bottom w:val="single" w:sz="4" w:space="0" w:color="auto"/>
            </w:tcBorders>
          </w:tcPr>
          <w:p w:rsidR="00C605B6" w:rsidRPr="00B10382" w:rsidRDefault="006D3DA5" w:rsidP="00B10382">
            <w:pPr>
              <w:pStyle w:val="Tabletext"/>
            </w:pPr>
            <w:r w:rsidRPr="00B10382">
              <w:t>2</w:t>
            </w:r>
            <w:r w:rsidR="00B10382">
              <w:t>7</w:t>
            </w:r>
            <w:r w:rsidRPr="00B10382">
              <w:t xml:space="preserve"> </w:t>
            </w:r>
            <w:r w:rsidR="00C605B6" w:rsidRPr="00B10382">
              <w:t>April 2015</w:t>
            </w:r>
          </w:p>
        </w:tc>
      </w:tr>
    </w:tbl>
    <w:p w:rsidR="00C605B6" w:rsidRPr="00B10382" w:rsidRDefault="00C605B6" w:rsidP="00C605B6"/>
    <w:p w:rsidR="00F70888" w:rsidRPr="00B10382" w:rsidRDefault="00F70888" w:rsidP="00F70888">
      <w:pPr>
        <w:pStyle w:val="Heading2"/>
        <w:sectPr w:rsidR="00F70888" w:rsidRPr="00B10382" w:rsidSect="00BB0B33">
          <w:headerReference w:type="default" r:id="rId14"/>
          <w:footerReference w:type="default" r:id="rId15"/>
          <w:headerReference w:type="first" r:id="rId16"/>
          <w:pgSz w:w="11906" w:h="16838"/>
          <w:pgMar w:top="1440" w:right="1440" w:bottom="1440" w:left="1440" w:header="425" w:footer="425" w:gutter="0"/>
          <w:pgNumType w:start="1"/>
          <w:cols w:space="708"/>
          <w:docGrid w:linePitch="360"/>
        </w:sectPr>
      </w:pPr>
    </w:p>
    <w:tbl>
      <w:tblPr>
        <w:tblW w:w="9322" w:type="dxa"/>
        <w:tblBorders>
          <w:insideH w:val="single" w:sz="4" w:space="0" w:color="auto"/>
        </w:tblBorders>
        <w:tblCellMar>
          <w:top w:w="113" w:type="dxa"/>
          <w:bottom w:w="113" w:type="dxa"/>
        </w:tblCellMar>
        <w:tblLook w:val="01E0"/>
      </w:tblPr>
      <w:tblGrid>
        <w:gridCol w:w="1809"/>
        <w:gridCol w:w="7513"/>
      </w:tblGrid>
      <w:tr w:rsidR="00F70888" w:rsidRPr="00B10382" w:rsidTr="00F70888">
        <w:trPr>
          <w:trHeight w:val="161"/>
        </w:trPr>
        <w:tc>
          <w:tcPr>
            <w:tcW w:w="1809" w:type="dxa"/>
            <w:tcBorders>
              <w:top w:val="single" w:sz="4" w:space="0" w:color="auto"/>
              <w:bottom w:val="single" w:sz="4" w:space="0" w:color="auto"/>
            </w:tcBorders>
          </w:tcPr>
          <w:p w:rsidR="00F70888" w:rsidRPr="00B10382" w:rsidRDefault="00F70888" w:rsidP="00F70888">
            <w:pPr>
              <w:pStyle w:val="Heading2"/>
            </w:pPr>
            <w:r w:rsidRPr="00B10382">
              <w:t>Source documentation available to the IESC in the formulation of IESC advice 2015-066 and 2015-067</w:t>
            </w:r>
          </w:p>
        </w:tc>
        <w:tc>
          <w:tcPr>
            <w:tcW w:w="7513" w:type="dxa"/>
            <w:tcBorders>
              <w:top w:val="single" w:sz="4" w:space="0" w:color="auto"/>
              <w:bottom w:val="single" w:sz="4" w:space="0" w:color="auto"/>
            </w:tcBorders>
          </w:tcPr>
          <w:p w:rsidR="00F70888" w:rsidRPr="00B10382" w:rsidRDefault="00F70888" w:rsidP="00F70888">
            <w:r w:rsidRPr="00B10382">
              <w:t xml:space="preserve">Acworth R and </w:t>
            </w:r>
            <w:proofErr w:type="spellStart"/>
            <w:r w:rsidRPr="00B10382">
              <w:t>Timms</w:t>
            </w:r>
            <w:proofErr w:type="spellEnd"/>
            <w:r w:rsidRPr="00B10382">
              <w:t xml:space="preserve"> W, 2009. Evidence for connected water processes through </w:t>
            </w:r>
            <w:proofErr w:type="spellStart"/>
            <w:r w:rsidRPr="00B10382">
              <w:t>smectite</w:t>
            </w:r>
            <w:proofErr w:type="spellEnd"/>
            <w:r w:rsidRPr="00B10382">
              <w:t>-dominated clays at Breeza, New South Wales. Australian Journal of Earth Sciences 56 (1) 81-96.</w:t>
            </w:r>
          </w:p>
          <w:p w:rsidR="00F70888" w:rsidRPr="00B10382" w:rsidRDefault="00F70888" w:rsidP="00F70888">
            <w:r w:rsidRPr="00B10382">
              <w:t>Barrett C, 2010. Upper Namoi Groundwater Sources – Resource Condition Assessment Report 2010, NSW Office of Water, Sydney.</w:t>
            </w:r>
          </w:p>
          <w:p w:rsidR="00F70888" w:rsidRPr="00B10382" w:rsidRDefault="00F70888" w:rsidP="00F70888">
            <w:r w:rsidRPr="00B10382">
              <w:t>Barrett C, 2012. Upper Namoi Groundwater Source – Status Report 2011, NSW Office of Water, Sydney.</w:t>
            </w:r>
          </w:p>
          <w:p w:rsidR="00F70888" w:rsidRPr="00B10382" w:rsidRDefault="00F70888" w:rsidP="00F70888">
            <w:r w:rsidRPr="00B10382">
              <w:t>BHP Billiton, 2015. Caroona Coal Project Gateway Application Submission Documentation.</w:t>
            </w:r>
          </w:p>
          <w:p w:rsidR="00F70888" w:rsidRPr="00B10382" w:rsidRDefault="00F70888" w:rsidP="00F70888">
            <w:r w:rsidRPr="00B10382">
              <w:t>Department of Planning and Environment, 2014a. Secretary’s Environmental Assessment Report. Watermark Coal Project SSD-4975. State of NSW May 2014.</w:t>
            </w:r>
          </w:p>
          <w:p w:rsidR="00F70888" w:rsidRPr="00B10382" w:rsidRDefault="00F70888" w:rsidP="00F70888">
            <w:r w:rsidRPr="00B10382">
              <w:t>Department of Planning and Environment, 2014b. Secretary’s Environmental Assessment Report Addendum. Watermark Coal Project SSD-4975. State of NSW November 2014.</w:t>
            </w:r>
          </w:p>
          <w:p w:rsidR="00F70888" w:rsidRPr="00B10382" w:rsidRDefault="00F70888" w:rsidP="00F70888">
            <w:proofErr w:type="spellStart"/>
            <w:r w:rsidRPr="00B10382">
              <w:t>Greeve</w:t>
            </w:r>
            <w:proofErr w:type="spellEnd"/>
            <w:r w:rsidRPr="00B10382">
              <w:t xml:space="preserve"> A, Anders</w:t>
            </w:r>
            <w:r w:rsidR="00C11686" w:rsidRPr="00B10382">
              <w:t>e</w:t>
            </w:r>
            <w:r w:rsidRPr="00B10382">
              <w:t xml:space="preserve">n M and Acworth R, 2010. Investigations of soil cracking and preferential flow in a weighing </w:t>
            </w:r>
            <w:proofErr w:type="spellStart"/>
            <w:r w:rsidRPr="00B10382">
              <w:t>lysimeter</w:t>
            </w:r>
            <w:proofErr w:type="spellEnd"/>
            <w:r w:rsidRPr="00B10382">
              <w:t xml:space="preserve"> filled with cracking clay soil. Journal of Hydrology 393 (2010) 105-113.</w:t>
            </w:r>
          </w:p>
          <w:p w:rsidR="00F70888" w:rsidRPr="00B10382" w:rsidRDefault="00F70888" w:rsidP="00F70888">
            <w:r w:rsidRPr="00B10382">
              <w:t xml:space="preserve">Hansen Bailey, 2013a. Watermark Coal Project Environmental Impact Statement. Report prepared for </w:t>
            </w:r>
            <w:proofErr w:type="spellStart"/>
            <w:r w:rsidRPr="00B10382">
              <w:t>Shenhua</w:t>
            </w:r>
            <w:proofErr w:type="spellEnd"/>
            <w:r w:rsidRPr="00B10382">
              <w:t xml:space="preserve"> Watermark Coal Pty Ltd. February 2013.</w:t>
            </w:r>
          </w:p>
          <w:p w:rsidR="00F70888" w:rsidRPr="00B10382" w:rsidRDefault="00F70888" w:rsidP="00F70888">
            <w:r w:rsidRPr="00B10382">
              <w:t xml:space="preserve">Hansen Bailey, 2013b. Watermark Coal Project Response to Submissions. Report prepared for </w:t>
            </w:r>
            <w:proofErr w:type="spellStart"/>
            <w:r w:rsidRPr="00B10382">
              <w:t>Shenhua</w:t>
            </w:r>
            <w:proofErr w:type="spellEnd"/>
            <w:r w:rsidRPr="00B10382">
              <w:t xml:space="preserve"> Watermark Coal Pty Ltd. November 2013.</w:t>
            </w:r>
          </w:p>
          <w:p w:rsidR="00F70888" w:rsidRPr="00B10382" w:rsidRDefault="00F70888" w:rsidP="00F70888">
            <w:r w:rsidRPr="00B10382">
              <w:t xml:space="preserve">Hansen Bailey, 2014. Watermark Coal Project Response to Planning Assessment Commission Review Report. Report prepared for </w:t>
            </w:r>
            <w:proofErr w:type="spellStart"/>
            <w:r w:rsidRPr="00B10382">
              <w:t>Shenhua</w:t>
            </w:r>
            <w:proofErr w:type="spellEnd"/>
            <w:r w:rsidRPr="00B10382">
              <w:t xml:space="preserve"> Watermark Coal Pty Ltd. October 2014.</w:t>
            </w:r>
          </w:p>
          <w:p w:rsidR="00F70888" w:rsidRPr="00B10382" w:rsidRDefault="00F70888" w:rsidP="00F70888">
            <w:r w:rsidRPr="00B10382">
              <w:t xml:space="preserve">Hillier J, </w:t>
            </w:r>
            <w:proofErr w:type="spellStart"/>
            <w:r w:rsidRPr="00B10382">
              <w:t>Timms</w:t>
            </w:r>
            <w:proofErr w:type="spellEnd"/>
            <w:r w:rsidRPr="00B10382">
              <w:t xml:space="preserve"> W and Merrick N, 2010. Peer review of the Upper Namoi Alluvium Numerical Groundwater Model for the MDBA.</w:t>
            </w:r>
          </w:p>
          <w:p w:rsidR="00F70888" w:rsidRPr="00B10382" w:rsidRDefault="00F70888" w:rsidP="00F70888">
            <w:r w:rsidRPr="00B10382">
              <w:t>IESC 2013-023. Advice on Watermark Coal Project available at: http://www.iesc.environment.gov.au/committee-advice/proposals/watermark-coal-project-new-development-project-advice</w:t>
            </w:r>
          </w:p>
          <w:p w:rsidR="00F70888" w:rsidRPr="00B10382" w:rsidRDefault="00F70888" w:rsidP="00F70888">
            <w:r w:rsidRPr="00B10382">
              <w:t>IESC 2014-047. Advice on Caroona Coal Project available at: http://www.iesc.environment.gov.au/committee-advice/proposals/caroona-coal-project-new-development-project-advice</w:t>
            </w:r>
          </w:p>
          <w:p w:rsidR="00F70888" w:rsidRPr="00B10382" w:rsidRDefault="00F70888" w:rsidP="00F70888">
            <w:r w:rsidRPr="00B10382">
              <w:t>Kelly B, Merrick N, Dent B, Milne-Horne W and Yates D, 2007. Groundwater Knowledge and Gaps in the Namoi Catchment Management Area. National Centre for Groundwater Management, University of Technology, Sydney. March 2007.</w:t>
            </w:r>
          </w:p>
          <w:p w:rsidR="00F70888" w:rsidRPr="00B10382" w:rsidRDefault="00F70888" w:rsidP="00F70888">
            <w:proofErr w:type="spellStart"/>
            <w:r w:rsidRPr="00B10382">
              <w:t>Northey</w:t>
            </w:r>
            <w:proofErr w:type="spellEnd"/>
            <w:r w:rsidRPr="00B10382">
              <w:t xml:space="preserve"> J, Pinetown K and Sander R, 2014. Coal and coal seam gas resource assessment for the Namoi subregion. Product 1.2 for the Namoi subregion from the Northern Inland Catchments Bioregional Assessment. Department of the Environment, Bureau of Meteorology, CSIRO and </w:t>
            </w:r>
            <w:proofErr w:type="spellStart"/>
            <w:r w:rsidRPr="00B10382">
              <w:t>Geoscience</w:t>
            </w:r>
            <w:proofErr w:type="spellEnd"/>
            <w:r w:rsidRPr="00B10382">
              <w:t xml:space="preserve"> Australia, Australia.</w:t>
            </w:r>
          </w:p>
          <w:p w:rsidR="00F70888" w:rsidRPr="00B10382" w:rsidRDefault="00F70888" w:rsidP="00F70888">
            <w:r w:rsidRPr="00B10382">
              <w:t>NSW Planning Assessment Commission, 2014. The Watermark Coal Project PAC Review Report. State of NSW August 2014.</w:t>
            </w:r>
          </w:p>
          <w:p w:rsidR="00F70888" w:rsidRPr="00B10382" w:rsidRDefault="00F70888" w:rsidP="00F70888">
            <w:r w:rsidRPr="00B10382">
              <w:t>NSW Planning Assessment Commission, 2015. The Watermark Coal Project Determination Report. State of NSW January 2015.</w:t>
            </w:r>
          </w:p>
          <w:p w:rsidR="00F70888" w:rsidRPr="00B10382" w:rsidRDefault="00F70888" w:rsidP="00F70888">
            <w:r w:rsidRPr="00B10382">
              <w:t xml:space="preserve">Paull D, 2015. Impacts on Groundwater Dependent Ecosystems and Koalas arising from the </w:t>
            </w:r>
            <w:proofErr w:type="spellStart"/>
            <w:r w:rsidRPr="00B10382">
              <w:t>Shenhua</w:t>
            </w:r>
            <w:proofErr w:type="spellEnd"/>
            <w:r w:rsidRPr="00B10382">
              <w:t xml:space="preserve"> Watermark Project on the Breeza Plains. Report for the Upper </w:t>
            </w:r>
            <w:proofErr w:type="spellStart"/>
            <w:r w:rsidRPr="00B10382">
              <w:t>Mooki</w:t>
            </w:r>
            <w:proofErr w:type="spellEnd"/>
            <w:r w:rsidRPr="00B10382">
              <w:t xml:space="preserve"> Landcare Group for submission to the IESC. 28 March 2015.</w:t>
            </w:r>
          </w:p>
          <w:p w:rsidR="00F70888" w:rsidRPr="00B10382" w:rsidRDefault="00F70888" w:rsidP="00F70888">
            <w:r w:rsidRPr="00B10382">
              <w:t>Schlumberger Water Services, 2012. Namoi Catchment Water Study Independent Expert Final Study Report. Report prepared for Department of Trade and Investment, Regional Infrastructure and Services, NSW. July 2012</w:t>
            </w:r>
          </w:p>
          <w:p w:rsidR="00F70888" w:rsidRPr="00B10382" w:rsidRDefault="00F70888" w:rsidP="00F70888">
            <w:r w:rsidRPr="00B10382">
              <w:t xml:space="preserve">Soil Science Australia, 2015. Submission on </w:t>
            </w:r>
            <w:proofErr w:type="spellStart"/>
            <w:r w:rsidRPr="00B10382">
              <w:t>Shenhua</w:t>
            </w:r>
            <w:proofErr w:type="spellEnd"/>
            <w:r w:rsidRPr="00B10382">
              <w:t xml:space="preserve"> Watermark Project SSD-4975: Implications of open-cut mining at </w:t>
            </w:r>
            <w:proofErr w:type="spellStart"/>
            <w:r w:rsidRPr="00B10382">
              <w:t>Shenhua's</w:t>
            </w:r>
            <w:proofErr w:type="spellEnd"/>
            <w:r w:rsidRPr="00B10382">
              <w:t xml:space="preserve"> Watermark project for soil sustainability on the Liverpool Plains. Letter to the IESC, dated 25 March 2015.</w:t>
            </w:r>
          </w:p>
          <w:p w:rsidR="00F70888" w:rsidRPr="00B10382" w:rsidRDefault="00F70888" w:rsidP="00F70888">
            <w:r w:rsidRPr="00B10382">
              <w:t>University of New South Wales Water Resource Laboratory (UNSW WRL), 2014. Review of Watermark Coal Groundwater Impact Assessment. Doug Anderson presentation to PAC, June 2014.</w:t>
            </w:r>
          </w:p>
          <w:p w:rsidR="00F70888" w:rsidRPr="00B10382" w:rsidRDefault="00F70888" w:rsidP="00F70888">
            <w:r w:rsidRPr="00B10382">
              <w:t xml:space="preserve">Welsh W, </w:t>
            </w:r>
            <w:proofErr w:type="spellStart"/>
            <w:r w:rsidRPr="00B10382">
              <w:t>Hodgkinson</w:t>
            </w:r>
            <w:proofErr w:type="spellEnd"/>
            <w:r w:rsidRPr="00B10382">
              <w:t xml:space="preserve"> J, Strand J, </w:t>
            </w:r>
            <w:proofErr w:type="spellStart"/>
            <w:r w:rsidRPr="00B10382">
              <w:t>Northey</w:t>
            </w:r>
            <w:proofErr w:type="spellEnd"/>
            <w:r w:rsidRPr="00B10382">
              <w:t xml:space="preserve"> J, </w:t>
            </w:r>
            <w:proofErr w:type="spellStart"/>
            <w:r w:rsidRPr="00B10382">
              <w:t>Aryal</w:t>
            </w:r>
            <w:proofErr w:type="spellEnd"/>
            <w:r w:rsidRPr="00B10382">
              <w:t xml:space="preserve"> S, O’Grady A, </w:t>
            </w:r>
            <w:proofErr w:type="spellStart"/>
            <w:r w:rsidRPr="00B10382">
              <w:t>Slatter</w:t>
            </w:r>
            <w:proofErr w:type="spellEnd"/>
            <w:r w:rsidRPr="00B10382">
              <w:t xml:space="preserve"> E, Herron N, Pinetown K, Carey H, Yates G, </w:t>
            </w:r>
            <w:proofErr w:type="spellStart"/>
            <w:r w:rsidRPr="00B10382">
              <w:t>Raisbeck</w:t>
            </w:r>
            <w:proofErr w:type="spellEnd"/>
            <w:r w:rsidRPr="00B10382">
              <w:t xml:space="preserve">-Brown N and Lewis S, 2014. Context Statement for the Namoi Subregion. Product 1.1 from the Northern Inland Catchments Bioregional Assessment. Department of the Environment, Bureau of Meteorology, CSIRO and </w:t>
            </w:r>
            <w:proofErr w:type="spellStart"/>
            <w:r w:rsidRPr="00B10382">
              <w:t>Geoscience</w:t>
            </w:r>
            <w:proofErr w:type="spellEnd"/>
            <w:r w:rsidRPr="00B10382">
              <w:t xml:space="preserve"> Australia, Australia.</w:t>
            </w:r>
          </w:p>
        </w:tc>
      </w:tr>
      <w:tr w:rsidR="00F70888" w:rsidRPr="00B10382" w:rsidTr="00F70888">
        <w:trPr>
          <w:trHeight w:val="19"/>
        </w:trPr>
        <w:tc>
          <w:tcPr>
            <w:tcW w:w="1809" w:type="dxa"/>
            <w:tcBorders>
              <w:top w:val="single" w:sz="4" w:space="0" w:color="auto"/>
              <w:bottom w:val="single" w:sz="4" w:space="0" w:color="auto"/>
            </w:tcBorders>
          </w:tcPr>
          <w:p w:rsidR="00F70888" w:rsidRPr="00B10382" w:rsidRDefault="00F70888" w:rsidP="00F70888">
            <w:pPr>
              <w:pStyle w:val="Heading2"/>
            </w:pPr>
            <w:r w:rsidRPr="00B10382">
              <w:t>References cited within IESC advice 2015-066 and 2015-067</w:t>
            </w:r>
          </w:p>
        </w:tc>
        <w:tc>
          <w:tcPr>
            <w:tcW w:w="7513" w:type="dxa"/>
            <w:tcBorders>
              <w:top w:val="single" w:sz="4" w:space="0" w:color="auto"/>
              <w:bottom w:val="single" w:sz="4" w:space="0" w:color="auto"/>
            </w:tcBorders>
          </w:tcPr>
          <w:p w:rsidR="00F70888" w:rsidRPr="00B10382" w:rsidRDefault="00F70888" w:rsidP="00F70888">
            <w:r w:rsidRPr="00B10382">
              <w:t>ANZECC and ARMCANZ, 2000. National Water Quality Management Strategy. Australian and New Zealand Environment and Conservation Council &amp; Agriculture and Resource Management Council for Australia and New Zealand, Canberra. Available at: http://www.environment.gov.au/water/quality/national-water-quality-management-strategy</w:t>
            </w:r>
          </w:p>
          <w:p w:rsidR="00F70888" w:rsidRPr="00B10382" w:rsidRDefault="00F70888" w:rsidP="00F70888">
            <w:r w:rsidRPr="00B10382">
              <w:t>Department of Planning and Environment, 2014. Secretary’s Environmental Assessment Report Addendum. Watermark Coal Project SSD-4975. State of NSW November 2014.</w:t>
            </w:r>
          </w:p>
          <w:p w:rsidR="00F70888" w:rsidRPr="00B10382" w:rsidRDefault="00F70888" w:rsidP="00F70888">
            <w:r w:rsidRPr="00B10382">
              <w:t>Eco Logical Australia 2011. Proposed Framework for Assessing the Cumulative Risk of Mining on Natural Resource Assets in the Namoi Catchment, 14 September 2011.</w:t>
            </w:r>
          </w:p>
          <w:p w:rsidR="00F70888" w:rsidRPr="00B10382" w:rsidRDefault="00F70888" w:rsidP="00F70888">
            <w:r w:rsidRPr="00B10382">
              <w:t xml:space="preserve">GHD, 2011. Report for Watermark Stage 3 Geology Report. Report for </w:t>
            </w:r>
            <w:proofErr w:type="spellStart"/>
            <w:r w:rsidRPr="00B10382">
              <w:t>Shenhua</w:t>
            </w:r>
            <w:proofErr w:type="spellEnd"/>
            <w:r w:rsidRPr="00B10382">
              <w:t xml:space="preserve"> Watermark Coal Pty Ltd. February 2011.</w:t>
            </w:r>
          </w:p>
          <w:p w:rsidR="00F70888" w:rsidRPr="00B10382" w:rsidRDefault="00F70888" w:rsidP="00F70888">
            <w:r w:rsidRPr="00B10382">
              <w:t xml:space="preserve">Hansen Bailey, 2013a. Watermark Coal Project Environmental Impact Statement. Report prepared for </w:t>
            </w:r>
            <w:proofErr w:type="spellStart"/>
            <w:r w:rsidRPr="00B10382">
              <w:t>Shenhua</w:t>
            </w:r>
            <w:proofErr w:type="spellEnd"/>
            <w:r w:rsidRPr="00B10382">
              <w:t xml:space="preserve"> Watermark Coal Pty Ltd. February 2013.</w:t>
            </w:r>
          </w:p>
          <w:p w:rsidR="00F70888" w:rsidRPr="00B10382" w:rsidRDefault="00F70888" w:rsidP="00F70888">
            <w:r w:rsidRPr="00B10382">
              <w:t xml:space="preserve">Hansen Bailey, 2013b. Watermark Coal Project Response to Submissions. Report prepared for </w:t>
            </w:r>
            <w:proofErr w:type="spellStart"/>
            <w:r w:rsidRPr="00B10382">
              <w:t>Shenhua</w:t>
            </w:r>
            <w:proofErr w:type="spellEnd"/>
            <w:r w:rsidRPr="00B10382">
              <w:t xml:space="preserve"> Watermark Coal Pty Ltd. November 2013.</w:t>
            </w:r>
          </w:p>
          <w:p w:rsidR="00F70888" w:rsidRPr="00B10382" w:rsidRDefault="00F70888" w:rsidP="00F70888">
            <w:r w:rsidRPr="00B10382">
              <w:t xml:space="preserve">Hansen Bailey, 2013c. Watermark Coal Project Response to IESC Advice for </w:t>
            </w:r>
            <w:proofErr w:type="spellStart"/>
            <w:r w:rsidRPr="00B10382">
              <w:t>Shenhua</w:t>
            </w:r>
            <w:proofErr w:type="spellEnd"/>
            <w:r w:rsidRPr="00B10382">
              <w:t xml:space="preserve"> Watermark Coal Pty Ltd. August 2013.</w:t>
            </w:r>
          </w:p>
          <w:p w:rsidR="00F70888" w:rsidRPr="00B10382" w:rsidRDefault="00F70888" w:rsidP="00F70888">
            <w:r w:rsidRPr="00B10382">
              <w:t xml:space="preserve">Hansen Bailey, 2014. Watermark Coal Project Response to Planning Assessment Commission Review Report. Report prepared for </w:t>
            </w:r>
            <w:proofErr w:type="spellStart"/>
            <w:r w:rsidRPr="00B10382">
              <w:t>Shenhua</w:t>
            </w:r>
            <w:proofErr w:type="spellEnd"/>
            <w:r w:rsidRPr="00B10382">
              <w:t xml:space="preserve"> Watermark Coal Pty Ltd. October 2014.</w:t>
            </w:r>
          </w:p>
          <w:p w:rsidR="00F70888" w:rsidRPr="00B10382" w:rsidRDefault="00F70888" w:rsidP="00F70888">
            <w:r w:rsidRPr="00B10382">
              <w:t xml:space="preserve">IESC 2013-023. Advice on Watermark Coal Project available at: http://www.iesc.environment.gov.au/committee-advice/proposals/watermark-coal-project-new-development-project-advice and </w:t>
            </w:r>
            <w:r w:rsidRPr="00B10382">
              <w:rPr>
                <w:u w:val="single"/>
              </w:rPr>
              <w:t>Attachment B</w:t>
            </w:r>
            <w:r w:rsidRPr="00B10382">
              <w:t>.</w:t>
            </w:r>
          </w:p>
          <w:p w:rsidR="00F70888" w:rsidRPr="00B10382" w:rsidRDefault="00F70888" w:rsidP="00F70888">
            <w:r w:rsidRPr="00B10382">
              <w:t>IESC 2014-047. Advice on Caroona Coal Project available at: http://www.iesc.environment.gov.au/committee-advice/proposals/caroona-coal-project-new-development-project-advice</w:t>
            </w:r>
          </w:p>
          <w:p w:rsidR="00980E7E" w:rsidRPr="00B10382" w:rsidRDefault="00980E7E" w:rsidP="00F70888">
            <w:proofErr w:type="spellStart"/>
            <w:r w:rsidRPr="00B10382">
              <w:t>Ivkovic</w:t>
            </w:r>
            <w:proofErr w:type="spellEnd"/>
            <w:r w:rsidRPr="00B10382">
              <w:t xml:space="preserve"> K, 2009. A top-down approach to characterise aquifer-river interaction processes. Journal of Hydrology 365 (2009) 145-155.</w:t>
            </w:r>
          </w:p>
          <w:p w:rsidR="00F70888" w:rsidRPr="00B10382" w:rsidRDefault="00F70888" w:rsidP="00F70888">
            <w:proofErr w:type="spellStart"/>
            <w:r w:rsidRPr="00B10382">
              <w:t>Macauley</w:t>
            </w:r>
            <w:proofErr w:type="spellEnd"/>
            <w:r w:rsidRPr="00B10382">
              <w:t xml:space="preserve"> S and </w:t>
            </w:r>
            <w:proofErr w:type="spellStart"/>
            <w:r w:rsidRPr="00B10382">
              <w:t>Kellett</w:t>
            </w:r>
            <w:proofErr w:type="spellEnd"/>
            <w:r w:rsidRPr="00B10382">
              <w:t xml:space="preserve"> J, 2009. Mapping groundwater and salinity using airborne </w:t>
            </w:r>
            <w:proofErr w:type="spellStart"/>
            <w:r w:rsidRPr="00B10382">
              <w:t>electromagnetics</w:t>
            </w:r>
            <w:proofErr w:type="spellEnd"/>
            <w:r w:rsidRPr="00B10382">
              <w:t xml:space="preserve"> in the Lower Macquarie River Valley, New South Wales. Commonwealth of Australia November 2009.</w:t>
            </w:r>
          </w:p>
          <w:p w:rsidR="00BF51F2" w:rsidRPr="00B10382" w:rsidRDefault="00BF51F2" w:rsidP="00F70888">
            <w:proofErr w:type="spellStart"/>
            <w:r w:rsidRPr="00B10382">
              <w:t>Northey</w:t>
            </w:r>
            <w:proofErr w:type="spellEnd"/>
            <w:r w:rsidRPr="00B10382">
              <w:t xml:space="preserve"> J, Pinetown K and Sander R, 2014. Coal and coal seam gas resource assessment for the Namoi subregion. Product 1.2 for the Namoi subregion from the Northern Inland Catchments Bioregional Assessment. Department of the Environment, Bureau of Meteorology, CSIRO and </w:t>
            </w:r>
            <w:proofErr w:type="spellStart"/>
            <w:r w:rsidRPr="00B10382">
              <w:t>Geoscience</w:t>
            </w:r>
            <w:proofErr w:type="spellEnd"/>
            <w:r w:rsidRPr="00B10382">
              <w:t xml:space="preserve"> Australia, Australia.</w:t>
            </w:r>
          </w:p>
          <w:p w:rsidR="00F70888" w:rsidRPr="00B10382" w:rsidRDefault="00F70888" w:rsidP="00F70888">
            <w:r w:rsidRPr="00B10382">
              <w:t>NSW Planning Assessment Commission, 2015. Development Consent SSD-4975. Sydney 28 January 2015.</w:t>
            </w:r>
          </w:p>
          <w:p w:rsidR="00F70888" w:rsidRPr="00B10382" w:rsidRDefault="00F70888" w:rsidP="00F70888">
            <w:r w:rsidRPr="00B10382">
              <w:t xml:space="preserve">Richardson S, Irvine E, </w:t>
            </w:r>
            <w:proofErr w:type="spellStart"/>
            <w:r w:rsidRPr="00B10382">
              <w:t>Froend</w:t>
            </w:r>
            <w:proofErr w:type="spellEnd"/>
            <w:r w:rsidRPr="00B10382">
              <w:t xml:space="preserve"> R, Boon P, Barber S and Bonneville B, 2011. Australian Groundwater Dependent Ecosystem Toolbox, Part 1: Assessment Framework, National Water Commission, Canberra.</w:t>
            </w:r>
          </w:p>
          <w:p w:rsidR="00F70888" w:rsidRPr="00B10382" w:rsidRDefault="00F70888" w:rsidP="00980E7E">
            <w:r w:rsidRPr="00B10382">
              <w:t>Schlumberger Water Services, 2012. Namoi Catchment Water Study Independent Expert Final Study Report. Report prepared for Department of Trade and Investment, Regional Infrastructure and Services, NSW. July 2012</w:t>
            </w:r>
          </w:p>
        </w:tc>
      </w:tr>
    </w:tbl>
    <w:p w:rsidR="00F70888" w:rsidRPr="00B10382" w:rsidRDefault="00F70888" w:rsidP="00F70888">
      <w:pPr>
        <w:sectPr w:rsidR="00F70888" w:rsidRPr="00B10382" w:rsidSect="00E60E43">
          <w:headerReference w:type="default" r:id="rId17"/>
          <w:headerReference w:type="first" r:id="rId18"/>
          <w:pgSz w:w="11906" w:h="16838"/>
          <w:pgMar w:top="1440" w:right="1440" w:bottom="1440" w:left="1440" w:header="425" w:footer="425" w:gutter="0"/>
          <w:lnNumType w:countBy="1" w:restart="continuous"/>
          <w:cols w:space="708"/>
          <w:docGrid w:linePitch="360"/>
        </w:sectPr>
      </w:pPr>
    </w:p>
    <w:p w:rsidR="001314A3" w:rsidRPr="00B10382" w:rsidRDefault="001314A3" w:rsidP="001314A3">
      <w:pPr>
        <w:pStyle w:val="Heading1"/>
      </w:pPr>
      <w:r w:rsidRPr="00B10382">
        <w:t xml:space="preserve">Advice to decision maker on coal mining project </w:t>
      </w:r>
    </w:p>
    <w:p w:rsidR="001314A3" w:rsidRPr="00B10382" w:rsidRDefault="001314A3" w:rsidP="00D13EED">
      <w:pPr>
        <w:pStyle w:val="Heading2"/>
        <w:jc w:val="center"/>
      </w:pPr>
      <w:r w:rsidRPr="00B10382">
        <w:t>Proposed action: Watermark Coal Project (EPBC 2011/6201) – New Development</w:t>
      </w:r>
    </w:p>
    <w:tbl>
      <w:tblPr>
        <w:tblW w:w="9180" w:type="dxa"/>
        <w:tblBorders>
          <w:insideH w:val="single" w:sz="4" w:space="0" w:color="auto"/>
        </w:tblBorders>
        <w:tblCellMar>
          <w:top w:w="113" w:type="dxa"/>
          <w:bottom w:w="113" w:type="dxa"/>
        </w:tblCellMar>
        <w:tblLook w:val="01E0"/>
      </w:tblPr>
      <w:tblGrid>
        <w:gridCol w:w="1809"/>
        <w:gridCol w:w="7371"/>
      </w:tblGrid>
      <w:tr w:rsidR="006A0AAB" w:rsidRPr="00B10382" w:rsidTr="00942F21">
        <w:trPr>
          <w:trHeight w:val="736"/>
        </w:trPr>
        <w:tc>
          <w:tcPr>
            <w:tcW w:w="1809" w:type="dxa"/>
            <w:tcBorders>
              <w:top w:val="single" w:sz="4" w:space="0" w:color="auto"/>
              <w:bottom w:val="single" w:sz="4" w:space="0" w:color="auto"/>
            </w:tcBorders>
          </w:tcPr>
          <w:p w:rsidR="006A0AAB" w:rsidRPr="00B10382" w:rsidRDefault="006A0AAB" w:rsidP="00942F21">
            <w:pPr>
              <w:pStyle w:val="Heading2"/>
            </w:pPr>
            <w:r w:rsidRPr="00B10382">
              <w:t>Requesting agency</w:t>
            </w:r>
          </w:p>
        </w:tc>
        <w:tc>
          <w:tcPr>
            <w:tcW w:w="7371" w:type="dxa"/>
            <w:tcBorders>
              <w:top w:val="single" w:sz="4" w:space="0" w:color="auto"/>
              <w:bottom w:val="single" w:sz="4" w:space="0" w:color="auto"/>
            </w:tcBorders>
          </w:tcPr>
          <w:p w:rsidR="006A0AAB" w:rsidRPr="00B10382" w:rsidRDefault="006A0AAB" w:rsidP="00942F21">
            <w:pPr>
              <w:pStyle w:val="Tabletext"/>
            </w:pPr>
            <w:r w:rsidRPr="00B10382">
              <w:t xml:space="preserve">Department of Sustainability, Environment, Water, Population and Communities </w:t>
            </w:r>
          </w:p>
        </w:tc>
      </w:tr>
      <w:tr w:rsidR="006A0AAB" w:rsidRPr="00B10382" w:rsidTr="00942F21">
        <w:tc>
          <w:tcPr>
            <w:tcW w:w="1809" w:type="dxa"/>
            <w:tcBorders>
              <w:top w:val="single" w:sz="4" w:space="0" w:color="auto"/>
            </w:tcBorders>
          </w:tcPr>
          <w:p w:rsidR="006A0AAB" w:rsidRPr="00B10382" w:rsidRDefault="006A0AAB" w:rsidP="00942F21">
            <w:pPr>
              <w:pStyle w:val="Heading2"/>
            </w:pPr>
            <w:r w:rsidRPr="00B10382">
              <w:t>Date of request</w:t>
            </w:r>
          </w:p>
        </w:tc>
        <w:tc>
          <w:tcPr>
            <w:tcW w:w="7371" w:type="dxa"/>
            <w:tcBorders>
              <w:top w:val="single" w:sz="4" w:space="0" w:color="auto"/>
            </w:tcBorders>
          </w:tcPr>
          <w:p w:rsidR="006A0AAB" w:rsidRPr="00B10382" w:rsidRDefault="006A0AAB" w:rsidP="00942F21">
            <w:pPr>
              <w:pStyle w:val="Tabletext"/>
            </w:pPr>
            <w:r w:rsidRPr="00B10382">
              <w:t xml:space="preserve">17 April 2013 </w:t>
            </w:r>
          </w:p>
        </w:tc>
      </w:tr>
      <w:tr w:rsidR="006A0AAB" w:rsidRPr="00B10382" w:rsidTr="00942F21">
        <w:tc>
          <w:tcPr>
            <w:tcW w:w="1809" w:type="dxa"/>
          </w:tcPr>
          <w:p w:rsidR="006A0AAB" w:rsidRPr="00B10382" w:rsidRDefault="006A0AAB" w:rsidP="00942F21">
            <w:pPr>
              <w:pStyle w:val="Heading2"/>
            </w:pPr>
            <w:r w:rsidRPr="00B10382">
              <w:t>Date request accepted</w:t>
            </w:r>
          </w:p>
        </w:tc>
        <w:tc>
          <w:tcPr>
            <w:tcW w:w="7371" w:type="dxa"/>
          </w:tcPr>
          <w:p w:rsidR="006A0AAB" w:rsidRPr="00B10382" w:rsidRDefault="006A0AAB" w:rsidP="00942F21">
            <w:pPr>
              <w:pStyle w:val="Tabletext"/>
            </w:pPr>
            <w:r w:rsidRPr="00B10382">
              <w:t xml:space="preserve">17 April 2013 </w:t>
            </w:r>
          </w:p>
        </w:tc>
      </w:tr>
      <w:tr w:rsidR="006A0AAB" w:rsidRPr="00B10382" w:rsidTr="00942F21">
        <w:tc>
          <w:tcPr>
            <w:tcW w:w="1809" w:type="dxa"/>
            <w:vAlign w:val="center"/>
          </w:tcPr>
          <w:p w:rsidR="006A0AAB" w:rsidRPr="00B10382" w:rsidRDefault="006A0AAB" w:rsidP="00942F21">
            <w:pPr>
              <w:pStyle w:val="Heading2"/>
            </w:pPr>
            <w:r w:rsidRPr="00B10382">
              <w:t xml:space="preserve">Advice stage </w:t>
            </w:r>
          </w:p>
        </w:tc>
        <w:tc>
          <w:tcPr>
            <w:tcW w:w="7371" w:type="dxa"/>
            <w:vAlign w:val="center"/>
          </w:tcPr>
          <w:p w:rsidR="006A0AAB" w:rsidRPr="00B10382" w:rsidRDefault="006A0AAB" w:rsidP="00942F21">
            <w:pPr>
              <w:pStyle w:val="Tabletext"/>
            </w:pPr>
            <w:r w:rsidRPr="00B10382">
              <w:t>Environment Impact Assessment (draft)</w:t>
            </w:r>
          </w:p>
        </w:tc>
      </w:tr>
      <w:tr w:rsidR="006A0AAB" w:rsidRPr="00B10382" w:rsidTr="00942F21">
        <w:tc>
          <w:tcPr>
            <w:tcW w:w="9180" w:type="dxa"/>
            <w:gridSpan w:val="2"/>
          </w:tcPr>
          <w:p w:rsidR="006A0AAB" w:rsidRPr="00B10382" w:rsidRDefault="006A0AAB" w:rsidP="00942F21">
            <w:pPr>
              <w:pStyle w:val="Heading3"/>
            </w:pPr>
            <w:r w:rsidRPr="00B10382">
              <w:t>Advice</w:t>
            </w:r>
          </w:p>
          <w:p w:rsidR="006A0AAB" w:rsidRPr="00B10382" w:rsidRDefault="006A0AAB" w:rsidP="00942F21">
            <w:r w:rsidRPr="00B10382">
              <w:t>The Committee was requested to provide advice to the Commonwealth</w:t>
            </w:r>
            <w:r w:rsidRPr="00B10382">
              <w:rPr>
                <w:lang w:eastAsia="en-AU"/>
              </w:rPr>
              <w:t xml:space="preserve"> </w:t>
            </w:r>
            <w:r w:rsidRPr="00B10382">
              <w:t>regulator on the Watermark Coal Project in New South Wales at the Environmental Impact Assessment (draft) stage. This advice draws upon aspects of information in the draft Environmental Impact Statement, together with the expert deliberations of the Committee. The draft Environmental Impact Statement and information accessed by the Committee are listed in the source documentation at the end of this advice.</w:t>
            </w:r>
          </w:p>
          <w:p w:rsidR="006A0AAB" w:rsidRPr="00B10382" w:rsidRDefault="006A0AAB" w:rsidP="00942F21">
            <w:r w:rsidRPr="00B10382">
              <w:t xml:space="preserve">The proposed project is a new development for an open cut coal mine, producing up to 10 million tonnes per annum of Run of Mine coal for up to 30 years, located 25 km from Gunnedah and immediately west of Breeza in Northern New South Wales. The site is adjacent to the </w:t>
            </w:r>
            <w:proofErr w:type="spellStart"/>
            <w:r w:rsidRPr="00B10382">
              <w:t>Mooki</w:t>
            </w:r>
            <w:proofErr w:type="spellEnd"/>
            <w:r w:rsidRPr="00B10382">
              <w:t xml:space="preserve"> River, which is a major tributary of the Namoi Catchment. The target coal seams are contained within the Black Jack Group of the late Permian strata of the Gunnedah Basin and include the </w:t>
            </w:r>
            <w:proofErr w:type="spellStart"/>
            <w:r w:rsidRPr="00B10382">
              <w:t>Hoskissons</w:t>
            </w:r>
            <w:proofErr w:type="spellEnd"/>
            <w:r w:rsidRPr="00B10382">
              <w:t xml:space="preserve"> and </w:t>
            </w:r>
            <w:proofErr w:type="spellStart"/>
            <w:r w:rsidRPr="00B10382">
              <w:t>Melvilles</w:t>
            </w:r>
            <w:proofErr w:type="spellEnd"/>
            <w:r w:rsidRPr="00B10382">
              <w:t xml:space="preserve"> seams. The disturbance area for the proposed project covers 4,084 ha.</w:t>
            </w:r>
          </w:p>
          <w:p w:rsidR="006A0AAB" w:rsidRPr="00B10382" w:rsidRDefault="006A0AAB" w:rsidP="00942F21">
            <w:pPr>
              <w:pStyle w:val="Heading5"/>
            </w:pPr>
            <w:r w:rsidRPr="00B10382">
              <w:t>Cumulative impacts on the Namoi Catchment</w:t>
            </w:r>
          </w:p>
          <w:p w:rsidR="006A0AAB" w:rsidRPr="00B10382" w:rsidRDefault="006A0AAB" w:rsidP="00942F21">
            <w:r w:rsidRPr="00B10382">
              <w:t>The Committee encourages the regulator to consider the water related impacts of the proposed project in a cumulative assessment context such as that presented in the Namoi Catchment Water Study. This Study presents a range of coal seam gas and coal mining development scenarios. The Study provides predictions of surface water losses and groundwater drawdown which should be used to provide context to individual project impact assessments.</w:t>
            </w:r>
          </w:p>
          <w:p w:rsidR="006A0AAB" w:rsidRPr="00B10382" w:rsidRDefault="006A0AAB" w:rsidP="00942F21">
            <w:r w:rsidRPr="00B10382">
              <w:t xml:space="preserve">A regional water balance is an important component of a cumulative assessment and the Committee suggests, in relation to the Watermark project, that defined regional boundaries can be logically drawn, i.e. groundwater from the Liverpool Range to Gin’s Leap and surface water from the project site to the Boggabri gauging station. </w:t>
            </w:r>
          </w:p>
          <w:p w:rsidR="006A0AAB" w:rsidRPr="00B10382" w:rsidRDefault="006A0AAB" w:rsidP="00942F21">
            <w:pPr>
              <w:rPr>
                <w:i/>
              </w:rPr>
            </w:pPr>
            <w:r w:rsidRPr="00B10382">
              <w:t>The Committee considers that the proposed project is likely to enhance the risk of salinity in the region. The proposed project is likely to result in salinity impacts from overflow of water storages, seepage from the backfilled and proposed open mine voids, connectivity between the alluvium and Permian strata and the removal of woodland from the proposed project site. A regional perspective on salinity is important to properly assess the significance of such impacts and this should be addressed through the development of a regional salt balance.</w:t>
            </w:r>
          </w:p>
          <w:p w:rsidR="006A0AAB" w:rsidRPr="00B10382" w:rsidRDefault="006A0AAB" w:rsidP="00942F21">
            <w:r w:rsidRPr="00B10382">
              <w:t>The Committee, in line with its Information Guidelines</w:t>
            </w:r>
            <w:r w:rsidRPr="00B10382">
              <w:rPr>
                <w:vertAlign w:val="superscript"/>
              </w:rPr>
              <w:t>1</w:t>
            </w:r>
            <w:r w:rsidRPr="00B10382">
              <w:t>, has considered whether the proposed project assessment has used the following:</w:t>
            </w:r>
          </w:p>
          <w:p w:rsidR="006A0AAB" w:rsidRPr="00B10382" w:rsidRDefault="006A0AAB" w:rsidP="00942F21">
            <w:pPr>
              <w:pStyle w:val="Heading4"/>
            </w:pPr>
            <w:r w:rsidRPr="00B10382">
              <w:t>Relevant data and information: key conclusions</w:t>
            </w:r>
          </w:p>
          <w:p w:rsidR="006A0AAB" w:rsidRPr="00B10382" w:rsidRDefault="006A0AAB" w:rsidP="00942F21">
            <w:r w:rsidRPr="00B10382">
              <w:t xml:space="preserve">In the main, the proponent has used relevant data and information, with the exception of the areas noted below. The proponent has referred to data sources specific to the Namoi catchment, such as aspects of the proposed framework for assessing the cumulative risk of mining on natural resource assets in the Namoi catchment (Eco Logical, 2011) and the Namoi Catchment Water Study (Schlumberger, 2012). </w:t>
            </w:r>
          </w:p>
          <w:p w:rsidR="006A0AAB" w:rsidRPr="00B10382" w:rsidRDefault="006A0AAB" w:rsidP="00942F21">
            <w:r w:rsidRPr="00B10382">
              <w:t>However, the documentation provided would benefit from further information in relation to:</w:t>
            </w:r>
          </w:p>
          <w:p w:rsidR="006A0AAB" w:rsidRPr="00B10382" w:rsidRDefault="006A0AAB" w:rsidP="00942F21">
            <w:pPr>
              <w:pStyle w:val="ListBullet"/>
              <w:autoSpaceDE/>
              <w:autoSpaceDN/>
              <w:adjustRightInd/>
              <w:ind w:left="425" w:hanging="425"/>
            </w:pPr>
            <w:r w:rsidRPr="00B10382">
              <w:t>Downstream aquatic ecosystems, assets and receptors;</w:t>
            </w:r>
          </w:p>
          <w:p w:rsidR="006A0AAB" w:rsidRPr="00B10382" w:rsidRDefault="006A0AAB" w:rsidP="00942F21">
            <w:pPr>
              <w:pStyle w:val="ListBullet"/>
              <w:autoSpaceDE/>
              <w:autoSpaceDN/>
              <w:adjustRightInd/>
              <w:ind w:left="425" w:hanging="425"/>
            </w:pPr>
            <w:r w:rsidRPr="00B10382">
              <w:t xml:space="preserve">Groundwater dependence of vegetation communities (including the critically endangered White Box Yellow Box </w:t>
            </w:r>
            <w:proofErr w:type="spellStart"/>
            <w:r w:rsidRPr="00B10382">
              <w:t>Blakey’s</w:t>
            </w:r>
            <w:proofErr w:type="spellEnd"/>
            <w:r w:rsidRPr="00B10382">
              <w:t xml:space="preserve"> Red Gum Woodland and Derived Native Grassland and endangered ecological communities found on site);</w:t>
            </w:r>
          </w:p>
          <w:p w:rsidR="006A0AAB" w:rsidRPr="00B10382" w:rsidRDefault="006A0AAB" w:rsidP="00942F21">
            <w:pPr>
              <w:pStyle w:val="ListBullet"/>
              <w:autoSpaceDE/>
              <w:autoSpaceDN/>
              <w:adjustRightInd/>
              <w:ind w:left="425" w:hanging="425"/>
            </w:pPr>
            <w:r w:rsidRPr="00B10382">
              <w:t>Evidence for the assertion of no hydraulic connection to the Great Artesian Basin;</w:t>
            </w:r>
          </w:p>
          <w:p w:rsidR="006A0AAB" w:rsidRPr="00B10382" w:rsidRDefault="006A0AAB" w:rsidP="00942F21">
            <w:pPr>
              <w:pStyle w:val="ListBullet"/>
              <w:autoSpaceDE/>
              <w:autoSpaceDN/>
              <w:adjustRightInd/>
              <w:ind w:left="425" w:hanging="425"/>
            </w:pPr>
            <w:r w:rsidRPr="00B10382">
              <w:t xml:space="preserve">Evidence for the low hydraulic conductivities </w:t>
            </w:r>
            <w:proofErr w:type="spellStart"/>
            <w:r w:rsidRPr="00B10382">
              <w:t>modelled</w:t>
            </w:r>
            <w:proofErr w:type="spellEnd"/>
            <w:r w:rsidRPr="00B10382">
              <w:t xml:space="preserve"> in the coal seams and their distribution;</w:t>
            </w:r>
          </w:p>
          <w:p w:rsidR="006A0AAB" w:rsidRPr="00B10382" w:rsidRDefault="006A0AAB" w:rsidP="00942F21">
            <w:pPr>
              <w:pStyle w:val="ListBullet"/>
              <w:autoSpaceDE/>
              <w:autoSpaceDN/>
              <w:adjustRightInd/>
              <w:ind w:left="425" w:hanging="425"/>
            </w:pPr>
            <w:r w:rsidRPr="00B10382">
              <w:t>Evidence for groundwater model assumptions relating to constant irrigation use and constant conditions across the northern boundary; and</w:t>
            </w:r>
          </w:p>
          <w:p w:rsidR="006A0AAB" w:rsidRPr="00B10382" w:rsidRDefault="006A0AAB" w:rsidP="00942F21">
            <w:pPr>
              <w:pStyle w:val="ListBullet"/>
              <w:autoSpaceDE/>
              <w:autoSpaceDN/>
              <w:adjustRightInd/>
              <w:ind w:left="425" w:hanging="425"/>
            </w:pPr>
            <w:r w:rsidRPr="00B10382">
              <w:t>Evidence for faulting and the role of faults in impeding or transmitting groundwater flow.</w:t>
            </w:r>
          </w:p>
          <w:p w:rsidR="006A0AAB" w:rsidRPr="00B10382" w:rsidRDefault="006A0AAB" w:rsidP="00942F21">
            <w:pPr>
              <w:pStyle w:val="Heading4"/>
            </w:pPr>
            <w:r w:rsidRPr="00B10382">
              <w:t>Appropriate methodologies which have been applied correctly: key conclusions</w:t>
            </w:r>
          </w:p>
          <w:p w:rsidR="006A0AAB" w:rsidRPr="00B10382" w:rsidRDefault="006A0AAB" w:rsidP="00942F21">
            <w:r w:rsidRPr="00B10382">
              <w:t xml:space="preserve">The proponent has selected appropriate methodologies in their environmental assessment, including a semi-quantitative risk assessment and appropriate use of software for the modelling of groundwater, flooding and the site water balance. The numerical groundwater modelling has undergone sensitivity and uncertainty analysis and peer review. However, the water budget across the groundwater model domain does not constitute a regional water balance and a regional salt balance has not been provided. Further, the Committee has concerns with respect to the application of these methodologies in some circumstances. </w:t>
            </w:r>
          </w:p>
          <w:p w:rsidR="006A0AAB" w:rsidRPr="00B10382" w:rsidRDefault="006A0AAB" w:rsidP="00942F21">
            <w:r w:rsidRPr="00B10382">
              <w:t>With respect to the application of these methodologies:</w:t>
            </w:r>
          </w:p>
          <w:p w:rsidR="006A0AAB" w:rsidRPr="00B10382" w:rsidRDefault="006A0AAB" w:rsidP="00942F21">
            <w:pPr>
              <w:pStyle w:val="ListBullet"/>
              <w:autoSpaceDE/>
              <w:autoSpaceDN/>
              <w:adjustRightInd/>
              <w:ind w:left="425" w:hanging="425"/>
            </w:pPr>
            <w:r w:rsidRPr="00B10382">
              <w:t>The effectiveness of control measures used to address preliminary risks cannot be determined as these controls will be embedded in management plans which have not been provided;</w:t>
            </w:r>
          </w:p>
          <w:p w:rsidR="006A0AAB" w:rsidRPr="00B10382" w:rsidRDefault="006A0AAB" w:rsidP="00942F21">
            <w:pPr>
              <w:pStyle w:val="ListBullet"/>
              <w:autoSpaceDE/>
              <w:autoSpaceDN/>
              <w:adjustRightInd/>
              <w:ind w:left="425" w:hanging="425"/>
            </w:pPr>
            <w:r w:rsidRPr="00B10382">
              <w:t xml:space="preserve">Insufficient justification and verification has been provided for the groundwater </w:t>
            </w:r>
            <w:proofErr w:type="spellStart"/>
            <w:r w:rsidRPr="00B10382">
              <w:t>conceptualisation</w:t>
            </w:r>
            <w:proofErr w:type="spellEnd"/>
            <w:r w:rsidRPr="00B10382">
              <w:t xml:space="preserve">, particularly with regard to interconnectivity between the Upper </w:t>
            </w:r>
            <w:proofErr w:type="spellStart"/>
            <w:r w:rsidRPr="00B10382">
              <w:t>Namoi</w:t>
            </w:r>
            <w:proofErr w:type="spellEnd"/>
            <w:r w:rsidRPr="00B10382">
              <w:t xml:space="preserve"> Alluvium and Permian sequence, which decreases confidence in conclusions drawn from the numerical groundwater model; and</w:t>
            </w:r>
          </w:p>
          <w:p w:rsidR="006A0AAB" w:rsidRPr="00B10382" w:rsidRDefault="006A0AAB" w:rsidP="00942F21">
            <w:pPr>
              <w:pStyle w:val="ListBullet"/>
              <w:autoSpaceDE/>
              <w:autoSpaceDN/>
              <w:adjustRightInd/>
              <w:ind w:left="425" w:hanging="425"/>
            </w:pPr>
            <w:r w:rsidRPr="00B10382">
              <w:t xml:space="preserve">No sensitivity analysis has been performed on the site water balance to date and there has been no consideration of the potential impacts of climate variability, which results in a reduced level of confidence in the </w:t>
            </w:r>
            <w:proofErr w:type="spellStart"/>
            <w:r w:rsidRPr="00B10382">
              <w:t>modelled</w:t>
            </w:r>
            <w:proofErr w:type="spellEnd"/>
            <w:r w:rsidRPr="00B10382">
              <w:t xml:space="preserve"> results.</w:t>
            </w:r>
          </w:p>
          <w:p w:rsidR="006A0AAB" w:rsidRPr="00B10382" w:rsidRDefault="006A0AAB" w:rsidP="00942F21">
            <w:pPr>
              <w:pStyle w:val="Heading4"/>
            </w:pPr>
            <w:r w:rsidRPr="00B10382">
              <w:t>Reasonable values and parameters in calculation: key conclusions</w:t>
            </w:r>
          </w:p>
          <w:p w:rsidR="006A0AAB" w:rsidRPr="00B10382" w:rsidRDefault="006A0AAB" w:rsidP="00942F21">
            <w:r w:rsidRPr="00B10382">
              <w:t>The values and parameters used in calculations by the proponent appear plausible, with the exceptions and differences noted above and following:</w:t>
            </w:r>
          </w:p>
          <w:p w:rsidR="006A0AAB" w:rsidRPr="00B10382" w:rsidRDefault="006A0AAB" w:rsidP="00942F21">
            <w:pPr>
              <w:pStyle w:val="ListBullet"/>
              <w:autoSpaceDE/>
              <w:autoSpaceDN/>
              <w:adjustRightInd/>
              <w:ind w:left="425" w:hanging="425"/>
            </w:pPr>
            <w:r w:rsidRPr="00B10382">
              <w:t xml:space="preserve">Climate data from early and recent years are underrepresented in the </w:t>
            </w:r>
            <w:proofErr w:type="spellStart"/>
            <w:r w:rsidRPr="00B10382">
              <w:t>realisations</w:t>
            </w:r>
            <w:proofErr w:type="spellEnd"/>
            <w:r w:rsidRPr="00B10382">
              <w:t xml:space="preserve"> </w:t>
            </w:r>
            <w:proofErr w:type="spellStart"/>
            <w:r w:rsidRPr="00B10382">
              <w:t>modelled</w:t>
            </w:r>
            <w:proofErr w:type="spellEnd"/>
            <w:r w:rsidRPr="00B10382">
              <w:t xml:space="preserve"> in the site water balance;</w:t>
            </w:r>
          </w:p>
          <w:p w:rsidR="006A0AAB" w:rsidRPr="00B10382" w:rsidRDefault="006A0AAB" w:rsidP="00942F21">
            <w:pPr>
              <w:pStyle w:val="ListBullet"/>
              <w:autoSpaceDE/>
              <w:autoSpaceDN/>
              <w:adjustRightInd/>
              <w:ind w:left="425" w:hanging="425"/>
            </w:pPr>
            <w:r w:rsidRPr="00B10382">
              <w:t>Calculations of additional site water supply requirements have used average rather than maximum values and have not considered water availability; and</w:t>
            </w:r>
          </w:p>
          <w:p w:rsidR="006A0AAB" w:rsidRPr="00B10382" w:rsidRDefault="006A0AAB" w:rsidP="00942F21">
            <w:pPr>
              <w:pStyle w:val="ListBullet"/>
              <w:autoSpaceDE/>
              <w:autoSpaceDN/>
              <w:adjustRightInd/>
              <w:ind w:left="425" w:hanging="425"/>
            </w:pPr>
            <w:r w:rsidRPr="00B10382">
              <w:t xml:space="preserve">The proponent classifies the </w:t>
            </w:r>
            <w:proofErr w:type="spellStart"/>
            <w:r w:rsidRPr="00B10382">
              <w:t>Hoskissons</w:t>
            </w:r>
            <w:proofErr w:type="spellEnd"/>
            <w:r w:rsidRPr="00B10382">
              <w:t xml:space="preserve"> and </w:t>
            </w:r>
            <w:proofErr w:type="spellStart"/>
            <w:r w:rsidRPr="00B10382">
              <w:t>Melvilles</w:t>
            </w:r>
            <w:proofErr w:type="spellEnd"/>
            <w:r w:rsidRPr="00B10382">
              <w:t xml:space="preserve"> coal seams as </w:t>
            </w:r>
            <w:proofErr w:type="spellStart"/>
            <w:r w:rsidRPr="00B10382">
              <w:t>aquitards</w:t>
            </w:r>
            <w:proofErr w:type="spellEnd"/>
            <w:r w:rsidRPr="00B10382">
              <w:t xml:space="preserve">, whereas Schlumberger (2012) classified these coal seams as aquifers. </w:t>
            </w:r>
          </w:p>
          <w:p w:rsidR="006A0AAB" w:rsidRPr="00B10382" w:rsidRDefault="006A0AAB" w:rsidP="00942F21">
            <w:pPr>
              <w:pStyle w:val="Heading5"/>
            </w:pPr>
            <w:r w:rsidRPr="00B10382">
              <w:t>Question 1: Does the Committee consider that the proponent has provided sufficient information on the water resources and its management to assess likely significant impacts from its proposed action? If the information is considered insufficient for that purpose, what advice regarding areas of inadequacy can the Committee provide?</w:t>
            </w:r>
          </w:p>
          <w:p w:rsidR="006A0AAB" w:rsidRPr="00B10382" w:rsidRDefault="006A0AAB" w:rsidP="00383963">
            <w:pPr>
              <w:pStyle w:val="ListNumber"/>
            </w:pPr>
            <w:r w:rsidRPr="00B10382">
              <w:t>The Committee considers that applying a water balance model is the most appropriate basis for assessing potential changes in water resources and impacts on aquatic ecosystems, assets and receptors. The deficiencies in the regional and site water balances make a comprehensive assessment of likely significant impacts as a result of the proposed project difficult. Further areas where the assessment documentation could benefit from additional information are outlined below and have been addressed in questions 3, 4, 5, 6, 8 and 9.</w:t>
            </w:r>
          </w:p>
          <w:p w:rsidR="006A0AAB" w:rsidRPr="00B10382" w:rsidRDefault="006A0AAB" w:rsidP="00942F21">
            <w:pPr>
              <w:pStyle w:val="ListNumber2"/>
              <w:autoSpaceDE/>
              <w:autoSpaceDN/>
              <w:adjustRightInd/>
            </w:pPr>
            <w:r w:rsidRPr="00B10382">
              <w:t>In relation to the site water balance, the earliest and latest periods of historical data are underrepresented in the realisations modelled. The Committee has limited confidence in the predicted lack of release of mine water and recommends that, in order to minimise downstream water quality and ecological impacts, the proponent:</w:t>
            </w:r>
          </w:p>
          <w:p w:rsidR="006A0AAB" w:rsidRPr="00B10382" w:rsidRDefault="006A0AAB" w:rsidP="006A0AAB">
            <w:pPr>
              <w:pStyle w:val="ListNumber3"/>
              <w:numPr>
                <w:ilvl w:val="2"/>
                <w:numId w:val="13"/>
              </w:numPr>
              <w:autoSpaceDE/>
              <w:autoSpaceDN/>
              <w:adjustRightInd/>
            </w:pPr>
            <w:r w:rsidRPr="00B10382">
              <w:t>Undertake sensitivity analysis on the site water balance;</w:t>
            </w:r>
          </w:p>
          <w:p w:rsidR="006A0AAB" w:rsidRPr="00B10382" w:rsidRDefault="006A0AAB" w:rsidP="006A0AAB">
            <w:pPr>
              <w:pStyle w:val="ListNumber3"/>
              <w:autoSpaceDE/>
              <w:autoSpaceDN/>
              <w:adjustRightInd/>
              <w:ind w:left="1106" w:hanging="369"/>
            </w:pPr>
            <w:r w:rsidRPr="00B10382">
              <w:t>Use the results of the site water balance sensitivity analysis, as well as predicted available water determinations, surface water availability and any applicable access rules to ensure that water supply licences will meet site water requirements under a full range of foreseeable conditions;</w:t>
            </w:r>
          </w:p>
          <w:p w:rsidR="006A0AAB" w:rsidRPr="00B10382" w:rsidRDefault="006A0AAB" w:rsidP="006A0AAB">
            <w:pPr>
              <w:pStyle w:val="ListNumber3"/>
              <w:autoSpaceDE/>
              <w:autoSpaceDN/>
              <w:adjustRightInd/>
              <w:ind w:left="1106" w:hanging="369"/>
            </w:pPr>
            <w:r w:rsidRPr="00B10382">
              <w:t>Design mine water storages to contain a 1:1000 year average recurrence interval storm event; and</w:t>
            </w:r>
          </w:p>
          <w:p w:rsidR="006A0AAB" w:rsidRPr="00B10382" w:rsidRDefault="006A0AAB" w:rsidP="006A0AAB">
            <w:pPr>
              <w:pStyle w:val="ListNumber3"/>
              <w:autoSpaceDE/>
              <w:autoSpaceDN/>
              <w:adjustRightInd/>
              <w:ind w:left="1106" w:hanging="369"/>
            </w:pPr>
            <w:r w:rsidRPr="00B10382">
              <w:t>Develop contingency plans to deal with the event of an emergency discharge of water from a mine water dam.</w:t>
            </w:r>
          </w:p>
          <w:p w:rsidR="006A0AAB" w:rsidRPr="00B10382" w:rsidRDefault="006A0AAB" w:rsidP="00942F21">
            <w:pPr>
              <w:pStyle w:val="ListNumber2"/>
              <w:autoSpaceDE/>
              <w:autoSpaceDN/>
              <w:adjustRightInd/>
            </w:pPr>
            <w:r w:rsidRPr="00B10382">
              <w:t>In relation to a regional water balance, the Committee recommends that a regional water balance be developed to allow for assessment of significant impacts. This water balance should:</w:t>
            </w:r>
          </w:p>
          <w:p w:rsidR="006A0AAB" w:rsidRPr="00B10382" w:rsidRDefault="006A0AAB" w:rsidP="006A0AAB">
            <w:pPr>
              <w:pStyle w:val="ListNumber3"/>
              <w:autoSpaceDE/>
              <w:autoSpaceDN/>
              <w:adjustRightInd/>
              <w:ind w:left="1106" w:hanging="369"/>
            </w:pPr>
            <w:r w:rsidRPr="00B10382">
              <w:t>Extend across the regional surface and groundwater systems to defined monitoring points, beyond which there will be no measurable impacts as a result of the proposed project, e.g. groundwater to Gin’s Leap and surface water to the Namoi River at Boggabri gauging station;</w:t>
            </w:r>
          </w:p>
          <w:p w:rsidR="006A0AAB" w:rsidRPr="00B10382" w:rsidRDefault="006A0AAB" w:rsidP="006A0AAB">
            <w:pPr>
              <w:pStyle w:val="ListNumber3"/>
              <w:autoSpaceDE/>
              <w:autoSpaceDN/>
              <w:adjustRightInd/>
              <w:ind w:left="1106" w:hanging="369"/>
            </w:pPr>
            <w:r w:rsidRPr="00B10382">
              <w:t>Detail the set of water stores and the flow of water between those stores under current conditions within this region;</w:t>
            </w:r>
          </w:p>
          <w:p w:rsidR="006A0AAB" w:rsidRPr="00B10382" w:rsidRDefault="006A0AAB" w:rsidP="006A0AAB">
            <w:pPr>
              <w:pStyle w:val="ListNumber3"/>
              <w:autoSpaceDE/>
              <w:autoSpaceDN/>
              <w:adjustRightInd/>
              <w:ind w:left="1106" w:hanging="369"/>
            </w:pPr>
            <w:r w:rsidRPr="00B10382">
              <w:t>Assess the change as a result of the proposed project to the quantity or quality of water within any store or flow of water between these stores;</w:t>
            </w:r>
          </w:p>
          <w:p w:rsidR="006A0AAB" w:rsidRPr="00B10382" w:rsidRDefault="006A0AAB" w:rsidP="006A0AAB">
            <w:pPr>
              <w:pStyle w:val="ListNumber3"/>
              <w:autoSpaceDE/>
              <w:autoSpaceDN/>
              <w:adjustRightInd/>
              <w:ind w:left="1106" w:hanging="369"/>
            </w:pPr>
            <w:r w:rsidRPr="00B10382">
              <w:t xml:space="preserve">Take into account a range of foreseeable climatic scenarios; and </w:t>
            </w:r>
          </w:p>
          <w:p w:rsidR="006A0AAB" w:rsidRPr="00B10382" w:rsidRDefault="006A0AAB" w:rsidP="006A0AAB">
            <w:pPr>
              <w:pStyle w:val="ListNumber3"/>
              <w:autoSpaceDE/>
              <w:autoSpaceDN/>
              <w:adjustRightInd/>
              <w:ind w:left="1106" w:hanging="369"/>
            </w:pPr>
            <w:r w:rsidRPr="00B10382">
              <w:t>Undergo sensitivity analysis.</w:t>
            </w:r>
          </w:p>
          <w:p w:rsidR="006A0AAB" w:rsidRPr="00B10382" w:rsidRDefault="006A0AAB" w:rsidP="00942F21">
            <w:pPr>
              <w:pStyle w:val="ListNumber2"/>
              <w:autoSpaceDE/>
              <w:autoSpaceDN/>
              <w:adjustRightInd/>
            </w:pPr>
            <w:r w:rsidRPr="00B10382">
              <w:t>Significant impacts are also likely as a result of the proposed project’s increase in salt loads downstream of the proposed project site, into a catchment already at risk from salinity. The project assessment documentation would therefore benefit from the inclusion of a local and regional salt balance. A salt balance should:</w:t>
            </w:r>
          </w:p>
          <w:p w:rsidR="006A0AAB" w:rsidRPr="00B10382" w:rsidRDefault="006A0AAB" w:rsidP="006A0AAB">
            <w:pPr>
              <w:pStyle w:val="ListNumber3"/>
              <w:autoSpaceDE/>
              <w:autoSpaceDN/>
              <w:adjustRightInd/>
              <w:ind w:left="1106" w:hanging="369"/>
            </w:pPr>
            <w:r w:rsidRPr="00B10382">
              <w:t>Detail the set of salt stores and the transfer of salt between those stores under current conditions within this region;</w:t>
            </w:r>
          </w:p>
          <w:p w:rsidR="006A0AAB" w:rsidRPr="00B10382" w:rsidRDefault="006A0AAB" w:rsidP="006A0AAB">
            <w:pPr>
              <w:pStyle w:val="ListNumber3"/>
              <w:autoSpaceDE/>
              <w:autoSpaceDN/>
              <w:adjustRightInd/>
              <w:ind w:left="1106" w:hanging="369"/>
            </w:pPr>
            <w:r w:rsidRPr="00B10382">
              <w:t>Assess the change as a result of the proposed project to the quantity of salt within any store or transfer of salt between these stores;</w:t>
            </w:r>
          </w:p>
          <w:p w:rsidR="006A0AAB" w:rsidRPr="00B10382" w:rsidRDefault="006A0AAB" w:rsidP="006A0AAB">
            <w:pPr>
              <w:pStyle w:val="ListNumber3"/>
              <w:autoSpaceDE/>
              <w:autoSpaceDN/>
              <w:adjustRightInd/>
              <w:ind w:left="1106" w:hanging="369"/>
            </w:pPr>
            <w:r w:rsidRPr="00B10382">
              <w:t xml:space="preserve">Take into account a range of foreseeable climatic scenarios; and </w:t>
            </w:r>
          </w:p>
          <w:p w:rsidR="006A0AAB" w:rsidRPr="00B10382" w:rsidRDefault="006A0AAB" w:rsidP="006A0AAB">
            <w:pPr>
              <w:pStyle w:val="ListNumber3"/>
              <w:autoSpaceDE/>
              <w:autoSpaceDN/>
              <w:adjustRightInd/>
              <w:ind w:left="1106" w:hanging="369"/>
            </w:pPr>
            <w:r w:rsidRPr="00B10382">
              <w:t>Undergo sensitivity analysis.</w:t>
            </w:r>
          </w:p>
          <w:p w:rsidR="006A0AAB" w:rsidRPr="00B10382" w:rsidRDefault="006A0AAB" w:rsidP="00942F21">
            <w:pPr>
              <w:pStyle w:val="Heading5"/>
            </w:pPr>
            <w:r w:rsidRPr="00B10382">
              <w:t>Question 2: Is the assessment of the current condition of the ground and surface water environments in and surrounding the project area accurate?</w:t>
            </w:r>
          </w:p>
          <w:p w:rsidR="006A0AAB" w:rsidRPr="00B10382" w:rsidRDefault="006A0AAB" w:rsidP="00383963">
            <w:pPr>
              <w:pStyle w:val="ListNumber"/>
            </w:pPr>
            <w:r w:rsidRPr="00B10382">
              <w:t xml:space="preserve">The assessment that surface and groundwater systems are generally in poor condition is accurate and supported by evidence. The </w:t>
            </w:r>
            <w:proofErr w:type="spellStart"/>
            <w:r w:rsidRPr="00B10382">
              <w:t>Mooki</w:t>
            </w:r>
            <w:proofErr w:type="spellEnd"/>
            <w:r w:rsidRPr="00B10382">
              <w:t xml:space="preserve"> River adjacent to the proposed project boundary is highly degraded and riparian vegetation is absent. Further, in terms of usage, the Upper Namoi Alluvium is a very important groundwater source in New South Wales and its stress has been well documented. </w:t>
            </w:r>
          </w:p>
          <w:p w:rsidR="006A0AAB" w:rsidRPr="00B10382" w:rsidRDefault="006A0AAB" w:rsidP="00383963">
            <w:pPr>
              <w:pStyle w:val="ListNumber"/>
            </w:pPr>
            <w:r w:rsidRPr="00B10382">
              <w:t>Insufficient information has been provided by the proponent that clearly identifies outside of the proposed project boundary: aquatic ecosystems, assets and receptors that are dependent on surface and groundwater systems; their current condition and how these assets and receptors will be impacted by both the proposed project; and any additional cumulative impacts.</w:t>
            </w:r>
          </w:p>
          <w:p w:rsidR="006A0AAB" w:rsidRPr="00B10382" w:rsidRDefault="006A0AAB" w:rsidP="00942F21">
            <w:pPr>
              <w:pStyle w:val="Heading5"/>
            </w:pPr>
            <w:r w:rsidRPr="00B10382">
              <w:t>Question 3: Are the various models used to assess the potential impacts of the project on ground and surface water, in and outside the project area, appropriate for the purpose and acceptable as compared to known industry best practice? Are the data and assumptions on which the models were based valid and accurate? Have all reasonably foreseeable scenarios been modelled (e.g. low flow periods, climate change, simultaneous flooding events in surrounding water bodies etc.)?</w:t>
            </w:r>
          </w:p>
          <w:p w:rsidR="006A0AAB" w:rsidRPr="00B10382" w:rsidRDefault="006A0AAB" w:rsidP="00383963">
            <w:pPr>
              <w:pStyle w:val="ListNumber"/>
            </w:pPr>
            <w:r w:rsidRPr="00B10382">
              <w:t>The surface water balance and flood models and the numerical groundwater model used by the proponent are fit for purpose and consistent with best industry practice.</w:t>
            </w:r>
          </w:p>
          <w:p w:rsidR="006A0AAB" w:rsidRPr="00B10382" w:rsidRDefault="006A0AAB" w:rsidP="00942F21">
            <w:pPr>
              <w:pStyle w:val="ListNumber2"/>
              <w:autoSpaceDE/>
              <w:autoSpaceDN/>
              <w:adjustRightInd/>
            </w:pPr>
            <w:r w:rsidRPr="00B10382">
              <w:t>The data and assumptions for these models are accurate and valid, with the exception of the issues detailed below in relation to the numerical groundwater modelling.</w:t>
            </w:r>
          </w:p>
          <w:p w:rsidR="006A0AAB" w:rsidRPr="00B10382" w:rsidRDefault="006A0AAB" w:rsidP="006A0AAB">
            <w:pPr>
              <w:pStyle w:val="ListNumber3"/>
              <w:autoSpaceDE/>
              <w:autoSpaceDN/>
              <w:adjustRightInd/>
              <w:ind w:left="1106" w:hanging="369"/>
            </w:pPr>
            <w:r w:rsidRPr="00B10382">
              <w:t xml:space="preserve">Insufficient justification and verification has been provided for the </w:t>
            </w:r>
            <w:proofErr w:type="spellStart"/>
            <w:r w:rsidRPr="00B10382">
              <w:t>hydrogeological</w:t>
            </w:r>
            <w:proofErr w:type="spellEnd"/>
            <w:r w:rsidRPr="00B10382">
              <w:t xml:space="preserve"> conceptualisation, particularly with regard to the nature of faulting and interconnectivity between the Upper Namoi Alluvium and Permian sequence, which decreases confidence in conclusions drawn from the numerical groundwater model.</w:t>
            </w:r>
          </w:p>
          <w:p w:rsidR="006A0AAB" w:rsidRPr="00B10382" w:rsidRDefault="006A0AAB" w:rsidP="006A0AAB">
            <w:pPr>
              <w:pStyle w:val="ListNumber3"/>
              <w:autoSpaceDE/>
              <w:autoSpaceDN/>
              <w:adjustRightInd/>
              <w:ind w:left="1106" w:hanging="369"/>
            </w:pPr>
            <w:r w:rsidRPr="00B10382">
              <w:t>The assumptions of constant conditions at the northern boundary and constant groundwater use are both inaccurate. These assumptions limit the predictive ability of the model as it does not accurately represent the current conditions.</w:t>
            </w:r>
          </w:p>
          <w:p w:rsidR="006A0AAB" w:rsidRPr="00B10382" w:rsidRDefault="006A0AAB" w:rsidP="006A0AAB">
            <w:pPr>
              <w:pStyle w:val="ListNumber3"/>
              <w:autoSpaceDE/>
              <w:autoSpaceDN/>
              <w:adjustRightInd/>
              <w:ind w:left="1106" w:hanging="369"/>
            </w:pPr>
            <w:r w:rsidRPr="00B10382">
              <w:t>The extent of the Gunnedah Formation has been determined by the proponent based on geophysical surveys, but there has been no field verification of the results. Without verification, confidence is limited in the predicted groundwater drawdown impacts on the Gunnedah Formation and resulting impacts on groundwater users.</w:t>
            </w:r>
          </w:p>
          <w:p w:rsidR="006A0AAB" w:rsidRPr="00B10382" w:rsidRDefault="006A0AAB" w:rsidP="006A0AAB">
            <w:pPr>
              <w:pStyle w:val="ListNumber3"/>
              <w:autoSpaceDE/>
              <w:autoSpaceDN/>
              <w:adjustRightInd/>
              <w:ind w:left="1106" w:hanging="369"/>
            </w:pPr>
            <w:r w:rsidRPr="00B10382">
              <w:t>Hydraulic conductivities for target coal seams have not been adequately justified. The parameters used have unknown spatial distribution and extend over a large range, with some values orders of magnitude lower than those used by Schlumberger (2012) and other groundwater studies including the same Permian sequence for previous referrals in the Namoi Catchment. The Committee considers that the large range of hydraulic conductivities could overly influence the model’s predicted zone of depressurisation and that further evidence is required to justify the parameters used by the proponent.</w:t>
            </w:r>
          </w:p>
          <w:p w:rsidR="006A0AAB" w:rsidRPr="00B10382" w:rsidRDefault="006A0AAB" w:rsidP="006A0AAB">
            <w:pPr>
              <w:pStyle w:val="ListNumber3"/>
              <w:autoSpaceDE/>
              <w:autoSpaceDN/>
              <w:adjustRightInd/>
              <w:ind w:left="1106" w:hanging="369"/>
            </w:pPr>
            <w:r w:rsidRPr="00B10382">
              <w:t>Insufficient evidence has been provided to justify the presence of faults and their behaviour in transmitting or preventing groundwater flow in the groundwater model. The modelled results appear to show that the extent of groundwater drawdown is limited by these faults. Further work should be carried out to confirm both the existence of these faults and their ability to act as hydraulic barriers. This assessment should include the potential for fractures and faults to transmit water, particularly from the Upper Namoi Alluvium.</w:t>
            </w:r>
          </w:p>
          <w:p w:rsidR="006A0AAB" w:rsidRPr="00B10382" w:rsidRDefault="006A0AAB" w:rsidP="00942F21">
            <w:pPr>
              <w:pStyle w:val="ListNumber2"/>
              <w:autoSpaceDE/>
              <w:autoSpaceDN/>
              <w:adjustRightInd/>
            </w:pPr>
            <w:r w:rsidRPr="00B10382">
              <w:t xml:space="preserve">Not all reasonably foreseeable scenarios have been considered by the proponent in their modelling. </w:t>
            </w:r>
          </w:p>
          <w:p w:rsidR="006A0AAB" w:rsidRPr="00B10382" w:rsidRDefault="006A0AAB" w:rsidP="006A0AAB">
            <w:pPr>
              <w:pStyle w:val="ListNumber3"/>
              <w:autoSpaceDE/>
              <w:autoSpaceDN/>
              <w:adjustRightInd/>
              <w:ind w:left="1106" w:hanging="369"/>
            </w:pPr>
            <w:r w:rsidRPr="00B10382">
              <w:t xml:space="preserve">The site water balance modelling has not considered the potential for increasing climate variability. </w:t>
            </w:r>
          </w:p>
          <w:p w:rsidR="006A0AAB" w:rsidRPr="00B10382" w:rsidRDefault="006A0AAB" w:rsidP="006A0AAB">
            <w:pPr>
              <w:pStyle w:val="ListNumber3"/>
              <w:autoSpaceDE/>
              <w:autoSpaceDN/>
              <w:adjustRightInd/>
              <w:ind w:left="1106" w:hanging="369"/>
            </w:pPr>
            <w:r w:rsidRPr="00B10382">
              <w:t xml:space="preserve">The assessment of cumulative impacts has only considered Scenario 2 of the Namoi Catchment Water Study and therefore has excluded other foreseeable scenarios, including Scenario 3. </w:t>
            </w:r>
          </w:p>
          <w:p w:rsidR="006A0AAB" w:rsidRPr="00B10382" w:rsidRDefault="006A0AAB" w:rsidP="00942F21">
            <w:pPr>
              <w:pStyle w:val="Heading5"/>
            </w:pPr>
            <w:r w:rsidRPr="00B10382">
              <w:t>Question 4: Are the model output data valid, accurate and representative of the systems they are modelling (including the ephemeral waterways)? Have the output data been presented and interpreted in an appropriate, relevant way, relative to the likely impacts of the proposal, including for the flow regimes of ephemeral waterways within and surrounding the project boundary? What level of confidence can be applied to the results and conclusions presented in the EIS?</w:t>
            </w:r>
          </w:p>
          <w:p w:rsidR="006A0AAB" w:rsidRPr="00B10382" w:rsidRDefault="006A0AAB" w:rsidP="00383963">
            <w:pPr>
              <w:pStyle w:val="ListNumber"/>
            </w:pPr>
            <w:r w:rsidRPr="00B10382">
              <w:t>The Committee has identified concerns relating to input data, assumptions, sensitivities and the number of scenarios modelled for groundwater and water balance modelling, which decrease confidence in the outputs from these models. With respect to presentation and interpretation of model outputs:</w:t>
            </w:r>
          </w:p>
          <w:p w:rsidR="006A0AAB" w:rsidRPr="00B10382" w:rsidRDefault="006A0AAB" w:rsidP="00942F21">
            <w:pPr>
              <w:pStyle w:val="ListNumber2"/>
              <w:autoSpaceDE/>
              <w:autoSpaceDN/>
              <w:adjustRightInd/>
            </w:pPr>
            <w:r w:rsidRPr="00B10382">
              <w:t>Site water balance results have been presented in full only for long-term average conditions, which does not allow for interpretation of the performance of the mine water management system under climate extremes previously experienced in the region;</w:t>
            </w:r>
          </w:p>
          <w:p w:rsidR="006A0AAB" w:rsidRPr="00B10382" w:rsidRDefault="006A0AAB" w:rsidP="00942F21">
            <w:pPr>
              <w:pStyle w:val="ListNumber2"/>
              <w:autoSpaceDE/>
              <w:autoSpaceDN/>
              <w:adjustRightInd/>
            </w:pPr>
            <w:r w:rsidRPr="00B10382">
              <w:t xml:space="preserve">Predicted groundwater </w:t>
            </w:r>
            <w:proofErr w:type="spellStart"/>
            <w:r w:rsidRPr="00B10382">
              <w:t>drawdowns</w:t>
            </w:r>
            <w:proofErr w:type="spellEnd"/>
            <w:r w:rsidRPr="00B10382">
              <w:t xml:space="preserve"> have not been presented for all model layers and the drawdown contours presented have not been adequately discussed. In particular:</w:t>
            </w:r>
          </w:p>
          <w:p w:rsidR="006A0AAB" w:rsidRPr="00B10382" w:rsidRDefault="006A0AAB" w:rsidP="006A0AAB">
            <w:pPr>
              <w:pStyle w:val="ListNumber3"/>
              <w:autoSpaceDE/>
              <w:autoSpaceDN/>
              <w:adjustRightInd/>
              <w:ind w:left="1106" w:hanging="369"/>
            </w:pPr>
            <w:r w:rsidRPr="00B10382">
              <w:t>Groundwater drawdown within the coal seams is likely to be greater than predicted by the proponent, as low hydraulic conductivity values have not been adequately justified and could be influencing the limited drawdown extent;</w:t>
            </w:r>
          </w:p>
          <w:p w:rsidR="006A0AAB" w:rsidRPr="00B10382" w:rsidRDefault="006A0AAB" w:rsidP="006A0AAB">
            <w:pPr>
              <w:pStyle w:val="ListNumber3"/>
              <w:autoSpaceDE/>
              <w:autoSpaceDN/>
              <w:adjustRightInd/>
              <w:ind w:left="1106" w:hanging="369"/>
            </w:pPr>
            <w:r w:rsidRPr="00B10382">
              <w:t>It is difficult to determine the validity of the modelled impact of the faults, if any, on groundwater movement, in particular the role of these faults in impeding groundwater drawdown; and</w:t>
            </w:r>
          </w:p>
          <w:p w:rsidR="006A0AAB" w:rsidRPr="00B10382" w:rsidRDefault="006A0AAB" w:rsidP="006A0AAB">
            <w:pPr>
              <w:pStyle w:val="ListNumber3"/>
              <w:autoSpaceDE/>
              <w:autoSpaceDN/>
              <w:adjustRightInd/>
              <w:ind w:left="1106" w:hanging="369"/>
            </w:pPr>
            <w:r w:rsidRPr="00B10382">
              <w:t xml:space="preserve">Groundwater </w:t>
            </w:r>
            <w:proofErr w:type="gramStart"/>
            <w:r w:rsidRPr="00B10382">
              <w:t>drawdown for the rest of the Permian sequence in this area have</w:t>
            </w:r>
            <w:proofErr w:type="gramEnd"/>
            <w:r w:rsidRPr="00B10382">
              <w:t xml:space="preserve"> not been presented by the proponent, but are modelled in the Namoi Catchment Water Study. The Committee considers that drawdown contours for these Permian units should be presented. If no drawdown is predicted by the model for these units, then an explanation should be provided as to why this will not occur; and</w:t>
            </w:r>
          </w:p>
          <w:p w:rsidR="006A0AAB" w:rsidRPr="00B10382" w:rsidRDefault="006A0AAB" w:rsidP="00942F21">
            <w:pPr>
              <w:pStyle w:val="ListNumber2"/>
              <w:autoSpaceDE/>
              <w:autoSpaceDN/>
              <w:adjustRightInd/>
            </w:pPr>
            <w:r w:rsidRPr="00B10382">
              <w:t>Model outputs should be presented with an understanding of their sensitivity or uncertainty and referenced in terms of the impact to any water dependent assets.</w:t>
            </w:r>
          </w:p>
          <w:p w:rsidR="006A0AAB" w:rsidRPr="00B10382" w:rsidRDefault="006A0AAB" w:rsidP="00942F21">
            <w:pPr>
              <w:pStyle w:val="Heading5"/>
            </w:pPr>
            <w:r w:rsidRPr="00B10382">
              <w:t>Question 5: Has the EIS comprehensively identified, assessed and quantified all potential impacts of the proposal on water systems within and outside the project area? If not, what impacts have not been covered and/or what information is required?</w:t>
            </w:r>
          </w:p>
          <w:p w:rsidR="006A0AAB" w:rsidRPr="00B10382" w:rsidRDefault="006A0AAB" w:rsidP="00383963">
            <w:pPr>
              <w:pStyle w:val="ListNumber"/>
            </w:pPr>
            <w:r w:rsidRPr="00B10382">
              <w:t>Whilst the proponent has identified most potential impacts on water resources, the assessment and quantification of these impacts is not comprehensive. In addition to the information gaps identified in the assessment against the Information Guidelines and under questions 1,2, 3, 4, 6, 8 and 9, the project assessment documentation would be improved by including additional information on the following potential impacts:</w:t>
            </w:r>
          </w:p>
          <w:p w:rsidR="006A0AAB" w:rsidRPr="00B10382" w:rsidRDefault="006A0AAB" w:rsidP="00942F21">
            <w:pPr>
              <w:pStyle w:val="ListNumber2"/>
              <w:autoSpaceDE/>
              <w:autoSpaceDN/>
              <w:adjustRightInd/>
            </w:pPr>
            <w:r w:rsidRPr="00B10382">
              <w:t xml:space="preserve">The detailed design and construction details of pump site on the </w:t>
            </w:r>
            <w:proofErr w:type="spellStart"/>
            <w:r w:rsidRPr="00B10382">
              <w:t>Mooki</w:t>
            </w:r>
            <w:proofErr w:type="spellEnd"/>
            <w:r w:rsidRPr="00B10382">
              <w:t xml:space="preserve"> River and the diversion on Watermark Gully, including flood extents and flow velocities, to ensure that these constructions are stable and will not result in erosion or changes to downstream turbidity;</w:t>
            </w:r>
          </w:p>
          <w:p w:rsidR="006A0AAB" w:rsidRPr="00B10382" w:rsidRDefault="006A0AAB" w:rsidP="00942F21">
            <w:pPr>
              <w:pStyle w:val="ListNumber2"/>
              <w:autoSpaceDE/>
              <w:autoSpaceDN/>
              <w:adjustRightInd/>
            </w:pPr>
            <w:r w:rsidRPr="00B10382">
              <w:t xml:space="preserve">Predicted flood extents along the </w:t>
            </w:r>
            <w:proofErr w:type="spellStart"/>
            <w:r w:rsidRPr="00B10382">
              <w:t>Mooki</w:t>
            </w:r>
            <w:proofErr w:type="spellEnd"/>
            <w:r w:rsidRPr="00B10382">
              <w:t xml:space="preserve"> River which extend into the Eastern mining area. Proposed mitigation actions need to be clarified; </w:t>
            </w:r>
          </w:p>
          <w:p w:rsidR="006A0AAB" w:rsidRPr="00B10382" w:rsidRDefault="006A0AAB" w:rsidP="00942F21">
            <w:pPr>
              <w:pStyle w:val="ListNumber2"/>
              <w:autoSpaceDE/>
              <w:autoSpaceDN/>
              <w:adjustRightInd/>
            </w:pPr>
            <w:r w:rsidRPr="00B10382">
              <w:t xml:space="preserve">Impacts on </w:t>
            </w:r>
            <w:proofErr w:type="spellStart"/>
            <w:r w:rsidRPr="00B10382">
              <w:t>dryland</w:t>
            </w:r>
            <w:proofErr w:type="spellEnd"/>
            <w:r w:rsidRPr="00B10382">
              <w:t xml:space="preserve"> salinity as a result of the proposed direct removal of woodland; and</w:t>
            </w:r>
          </w:p>
          <w:p w:rsidR="006A0AAB" w:rsidRPr="00B10382" w:rsidRDefault="006A0AAB" w:rsidP="00942F21">
            <w:pPr>
              <w:pStyle w:val="ListNumber2"/>
              <w:autoSpaceDE/>
              <w:autoSpaceDN/>
              <w:adjustRightInd/>
            </w:pPr>
            <w:r w:rsidRPr="00B10382">
              <w:t xml:space="preserve">The intersection of the current water table, potential groundwater drawdown and the depth of the root zone of protected vegetation communities. </w:t>
            </w:r>
          </w:p>
          <w:p w:rsidR="006A0AAB" w:rsidRPr="00B10382" w:rsidRDefault="006A0AAB" w:rsidP="00942F21">
            <w:pPr>
              <w:pStyle w:val="Heading5"/>
            </w:pPr>
            <w:r w:rsidRPr="00B10382">
              <w:t>Question 6: Is the assessment of the nature and extent of post-rehabilitation impacts on ground and surface waters accurate?</w:t>
            </w:r>
          </w:p>
          <w:p w:rsidR="006A0AAB" w:rsidRPr="00B10382" w:rsidRDefault="006A0AAB" w:rsidP="00383963">
            <w:pPr>
              <w:pStyle w:val="ListNumber"/>
            </w:pPr>
            <w:r w:rsidRPr="00B10382">
              <w:t>Post-rehabilitation, both the final void and seepage from backfilled pits present potentially significant long-term environmental hazards, which have not been adequately addressed by the proponent.</w:t>
            </w:r>
          </w:p>
          <w:p w:rsidR="006A0AAB" w:rsidRPr="00B10382" w:rsidRDefault="006A0AAB" w:rsidP="00942F21">
            <w:pPr>
              <w:pStyle w:val="ListNumber2"/>
              <w:autoSpaceDE/>
              <w:autoSpaceDN/>
              <w:adjustRightInd/>
            </w:pPr>
            <w:r w:rsidRPr="00B10382">
              <w:t xml:space="preserve">The Western mining area void will have an area of 100 ha and depth of 60 metres. There are significant differences in the time to reach equilibrium and the water level at which this is achieved when the void is modelled from a groundwater or surface water perspective. As such, the Committee has limited confidence in the prediction that the void will not overtop. The Committee considers that voids are a long-term environmental legacy and backfilling of voids and pit lakes represents best environmental practice. </w:t>
            </w:r>
          </w:p>
          <w:p w:rsidR="006A0AAB" w:rsidRPr="00B10382" w:rsidRDefault="006A0AAB" w:rsidP="00942F21">
            <w:pPr>
              <w:pStyle w:val="ListNumber2"/>
              <w:autoSpaceDE/>
              <w:autoSpaceDN/>
              <w:adjustRightInd/>
            </w:pPr>
            <w:r w:rsidRPr="00B10382">
              <w:t xml:space="preserve">The Southern and Eastern mining area voids are proposed to be backfilled and predicted to recover relatively quickly. The proponent has modelled seepage from these mining areas, which they predict to be 0.08 ML/day 2,000 years after mining. Sensitivity analysis shows that the salt loads from this seepage from the Southern mining area could reach </w:t>
            </w:r>
            <w:proofErr w:type="gramStart"/>
            <w:r w:rsidRPr="00B10382">
              <w:t>up to 17 kg/ha/day</w:t>
            </w:r>
            <w:proofErr w:type="gramEnd"/>
            <w:r w:rsidRPr="00B10382">
              <w:t>. The Committee recommends that the proponent investigate the potential impacts from seepage on downstream aquatic ecosystems, assets and receptors; commence long-term monitoring; and prepare a mitigation and management plan to address any potential impacts.</w:t>
            </w:r>
          </w:p>
          <w:p w:rsidR="006A0AAB" w:rsidRPr="00B10382" w:rsidRDefault="006A0AAB" w:rsidP="00942F21">
            <w:pPr>
              <w:pStyle w:val="Heading5"/>
            </w:pPr>
            <w:r w:rsidRPr="00B10382">
              <w:t>Question 7: Has the cost-benefit analysis (page 55) properly considered the potential negative impacts of the proposal on water resources? If not, what would be required to address this?</w:t>
            </w:r>
          </w:p>
          <w:p w:rsidR="006A0AAB" w:rsidRPr="00B10382" w:rsidRDefault="006A0AAB" w:rsidP="00383963">
            <w:pPr>
              <w:pStyle w:val="ListNumber"/>
            </w:pPr>
            <w:r w:rsidRPr="00B10382">
              <w:t>It is not within the Committee’s terms of reference to consider the adequacy of cost-benefit analyses. However, in light of the question asked, the one-page cost-benefit analysis on page 55 of the draft Environmental Impact Statement is not comprehensive and methodologically robust. It includes only the environmental benefits and socio-economic costs of the chosen project alternative and notably not the environmental costs, including potential negative impacts on water resources.</w:t>
            </w:r>
          </w:p>
          <w:p w:rsidR="006A0AAB" w:rsidRPr="00B10382" w:rsidRDefault="006A0AAB" w:rsidP="00942F21">
            <w:pPr>
              <w:pStyle w:val="Heading5"/>
            </w:pPr>
            <w:r w:rsidRPr="00B10382">
              <w:t xml:space="preserve">Question 8: Does the Committee find the water management, mitigation and monitoring measures proposed to be appropriate, accurate, reasonable and effective? To what degree, if any, do the proposed mitigation and management measures reduce impacts? </w:t>
            </w:r>
          </w:p>
          <w:p w:rsidR="006A0AAB" w:rsidRPr="00B10382" w:rsidRDefault="006A0AAB" w:rsidP="00383963">
            <w:pPr>
              <w:pStyle w:val="ListNumber"/>
            </w:pPr>
            <w:r w:rsidRPr="00B10382">
              <w:t>The proposed control measures typically include management and mitigation actions, which are yet to be articulated in management plans. As such, the effectiveness of these measures cannot be determined at this stage. The Committee makes recommendations for mitigation and management in Question 8d and monitoring is discussed in Question 8b.</w:t>
            </w:r>
          </w:p>
          <w:p w:rsidR="006A0AAB" w:rsidRPr="00B10382" w:rsidRDefault="006A0AAB" w:rsidP="00942F21">
            <w:pPr>
              <w:pStyle w:val="Heading5"/>
            </w:pPr>
            <w:r w:rsidRPr="00B10382">
              <w:t>8a: Are the water storages proposed during operation sufficient to ensure no contamination of downstream surface waters?</w:t>
            </w:r>
          </w:p>
          <w:p w:rsidR="006A0AAB" w:rsidRPr="00B10382" w:rsidRDefault="006A0AAB" w:rsidP="00383963">
            <w:pPr>
              <w:pStyle w:val="ListNumber"/>
            </w:pPr>
            <w:r w:rsidRPr="00B10382">
              <w:t xml:space="preserve">No. There is potential for contamination of downstream surface waters from mobilisation of accumulated seepage (see Question 6), emergency release from mine water storages (see Question 1) and overflow of sediment dams. The key contaminant of concern is salt. </w:t>
            </w:r>
          </w:p>
          <w:p w:rsidR="006A0AAB" w:rsidRPr="00B10382" w:rsidRDefault="006A0AAB" w:rsidP="00942F21">
            <w:pPr>
              <w:pStyle w:val="ListNumber2"/>
              <w:autoSpaceDE/>
              <w:autoSpaceDN/>
              <w:adjustRightInd/>
            </w:pPr>
            <w:r w:rsidRPr="00B10382">
              <w:t xml:space="preserve">Sediment dams that collect runoff from overburden emplacement areas are designed to overflow to ephemeral streams (although the frequency, quality and volumes of these predicted events are unknown). The proponent intends to mitigate impacts through treatment with a </w:t>
            </w:r>
            <w:proofErr w:type="spellStart"/>
            <w:r w:rsidRPr="00B10382">
              <w:t>flocculant</w:t>
            </w:r>
            <w:proofErr w:type="spellEnd"/>
            <w:r w:rsidRPr="00B10382">
              <w:t xml:space="preserve">, or by moving the excess water to other storages on site where possible. Treatment with a </w:t>
            </w:r>
            <w:proofErr w:type="spellStart"/>
            <w:r w:rsidRPr="00B10382">
              <w:t>flocculant</w:t>
            </w:r>
            <w:proofErr w:type="spellEnd"/>
            <w:r w:rsidRPr="00B10382">
              <w:t xml:space="preserve"> will only control solids and other potential contaminants, including salt, are not proposed to be treated. These mitigation actions are insufficient without a full understanding of the potential impacts of these saline releases on downstream aquatic ecosystems, assets and receptors. </w:t>
            </w:r>
          </w:p>
          <w:p w:rsidR="006A0AAB" w:rsidRPr="00B10382" w:rsidRDefault="006A0AAB" w:rsidP="00942F21">
            <w:pPr>
              <w:pStyle w:val="ListNumber2"/>
              <w:autoSpaceDE/>
              <w:autoSpaceDN/>
              <w:adjustRightInd/>
            </w:pPr>
            <w:r w:rsidRPr="00B10382">
              <w:t xml:space="preserve">The Committee recommends that the proponent provide estimates of the frequency, quality and quantity of discharges of water (particularly saline water) proposed from the site, including potential emergency discharges, seepage and overflows from sedimentation dams. Further, the environmental assessment would benefit from a thorough investigation of the impacts of these discharges on the regional salt and water balance and downstream aquatic ecosystems, assets and receptors, including access to flows in the unregulated </w:t>
            </w:r>
            <w:proofErr w:type="spellStart"/>
            <w:r w:rsidRPr="00B10382">
              <w:t>Mooki</w:t>
            </w:r>
            <w:proofErr w:type="spellEnd"/>
            <w:r w:rsidRPr="00B10382">
              <w:t xml:space="preserve"> River water source.</w:t>
            </w:r>
          </w:p>
          <w:p w:rsidR="006A0AAB" w:rsidRPr="00B10382" w:rsidRDefault="006A0AAB" w:rsidP="00942F21">
            <w:pPr>
              <w:pStyle w:val="Heading5"/>
            </w:pPr>
            <w:r w:rsidRPr="00B10382">
              <w:t>8b: Is baseline water monitoring data sufficient to provide an accurate and representative baseline against which changes may be determined during and after mining operations?</w:t>
            </w:r>
          </w:p>
          <w:p w:rsidR="006A0AAB" w:rsidRPr="00B10382" w:rsidRDefault="006A0AAB" w:rsidP="00383963">
            <w:pPr>
              <w:pStyle w:val="ListNumber"/>
            </w:pPr>
            <w:r w:rsidRPr="00B10382">
              <w:t>Ground and surface water monitoring data has been collected by the proponent in and adjacent to the proposed site on a regular basis for over two years, which will be used in addition to New South Wales Government monitoring data to determine a baseline at these locations. The Committee recommends that, should the proposed project go ahead:</w:t>
            </w:r>
          </w:p>
          <w:p w:rsidR="006A0AAB" w:rsidRPr="00B10382" w:rsidRDefault="006A0AAB" w:rsidP="00942F21">
            <w:pPr>
              <w:pStyle w:val="ListNumber2"/>
              <w:autoSpaceDE/>
              <w:autoSpaceDN/>
              <w:adjustRightInd/>
            </w:pPr>
            <w:r w:rsidRPr="00B10382">
              <w:t>Baseline monitoring of surface and groundwater systems continue during and post operations, as potential impacts of salt water seepage are predicted to extend beyond 2,000 years into the future;</w:t>
            </w:r>
          </w:p>
          <w:p w:rsidR="006A0AAB" w:rsidRPr="00B10382" w:rsidRDefault="006A0AAB" w:rsidP="00942F21">
            <w:pPr>
              <w:pStyle w:val="ListNumber2"/>
              <w:autoSpaceDE/>
              <w:autoSpaceDN/>
              <w:adjustRightInd/>
            </w:pPr>
            <w:r w:rsidRPr="00B10382">
              <w:t>Extensions to the groundwater monitoring network should be made in the alluvium and target coal seams both within and beyond the predicted zone of depressurisation; as the Committee is concerned that the proponent’s predicted zone of depressurisation is limited;</w:t>
            </w:r>
          </w:p>
          <w:p w:rsidR="006A0AAB" w:rsidRPr="00B10382" w:rsidRDefault="006A0AAB" w:rsidP="00942F21">
            <w:pPr>
              <w:pStyle w:val="ListNumber2"/>
              <w:autoSpaceDE/>
              <w:autoSpaceDN/>
              <w:adjustRightInd/>
            </w:pPr>
            <w:r w:rsidRPr="00B10382">
              <w:t>Extensions to the groundwater monitoring network should also ensure that there is sufficient baseline information in aquifers which have a lower monitoring bore density including the Jurassic sediments of the Surat Basin and the Clare Sandstone; and</w:t>
            </w:r>
          </w:p>
          <w:p w:rsidR="006A0AAB" w:rsidRPr="00B10382" w:rsidRDefault="006A0AAB" w:rsidP="00942F21">
            <w:pPr>
              <w:pStyle w:val="ListNumber2"/>
              <w:autoSpaceDE/>
              <w:autoSpaceDN/>
              <w:adjustRightInd/>
            </w:pPr>
            <w:r w:rsidRPr="00B10382">
              <w:t xml:space="preserve">The proponent provide for additional monitoring sites as required for investigations recommended by the Committee on the water balance (Question 1), groundwater modelling (Question 3), seepage (Question 6), salt balance (Question 8a) and interconnectivity (Question 9). </w:t>
            </w:r>
          </w:p>
          <w:p w:rsidR="006A0AAB" w:rsidRPr="00B10382" w:rsidRDefault="006A0AAB" w:rsidP="00942F21">
            <w:pPr>
              <w:pStyle w:val="Heading5"/>
            </w:pPr>
            <w:r w:rsidRPr="00B10382">
              <w:t>8c: Are the parameters to be measured in ground and surface water monitoring appropriate and sufficient to cover the likely water quality impacts?</w:t>
            </w:r>
          </w:p>
          <w:p w:rsidR="006A0AAB" w:rsidRPr="00B10382" w:rsidRDefault="006A0AAB" w:rsidP="00383963">
            <w:pPr>
              <w:pStyle w:val="ListNumber"/>
            </w:pPr>
            <w:r w:rsidRPr="00B10382">
              <w:t>The water quality parameters measured in the proponent’s ground and surface water monitoring program are appropriate. In order to manage potential risks to downstream assets and receptors as a result of loss of catchment flows, overflow of sediment dams, mobilisation of accumulated seepage from backfilled voids and potential emergency discharge, the Committee recommends that ongoing baseline water quality sampling is carried out on a monthly basis, as well as after any significant rainfall events at the 12 sites nominated by the proponent, including the ephemeral Watermark Gully.</w:t>
            </w:r>
          </w:p>
          <w:p w:rsidR="006A0AAB" w:rsidRPr="00B10382" w:rsidRDefault="006A0AAB" w:rsidP="00942F21">
            <w:pPr>
              <w:pStyle w:val="Heading5"/>
            </w:pPr>
            <w:r w:rsidRPr="00B10382">
              <w:t>8d: Are there any other mitigation measures that could be implemented to further reduce any impacts?</w:t>
            </w:r>
          </w:p>
          <w:p w:rsidR="006A0AAB" w:rsidRPr="00B10382" w:rsidRDefault="006A0AAB" w:rsidP="00383963">
            <w:pPr>
              <w:pStyle w:val="ListNumber"/>
            </w:pPr>
            <w:r w:rsidRPr="00B10382">
              <w:t>The Committee recommends that the proponent develop:</w:t>
            </w:r>
          </w:p>
          <w:p w:rsidR="006A0AAB" w:rsidRPr="00B10382" w:rsidRDefault="006A0AAB" w:rsidP="00942F21">
            <w:pPr>
              <w:pStyle w:val="ListNumber2"/>
              <w:autoSpaceDE/>
              <w:autoSpaceDN/>
              <w:adjustRightInd/>
            </w:pPr>
            <w:r w:rsidRPr="00B10382">
              <w:t xml:space="preserve">A comprehensive sediment control plan, </w:t>
            </w:r>
          </w:p>
          <w:p w:rsidR="006A0AAB" w:rsidRPr="00B10382" w:rsidRDefault="006A0AAB" w:rsidP="00942F21">
            <w:pPr>
              <w:pStyle w:val="ListNumber2"/>
              <w:autoSpaceDE/>
              <w:autoSpaceDN/>
              <w:adjustRightInd/>
            </w:pPr>
            <w:r w:rsidRPr="00B10382">
              <w:t>A detailed flood mitigation plan which prevents flooding of the Eastern pit under a 1 in 1000 year flood event; and</w:t>
            </w:r>
          </w:p>
          <w:p w:rsidR="006A0AAB" w:rsidRPr="00B10382" w:rsidRDefault="006A0AAB" w:rsidP="00942F21">
            <w:pPr>
              <w:pStyle w:val="ListNumber2"/>
              <w:autoSpaceDE/>
              <w:autoSpaceDN/>
              <w:adjustRightInd/>
            </w:pPr>
            <w:r w:rsidRPr="00B10382">
              <w:t>Surface and groundwater management plans that include:</w:t>
            </w:r>
          </w:p>
          <w:p w:rsidR="006A0AAB" w:rsidRPr="00B10382" w:rsidRDefault="006A0AAB" w:rsidP="006A0AAB">
            <w:pPr>
              <w:pStyle w:val="ListNumber3"/>
              <w:autoSpaceDE/>
              <w:autoSpaceDN/>
              <w:adjustRightInd/>
              <w:ind w:left="1106" w:hanging="369"/>
            </w:pPr>
            <w:r w:rsidRPr="00B10382">
              <w:t>Regular quality and quantity monitoring, as outlined above;</w:t>
            </w:r>
          </w:p>
          <w:p w:rsidR="006A0AAB" w:rsidRPr="00B10382" w:rsidRDefault="006A0AAB" w:rsidP="006A0AAB">
            <w:pPr>
              <w:pStyle w:val="ListNumber3"/>
              <w:autoSpaceDE/>
              <w:autoSpaceDN/>
              <w:adjustRightInd/>
              <w:ind w:left="1106" w:hanging="369"/>
            </w:pPr>
            <w:r w:rsidRPr="00B10382">
              <w:t>Site-specific quality and quantity triggers which are sensitive enough to provide an early warning of potential deviations from a defined baseline, but buffer seasonal climate variations; and</w:t>
            </w:r>
          </w:p>
          <w:p w:rsidR="006A0AAB" w:rsidRPr="00B10382" w:rsidRDefault="006A0AAB" w:rsidP="006A0AAB">
            <w:pPr>
              <w:pStyle w:val="ListNumber3"/>
              <w:autoSpaceDE/>
              <w:autoSpaceDN/>
              <w:adjustRightInd/>
              <w:ind w:left="1106" w:hanging="369"/>
            </w:pPr>
            <w:r w:rsidRPr="00B10382">
              <w:t>Appropriate management actions for each trigger and backup mitigation actions should the proposed management action not be effective.</w:t>
            </w:r>
          </w:p>
          <w:p w:rsidR="006A0AAB" w:rsidRPr="00B10382" w:rsidRDefault="006A0AAB" w:rsidP="00383963">
            <w:pPr>
              <w:pStyle w:val="ListNumber"/>
            </w:pPr>
            <w:r w:rsidRPr="00B10382">
              <w:t xml:space="preserve">The proponent intends to mitigate their impacts on biodiversity through the revegetation of offset areas. Revegetation has the potential to control </w:t>
            </w:r>
            <w:proofErr w:type="spellStart"/>
            <w:r w:rsidRPr="00B10382">
              <w:t>dryland</w:t>
            </w:r>
            <w:proofErr w:type="spellEnd"/>
            <w:r w:rsidRPr="00B10382">
              <w:t xml:space="preserve"> salinity as well as conserve biodiversity. The Committee recommends that the proponent and regulator consider potential effects on local or regional </w:t>
            </w:r>
            <w:proofErr w:type="spellStart"/>
            <w:r w:rsidRPr="00B10382">
              <w:t>dryland</w:t>
            </w:r>
            <w:proofErr w:type="spellEnd"/>
            <w:r w:rsidRPr="00B10382">
              <w:t xml:space="preserve"> salinity when choosing offset sites.</w:t>
            </w:r>
          </w:p>
          <w:p w:rsidR="006A0AAB" w:rsidRPr="00B10382" w:rsidRDefault="006A0AAB" w:rsidP="00942F21">
            <w:pPr>
              <w:pStyle w:val="Heading5"/>
            </w:pPr>
            <w:r w:rsidRPr="00B10382">
              <w:t>Question 9: There are a number of other mines either existing or proposed in the area surrounding the proposed Watermark Coal Project. The existence and operating management of these mines within this area raises the possibility of cumulative impacts. Does the Committee identify any particular concerns relating to cumulative impacts?</w:t>
            </w:r>
          </w:p>
          <w:p w:rsidR="006A0AAB" w:rsidRPr="00B10382" w:rsidRDefault="006A0AAB" w:rsidP="00383963">
            <w:pPr>
              <w:pStyle w:val="ListNumber"/>
            </w:pPr>
            <w:r w:rsidRPr="00B10382">
              <w:t xml:space="preserve"> The Committee identifies the following concerns relating to cumulative impacts, noting that the surface and groundwater systems likely to be impacted are in a poor / stressed condition,: :</w:t>
            </w:r>
          </w:p>
          <w:p w:rsidR="006A0AAB" w:rsidRPr="00B10382" w:rsidRDefault="006A0AAB" w:rsidP="00942F21">
            <w:pPr>
              <w:pStyle w:val="ListNumber2"/>
              <w:autoSpaceDE/>
              <w:autoSpaceDN/>
              <w:adjustRightInd/>
            </w:pPr>
            <w:r w:rsidRPr="00B10382">
              <w:t>The sensitivity analysis performed by Schlumberger (2012) showed that the groundwater drawdown as a result of cumulative impacts in the Upper Namoi Alluvium Zone 7 is predicted to exceed 2 m, which is significant as the average saturated thickness of the alluvium in this zone is only 13 m (noting that Schlumberger have a low level of confidence in the prediction due to limited data);</w:t>
            </w:r>
          </w:p>
          <w:p w:rsidR="006A0AAB" w:rsidRPr="00B10382" w:rsidRDefault="006A0AAB" w:rsidP="00942F21">
            <w:pPr>
              <w:pStyle w:val="ListNumber2"/>
              <w:autoSpaceDE/>
              <w:autoSpaceDN/>
              <w:adjustRightInd/>
            </w:pPr>
            <w:r w:rsidRPr="00B10382">
              <w:t>The proponent has not addressed cumulative impacts on hard rock groundwater, despite the modelling by Schlumberger (2012) of cumulative groundwater drawdown in extensive areas of the Gunnedah water management area of greater than 10 m;</w:t>
            </w:r>
          </w:p>
          <w:p w:rsidR="006A0AAB" w:rsidRPr="00B10382" w:rsidRDefault="006A0AAB" w:rsidP="00942F21">
            <w:pPr>
              <w:pStyle w:val="ListNumber2"/>
              <w:autoSpaceDE/>
              <w:autoSpaceDN/>
              <w:adjustRightInd/>
            </w:pPr>
            <w:r w:rsidRPr="00B10382">
              <w:t xml:space="preserve">The proponent has not addressed cumulative impacts on surface water flow, despite modelled loss in flows by Schlumberger (2012), which show a cumulative reduction in flow in the Namoi River near Narrabri, equivalent to about half the current surface water extraction from the regulated Namoi River below </w:t>
            </w:r>
            <w:proofErr w:type="spellStart"/>
            <w:r w:rsidRPr="00B10382">
              <w:t>Keepit</w:t>
            </w:r>
            <w:proofErr w:type="spellEnd"/>
            <w:r w:rsidRPr="00B10382">
              <w:t xml:space="preserve"> Dam;</w:t>
            </w:r>
          </w:p>
          <w:p w:rsidR="006A0AAB" w:rsidRPr="00B10382" w:rsidRDefault="006A0AAB" w:rsidP="00942F21">
            <w:pPr>
              <w:pStyle w:val="ListNumber2"/>
              <w:autoSpaceDE/>
              <w:autoSpaceDN/>
              <w:adjustRightInd/>
            </w:pPr>
            <w:r w:rsidRPr="00B10382">
              <w:t>The proponent has not addressed cumulative impacts on water quality, despite the predicted increase in salt loads to ephemeral water courses as a result of the proposed project and existing risk of salinity within the catchment; and</w:t>
            </w:r>
          </w:p>
          <w:p w:rsidR="006A0AAB" w:rsidRPr="00B10382" w:rsidRDefault="006A0AAB" w:rsidP="00942F21">
            <w:pPr>
              <w:pStyle w:val="ListNumber2"/>
              <w:autoSpaceDE/>
              <w:autoSpaceDN/>
              <w:adjustRightInd/>
            </w:pPr>
            <w:r w:rsidRPr="00B10382">
              <w:t xml:space="preserve">There is no link provided by the proponent between these likely cumulative impacts and water dependent assets and receptors. </w:t>
            </w:r>
          </w:p>
          <w:p w:rsidR="006A0AAB" w:rsidRPr="00B10382" w:rsidRDefault="006A0AAB" w:rsidP="00383963">
            <w:pPr>
              <w:pStyle w:val="ListNumber"/>
            </w:pPr>
            <w:r w:rsidRPr="00B10382">
              <w:t>The Committee recommends that adoption of the following will provide for a more robust cumulative impact assessment:</w:t>
            </w:r>
          </w:p>
          <w:p w:rsidR="006A0AAB" w:rsidRPr="00B10382" w:rsidRDefault="006A0AAB" w:rsidP="00942F21">
            <w:pPr>
              <w:pStyle w:val="ListNumber2"/>
              <w:autoSpaceDE/>
              <w:autoSpaceDN/>
              <w:adjustRightInd/>
            </w:pPr>
            <w:r w:rsidRPr="00B10382">
              <w:t>A broader consideration of the Namoi Catchment Water Study’s findings, particularly with respect to the use of scenario 3 and impacts to surface water and the Gunnedah-Oxley Basin; and</w:t>
            </w:r>
          </w:p>
          <w:p w:rsidR="006A0AAB" w:rsidRPr="00B10382" w:rsidRDefault="006A0AAB" w:rsidP="00942F21">
            <w:pPr>
              <w:pStyle w:val="ListNumber2"/>
              <w:autoSpaceDE/>
              <w:autoSpaceDN/>
              <w:adjustRightInd/>
            </w:pPr>
            <w:r w:rsidRPr="00B10382">
              <w:t>A local-scale focused investigation into groundwater gradients and flow, with particular regard to effects of predicted groundwater drawdown in the Permian sequence, based on connectivity between the Permian sequence, the alluvium and surface water. This investigation should be undertaken before projects proceed that are predicted to impact on the Upper Namoi Alluvium Zone 3, Zone 8 or Zone 7 in particular.</w:t>
            </w:r>
          </w:p>
          <w:p w:rsidR="006A0AAB" w:rsidRPr="00B10382" w:rsidRDefault="006A0AAB" w:rsidP="00383963">
            <w:pPr>
              <w:pStyle w:val="ListNumber"/>
            </w:pPr>
            <w:r w:rsidRPr="00B10382">
              <w:t>The Northern Inland Catchments, which includes the Namoi catchment, has been identified as a Bioregional Assessment priority region. Data and relevant information from the proposed project should be made accessible for this Bioregional Assessment to assist the knowledge base for regional scale assessments.</w:t>
            </w:r>
          </w:p>
        </w:tc>
      </w:tr>
      <w:tr w:rsidR="006A0AAB" w:rsidRPr="00B10382" w:rsidTr="00942F21">
        <w:tc>
          <w:tcPr>
            <w:tcW w:w="1809" w:type="dxa"/>
          </w:tcPr>
          <w:p w:rsidR="006A0AAB" w:rsidRPr="00B10382" w:rsidRDefault="006A0AAB" w:rsidP="00942F21">
            <w:pPr>
              <w:pStyle w:val="Heading2"/>
            </w:pPr>
            <w:r w:rsidRPr="00B10382">
              <w:t>Date of advice</w:t>
            </w:r>
          </w:p>
        </w:tc>
        <w:tc>
          <w:tcPr>
            <w:tcW w:w="7371" w:type="dxa"/>
          </w:tcPr>
          <w:p w:rsidR="006A0AAB" w:rsidRPr="00B10382" w:rsidRDefault="006A0AAB" w:rsidP="00942F21">
            <w:pPr>
              <w:pStyle w:val="Tabletext"/>
            </w:pPr>
            <w:r w:rsidRPr="00B10382">
              <w:t>27 May 2013</w:t>
            </w:r>
          </w:p>
        </w:tc>
      </w:tr>
      <w:tr w:rsidR="006A0AAB" w:rsidRPr="00B10382" w:rsidTr="00942F21">
        <w:tc>
          <w:tcPr>
            <w:tcW w:w="1809" w:type="dxa"/>
            <w:tcBorders>
              <w:bottom w:val="single" w:sz="4" w:space="0" w:color="auto"/>
            </w:tcBorders>
          </w:tcPr>
          <w:p w:rsidR="006A0AAB" w:rsidRPr="00B10382" w:rsidRDefault="006A0AAB" w:rsidP="00942F21">
            <w:pPr>
              <w:pStyle w:val="Heading2"/>
            </w:pPr>
            <w:r w:rsidRPr="00B10382">
              <w:t>Source documentation available to the Committee in the formulation of this advice</w:t>
            </w:r>
          </w:p>
        </w:tc>
        <w:tc>
          <w:tcPr>
            <w:tcW w:w="7371" w:type="dxa"/>
            <w:tcBorders>
              <w:bottom w:val="single" w:sz="4" w:space="0" w:color="auto"/>
            </w:tcBorders>
          </w:tcPr>
          <w:p w:rsidR="006A0AAB" w:rsidRPr="00B10382" w:rsidRDefault="006A0AAB" w:rsidP="00942F21">
            <w:pPr>
              <w:pStyle w:val="Tabletext"/>
            </w:pPr>
            <w:r w:rsidRPr="00B10382">
              <w:t xml:space="preserve">Hansen Bailey Pty Ltd 2013. Watermark Coal Project Environmental Impact Statement. Prepared for </w:t>
            </w:r>
            <w:proofErr w:type="spellStart"/>
            <w:r w:rsidRPr="00B10382">
              <w:t>Shenhua</w:t>
            </w:r>
            <w:proofErr w:type="spellEnd"/>
            <w:r w:rsidRPr="00B10382">
              <w:t xml:space="preserve"> Watermark Pty Ltd. February 2013.</w:t>
            </w:r>
          </w:p>
        </w:tc>
      </w:tr>
      <w:tr w:rsidR="006A0AAB" w:rsidRPr="00971FBD" w:rsidTr="00942F21">
        <w:tc>
          <w:tcPr>
            <w:tcW w:w="1809" w:type="dxa"/>
            <w:tcBorders>
              <w:top w:val="single" w:sz="4" w:space="0" w:color="auto"/>
              <w:bottom w:val="single" w:sz="4" w:space="0" w:color="auto"/>
            </w:tcBorders>
          </w:tcPr>
          <w:p w:rsidR="006A0AAB" w:rsidRPr="00B10382" w:rsidRDefault="006A0AAB" w:rsidP="00942F21">
            <w:pPr>
              <w:pStyle w:val="Heading2"/>
            </w:pPr>
            <w:r w:rsidRPr="00B10382">
              <w:t>References cited within the Committee’s advice</w:t>
            </w:r>
          </w:p>
        </w:tc>
        <w:tc>
          <w:tcPr>
            <w:tcW w:w="7371" w:type="dxa"/>
            <w:tcBorders>
              <w:top w:val="single" w:sz="4" w:space="0" w:color="auto"/>
              <w:bottom w:val="single" w:sz="4" w:space="0" w:color="auto"/>
            </w:tcBorders>
          </w:tcPr>
          <w:p w:rsidR="006A0AAB" w:rsidRPr="00B10382" w:rsidRDefault="006A0AAB" w:rsidP="00942F21">
            <w:pPr>
              <w:pStyle w:val="Tabletext"/>
            </w:pPr>
            <w:r w:rsidRPr="00B10382">
              <w:rPr>
                <w:vertAlign w:val="superscript"/>
              </w:rPr>
              <w:t xml:space="preserve">1 </w:t>
            </w:r>
            <w:r w:rsidRPr="00B10382">
              <w:t xml:space="preserve">Information Guidelines for Proposals Relating to the Development of Coal Seam Gas and Large Coal Mines where there is a Significant Impact on Water Resources available at: </w:t>
            </w:r>
            <w:hyperlink r:id="rId19" w:history="1">
              <w:r w:rsidRPr="00B10382">
                <w:rPr>
                  <w:rStyle w:val="Hyperlink"/>
                </w:rPr>
                <w:t>http://www.environment.gov.au/coal-seam-gas-mining/project-advice/pubs/iesc-information-guidelines.pdf</w:t>
              </w:r>
            </w:hyperlink>
          </w:p>
          <w:p w:rsidR="006A0AAB" w:rsidRPr="00B10382" w:rsidRDefault="006A0AAB" w:rsidP="00942F21">
            <w:pPr>
              <w:pStyle w:val="Tabletext"/>
            </w:pPr>
          </w:p>
          <w:p w:rsidR="006A0AAB" w:rsidRPr="00B10382" w:rsidRDefault="006A0AAB" w:rsidP="00942F21">
            <w:pPr>
              <w:pStyle w:val="Tabletext"/>
            </w:pPr>
            <w:r w:rsidRPr="00B10382">
              <w:t>Eco Logical Australia 2011. Proposed Framework for Assessing the Cumulative Risk of Mining on Natural Resource Assets in the Namoi Catchment, 14 Sep 2011.</w:t>
            </w:r>
          </w:p>
          <w:p w:rsidR="006A0AAB" w:rsidRPr="00B10382" w:rsidRDefault="006A0AAB" w:rsidP="00942F21">
            <w:pPr>
              <w:pStyle w:val="Tabletext"/>
            </w:pPr>
          </w:p>
          <w:p w:rsidR="006A0AAB" w:rsidRPr="00971FBD" w:rsidRDefault="006A0AAB" w:rsidP="00942F21">
            <w:pPr>
              <w:pStyle w:val="Tabletext"/>
              <w:rPr>
                <w:bCs/>
              </w:rPr>
            </w:pPr>
            <w:r w:rsidRPr="00B10382">
              <w:t>Schlumberger Water Services 2012. Namoi Catchment Water Study Independent Expert Final Study Report. Prepared for Department of Trade and Investment, Regional Infrastructure and Services, New South Wales. Report no. 50371/P4-R2 FINAL.</w:t>
            </w:r>
          </w:p>
        </w:tc>
      </w:tr>
    </w:tbl>
    <w:p w:rsidR="007203C3" w:rsidRPr="00403983" w:rsidRDefault="007203C3" w:rsidP="00D622B9"/>
    <w:sectPr w:rsidR="007203C3" w:rsidRPr="00403983" w:rsidSect="00BB0B33">
      <w:headerReference w:type="even" r:id="rId20"/>
      <w:headerReference w:type="default" r:id="rId21"/>
      <w:footerReference w:type="default" r:id="rId22"/>
      <w:headerReference w:type="first" r:id="rId23"/>
      <w:footerReference w:type="first" r:id="rId24"/>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D51" w:rsidRDefault="007F7D51" w:rsidP="00D622B9">
      <w:r>
        <w:separator/>
      </w:r>
    </w:p>
    <w:p w:rsidR="007F7D51" w:rsidRDefault="007F7D51"/>
  </w:endnote>
  <w:endnote w:type="continuationSeparator" w:id="0">
    <w:p w:rsidR="007F7D51" w:rsidRDefault="007F7D51" w:rsidP="00D622B9">
      <w:r>
        <w:continuationSeparator/>
      </w:r>
    </w:p>
    <w:p w:rsidR="007F7D51" w:rsidRDefault="007F7D5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E" w:rsidRDefault="00D11E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Pr="00637239" w:rsidRDefault="007F7D51" w:rsidP="00637239">
    <w:pPr>
      <w:pStyle w:val="Footer"/>
    </w:pPr>
  </w:p>
  <w:p w:rsidR="007F7D51" w:rsidRPr="00403983" w:rsidRDefault="007F7D51" w:rsidP="00637239">
    <w:pPr>
      <w:pStyle w:val="Footer"/>
      <w:rPr>
        <w:sz w:val="20"/>
      </w:rPr>
    </w:pPr>
    <w:r w:rsidRPr="00403983">
      <w:rPr>
        <w:sz w:val="20"/>
      </w:rPr>
      <w:t xml:space="preserve">Final Watermark Coal Project Advice </w:t>
    </w:r>
    <w:r w:rsidRPr="00403983">
      <w:rPr>
        <w:sz w:val="20"/>
      </w:rPr>
      <w:ptab w:relativeTo="margin" w:alignment="right" w:leader="none"/>
    </w:r>
    <w:r w:rsidRPr="00403983">
      <w:rPr>
        <w:sz w:val="20"/>
      </w:rPr>
      <w:t>2</w:t>
    </w:r>
    <w:r>
      <w:rPr>
        <w:sz w:val="20"/>
      </w:rPr>
      <w:t>7</w:t>
    </w:r>
    <w:r w:rsidRPr="00403983">
      <w:rPr>
        <w:sz w:val="20"/>
      </w:rPr>
      <w:t xml:space="preserve"> April 2015</w:t>
    </w:r>
  </w:p>
  <w:p w:rsidR="007F7D51" w:rsidRPr="00637239" w:rsidRDefault="0012161C" w:rsidP="00637239">
    <w:pPr>
      <w:pStyle w:val="Footer"/>
      <w:jc w:val="center"/>
      <w:rPr>
        <w:sz w:val="20"/>
      </w:rPr>
    </w:pPr>
    <w:r w:rsidRPr="00637239">
      <w:rPr>
        <w:sz w:val="20"/>
      </w:rPr>
      <w:fldChar w:fldCharType="begin"/>
    </w:r>
    <w:r w:rsidR="007F7D51" w:rsidRPr="00637239">
      <w:rPr>
        <w:sz w:val="20"/>
      </w:rPr>
      <w:instrText xml:space="preserve"> PAGE   \* MERGEFORMAT </w:instrText>
    </w:r>
    <w:r w:rsidRPr="00637239">
      <w:rPr>
        <w:sz w:val="20"/>
      </w:rPr>
      <w:fldChar w:fldCharType="separate"/>
    </w:r>
    <w:r w:rsidR="00D11EEE">
      <w:rPr>
        <w:noProof/>
        <w:sz w:val="20"/>
      </w:rPr>
      <w:t>2</w:t>
    </w:r>
    <w:r w:rsidRPr="0063723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Pr="00637239" w:rsidRDefault="007F7D51" w:rsidP="003B5220">
    <w:pPr>
      <w:pStyle w:val="Footer"/>
    </w:pPr>
  </w:p>
  <w:p w:rsidR="007F7D51" w:rsidRPr="006A0AAB" w:rsidRDefault="007F7D51" w:rsidP="003B5220">
    <w:pPr>
      <w:pStyle w:val="Footer"/>
      <w:rPr>
        <w:sz w:val="20"/>
      </w:rPr>
    </w:pPr>
    <w:r w:rsidRPr="006A0AAB">
      <w:rPr>
        <w:sz w:val="20"/>
      </w:rPr>
      <w:t xml:space="preserve">Final Watermark Coal Project Advice </w:t>
    </w:r>
    <w:r w:rsidRPr="006A0AAB">
      <w:rPr>
        <w:sz w:val="20"/>
      </w:rPr>
      <w:ptab w:relativeTo="margin" w:alignment="right" w:leader="none"/>
    </w:r>
    <w:r w:rsidRPr="006A0AAB">
      <w:rPr>
        <w:sz w:val="20"/>
      </w:rPr>
      <w:t>2</w:t>
    </w:r>
    <w:r>
      <w:rPr>
        <w:sz w:val="20"/>
      </w:rPr>
      <w:t>7</w:t>
    </w:r>
    <w:r w:rsidRPr="006A0AAB">
      <w:rPr>
        <w:sz w:val="20"/>
      </w:rPr>
      <w:t xml:space="preserve"> April 2015</w:t>
    </w:r>
  </w:p>
  <w:p w:rsidR="007F7D51" w:rsidRPr="003B5220" w:rsidRDefault="0012161C" w:rsidP="003B5220">
    <w:pPr>
      <w:pStyle w:val="Footer"/>
      <w:jc w:val="center"/>
      <w:rPr>
        <w:sz w:val="20"/>
      </w:rPr>
    </w:pPr>
    <w:r w:rsidRPr="00637239">
      <w:rPr>
        <w:sz w:val="20"/>
      </w:rPr>
      <w:fldChar w:fldCharType="begin"/>
    </w:r>
    <w:r w:rsidR="007F7D51" w:rsidRPr="00637239">
      <w:rPr>
        <w:sz w:val="20"/>
      </w:rPr>
      <w:instrText xml:space="preserve"> PAGE   \* MERGEFORMAT </w:instrText>
    </w:r>
    <w:r w:rsidRPr="00637239">
      <w:rPr>
        <w:sz w:val="20"/>
      </w:rPr>
      <w:fldChar w:fldCharType="separate"/>
    </w:r>
    <w:r w:rsidR="00D11EEE">
      <w:rPr>
        <w:noProof/>
        <w:sz w:val="20"/>
      </w:rPr>
      <w:t>1</w:t>
    </w:r>
    <w:r w:rsidRPr="00637239">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Pr="00637239" w:rsidRDefault="007F7D51" w:rsidP="00637239">
    <w:pPr>
      <w:pStyle w:val="Footer"/>
    </w:pPr>
  </w:p>
  <w:p w:rsidR="007F7D51" w:rsidRPr="00403983" w:rsidRDefault="007F7D51" w:rsidP="00637239">
    <w:pPr>
      <w:pStyle w:val="Footer"/>
      <w:rPr>
        <w:sz w:val="20"/>
      </w:rPr>
    </w:pPr>
    <w:r w:rsidRPr="00403983">
      <w:rPr>
        <w:sz w:val="20"/>
      </w:rPr>
      <w:t xml:space="preserve">Final Watermark Coal Project Advice </w:t>
    </w:r>
    <w:r w:rsidRPr="00403983">
      <w:rPr>
        <w:sz w:val="20"/>
      </w:rPr>
      <w:ptab w:relativeTo="margin" w:alignment="right" w:leader="none"/>
    </w:r>
    <w:r w:rsidRPr="00403983">
      <w:rPr>
        <w:sz w:val="20"/>
      </w:rPr>
      <w:t>2</w:t>
    </w:r>
    <w:r>
      <w:rPr>
        <w:sz w:val="20"/>
      </w:rPr>
      <w:t>7</w:t>
    </w:r>
    <w:r w:rsidRPr="00403983">
      <w:rPr>
        <w:sz w:val="20"/>
      </w:rPr>
      <w:t xml:space="preserve"> April 2015</w:t>
    </w:r>
  </w:p>
  <w:p w:rsidR="007F7D51" w:rsidRPr="00403983" w:rsidRDefault="007F7D51" w:rsidP="00637239">
    <w:pPr>
      <w:pStyle w:val="Footer"/>
      <w:jc w:val="center"/>
      <w:rPr>
        <w:sz w:val="20"/>
      </w:rPr>
    </w:pPr>
    <w:r w:rsidRPr="00403983">
      <w:rPr>
        <w:sz w:val="20"/>
      </w:rPr>
      <w:t>A</w:t>
    </w:r>
    <w:r w:rsidR="0012161C" w:rsidRPr="00403983">
      <w:rPr>
        <w:sz w:val="20"/>
      </w:rPr>
      <w:fldChar w:fldCharType="begin"/>
    </w:r>
    <w:r w:rsidRPr="00403983">
      <w:rPr>
        <w:sz w:val="20"/>
      </w:rPr>
      <w:instrText xml:space="preserve"> PAGE   \* MERGEFORMAT </w:instrText>
    </w:r>
    <w:r w:rsidR="0012161C" w:rsidRPr="00403983">
      <w:rPr>
        <w:sz w:val="20"/>
      </w:rPr>
      <w:fldChar w:fldCharType="separate"/>
    </w:r>
    <w:r w:rsidR="00D11EEE">
      <w:rPr>
        <w:noProof/>
        <w:sz w:val="20"/>
      </w:rPr>
      <w:t>17</w:t>
    </w:r>
    <w:r w:rsidR="0012161C" w:rsidRPr="0040398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Pr="000E1C1B" w:rsidRDefault="007F7D51" w:rsidP="001314A3">
    <w:pPr>
      <w:pStyle w:val="Footer"/>
      <w:tabs>
        <w:tab w:val="clear" w:pos="4513"/>
        <w:tab w:val="clear" w:pos="9026"/>
        <w:tab w:val="right" w:pos="9212"/>
      </w:tabs>
      <w:rPr>
        <w:sz w:val="20"/>
      </w:rPr>
    </w:pPr>
    <w:r w:rsidRPr="000E1C1B">
      <w:rPr>
        <w:sz w:val="20"/>
      </w:rPr>
      <w:t>Final</w:t>
    </w:r>
    <w:r>
      <w:rPr>
        <w:sz w:val="20"/>
      </w:rPr>
      <w:t xml:space="preserve"> Watermark Coal Project</w:t>
    </w:r>
    <w:r w:rsidRPr="000E1C1B">
      <w:rPr>
        <w:sz w:val="20"/>
      </w:rPr>
      <w:t xml:space="preserve"> Advice</w:t>
    </w:r>
    <w:r w:rsidRPr="000E1C1B">
      <w:rPr>
        <w:sz w:val="20"/>
      </w:rPr>
      <w:tab/>
      <w:t>2</w:t>
    </w:r>
    <w:r>
      <w:rPr>
        <w:sz w:val="20"/>
      </w:rPr>
      <w:t>7</w:t>
    </w:r>
    <w:r w:rsidRPr="000E1C1B">
      <w:rPr>
        <w:sz w:val="20"/>
      </w:rPr>
      <w:t xml:space="preserve"> May 201</w:t>
    </w:r>
    <w:r>
      <w:rPr>
        <w:sz w:val="20"/>
      </w:rPr>
      <w:t>3</w:t>
    </w:r>
  </w:p>
  <w:p w:rsidR="007F7D51" w:rsidRPr="008A2AA7" w:rsidRDefault="007F7D51" w:rsidP="008A2AA7">
    <w:pPr>
      <w:pStyle w:val="Footer"/>
      <w:jc w:val="center"/>
      <w:rPr>
        <w:sz w:val="20"/>
      </w:rPr>
    </w:pPr>
    <w:r>
      <w:rPr>
        <w:sz w:val="20"/>
      </w:rPr>
      <w:t>B</w:t>
    </w:r>
    <w:r w:rsidR="0012161C" w:rsidRPr="00185039">
      <w:rPr>
        <w:sz w:val="20"/>
      </w:rPr>
      <w:fldChar w:fldCharType="begin"/>
    </w:r>
    <w:r w:rsidRPr="00185039">
      <w:rPr>
        <w:sz w:val="20"/>
      </w:rPr>
      <w:instrText xml:space="preserve"> PAGE   \* MERGEFORMAT </w:instrText>
    </w:r>
    <w:r w:rsidR="0012161C" w:rsidRPr="00185039">
      <w:rPr>
        <w:sz w:val="20"/>
      </w:rPr>
      <w:fldChar w:fldCharType="separate"/>
    </w:r>
    <w:r w:rsidR="00D11EEE">
      <w:rPr>
        <w:noProof/>
        <w:sz w:val="20"/>
      </w:rPr>
      <w:t>9</w:t>
    </w:r>
    <w:r w:rsidR="0012161C" w:rsidRPr="00185039">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Pr="000E1C1B" w:rsidRDefault="007F7D51" w:rsidP="001314A3">
    <w:pPr>
      <w:pStyle w:val="Footer"/>
      <w:tabs>
        <w:tab w:val="clear" w:pos="4513"/>
        <w:tab w:val="clear" w:pos="9026"/>
        <w:tab w:val="right" w:pos="9212"/>
      </w:tabs>
      <w:rPr>
        <w:sz w:val="20"/>
      </w:rPr>
    </w:pPr>
    <w:r w:rsidRPr="000E1C1B">
      <w:rPr>
        <w:sz w:val="20"/>
      </w:rPr>
      <w:t>Final Advice</w:t>
    </w:r>
    <w:r w:rsidRPr="000E1C1B">
      <w:rPr>
        <w:sz w:val="20"/>
      </w:rPr>
      <w:tab/>
      <w:t>2</w:t>
    </w:r>
    <w:r>
      <w:rPr>
        <w:sz w:val="20"/>
      </w:rPr>
      <w:t>7</w:t>
    </w:r>
    <w:r w:rsidRPr="000E1C1B">
      <w:rPr>
        <w:sz w:val="20"/>
      </w:rPr>
      <w:t xml:space="preserve"> May 201</w:t>
    </w:r>
    <w:r>
      <w:rPr>
        <w:sz w:val="20"/>
      </w:rPr>
      <w:t>3</w:t>
    </w:r>
  </w:p>
  <w:p w:rsidR="007F7D51" w:rsidRPr="00BD798E" w:rsidRDefault="0012161C" w:rsidP="001314A3">
    <w:pPr>
      <w:pStyle w:val="Footer"/>
      <w:tabs>
        <w:tab w:val="clear" w:pos="4513"/>
        <w:tab w:val="clear" w:pos="9026"/>
        <w:tab w:val="left" w:pos="639"/>
      </w:tabs>
      <w:jc w:val="center"/>
      <w:rPr>
        <w:sz w:val="20"/>
      </w:rPr>
    </w:pPr>
    <w:r w:rsidRPr="00D15280">
      <w:rPr>
        <w:sz w:val="20"/>
      </w:rPr>
      <w:fldChar w:fldCharType="begin"/>
    </w:r>
    <w:r w:rsidR="007F7D51" w:rsidRPr="00D15280">
      <w:rPr>
        <w:sz w:val="20"/>
      </w:rPr>
      <w:instrText xml:space="preserve"> PAGE   \* MERGEFORMAT </w:instrText>
    </w:r>
    <w:r w:rsidRPr="00D15280">
      <w:rPr>
        <w:sz w:val="20"/>
      </w:rPr>
      <w:fldChar w:fldCharType="separate"/>
    </w:r>
    <w:r w:rsidR="007F7D51">
      <w:rPr>
        <w:noProof/>
        <w:sz w:val="20"/>
      </w:rPr>
      <w:t>1</w:t>
    </w:r>
    <w:r w:rsidRPr="00D15280">
      <w:rPr>
        <w:sz w:val="20"/>
      </w:rPr>
      <w:fldChar w:fldCharType="end"/>
    </w:r>
  </w:p>
  <w:p w:rsidR="007F7D51" w:rsidRDefault="007F7D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D51" w:rsidRDefault="007F7D51" w:rsidP="00D622B9">
      <w:r>
        <w:separator/>
      </w:r>
    </w:p>
    <w:p w:rsidR="007F7D51" w:rsidRDefault="007F7D51"/>
  </w:footnote>
  <w:footnote w:type="continuationSeparator" w:id="0">
    <w:p w:rsidR="007F7D51" w:rsidRDefault="007F7D51" w:rsidP="00D622B9">
      <w:r>
        <w:continuationSeparator/>
      </w:r>
    </w:p>
    <w:p w:rsidR="007F7D51" w:rsidRDefault="007F7D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Default="007F7D51" w:rsidP="00D622B9">
    <w:pPr>
      <w:pStyle w:val="Classification"/>
    </w:pPr>
    <w:r>
      <w:rPr>
        <w:lang w:val="en-US"/>
      </w:rPr>
      <w:t>Error! Unknown document property name.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Default="007F7D51" w:rsidP="0034504D">
    <w:pPr>
      <w:pStyle w:val="Header"/>
      <w:ind w:left="-1418"/>
    </w:pPr>
  </w:p>
  <w:p w:rsidR="007F7D51" w:rsidRDefault="007F7D51"/>
  <w:p w:rsidR="007F7D51" w:rsidRDefault="007F7D51" w:rsidP="001314A3"/>
  <w:p w:rsidR="007F7D51" w:rsidRDefault="007F7D5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Pr="00EF5270" w:rsidRDefault="007F7D51" w:rsidP="003A5484">
    <w:pPr>
      <w:pStyle w:val="Header"/>
      <w:jc w:val="right"/>
    </w:pPr>
    <w:r>
      <w:t>IESC 2015-066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E" w:rsidRDefault="00D11EE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Pr="00F70888" w:rsidRDefault="007F7D51" w:rsidP="00F70888">
    <w:pPr>
      <w:pStyle w:val="Header"/>
    </w:pPr>
    <w:r w:rsidRPr="00F70888">
      <w:rPr>
        <w:b/>
      </w:rPr>
      <w:t>Attachment A</w:t>
    </w:r>
    <w:r w:rsidRPr="00F70888">
      <w:tab/>
    </w:r>
    <w:r w:rsidRPr="00F70888">
      <w:tab/>
      <w:t>IESC 2015-067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Default="007F7D5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Pr="00EF5270" w:rsidRDefault="007F7D51" w:rsidP="003A5484">
    <w:pPr>
      <w:pStyle w:val="Header"/>
      <w:jc w:val="right"/>
    </w:pPr>
    <w:r>
      <w:t>Source Documentation and References</w:t>
    </w:r>
    <w:r>
      <w:tab/>
    </w:r>
    <w:r>
      <w:tab/>
      <w:t>IESC 2015-066 and IESC 2015-067</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Default="007F7D5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Default="007F7D51" w:rsidP="00E45765">
    <w:pPr>
      <w:pStyle w:val="Classification"/>
    </w:pPr>
    <w:r>
      <w:rPr>
        <w:b/>
        <w:bCs/>
        <w:lang w:val="en-US"/>
      </w:rPr>
      <w:t>Error! Unknown document property name.</w:t>
    </w:r>
  </w:p>
  <w:p w:rsidR="007F7D51" w:rsidRDefault="007F7D51"/>
  <w:p w:rsidR="007F7D51" w:rsidRDefault="007F7D51" w:rsidP="001314A3"/>
  <w:p w:rsidR="007F7D51" w:rsidRDefault="007F7D5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51" w:rsidRDefault="007F7D51" w:rsidP="00B80BAA">
    <w:pPr>
      <w:pStyle w:val="Header"/>
    </w:pPr>
    <w:r>
      <w:rPr>
        <w:b/>
      </w:rPr>
      <w:t>Attachment B</w:t>
    </w:r>
    <w:r>
      <w:tab/>
    </w:r>
    <w:r>
      <w:tab/>
      <w:t>IESC 2013-023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E8E2B5A6"/>
    <w:lvl w:ilvl="0">
      <w:start w:val="1"/>
      <w:numFmt w:val="decimal"/>
      <w:lvlText w:val="%1."/>
      <w:lvlJc w:val="left"/>
      <w:pPr>
        <w:tabs>
          <w:tab w:val="num" w:pos="643"/>
        </w:tabs>
        <w:ind w:left="643" w:hanging="360"/>
      </w:pPr>
    </w:lvl>
  </w:abstractNum>
  <w:abstractNum w:abstractNumId="2">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07467940"/>
    <w:lvl w:ilvl="0">
      <w:start w:val="1"/>
      <w:numFmt w:val="decimal"/>
      <w:lvlText w:val="%1."/>
      <w:lvlJc w:val="left"/>
      <w:pPr>
        <w:tabs>
          <w:tab w:val="num" w:pos="360"/>
        </w:tabs>
        <w:ind w:left="360" w:hanging="360"/>
      </w:pPr>
    </w:lvl>
  </w:abstractNum>
  <w:abstractNum w:abstractNumId="4">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nsid w:val="088E62E3"/>
    <w:multiLevelType w:val="hybridMultilevel"/>
    <w:tmpl w:val="C984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C600CE"/>
    <w:multiLevelType w:val="hybridMultilevel"/>
    <w:tmpl w:val="9064F232"/>
    <w:lvl w:ilvl="0" w:tplc="E2A43C60">
      <w:start w:val="1"/>
      <w:numFmt w:val="decimal"/>
      <w:lvlText w:val="%1."/>
      <w:lvlJc w:val="left"/>
      <w:pPr>
        <w:ind w:left="360" w:hanging="360"/>
      </w:pPr>
      <w:rPr>
        <w:color w:val="auto"/>
      </w:rPr>
    </w:lvl>
    <w:lvl w:ilvl="1" w:tplc="AD4CE6A6" w:tentative="1">
      <w:start w:val="1"/>
      <w:numFmt w:val="lowerLetter"/>
      <w:lvlText w:val="%2."/>
      <w:lvlJc w:val="left"/>
      <w:pPr>
        <w:ind w:left="1080" w:hanging="360"/>
      </w:pPr>
    </w:lvl>
    <w:lvl w:ilvl="2" w:tplc="280E112C" w:tentative="1">
      <w:start w:val="1"/>
      <w:numFmt w:val="lowerRoman"/>
      <w:lvlText w:val="%3."/>
      <w:lvlJc w:val="right"/>
      <w:pPr>
        <w:ind w:left="1800" w:hanging="180"/>
      </w:pPr>
    </w:lvl>
    <w:lvl w:ilvl="3" w:tplc="262CD9F0" w:tentative="1">
      <w:start w:val="1"/>
      <w:numFmt w:val="decimal"/>
      <w:lvlText w:val="%4."/>
      <w:lvlJc w:val="left"/>
      <w:pPr>
        <w:ind w:left="2520" w:hanging="360"/>
      </w:pPr>
    </w:lvl>
    <w:lvl w:ilvl="4" w:tplc="74008820" w:tentative="1">
      <w:start w:val="1"/>
      <w:numFmt w:val="lowerLetter"/>
      <w:lvlText w:val="%5."/>
      <w:lvlJc w:val="left"/>
      <w:pPr>
        <w:ind w:left="3240" w:hanging="360"/>
      </w:pPr>
    </w:lvl>
    <w:lvl w:ilvl="5" w:tplc="970ACAA8" w:tentative="1">
      <w:start w:val="1"/>
      <w:numFmt w:val="lowerRoman"/>
      <w:lvlText w:val="%6."/>
      <w:lvlJc w:val="right"/>
      <w:pPr>
        <w:ind w:left="3960" w:hanging="180"/>
      </w:pPr>
    </w:lvl>
    <w:lvl w:ilvl="6" w:tplc="1E46D912" w:tentative="1">
      <w:start w:val="1"/>
      <w:numFmt w:val="decimal"/>
      <w:lvlText w:val="%7."/>
      <w:lvlJc w:val="left"/>
      <w:pPr>
        <w:ind w:left="4680" w:hanging="360"/>
      </w:pPr>
    </w:lvl>
    <w:lvl w:ilvl="7" w:tplc="06AA26C2" w:tentative="1">
      <w:start w:val="1"/>
      <w:numFmt w:val="lowerLetter"/>
      <w:lvlText w:val="%8."/>
      <w:lvlJc w:val="left"/>
      <w:pPr>
        <w:ind w:left="5400" w:hanging="360"/>
      </w:pPr>
    </w:lvl>
    <w:lvl w:ilvl="8" w:tplc="277AF3DC" w:tentative="1">
      <w:start w:val="1"/>
      <w:numFmt w:val="lowerRoman"/>
      <w:lvlText w:val="%9."/>
      <w:lvlJc w:val="right"/>
      <w:pPr>
        <w:ind w:left="6120" w:hanging="180"/>
      </w:pPr>
    </w:lvl>
  </w:abstractNum>
  <w:abstractNum w:abstractNumId="7">
    <w:nsid w:val="0EF21922"/>
    <w:multiLevelType w:val="hybridMultilevel"/>
    <w:tmpl w:val="D4C6437C"/>
    <w:lvl w:ilvl="0" w:tplc="3FF05788">
      <w:start w:val="1"/>
      <w:numFmt w:val="lowerLetter"/>
      <w:lvlText w:val="%1)"/>
      <w:lvlJc w:val="left"/>
      <w:pPr>
        <w:ind w:left="720" w:hanging="360"/>
      </w:pPr>
    </w:lvl>
    <w:lvl w:ilvl="1" w:tplc="65D660EE" w:tentative="1">
      <w:start w:val="1"/>
      <w:numFmt w:val="lowerLetter"/>
      <w:lvlText w:val="%2."/>
      <w:lvlJc w:val="left"/>
      <w:pPr>
        <w:ind w:left="1440" w:hanging="360"/>
      </w:pPr>
    </w:lvl>
    <w:lvl w:ilvl="2" w:tplc="28ACC4A8" w:tentative="1">
      <w:start w:val="1"/>
      <w:numFmt w:val="lowerRoman"/>
      <w:lvlText w:val="%3."/>
      <w:lvlJc w:val="right"/>
      <w:pPr>
        <w:ind w:left="2160" w:hanging="180"/>
      </w:pPr>
    </w:lvl>
    <w:lvl w:ilvl="3" w:tplc="F1E0C27A" w:tentative="1">
      <w:start w:val="1"/>
      <w:numFmt w:val="decimal"/>
      <w:lvlText w:val="%4."/>
      <w:lvlJc w:val="left"/>
      <w:pPr>
        <w:ind w:left="2880" w:hanging="360"/>
      </w:pPr>
    </w:lvl>
    <w:lvl w:ilvl="4" w:tplc="4B186CE4" w:tentative="1">
      <w:start w:val="1"/>
      <w:numFmt w:val="lowerLetter"/>
      <w:lvlText w:val="%5."/>
      <w:lvlJc w:val="left"/>
      <w:pPr>
        <w:ind w:left="3600" w:hanging="360"/>
      </w:pPr>
    </w:lvl>
    <w:lvl w:ilvl="5" w:tplc="E9006C0E" w:tentative="1">
      <w:start w:val="1"/>
      <w:numFmt w:val="lowerRoman"/>
      <w:lvlText w:val="%6."/>
      <w:lvlJc w:val="right"/>
      <w:pPr>
        <w:ind w:left="4320" w:hanging="180"/>
      </w:pPr>
    </w:lvl>
    <w:lvl w:ilvl="6" w:tplc="DE782434" w:tentative="1">
      <w:start w:val="1"/>
      <w:numFmt w:val="decimal"/>
      <w:lvlText w:val="%7."/>
      <w:lvlJc w:val="left"/>
      <w:pPr>
        <w:ind w:left="5040" w:hanging="360"/>
      </w:pPr>
    </w:lvl>
    <w:lvl w:ilvl="7" w:tplc="2A9AB88C" w:tentative="1">
      <w:start w:val="1"/>
      <w:numFmt w:val="lowerLetter"/>
      <w:lvlText w:val="%8."/>
      <w:lvlJc w:val="left"/>
      <w:pPr>
        <w:ind w:left="5760" w:hanging="360"/>
      </w:pPr>
    </w:lvl>
    <w:lvl w:ilvl="8" w:tplc="7CB2577A" w:tentative="1">
      <w:start w:val="1"/>
      <w:numFmt w:val="lowerRoman"/>
      <w:lvlText w:val="%9."/>
      <w:lvlJc w:val="right"/>
      <w:pPr>
        <w:ind w:left="6480" w:hanging="180"/>
      </w:pPr>
    </w:lvl>
  </w:abstractNum>
  <w:abstractNum w:abstractNumId="8">
    <w:nsid w:val="0FAE3FF7"/>
    <w:multiLevelType w:val="hybridMultilevel"/>
    <w:tmpl w:val="70FC05F2"/>
    <w:lvl w:ilvl="0" w:tplc="C08688E2">
      <w:start w:val="1"/>
      <w:numFmt w:val="bullet"/>
      <w:lvlText w:val=""/>
      <w:lvlJc w:val="left"/>
      <w:pPr>
        <w:ind w:left="360" w:hanging="360"/>
      </w:pPr>
      <w:rPr>
        <w:rFonts w:ascii="Symbol" w:hAnsi="Symbol" w:hint="default"/>
      </w:rPr>
    </w:lvl>
    <w:lvl w:ilvl="1" w:tplc="A8BCD94C" w:tentative="1">
      <w:start w:val="1"/>
      <w:numFmt w:val="bullet"/>
      <w:lvlText w:val="o"/>
      <w:lvlJc w:val="left"/>
      <w:pPr>
        <w:ind w:left="1080" w:hanging="360"/>
      </w:pPr>
      <w:rPr>
        <w:rFonts w:ascii="Courier New" w:hAnsi="Courier New" w:cs="Courier New" w:hint="default"/>
      </w:rPr>
    </w:lvl>
    <w:lvl w:ilvl="2" w:tplc="CA5EF502" w:tentative="1">
      <w:start w:val="1"/>
      <w:numFmt w:val="bullet"/>
      <w:lvlText w:val=""/>
      <w:lvlJc w:val="left"/>
      <w:pPr>
        <w:ind w:left="1800" w:hanging="360"/>
      </w:pPr>
      <w:rPr>
        <w:rFonts w:ascii="Wingdings" w:hAnsi="Wingdings" w:hint="default"/>
      </w:rPr>
    </w:lvl>
    <w:lvl w:ilvl="3" w:tplc="01F804FA" w:tentative="1">
      <w:start w:val="1"/>
      <w:numFmt w:val="bullet"/>
      <w:lvlText w:val=""/>
      <w:lvlJc w:val="left"/>
      <w:pPr>
        <w:ind w:left="2520" w:hanging="360"/>
      </w:pPr>
      <w:rPr>
        <w:rFonts w:ascii="Symbol" w:hAnsi="Symbol" w:hint="default"/>
      </w:rPr>
    </w:lvl>
    <w:lvl w:ilvl="4" w:tplc="3084ACBC" w:tentative="1">
      <w:start w:val="1"/>
      <w:numFmt w:val="bullet"/>
      <w:lvlText w:val="o"/>
      <w:lvlJc w:val="left"/>
      <w:pPr>
        <w:ind w:left="3240" w:hanging="360"/>
      </w:pPr>
      <w:rPr>
        <w:rFonts w:ascii="Courier New" w:hAnsi="Courier New" w:cs="Courier New" w:hint="default"/>
      </w:rPr>
    </w:lvl>
    <w:lvl w:ilvl="5" w:tplc="1AB4CD18" w:tentative="1">
      <w:start w:val="1"/>
      <w:numFmt w:val="bullet"/>
      <w:lvlText w:val=""/>
      <w:lvlJc w:val="left"/>
      <w:pPr>
        <w:ind w:left="3960" w:hanging="360"/>
      </w:pPr>
      <w:rPr>
        <w:rFonts w:ascii="Wingdings" w:hAnsi="Wingdings" w:hint="default"/>
      </w:rPr>
    </w:lvl>
    <w:lvl w:ilvl="6" w:tplc="B9E040EC" w:tentative="1">
      <w:start w:val="1"/>
      <w:numFmt w:val="bullet"/>
      <w:lvlText w:val=""/>
      <w:lvlJc w:val="left"/>
      <w:pPr>
        <w:ind w:left="4680" w:hanging="360"/>
      </w:pPr>
      <w:rPr>
        <w:rFonts w:ascii="Symbol" w:hAnsi="Symbol" w:hint="default"/>
      </w:rPr>
    </w:lvl>
    <w:lvl w:ilvl="7" w:tplc="21E49A4C" w:tentative="1">
      <w:start w:val="1"/>
      <w:numFmt w:val="bullet"/>
      <w:lvlText w:val="o"/>
      <w:lvlJc w:val="left"/>
      <w:pPr>
        <w:ind w:left="5400" w:hanging="360"/>
      </w:pPr>
      <w:rPr>
        <w:rFonts w:ascii="Courier New" w:hAnsi="Courier New" w:cs="Courier New" w:hint="default"/>
      </w:rPr>
    </w:lvl>
    <w:lvl w:ilvl="8" w:tplc="F22AEB42" w:tentative="1">
      <w:start w:val="1"/>
      <w:numFmt w:val="bullet"/>
      <w:lvlText w:val=""/>
      <w:lvlJc w:val="left"/>
      <w:pPr>
        <w:ind w:left="6120" w:hanging="360"/>
      </w:pPr>
      <w:rPr>
        <w:rFonts w:ascii="Wingdings" w:hAnsi="Wingdings" w:hint="default"/>
      </w:rPr>
    </w:lvl>
  </w:abstractNum>
  <w:abstractNum w:abstractNumId="9">
    <w:nsid w:val="27B16228"/>
    <w:multiLevelType w:val="hybridMultilevel"/>
    <w:tmpl w:val="72BAD300"/>
    <w:lvl w:ilvl="0" w:tplc="581CC4CA">
      <w:start w:val="1"/>
      <w:numFmt w:val="bullet"/>
      <w:lvlText w:val=""/>
      <w:lvlJc w:val="left"/>
      <w:pPr>
        <w:ind w:left="720" w:hanging="360"/>
      </w:pPr>
      <w:rPr>
        <w:rFonts w:ascii="Symbol" w:hAnsi="Symbol" w:hint="default"/>
      </w:rPr>
    </w:lvl>
    <w:lvl w:ilvl="1" w:tplc="3528AB56">
      <w:start w:val="1"/>
      <w:numFmt w:val="bullet"/>
      <w:lvlText w:val="o"/>
      <w:lvlJc w:val="left"/>
      <w:pPr>
        <w:ind w:left="1440" w:hanging="360"/>
      </w:pPr>
      <w:rPr>
        <w:rFonts w:ascii="Courier New" w:hAnsi="Courier New" w:cs="Courier New" w:hint="default"/>
      </w:rPr>
    </w:lvl>
    <w:lvl w:ilvl="2" w:tplc="850C9828" w:tentative="1">
      <w:start w:val="1"/>
      <w:numFmt w:val="bullet"/>
      <w:lvlText w:val=""/>
      <w:lvlJc w:val="left"/>
      <w:pPr>
        <w:ind w:left="2160" w:hanging="360"/>
      </w:pPr>
      <w:rPr>
        <w:rFonts w:ascii="Wingdings" w:hAnsi="Wingdings" w:hint="default"/>
      </w:rPr>
    </w:lvl>
    <w:lvl w:ilvl="3" w:tplc="D5C2354A" w:tentative="1">
      <w:start w:val="1"/>
      <w:numFmt w:val="bullet"/>
      <w:lvlText w:val=""/>
      <w:lvlJc w:val="left"/>
      <w:pPr>
        <w:ind w:left="2880" w:hanging="360"/>
      </w:pPr>
      <w:rPr>
        <w:rFonts w:ascii="Symbol" w:hAnsi="Symbol" w:hint="default"/>
      </w:rPr>
    </w:lvl>
    <w:lvl w:ilvl="4" w:tplc="A8FC50C6" w:tentative="1">
      <w:start w:val="1"/>
      <w:numFmt w:val="bullet"/>
      <w:lvlText w:val="o"/>
      <w:lvlJc w:val="left"/>
      <w:pPr>
        <w:ind w:left="3600" w:hanging="360"/>
      </w:pPr>
      <w:rPr>
        <w:rFonts w:ascii="Courier New" w:hAnsi="Courier New" w:cs="Courier New" w:hint="default"/>
      </w:rPr>
    </w:lvl>
    <w:lvl w:ilvl="5" w:tplc="553AF82C" w:tentative="1">
      <w:start w:val="1"/>
      <w:numFmt w:val="bullet"/>
      <w:lvlText w:val=""/>
      <w:lvlJc w:val="left"/>
      <w:pPr>
        <w:ind w:left="4320" w:hanging="360"/>
      </w:pPr>
      <w:rPr>
        <w:rFonts w:ascii="Wingdings" w:hAnsi="Wingdings" w:hint="default"/>
      </w:rPr>
    </w:lvl>
    <w:lvl w:ilvl="6" w:tplc="71BEFBDE" w:tentative="1">
      <w:start w:val="1"/>
      <w:numFmt w:val="bullet"/>
      <w:lvlText w:val=""/>
      <w:lvlJc w:val="left"/>
      <w:pPr>
        <w:ind w:left="5040" w:hanging="360"/>
      </w:pPr>
      <w:rPr>
        <w:rFonts w:ascii="Symbol" w:hAnsi="Symbol" w:hint="default"/>
      </w:rPr>
    </w:lvl>
    <w:lvl w:ilvl="7" w:tplc="0C7A007C" w:tentative="1">
      <w:start w:val="1"/>
      <w:numFmt w:val="bullet"/>
      <w:lvlText w:val="o"/>
      <w:lvlJc w:val="left"/>
      <w:pPr>
        <w:ind w:left="5760" w:hanging="360"/>
      </w:pPr>
      <w:rPr>
        <w:rFonts w:ascii="Courier New" w:hAnsi="Courier New" w:cs="Courier New" w:hint="default"/>
      </w:rPr>
    </w:lvl>
    <w:lvl w:ilvl="8" w:tplc="EFEA9F54" w:tentative="1">
      <w:start w:val="1"/>
      <w:numFmt w:val="bullet"/>
      <w:lvlText w:val=""/>
      <w:lvlJc w:val="left"/>
      <w:pPr>
        <w:ind w:left="6480" w:hanging="360"/>
      </w:pPr>
      <w:rPr>
        <w:rFonts w:ascii="Wingdings" w:hAnsi="Wingdings" w:hint="default"/>
      </w:rPr>
    </w:lvl>
  </w:abstractNum>
  <w:abstractNum w:abstractNumId="1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8816F9C"/>
    <w:multiLevelType w:val="multilevel"/>
    <w:tmpl w:val="E5E89F92"/>
    <w:numStyleLink w:val="BulletList"/>
  </w:abstractNum>
  <w:abstractNum w:abstractNumId="13">
    <w:nsid w:val="403F6F8A"/>
    <w:multiLevelType w:val="hybridMultilevel"/>
    <w:tmpl w:val="95A43C84"/>
    <w:lvl w:ilvl="0" w:tplc="86783298">
      <w:start w:val="1"/>
      <w:numFmt w:val="bullet"/>
      <w:lvlText w:val=""/>
      <w:lvlJc w:val="left"/>
      <w:pPr>
        <w:ind w:left="720" w:hanging="360"/>
      </w:pPr>
      <w:rPr>
        <w:rFonts w:ascii="Symbol" w:hAnsi="Symbol" w:hint="default"/>
      </w:rPr>
    </w:lvl>
    <w:lvl w:ilvl="1" w:tplc="6A8A87F0" w:tentative="1">
      <w:start w:val="1"/>
      <w:numFmt w:val="bullet"/>
      <w:lvlText w:val="o"/>
      <w:lvlJc w:val="left"/>
      <w:pPr>
        <w:ind w:left="1440" w:hanging="360"/>
      </w:pPr>
      <w:rPr>
        <w:rFonts w:ascii="Courier New" w:hAnsi="Courier New" w:cs="Courier New" w:hint="default"/>
      </w:rPr>
    </w:lvl>
    <w:lvl w:ilvl="2" w:tplc="A2FE64EE" w:tentative="1">
      <w:start w:val="1"/>
      <w:numFmt w:val="bullet"/>
      <w:lvlText w:val=""/>
      <w:lvlJc w:val="left"/>
      <w:pPr>
        <w:ind w:left="2160" w:hanging="360"/>
      </w:pPr>
      <w:rPr>
        <w:rFonts w:ascii="Wingdings" w:hAnsi="Wingdings" w:hint="default"/>
      </w:rPr>
    </w:lvl>
    <w:lvl w:ilvl="3" w:tplc="8ED2ABD6" w:tentative="1">
      <w:start w:val="1"/>
      <w:numFmt w:val="bullet"/>
      <w:lvlText w:val=""/>
      <w:lvlJc w:val="left"/>
      <w:pPr>
        <w:ind w:left="2880" w:hanging="360"/>
      </w:pPr>
      <w:rPr>
        <w:rFonts w:ascii="Symbol" w:hAnsi="Symbol" w:hint="default"/>
      </w:rPr>
    </w:lvl>
    <w:lvl w:ilvl="4" w:tplc="CF50D7FC" w:tentative="1">
      <w:start w:val="1"/>
      <w:numFmt w:val="bullet"/>
      <w:lvlText w:val="o"/>
      <w:lvlJc w:val="left"/>
      <w:pPr>
        <w:ind w:left="3600" w:hanging="360"/>
      </w:pPr>
      <w:rPr>
        <w:rFonts w:ascii="Courier New" w:hAnsi="Courier New" w:cs="Courier New" w:hint="default"/>
      </w:rPr>
    </w:lvl>
    <w:lvl w:ilvl="5" w:tplc="77D6E142" w:tentative="1">
      <w:start w:val="1"/>
      <w:numFmt w:val="bullet"/>
      <w:lvlText w:val=""/>
      <w:lvlJc w:val="left"/>
      <w:pPr>
        <w:ind w:left="4320" w:hanging="360"/>
      </w:pPr>
      <w:rPr>
        <w:rFonts w:ascii="Wingdings" w:hAnsi="Wingdings" w:hint="default"/>
      </w:rPr>
    </w:lvl>
    <w:lvl w:ilvl="6" w:tplc="372E2CA4" w:tentative="1">
      <w:start w:val="1"/>
      <w:numFmt w:val="bullet"/>
      <w:lvlText w:val=""/>
      <w:lvlJc w:val="left"/>
      <w:pPr>
        <w:ind w:left="5040" w:hanging="360"/>
      </w:pPr>
      <w:rPr>
        <w:rFonts w:ascii="Symbol" w:hAnsi="Symbol" w:hint="default"/>
      </w:rPr>
    </w:lvl>
    <w:lvl w:ilvl="7" w:tplc="FFB46806" w:tentative="1">
      <w:start w:val="1"/>
      <w:numFmt w:val="bullet"/>
      <w:lvlText w:val="o"/>
      <w:lvlJc w:val="left"/>
      <w:pPr>
        <w:ind w:left="5760" w:hanging="360"/>
      </w:pPr>
      <w:rPr>
        <w:rFonts w:ascii="Courier New" w:hAnsi="Courier New" w:cs="Courier New" w:hint="default"/>
      </w:rPr>
    </w:lvl>
    <w:lvl w:ilvl="8" w:tplc="29DAD94C" w:tentative="1">
      <w:start w:val="1"/>
      <w:numFmt w:val="bullet"/>
      <w:lvlText w:val=""/>
      <w:lvlJc w:val="left"/>
      <w:pPr>
        <w:ind w:left="6480" w:hanging="360"/>
      </w:pPr>
      <w:rPr>
        <w:rFonts w:ascii="Wingdings" w:hAnsi="Wingdings" w:hint="default"/>
      </w:rPr>
    </w:lvl>
  </w:abstractNum>
  <w:abstractNum w:abstractNumId="14">
    <w:nsid w:val="4A7F38C8"/>
    <w:multiLevelType w:val="hybridMultilevel"/>
    <w:tmpl w:val="56A2DC7E"/>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203F93"/>
    <w:multiLevelType w:val="hybridMultilevel"/>
    <w:tmpl w:val="49907A7A"/>
    <w:lvl w:ilvl="0" w:tplc="1CBA87C4">
      <w:start w:val="1"/>
      <w:numFmt w:val="bullet"/>
      <w:lvlText w:val=""/>
      <w:lvlJc w:val="left"/>
      <w:pPr>
        <w:ind w:left="360" w:hanging="360"/>
      </w:pPr>
      <w:rPr>
        <w:rFonts w:ascii="Symbol" w:hAnsi="Symbol" w:hint="default"/>
      </w:rPr>
    </w:lvl>
    <w:lvl w:ilvl="1" w:tplc="CC58C496" w:tentative="1">
      <w:start w:val="1"/>
      <w:numFmt w:val="bullet"/>
      <w:lvlText w:val="o"/>
      <w:lvlJc w:val="left"/>
      <w:pPr>
        <w:ind w:left="1080" w:hanging="360"/>
      </w:pPr>
      <w:rPr>
        <w:rFonts w:ascii="Courier New" w:hAnsi="Courier New" w:cs="Courier New" w:hint="default"/>
      </w:rPr>
    </w:lvl>
    <w:lvl w:ilvl="2" w:tplc="658AF248" w:tentative="1">
      <w:start w:val="1"/>
      <w:numFmt w:val="bullet"/>
      <w:lvlText w:val=""/>
      <w:lvlJc w:val="left"/>
      <w:pPr>
        <w:ind w:left="1800" w:hanging="360"/>
      </w:pPr>
      <w:rPr>
        <w:rFonts w:ascii="Wingdings" w:hAnsi="Wingdings" w:hint="default"/>
      </w:rPr>
    </w:lvl>
    <w:lvl w:ilvl="3" w:tplc="6DF8662E" w:tentative="1">
      <w:start w:val="1"/>
      <w:numFmt w:val="bullet"/>
      <w:lvlText w:val=""/>
      <w:lvlJc w:val="left"/>
      <w:pPr>
        <w:ind w:left="2520" w:hanging="360"/>
      </w:pPr>
      <w:rPr>
        <w:rFonts w:ascii="Symbol" w:hAnsi="Symbol" w:hint="default"/>
      </w:rPr>
    </w:lvl>
    <w:lvl w:ilvl="4" w:tplc="7DB05108" w:tentative="1">
      <w:start w:val="1"/>
      <w:numFmt w:val="bullet"/>
      <w:lvlText w:val="o"/>
      <w:lvlJc w:val="left"/>
      <w:pPr>
        <w:ind w:left="3240" w:hanging="360"/>
      </w:pPr>
      <w:rPr>
        <w:rFonts w:ascii="Courier New" w:hAnsi="Courier New" w:cs="Courier New" w:hint="default"/>
      </w:rPr>
    </w:lvl>
    <w:lvl w:ilvl="5" w:tplc="308CEE12" w:tentative="1">
      <w:start w:val="1"/>
      <w:numFmt w:val="bullet"/>
      <w:lvlText w:val=""/>
      <w:lvlJc w:val="left"/>
      <w:pPr>
        <w:ind w:left="3960" w:hanging="360"/>
      </w:pPr>
      <w:rPr>
        <w:rFonts w:ascii="Wingdings" w:hAnsi="Wingdings" w:hint="default"/>
      </w:rPr>
    </w:lvl>
    <w:lvl w:ilvl="6" w:tplc="E08C0CFE" w:tentative="1">
      <w:start w:val="1"/>
      <w:numFmt w:val="bullet"/>
      <w:lvlText w:val=""/>
      <w:lvlJc w:val="left"/>
      <w:pPr>
        <w:ind w:left="4680" w:hanging="360"/>
      </w:pPr>
      <w:rPr>
        <w:rFonts w:ascii="Symbol" w:hAnsi="Symbol" w:hint="default"/>
      </w:rPr>
    </w:lvl>
    <w:lvl w:ilvl="7" w:tplc="A9E688F6" w:tentative="1">
      <w:start w:val="1"/>
      <w:numFmt w:val="bullet"/>
      <w:lvlText w:val="o"/>
      <w:lvlJc w:val="left"/>
      <w:pPr>
        <w:ind w:left="5400" w:hanging="360"/>
      </w:pPr>
      <w:rPr>
        <w:rFonts w:ascii="Courier New" w:hAnsi="Courier New" w:cs="Courier New" w:hint="default"/>
      </w:rPr>
    </w:lvl>
    <w:lvl w:ilvl="8" w:tplc="E092FACE" w:tentative="1">
      <w:start w:val="1"/>
      <w:numFmt w:val="bullet"/>
      <w:lvlText w:val=""/>
      <w:lvlJc w:val="left"/>
      <w:pPr>
        <w:ind w:left="6120" w:hanging="360"/>
      </w:pPr>
      <w:rPr>
        <w:rFonts w:ascii="Wingdings" w:hAnsi="Wingdings" w:hint="default"/>
      </w:rPr>
    </w:lvl>
  </w:abstractNum>
  <w:abstractNum w:abstractNumId="16">
    <w:nsid w:val="505E7559"/>
    <w:multiLevelType w:val="hybridMultilevel"/>
    <w:tmpl w:val="231AF052"/>
    <w:lvl w:ilvl="0" w:tplc="9098BEF0">
      <w:start w:val="1"/>
      <w:numFmt w:val="decimal"/>
      <w:lvlText w:val="%1)"/>
      <w:lvlJc w:val="left"/>
      <w:pPr>
        <w:ind w:left="644" w:hanging="360"/>
      </w:pPr>
    </w:lvl>
    <w:lvl w:ilvl="1" w:tplc="A242516A" w:tentative="1">
      <w:start w:val="1"/>
      <w:numFmt w:val="lowerLetter"/>
      <w:lvlText w:val="%2."/>
      <w:lvlJc w:val="left"/>
      <w:pPr>
        <w:ind w:left="1440" w:hanging="360"/>
      </w:pPr>
    </w:lvl>
    <w:lvl w:ilvl="2" w:tplc="A0824798" w:tentative="1">
      <w:start w:val="1"/>
      <w:numFmt w:val="lowerRoman"/>
      <w:lvlText w:val="%3."/>
      <w:lvlJc w:val="right"/>
      <w:pPr>
        <w:ind w:left="2160" w:hanging="180"/>
      </w:pPr>
    </w:lvl>
    <w:lvl w:ilvl="3" w:tplc="132846C4" w:tentative="1">
      <w:start w:val="1"/>
      <w:numFmt w:val="decimal"/>
      <w:lvlText w:val="%4."/>
      <w:lvlJc w:val="left"/>
      <w:pPr>
        <w:ind w:left="2880" w:hanging="360"/>
      </w:pPr>
    </w:lvl>
    <w:lvl w:ilvl="4" w:tplc="39A6FED0" w:tentative="1">
      <w:start w:val="1"/>
      <w:numFmt w:val="lowerLetter"/>
      <w:lvlText w:val="%5."/>
      <w:lvlJc w:val="left"/>
      <w:pPr>
        <w:ind w:left="3600" w:hanging="360"/>
      </w:pPr>
    </w:lvl>
    <w:lvl w:ilvl="5" w:tplc="1F30B41E" w:tentative="1">
      <w:start w:val="1"/>
      <w:numFmt w:val="lowerRoman"/>
      <w:lvlText w:val="%6."/>
      <w:lvlJc w:val="right"/>
      <w:pPr>
        <w:ind w:left="4320" w:hanging="180"/>
      </w:pPr>
    </w:lvl>
    <w:lvl w:ilvl="6" w:tplc="7A6C1EFA" w:tentative="1">
      <w:start w:val="1"/>
      <w:numFmt w:val="decimal"/>
      <w:lvlText w:val="%7."/>
      <w:lvlJc w:val="left"/>
      <w:pPr>
        <w:ind w:left="5040" w:hanging="360"/>
      </w:pPr>
    </w:lvl>
    <w:lvl w:ilvl="7" w:tplc="CC0EB9B8" w:tentative="1">
      <w:start w:val="1"/>
      <w:numFmt w:val="lowerLetter"/>
      <w:lvlText w:val="%8."/>
      <w:lvlJc w:val="left"/>
      <w:pPr>
        <w:ind w:left="5760" w:hanging="360"/>
      </w:pPr>
    </w:lvl>
    <w:lvl w:ilvl="8" w:tplc="4C000420" w:tentative="1">
      <w:start w:val="1"/>
      <w:numFmt w:val="lowerRoman"/>
      <w:lvlText w:val="%9."/>
      <w:lvlJc w:val="right"/>
      <w:pPr>
        <w:ind w:left="6480" w:hanging="180"/>
      </w:pPr>
    </w:lvl>
  </w:abstractNum>
  <w:abstractNum w:abstractNumId="17">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565F5F"/>
    <w:multiLevelType w:val="hybridMultilevel"/>
    <w:tmpl w:val="BF2EB86E"/>
    <w:lvl w:ilvl="0" w:tplc="194E311E">
      <w:start w:val="1"/>
      <w:numFmt w:val="bullet"/>
      <w:lvlText w:val=""/>
      <w:lvlJc w:val="left"/>
      <w:pPr>
        <w:ind w:left="720" w:hanging="360"/>
      </w:pPr>
      <w:rPr>
        <w:rFonts w:ascii="Symbol" w:hAnsi="Symbol" w:hint="default"/>
      </w:rPr>
    </w:lvl>
    <w:lvl w:ilvl="1" w:tplc="A304745A" w:tentative="1">
      <w:start w:val="1"/>
      <w:numFmt w:val="bullet"/>
      <w:lvlText w:val="o"/>
      <w:lvlJc w:val="left"/>
      <w:pPr>
        <w:ind w:left="1440" w:hanging="360"/>
      </w:pPr>
      <w:rPr>
        <w:rFonts w:ascii="Courier New" w:hAnsi="Courier New" w:cs="Courier New" w:hint="default"/>
      </w:rPr>
    </w:lvl>
    <w:lvl w:ilvl="2" w:tplc="2A2AD490" w:tentative="1">
      <w:start w:val="1"/>
      <w:numFmt w:val="bullet"/>
      <w:lvlText w:val=""/>
      <w:lvlJc w:val="left"/>
      <w:pPr>
        <w:ind w:left="2160" w:hanging="360"/>
      </w:pPr>
      <w:rPr>
        <w:rFonts w:ascii="Wingdings" w:hAnsi="Wingdings" w:hint="default"/>
      </w:rPr>
    </w:lvl>
    <w:lvl w:ilvl="3" w:tplc="11E866E4" w:tentative="1">
      <w:start w:val="1"/>
      <w:numFmt w:val="bullet"/>
      <w:lvlText w:val=""/>
      <w:lvlJc w:val="left"/>
      <w:pPr>
        <w:ind w:left="2880" w:hanging="360"/>
      </w:pPr>
      <w:rPr>
        <w:rFonts w:ascii="Symbol" w:hAnsi="Symbol" w:hint="default"/>
      </w:rPr>
    </w:lvl>
    <w:lvl w:ilvl="4" w:tplc="AD1EC574" w:tentative="1">
      <w:start w:val="1"/>
      <w:numFmt w:val="bullet"/>
      <w:lvlText w:val="o"/>
      <w:lvlJc w:val="left"/>
      <w:pPr>
        <w:ind w:left="3600" w:hanging="360"/>
      </w:pPr>
      <w:rPr>
        <w:rFonts w:ascii="Courier New" w:hAnsi="Courier New" w:cs="Courier New" w:hint="default"/>
      </w:rPr>
    </w:lvl>
    <w:lvl w:ilvl="5" w:tplc="AB161080" w:tentative="1">
      <w:start w:val="1"/>
      <w:numFmt w:val="bullet"/>
      <w:lvlText w:val=""/>
      <w:lvlJc w:val="left"/>
      <w:pPr>
        <w:ind w:left="4320" w:hanging="360"/>
      </w:pPr>
      <w:rPr>
        <w:rFonts w:ascii="Wingdings" w:hAnsi="Wingdings" w:hint="default"/>
      </w:rPr>
    </w:lvl>
    <w:lvl w:ilvl="6" w:tplc="398E53EC" w:tentative="1">
      <w:start w:val="1"/>
      <w:numFmt w:val="bullet"/>
      <w:lvlText w:val=""/>
      <w:lvlJc w:val="left"/>
      <w:pPr>
        <w:ind w:left="5040" w:hanging="360"/>
      </w:pPr>
      <w:rPr>
        <w:rFonts w:ascii="Symbol" w:hAnsi="Symbol" w:hint="default"/>
      </w:rPr>
    </w:lvl>
    <w:lvl w:ilvl="7" w:tplc="D478847C" w:tentative="1">
      <w:start w:val="1"/>
      <w:numFmt w:val="bullet"/>
      <w:lvlText w:val="o"/>
      <w:lvlJc w:val="left"/>
      <w:pPr>
        <w:ind w:left="5760" w:hanging="360"/>
      </w:pPr>
      <w:rPr>
        <w:rFonts w:ascii="Courier New" w:hAnsi="Courier New" w:cs="Courier New" w:hint="default"/>
      </w:rPr>
    </w:lvl>
    <w:lvl w:ilvl="8" w:tplc="26B2E9F8" w:tentative="1">
      <w:start w:val="1"/>
      <w:numFmt w:val="bullet"/>
      <w:lvlText w:val=""/>
      <w:lvlJc w:val="left"/>
      <w:pPr>
        <w:ind w:left="6480" w:hanging="360"/>
      </w:pPr>
      <w:rPr>
        <w:rFonts w:ascii="Wingdings" w:hAnsi="Wingdings" w:hint="default"/>
      </w:rPr>
    </w:lvl>
  </w:abstractNum>
  <w:abstractNum w:abstractNumId="19">
    <w:nsid w:val="65456429"/>
    <w:multiLevelType w:val="multilevel"/>
    <w:tmpl w:val="881C135E"/>
    <w:lvl w:ilvl="0">
      <w:start w:val="1"/>
      <w:numFmt w:val="decimal"/>
      <w:pStyle w:val="ListNumber"/>
      <w:lvlText w:val="%1."/>
      <w:lvlJc w:val="left"/>
      <w:pPr>
        <w:ind w:left="369" w:hanging="369"/>
      </w:pPr>
      <w:rPr>
        <w:rFonts w:ascii="Arial" w:hAnsi="Arial" w:hint="default"/>
        <w:b w:val="0"/>
        <w:i w:val="0"/>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nsid w:val="672074F1"/>
    <w:multiLevelType w:val="hybridMultilevel"/>
    <w:tmpl w:val="11ECDA40"/>
    <w:lvl w:ilvl="0" w:tplc="F8D6CDD8">
      <w:start w:val="1"/>
      <w:numFmt w:val="bullet"/>
      <w:lvlText w:val=""/>
      <w:lvlJc w:val="left"/>
      <w:pPr>
        <w:ind w:left="360" w:hanging="360"/>
      </w:pPr>
      <w:rPr>
        <w:rFonts w:ascii="Symbol" w:hAnsi="Symbol" w:hint="default"/>
      </w:rPr>
    </w:lvl>
    <w:lvl w:ilvl="1" w:tplc="5A3ADC44" w:tentative="1">
      <w:start w:val="1"/>
      <w:numFmt w:val="bullet"/>
      <w:lvlText w:val="o"/>
      <w:lvlJc w:val="left"/>
      <w:pPr>
        <w:ind w:left="1080" w:hanging="360"/>
      </w:pPr>
      <w:rPr>
        <w:rFonts w:ascii="Courier New" w:hAnsi="Courier New" w:cs="Courier New" w:hint="default"/>
      </w:rPr>
    </w:lvl>
    <w:lvl w:ilvl="2" w:tplc="AA10A508" w:tentative="1">
      <w:start w:val="1"/>
      <w:numFmt w:val="bullet"/>
      <w:lvlText w:val=""/>
      <w:lvlJc w:val="left"/>
      <w:pPr>
        <w:ind w:left="1800" w:hanging="360"/>
      </w:pPr>
      <w:rPr>
        <w:rFonts w:ascii="Wingdings" w:hAnsi="Wingdings" w:hint="default"/>
      </w:rPr>
    </w:lvl>
    <w:lvl w:ilvl="3" w:tplc="D666C97A" w:tentative="1">
      <w:start w:val="1"/>
      <w:numFmt w:val="bullet"/>
      <w:lvlText w:val=""/>
      <w:lvlJc w:val="left"/>
      <w:pPr>
        <w:ind w:left="2520" w:hanging="360"/>
      </w:pPr>
      <w:rPr>
        <w:rFonts w:ascii="Symbol" w:hAnsi="Symbol" w:hint="default"/>
      </w:rPr>
    </w:lvl>
    <w:lvl w:ilvl="4" w:tplc="F9143966" w:tentative="1">
      <w:start w:val="1"/>
      <w:numFmt w:val="bullet"/>
      <w:lvlText w:val="o"/>
      <w:lvlJc w:val="left"/>
      <w:pPr>
        <w:ind w:left="3240" w:hanging="360"/>
      </w:pPr>
      <w:rPr>
        <w:rFonts w:ascii="Courier New" w:hAnsi="Courier New" w:cs="Courier New" w:hint="default"/>
      </w:rPr>
    </w:lvl>
    <w:lvl w:ilvl="5" w:tplc="79A41724" w:tentative="1">
      <w:start w:val="1"/>
      <w:numFmt w:val="bullet"/>
      <w:lvlText w:val=""/>
      <w:lvlJc w:val="left"/>
      <w:pPr>
        <w:ind w:left="3960" w:hanging="360"/>
      </w:pPr>
      <w:rPr>
        <w:rFonts w:ascii="Wingdings" w:hAnsi="Wingdings" w:hint="default"/>
      </w:rPr>
    </w:lvl>
    <w:lvl w:ilvl="6" w:tplc="FF6C5B90" w:tentative="1">
      <w:start w:val="1"/>
      <w:numFmt w:val="bullet"/>
      <w:lvlText w:val=""/>
      <w:lvlJc w:val="left"/>
      <w:pPr>
        <w:ind w:left="4680" w:hanging="360"/>
      </w:pPr>
      <w:rPr>
        <w:rFonts w:ascii="Symbol" w:hAnsi="Symbol" w:hint="default"/>
      </w:rPr>
    </w:lvl>
    <w:lvl w:ilvl="7" w:tplc="30BAABB0" w:tentative="1">
      <w:start w:val="1"/>
      <w:numFmt w:val="bullet"/>
      <w:lvlText w:val="o"/>
      <w:lvlJc w:val="left"/>
      <w:pPr>
        <w:ind w:left="5400" w:hanging="360"/>
      </w:pPr>
      <w:rPr>
        <w:rFonts w:ascii="Courier New" w:hAnsi="Courier New" w:cs="Courier New" w:hint="default"/>
      </w:rPr>
    </w:lvl>
    <w:lvl w:ilvl="8" w:tplc="045CADD8" w:tentative="1">
      <w:start w:val="1"/>
      <w:numFmt w:val="bullet"/>
      <w:lvlText w:val=""/>
      <w:lvlJc w:val="left"/>
      <w:pPr>
        <w:ind w:left="6120" w:hanging="360"/>
      </w:pPr>
      <w:rPr>
        <w:rFonts w:ascii="Wingdings" w:hAnsi="Wingdings" w:hint="default"/>
      </w:rPr>
    </w:lvl>
  </w:abstractNum>
  <w:abstractNum w:abstractNumId="21">
    <w:nsid w:val="6F5C7C61"/>
    <w:multiLevelType w:val="hybridMultilevel"/>
    <w:tmpl w:val="D58E68B2"/>
    <w:lvl w:ilvl="0" w:tplc="C890F156">
      <w:start w:val="1"/>
      <w:numFmt w:val="decimal"/>
      <w:lvlText w:val="%1."/>
      <w:lvlJc w:val="left"/>
      <w:pPr>
        <w:ind w:left="720" w:hanging="360"/>
      </w:pPr>
    </w:lvl>
    <w:lvl w:ilvl="1" w:tplc="20ACC9EE">
      <w:start w:val="1"/>
      <w:numFmt w:val="lowerLetter"/>
      <w:lvlText w:val="%2."/>
      <w:lvlJc w:val="left"/>
      <w:pPr>
        <w:ind w:left="1440" w:hanging="360"/>
      </w:pPr>
    </w:lvl>
    <w:lvl w:ilvl="2" w:tplc="257A15A4">
      <w:start w:val="1"/>
      <w:numFmt w:val="lowerRoman"/>
      <w:lvlText w:val="%3."/>
      <w:lvlJc w:val="right"/>
      <w:pPr>
        <w:ind w:left="2160" w:hanging="180"/>
      </w:pPr>
    </w:lvl>
    <w:lvl w:ilvl="3" w:tplc="B830901A" w:tentative="1">
      <w:start w:val="1"/>
      <w:numFmt w:val="decimal"/>
      <w:lvlText w:val="%4."/>
      <w:lvlJc w:val="left"/>
      <w:pPr>
        <w:ind w:left="2880" w:hanging="360"/>
      </w:pPr>
    </w:lvl>
    <w:lvl w:ilvl="4" w:tplc="97BC6FA6" w:tentative="1">
      <w:start w:val="1"/>
      <w:numFmt w:val="lowerLetter"/>
      <w:lvlText w:val="%5."/>
      <w:lvlJc w:val="left"/>
      <w:pPr>
        <w:ind w:left="3600" w:hanging="360"/>
      </w:pPr>
    </w:lvl>
    <w:lvl w:ilvl="5" w:tplc="D31C5304" w:tentative="1">
      <w:start w:val="1"/>
      <w:numFmt w:val="lowerRoman"/>
      <w:lvlText w:val="%6."/>
      <w:lvlJc w:val="right"/>
      <w:pPr>
        <w:ind w:left="4320" w:hanging="180"/>
      </w:pPr>
    </w:lvl>
    <w:lvl w:ilvl="6" w:tplc="563ED9D8" w:tentative="1">
      <w:start w:val="1"/>
      <w:numFmt w:val="decimal"/>
      <w:lvlText w:val="%7."/>
      <w:lvlJc w:val="left"/>
      <w:pPr>
        <w:ind w:left="5040" w:hanging="360"/>
      </w:pPr>
    </w:lvl>
    <w:lvl w:ilvl="7" w:tplc="E6FCE1B2" w:tentative="1">
      <w:start w:val="1"/>
      <w:numFmt w:val="lowerLetter"/>
      <w:lvlText w:val="%8."/>
      <w:lvlJc w:val="left"/>
      <w:pPr>
        <w:ind w:left="5760" w:hanging="360"/>
      </w:pPr>
    </w:lvl>
    <w:lvl w:ilvl="8" w:tplc="1764BB76" w:tentative="1">
      <w:start w:val="1"/>
      <w:numFmt w:val="lowerRoman"/>
      <w:lvlText w:val="%9."/>
      <w:lvlJc w:val="right"/>
      <w:pPr>
        <w:ind w:left="6480" w:hanging="180"/>
      </w:pPr>
    </w:lvl>
  </w:abstractNum>
  <w:abstractNum w:abstractNumId="22">
    <w:nsid w:val="71E122AC"/>
    <w:multiLevelType w:val="hybridMultilevel"/>
    <w:tmpl w:val="851AA58A"/>
    <w:lvl w:ilvl="0" w:tplc="47B68A5A">
      <w:start w:val="1"/>
      <w:numFmt w:val="bullet"/>
      <w:lvlText w:val=""/>
      <w:lvlJc w:val="left"/>
      <w:pPr>
        <w:ind w:left="720" w:hanging="360"/>
      </w:pPr>
      <w:rPr>
        <w:rFonts w:ascii="Symbol" w:hAnsi="Symbol" w:hint="default"/>
      </w:rPr>
    </w:lvl>
    <w:lvl w:ilvl="1" w:tplc="182E2288" w:tentative="1">
      <w:start w:val="1"/>
      <w:numFmt w:val="bullet"/>
      <w:lvlText w:val="o"/>
      <w:lvlJc w:val="left"/>
      <w:pPr>
        <w:ind w:left="1440" w:hanging="360"/>
      </w:pPr>
      <w:rPr>
        <w:rFonts w:ascii="Courier New" w:hAnsi="Courier New" w:cs="Courier New" w:hint="default"/>
      </w:rPr>
    </w:lvl>
    <w:lvl w:ilvl="2" w:tplc="3848857C" w:tentative="1">
      <w:start w:val="1"/>
      <w:numFmt w:val="bullet"/>
      <w:lvlText w:val=""/>
      <w:lvlJc w:val="left"/>
      <w:pPr>
        <w:ind w:left="2160" w:hanging="360"/>
      </w:pPr>
      <w:rPr>
        <w:rFonts w:ascii="Wingdings" w:hAnsi="Wingdings" w:hint="default"/>
      </w:rPr>
    </w:lvl>
    <w:lvl w:ilvl="3" w:tplc="46A24A7A" w:tentative="1">
      <w:start w:val="1"/>
      <w:numFmt w:val="bullet"/>
      <w:lvlText w:val=""/>
      <w:lvlJc w:val="left"/>
      <w:pPr>
        <w:ind w:left="2880" w:hanging="360"/>
      </w:pPr>
      <w:rPr>
        <w:rFonts w:ascii="Symbol" w:hAnsi="Symbol" w:hint="default"/>
      </w:rPr>
    </w:lvl>
    <w:lvl w:ilvl="4" w:tplc="AD3EBAAA" w:tentative="1">
      <w:start w:val="1"/>
      <w:numFmt w:val="bullet"/>
      <w:lvlText w:val="o"/>
      <w:lvlJc w:val="left"/>
      <w:pPr>
        <w:ind w:left="3600" w:hanging="360"/>
      </w:pPr>
      <w:rPr>
        <w:rFonts w:ascii="Courier New" w:hAnsi="Courier New" w:cs="Courier New" w:hint="default"/>
      </w:rPr>
    </w:lvl>
    <w:lvl w:ilvl="5" w:tplc="8C1CA29A" w:tentative="1">
      <w:start w:val="1"/>
      <w:numFmt w:val="bullet"/>
      <w:lvlText w:val=""/>
      <w:lvlJc w:val="left"/>
      <w:pPr>
        <w:ind w:left="4320" w:hanging="360"/>
      </w:pPr>
      <w:rPr>
        <w:rFonts w:ascii="Wingdings" w:hAnsi="Wingdings" w:hint="default"/>
      </w:rPr>
    </w:lvl>
    <w:lvl w:ilvl="6" w:tplc="A1326B30" w:tentative="1">
      <w:start w:val="1"/>
      <w:numFmt w:val="bullet"/>
      <w:lvlText w:val=""/>
      <w:lvlJc w:val="left"/>
      <w:pPr>
        <w:ind w:left="5040" w:hanging="360"/>
      </w:pPr>
      <w:rPr>
        <w:rFonts w:ascii="Symbol" w:hAnsi="Symbol" w:hint="default"/>
      </w:rPr>
    </w:lvl>
    <w:lvl w:ilvl="7" w:tplc="AD66AFF6" w:tentative="1">
      <w:start w:val="1"/>
      <w:numFmt w:val="bullet"/>
      <w:lvlText w:val="o"/>
      <w:lvlJc w:val="left"/>
      <w:pPr>
        <w:ind w:left="5760" w:hanging="360"/>
      </w:pPr>
      <w:rPr>
        <w:rFonts w:ascii="Courier New" w:hAnsi="Courier New" w:cs="Courier New" w:hint="default"/>
      </w:rPr>
    </w:lvl>
    <w:lvl w:ilvl="8" w:tplc="279A918C" w:tentative="1">
      <w:start w:val="1"/>
      <w:numFmt w:val="bullet"/>
      <w:lvlText w:val=""/>
      <w:lvlJc w:val="left"/>
      <w:pPr>
        <w:ind w:left="6480" w:hanging="360"/>
      </w:pPr>
      <w:rPr>
        <w:rFonts w:ascii="Wingdings" w:hAnsi="Wingdings" w:hint="default"/>
      </w:rPr>
    </w:lvl>
  </w:abstractNum>
  <w:abstractNum w:abstractNumId="23">
    <w:nsid w:val="72DD4FC6"/>
    <w:multiLevelType w:val="hybridMultilevel"/>
    <w:tmpl w:val="4ABC604C"/>
    <w:lvl w:ilvl="0" w:tplc="0C090001">
      <w:start w:val="1"/>
      <w:numFmt w:val="decimal"/>
      <w:lvlText w:val="%1."/>
      <w:lvlJc w:val="left"/>
      <w:pPr>
        <w:ind w:left="360" w:hanging="360"/>
      </w:p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4">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nsid w:val="7B85684F"/>
    <w:multiLevelType w:val="hybridMultilevel"/>
    <w:tmpl w:val="BDCA9B80"/>
    <w:lvl w:ilvl="0" w:tplc="C00AEF6A">
      <w:start w:val="1"/>
      <w:numFmt w:val="bullet"/>
      <w:lvlText w:val=""/>
      <w:lvlJc w:val="left"/>
      <w:pPr>
        <w:ind w:left="360" w:hanging="360"/>
      </w:pPr>
      <w:rPr>
        <w:rFonts w:ascii="Symbol" w:hAnsi="Symbol" w:hint="default"/>
      </w:rPr>
    </w:lvl>
    <w:lvl w:ilvl="1" w:tplc="65C00240" w:tentative="1">
      <w:start w:val="1"/>
      <w:numFmt w:val="bullet"/>
      <w:lvlText w:val="o"/>
      <w:lvlJc w:val="left"/>
      <w:pPr>
        <w:ind w:left="1080" w:hanging="360"/>
      </w:pPr>
      <w:rPr>
        <w:rFonts w:ascii="Courier New" w:hAnsi="Courier New" w:cs="Courier New" w:hint="default"/>
      </w:rPr>
    </w:lvl>
    <w:lvl w:ilvl="2" w:tplc="99189288" w:tentative="1">
      <w:start w:val="1"/>
      <w:numFmt w:val="bullet"/>
      <w:lvlText w:val=""/>
      <w:lvlJc w:val="left"/>
      <w:pPr>
        <w:ind w:left="1800" w:hanging="360"/>
      </w:pPr>
      <w:rPr>
        <w:rFonts w:ascii="Wingdings" w:hAnsi="Wingdings" w:hint="default"/>
      </w:rPr>
    </w:lvl>
    <w:lvl w:ilvl="3" w:tplc="D7546BA2" w:tentative="1">
      <w:start w:val="1"/>
      <w:numFmt w:val="bullet"/>
      <w:lvlText w:val=""/>
      <w:lvlJc w:val="left"/>
      <w:pPr>
        <w:ind w:left="2520" w:hanging="360"/>
      </w:pPr>
      <w:rPr>
        <w:rFonts w:ascii="Symbol" w:hAnsi="Symbol" w:hint="default"/>
      </w:rPr>
    </w:lvl>
    <w:lvl w:ilvl="4" w:tplc="965AA826" w:tentative="1">
      <w:start w:val="1"/>
      <w:numFmt w:val="bullet"/>
      <w:lvlText w:val="o"/>
      <w:lvlJc w:val="left"/>
      <w:pPr>
        <w:ind w:left="3240" w:hanging="360"/>
      </w:pPr>
      <w:rPr>
        <w:rFonts w:ascii="Courier New" w:hAnsi="Courier New" w:cs="Courier New" w:hint="default"/>
      </w:rPr>
    </w:lvl>
    <w:lvl w:ilvl="5" w:tplc="454A73FA" w:tentative="1">
      <w:start w:val="1"/>
      <w:numFmt w:val="bullet"/>
      <w:lvlText w:val=""/>
      <w:lvlJc w:val="left"/>
      <w:pPr>
        <w:ind w:left="3960" w:hanging="360"/>
      </w:pPr>
      <w:rPr>
        <w:rFonts w:ascii="Wingdings" w:hAnsi="Wingdings" w:hint="default"/>
      </w:rPr>
    </w:lvl>
    <w:lvl w:ilvl="6" w:tplc="979CE578" w:tentative="1">
      <w:start w:val="1"/>
      <w:numFmt w:val="bullet"/>
      <w:lvlText w:val=""/>
      <w:lvlJc w:val="left"/>
      <w:pPr>
        <w:ind w:left="4680" w:hanging="360"/>
      </w:pPr>
      <w:rPr>
        <w:rFonts w:ascii="Symbol" w:hAnsi="Symbol" w:hint="default"/>
      </w:rPr>
    </w:lvl>
    <w:lvl w:ilvl="7" w:tplc="BBF42626" w:tentative="1">
      <w:start w:val="1"/>
      <w:numFmt w:val="bullet"/>
      <w:lvlText w:val="o"/>
      <w:lvlJc w:val="left"/>
      <w:pPr>
        <w:ind w:left="5400" w:hanging="360"/>
      </w:pPr>
      <w:rPr>
        <w:rFonts w:ascii="Courier New" w:hAnsi="Courier New" w:cs="Courier New" w:hint="default"/>
      </w:rPr>
    </w:lvl>
    <w:lvl w:ilvl="8" w:tplc="F63028FA" w:tentative="1">
      <w:start w:val="1"/>
      <w:numFmt w:val="bullet"/>
      <w:lvlText w:val=""/>
      <w:lvlJc w:val="left"/>
      <w:pPr>
        <w:ind w:left="6120" w:hanging="360"/>
      </w:pPr>
      <w:rPr>
        <w:rFonts w:ascii="Wingdings" w:hAnsi="Wingdings" w:hint="default"/>
      </w:rPr>
    </w:lvl>
  </w:abstractNum>
  <w:num w:numId="1">
    <w:abstractNumId w:val="24"/>
  </w:num>
  <w:num w:numId="2">
    <w:abstractNumId w:val="4"/>
  </w:num>
  <w:num w:numId="3">
    <w:abstractNumId w:val="11"/>
  </w:num>
  <w:num w:numId="4">
    <w:abstractNumId w:val="10"/>
  </w:num>
  <w:num w:numId="5">
    <w:abstractNumId w:val="19"/>
  </w:num>
  <w:num w:numId="6">
    <w:abstractNumId w:val="23"/>
  </w:num>
  <w:num w:numId="7">
    <w:abstractNumId w:val="16"/>
  </w:num>
  <w:num w:numId="8">
    <w:abstractNumId w:val="7"/>
  </w:num>
  <w:num w:numId="9">
    <w:abstractNumId w:val="25"/>
  </w:num>
  <w:num w:numId="10">
    <w:abstractNumId w:val="3"/>
  </w:num>
  <w:num w:numId="11">
    <w:abstractNumId w:val="1"/>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num>
  <w:num w:numId="17">
    <w:abstractNumId w:val="17"/>
  </w:num>
  <w:num w:numId="18">
    <w:abstractNumId w:val="6"/>
  </w:num>
  <w:num w:numId="19">
    <w:abstractNumId w:val="20"/>
  </w:num>
  <w:num w:numId="20">
    <w:abstractNumId w:val="8"/>
  </w:num>
  <w:num w:numId="21">
    <w:abstractNumId w:val="15"/>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18"/>
  </w:num>
  <w:num w:numId="36">
    <w:abstractNumId w:val="5"/>
  </w:num>
  <w:num w:numId="37">
    <w:abstractNumId w:val="2"/>
  </w:num>
  <w:num w:numId="38">
    <w:abstractNumId w:val="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2"/>
  </w:num>
  <w:num w:numId="45">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41275D"/>
    <w:rsid w:val="00001745"/>
    <w:rsid w:val="00002EA6"/>
    <w:rsid w:val="00004AEE"/>
    <w:rsid w:val="00005CAA"/>
    <w:rsid w:val="00010210"/>
    <w:rsid w:val="00012D66"/>
    <w:rsid w:val="00013FE5"/>
    <w:rsid w:val="000145C1"/>
    <w:rsid w:val="00015ADA"/>
    <w:rsid w:val="00016314"/>
    <w:rsid w:val="00016847"/>
    <w:rsid w:val="00020C99"/>
    <w:rsid w:val="000241F6"/>
    <w:rsid w:val="00026171"/>
    <w:rsid w:val="0002707B"/>
    <w:rsid w:val="00031B32"/>
    <w:rsid w:val="00034632"/>
    <w:rsid w:val="00037403"/>
    <w:rsid w:val="00041B4F"/>
    <w:rsid w:val="00043BFA"/>
    <w:rsid w:val="00045D26"/>
    <w:rsid w:val="00051049"/>
    <w:rsid w:val="0005148E"/>
    <w:rsid w:val="00051773"/>
    <w:rsid w:val="0005316C"/>
    <w:rsid w:val="00053F4A"/>
    <w:rsid w:val="000547F0"/>
    <w:rsid w:val="00056B02"/>
    <w:rsid w:val="00057347"/>
    <w:rsid w:val="00057E81"/>
    <w:rsid w:val="00062A46"/>
    <w:rsid w:val="00064C88"/>
    <w:rsid w:val="0006683A"/>
    <w:rsid w:val="00067AD4"/>
    <w:rsid w:val="00070263"/>
    <w:rsid w:val="00070CEC"/>
    <w:rsid w:val="000759E5"/>
    <w:rsid w:val="0007601C"/>
    <w:rsid w:val="000772BE"/>
    <w:rsid w:val="00077AD6"/>
    <w:rsid w:val="00082592"/>
    <w:rsid w:val="0008456A"/>
    <w:rsid w:val="00084AC6"/>
    <w:rsid w:val="00085476"/>
    <w:rsid w:val="00085816"/>
    <w:rsid w:val="000865F8"/>
    <w:rsid w:val="00091608"/>
    <w:rsid w:val="0009196E"/>
    <w:rsid w:val="00092EB4"/>
    <w:rsid w:val="00092F92"/>
    <w:rsid w:val="0009333C"/>
    <w:rsid w:val="0009704F"/>
    <w:rsid w:val="000A0F11"/>
    <w:rsid w:val="000A125A"/>
    <w:rsid w:val="000A228F"/>
    <w:rsid w:val="000A57CD"/>
    <w:rsid w:val="000B2FF3"/>
    <w:rsid w:val="000B3758"/>
    <w:rsid w:val="000B4158"/>
    <w:rsid w:val="000B4AC7"/>
    <w:rsid w:val="000B7681"/>
    <w:rsid w:val="000B7B42"/>
    <w:rsid w:val="000C02B7"/>
    <w:rsid w:val="000C035C"/>
    <w:rsid w:val="000C2814"/>
    <w:rsid w:val="000C2DEF"/>
    <w:rsid w:val="000C4130"/>
    <w:rsid w:val="000C42E4"/>
    <w:rsid w:val="000C451B"/>
    <w:rsid w:val="000C5342"/>
    <w:rsid w:val="000C706A"/>
    <w:rsid w:val="000C784D"/>
    <w:rsid w:val="000D1857"/>
    <w:rsid w:val="000D1B71"/>
    <w:rsid w:val="000D2887"/>
    <w:rsid w:val="000D396F"/>
    <w:rsid w:val="000D3EB2"/>
    <w:rsid w:val="000D6C0B"/>
    <w:rsid w:val="000D6D56"/>
    <w:rsid w:val="000D6D63"/>
    <w:rsid w:val="000D706B"/>
    <w:rsid w:val="000D7810"/>
    <w:rsid w:val="000E0081"/>
    <w:rsid w:val="000E07CF"/>
    <w:rsid w:val="000E0C79"/>
    <w:rsid w:val="000E46D2"/>
    <w:rsid w:val="00100BEF"/>
    <w:rsid w:val="00102E17"/>
    <w:rsid w:val="001043EE"/>
    <w:rsid w:val="0011498E"/>
    <w:rsid w:val="00116F28"/>
    <w:rsid w:val="00117A45"/>
    <w:rsid w:val="00117B6A"/>
    <w:rsid w:val="00120BA6"/>
    <w:rsid w:val="0012161C"/>
    <w:rsid w:val="001224AE"/>
    <w:rsid w:val="00123035"/>
    <w:rsid w:val="00124913"/>
    <w:rsid w:val="00124E5C"/>
    <w:rsid w:val="0013098C"/>
    <w:rsid w:val="001314A3"/>
    <w:rsid w:val="001337D4"/>
    <w:rsid w:val="001340EA"/>
    <w:rsid w:val="00140BD8"/>
    <w:rsid w:val="0014494A"/>
    <w:rsid w:val="00145E5A"/>
    <w:rsid w:val="00147C12"/>
    <w:rsid w:val="00147EFC"/>
    <w:rsid w:val="0015066D"/>
    <w:rsid w:val="001515FE"/>
    <w:rsid w:val="001527A1"/>
    <w:rsid w:val="001530DC"/>
    <w:rsid w:val="0015312D"/>
    <w:rsid w:val="001539AF"/>
    <w:rsid w:val="00154281"/>
    <w:rsid w:val="00154989"/>
    <w:rsid w:val="00155A9F"/>
    <w:rsid w:val="0015684F"/>
    <w:rsid w:val="00160262"/>
    <w:rsid w:val="0016028D"/>
    <w:rsid w:val="0016186F"/>
    <w:rsid w:val="0016281C"/>
    <w:rsid w:val="0016433A"/>
    <w:rsid w:val="00167303"/>
    <w:rsid w:val="0016780A"/>
    <w:rsid w:val="001713FA"/>
    <w:rsid w:val="00173EBF"/>
    <w:rsid w:val="00175B7D"/>
    <w:rsid w:val="0017648B"/>
    <w:rsid w:val="001765DA"/>
    <w:rsid w:val="001768BA"/>
    <w:rsid w:val="001771D6"/>
    <w:rsid w:val="00183961"/>
    <w:rsid w:val="001842A2"/>
    <w:rsid w:val="00185039"/>
    <w:rsid w:val="00185407"/>
    <w:rsid w:val="00186465"/>
    <w:rsid w:val="00187FA8"/>
    <w:rsid w:val="001901D8"/>
    <w:rsid w:val="001922D0"/>
    <w:rsid w:val="00192F5E"/>
    <w:rsid w:val="0019627F"/>
    <w:rsid w:val="00197772"/>
    <w:rsid w:val="001A14FB"/>
    <w:rsid w:val="001A2C99"/>
    <w:rsid w:val="001A3A40"/>
    <w:rsid w:val="001A51C8"/>
    <w:rsid w:val="001A766F"/>
    <w:rsid w:val="001A77C4"/>
    <w:rsid w:val="001B432F"/>
    <w:rsid w:val="001B45A5"/>
    <w:rsid w:val="001B472B"/>
    <w:rsid w:val="001B4CA8"/>
    <w:rsid w:val="001B7FCD"/>
    <w:rsid w:val="001C016D"/>
    <w:rsid w:val="001C184F"/>
    <w:rsid w:val="001C1D05"/>
    <w:rsid w:val="001C2A92"/>
    <w:rsid w:val="001C4F3D"/>
    <w:rsid w:val="001C62B6"/>
    <w:rsid w:val="001D0CDC"/>
    <w:rsid w:val="001D1D82"/>
    <w:rsid w:val="001D2638"/>
    <w:rsid w:val="001D7D45"/>
    <w:rsid w:val="001E1182"/>
    <w:rsid w:val="001F0E8B"/>
    <w:rsid w:val="001F42B3"/>
    <w:rsid w:val="00200944"/>
    <w:rsid w:val="00200B17"/>
    <w:rsid w:val="00201A52"/>
    <w:rsid w:val="00202387"/>
    <w:rsid w:val="00202C90"/>
    <w:rsid w:val="00207944"/>
    <w:rsid w:val="00213DE8"/>
    <w:rsid w:val="00216118"/>
    <w:rsid w:val="002209AB"/>
    <w:rsid w:val="00222D9F"/>
    <w:rsid w:val="00222DC1"/>
    <w:rsid w:val="002232CC"/>
    <w:rsid w:val="002251E3"/>
    <w:rsid w:val="00225F7B"/>
    <w:rsid w:val="002262E6"/>
    <w:rsid w:val="00227A95"/>
    <w:rsid w:val="0023001D"/>
    <w:rsid w:val="002316BD"/>
    <w:rsid w:val="002336F3"/>
    <w:rsid w:val="002473FC"/>
    <w:rsid w:val="00250A54"/>
    <w:rsid w:val="002529F8"/>
    <w:rsid w:val="00252E3C"/>
    <w:rsid w:val="00260392"/>
    <w:rsid w:val="00260D62"/>
    <w:rsid w:val="00262198"/>
    <w:rsid w:val="00264AF9"/>
    <w:rsid w:val="002660AA"/>
    <w:rsid w:val="00277426"/>
    <w:rsid w:val="00277A51"/>
    <w:rsid w:val="00285F1B"/>
    <w:rsid w:val="002862F3"/>
    <w:rsid w:val="0029049F"/>
    <w:rsid w:val="00292B81"/>
    <w:rsid w:val="0029322E"/>
    <w:rsid w:val="00294A0A"/>
    <w:rsid w:val="00296477"/>
    <w:rsid w:val="002974BC"/>
    <w:rsid w:val="002A1338"/>
    <w:rsid w:val="002A4385"/>
    <w:rsid w:val="002A51B7"/>
    <w:rsid w:val="002A5EC3"/>
    <w:rsid w:val="002A64A3"/>
    <w:rsid w:val="002B18AE"/>
    <w:rsid w:val="002B3F7C"/>
    <w:rsid w:val="002B6472"/>
    <w:rsid w:val="002B67D3"/>
    <w:rsid w:val="002B7858"/>
    <w:rsid w:val="002C0070"/>
    <w:rsid w:val="002C0304"/>
    <w:rsid w:val="002C1C93"/>
    <w:rsid w:val="002C3738"/>
    <w:rsid w:val="002C4410"/>
    <w:rsid w:val="002C5066"/>
    <w:rsid w:val="002C5584"/>
    <w:rsid w:val="002C6876"/>
    <w:rsid w:val="002C7468"/>
    <w:rsid w:val="002D0CB7"/>
    <w:rsid w:val="002D1634"/>
    <w:rsid w:val="002D1A22"/>
    <w:rsid w:val="002D2B1F"/>
    <w:rsid w:val="002D4AAC"/>
    <w:rsid w:val="002D5CC3"/>
    <w:rsid w:val="002D6761"/>
    <w:rsid w:val="002D6C33"/>
    <w:rsid w:val="002E1AB0"/>
    <w:rsid w:val="002E66A1"/>
    <w:rsid w:val="002E66FB"/>
    <w:rsid w:val="002F045A"/>
    <w:rsid w:val="002F05F3"/>
    <w:rsid w:val="002F6DA2"/>
    <w:rsid w:val="0030039D"/>
    <w:rsid w:val="00300715"/>
    <w:rsid w:val="0030246F"/>
    <w:rsid w:val="0030326F"/>
    <w:rsid w:val="00310701"/>
    <w:rsid w:val="00311510"/>
    <w:rsid w:val="003138AC"/>
    <w:rsid w:val="00315980"/>
    <w:rsid w:val="00316A81"/>
    <w:rsid w:val="00316F7F"/>
    <w:rsid w:val="003176B6"/>
    <w:rsid w:val="00320162"/>
    <w:rsid w:val="0032087E"/>
    <w:rsid w:val="00321476"/>
    <w:rsid w:val="003218E8"/>
    <w:rsid w:val="00330DCE"/>
    <w:rsid w:val="0033123C"/>
    <w:rsid w:val="003313BF"/>
    <w:rsid w:val="00331E11"/>
    <w:rsid w:val="00334761"/>
    <w:rsid w:val="00337EBC"/>
    <w:rsid w:val="0034033E"/>
    <w:rsid w:val="00341DCD"/>
    <w:rsid w:val="00342636"/>
    <w:rsid w:val="003427E6"/>
    <w:rsid w:val="0034504D"/>
    <w:rsid w:val="0034563E"/>
    <w:rsid w:val="00346412"/>
    <w:rsid w:val="00347AEB"/>
    <w:rsid w:val="003504CC"/>
    <w:rsid w:val="00350EE2"/>
    <w:rsid w:val="003518D6"/>
    <w:rsid w:val="00351979"/>
    <w:rsid w:val="00352B43"/>
    <w:rsid w:val="0035460C"/>
    <w:rsid w:val="003556BD"/>
    <w:rsid w:val="00363133"/>
    <w:rsid w:val="00364E6D"/>
    <w:rsid w:val="00365147"/>
    <w:rsid w:val="0037016E"/>
    <w:rsid w:val="00370E55"/>
    <w:rsid w:val="003717EF"/>
    <w:rsid w:val="00371BF2"/>
    <w:rsid w:val="00372908"/>
    <w:rsid w:val="00372932"/>
    <w:rsid w:val="00372E51"/>
    <w:rsid w:val="00373415"/>
    <w:rsid w:val="00375E11"/>
    <w:rsid w:val="00376401"/>
    <w:rsid w:val="00376457"/>
    <w:rsid w:val="003768DD"/>
    <w:rsid w:val="00381917"/>
    <w:rsid w:val="00383020"/>
    <w:rsid w:val="00383963"/>
    <w:rsid w:val="003841BC"/>
    <w:rsid w:val="003940E8"/>
    <w:rsid w:val="00396B7C"/>
    <w:rsid w:val="003975FD"/>
    <w:rsid w:val="003A0593"/>
    <w:rsid w:val="003A2F74"/>
    <w:rsid w:val="003A5484"/>
    <w:rsid w:val="003A5950"/>
    <w:rsid w:val="003B07D6"/>
    <w:rsid w:val="003B12B0"/>
    <w:rsid w:val="003B2D6F"/>
    <w:rsid w:val="003B3CAA"/>
    <w:rsid w:val="003B5220"/>
    <w:rsid w:val="003B60CC"/>
    <w:rsid w:val="003B6712"/>
    <w:rsid w:val="003B76E7"/>
    <w:rsid w:val="003C1528"/>
    <w:rsid w:val="003C1B25"/>
    <w:rsid w:val="003C2443"/>
    <w:rsid w:val="003C31E0"/>
    <w:rsid w:val="003C4C56"/>
    <w:rsid w:val="003C5DA3"/>
    <w:rsid w:val="003C5FE4"/>
    <w:rsid w:val="003C7A12"/>
    <w:rsid w:val="003D3761"/>
    <w:rsid w:val="003D4BCD"/>
    <w:rsid w:val="003D5028"/>
    <w:rsid w:val="003D6A9C"/>
    <w:rsid w:val="003E01D8"/>
    <w:rsid w:val="003E2100"/>
    <w:rsid w:val="003E2135"/>
    <w:rsid w:val="003E2BDB"/>
    <w:rsid w:val="003E3B91"/>
    <w:rsid w:val="003E45FA"/>
    <w:rsid w:val="003E53CA"/>
    <w:rsid w:val="003E5ED5"/>
    <w:rsid w:val="003E7B52"/>
    <w:rsid w:val="003F04F0"/>
    <w:rsid w:val="003F0CB7"/>
    <w:rsid w:val="003F0FD7"/>
    <w:rsid w:val="003F6F5B"/>
    <w:rsid w:val="00400F8F"/>
    <w:rsid w:val="00401A4D"/>
    <w:rsid w:val="004025F7"/>
    <w:rsid w:val="0040342D"/>
    <w:rsid w:val="004036FE"/>
    <w:rsid w:val="00403983"/>
    <w:rsid w:val="00403FB9"/>
    <w:rsid w:val="00405E1C"/>
    <w:rsid w:val="004065BD"/>
    <w:rsid w:val="00410968"/>
    <w:rsid w:val="0041192D"/>
    <w:rsid w:val="0041275D"/>
    <w:rsid w:val="00413EE1"/>
    <w:rsid w:val="00414CC2"/>
    <w:rsid w:val="00417026"/>
    <w:rsid w:val="00421139"/>
    <w:rsid w:val="0042128E"/>
    <w:rsid w:val="00422E93"/>
    <w:rsid w:val="0042465A"/>
    <w:rsid w:val="00426637"/>
    <w:rsid w:val="00431B80"/>
    <w:rsid w:val="0043244B"/>
    <w:rsid w:val="00432B60"/>
    <w:rsid w:val="004333E6"/>
    <w:rsid w:val="0043548B"/>
    <w:rsid w:val="00440698"/>
    <w:rsid w:val="00440BF2"/>
    <w:rsid w:val="00443245"/>
    <w:rsid w:val="00447281"/>
    <w:rsid w:val="0045332F"/>
    <w:rsid w:val="00453E84"/>
    <w:rsid w:val="004540E2"/>
    <w:rsid w:val="00454454"/>
    <w:rsid w:val="00456EBB"/>
    <w:rsid w:val="00460171"/>
    <w:rsid w:val="00460655"/>
    <w:rsid w:val="0046532C"/>
    <w:rsid w:val="00467924"/>
    <w:rsid w:val="00470FB7"/>
    <w:rsid w:val="004712A5"/>
    <w:rsid w:val="0047266F"/>
    <w:rsid w:val="004756EB"/>
    <w:rsid w:val="00476A0A"/>
    <w:rsid w:val="00476D6B"/>
    <w:rsid w:val="0048483D"/>
    <w:rsid w:val="004861E6"/>
    <w:rsid w:val="00486806"/>
    <w:rsid w:val="0049013A"/>
    <w:rsid w:val="0049216F"/>
    <w:rsid w:val="00492C16"/>
    <w:rsid w:val="00493581"/>
    <w:rsid w:val="004947C8"/>
    <w:rsid w:val="0049775F"/>
    <w:rsid w:val="004A049E"/>
    <w:rsid w:val="004A0678"/>
    <w:rsid w:val="004A0820"/>
    <w:rsid w:val="004A137D"/>
    <w:rsid w:val="004A24CF"/>
    <w:rsid w:val="004A48A3"/>
    <w:rsid w:val="004A592B"/>
    <w:rsid w:val="004B0D92"/>
    <w:rsid w:val="004B0EC0"/>
    <w:rsid w:val="004B32B2"/>
    <w:rsid w:val="004B5A51"/>
    <w:rsid w:val="004B66F1"/>
    <w:rsid w:val="004C2581"/>
    <w:rsid w:val="004C3B7B"/>
    <w:rsid w:val="004C3EA0"/>
    <w:rsid w:val="004D1EF5"/>
    <w:rsid w:val="004D31C9"/>
    <w:rsid w:val="004D46F2"/>
    <w:rsid w:val="004D4727"/>
    <w:rsid w:val="004D530A"/>
    <w:rsid w:val="004E3279"/>
    <w:rsid w:val="004E5F4A"/>
    <w:rsid w:val="004E7B1E"/>
    <w:rsid w:val="004F1D00"/>
    <w:rsid w:val="004F2607"/>
    <w:rsid w:val="004F32CC"/>
    <w:rsid w:val="004F3D69"/>
    <w:rsid w:val="004F7169"/>
    <w:rsid w:val="00500D66"/>
    <w:rsid w:val="005013A5"/>
    <w:rsid w:val="00502E7B"/>
    <w:rsid w:val="005036A6"/>
    <w:rsid w:val="00511E3E"/>
    <w:rsid w:val="00514C8E"/>
    <w:rsid w:val="00517F35"/>
    <w:rsid w:val="00520F3C"/>
    <w:rsid w:val="00523A57"/>
    <w:rsid w:val="00523A74"/>
    <w:rsid w:val="00523ED3"/>
    <w:rsid w:val="005260AF"/>
    <w:rsid w:val="00527E2F"/>
    <w:rsid w:val="00530540"/>
    <w:rsid w:val="00531DBF"/>
    <w:rsid w:val="00532A9B"/>
    <w:rsid w:val="005337FC"/>
    <w:rsid w:val="005377F0"/>
    <w:rsid w:val="00545759"/>
    <w:rsid w:val="00545BE0"/>
    <w:rsid w:val="00551AFD"/>
    <w:rsid w:val="00554237"/>
    <w:rsid w:val="00554C6A"/>
    <w:rsid w:val="00555849"/>
    <w:rsid w:val="00555A1A"/>
    <w:rsid w:val="00560B44"/>
    <w:rsid w:val="00562E85"/>
    <w:rsid w:val="005630BF"/>
    <w:rsid w:val="0056332F"/>
    <w:rsid w:val="00570BD3"/>
    <w:rsid w:val="00572198"/>
    <w:rsid w:val="005755EE"/>
    <w:rsid w:val="00575E4A"/>
    <w:rsid w:val="00577C5C"/>
    <w:rsid w:val="00581C39"/>
    <w:rsid w:val="005834A4"/>
    <w:rsid w:val="00584F6B"/>
    <w:rsid w:val="005903B6"/>
    <w:rsid w:val="00591556"/>
    <w:rsid w:val="00592B20"/>
    <w:rsid w:val="005939E4"/>
    <w:rsid w:val="005A0247"/>
    <w:rsid w:val="005A126E"/>
    <w:rsid w:val="005A3C29"/>
    <w:rsid w:val="005A4275"/>
    <w:rsid w:val="005A452F"/>
    <w:rsid w:val="005A703F"/>
    <w:rsid w:val="005A7DE2"/>
    <w:rsid w:val="005A7E8B"/>
    <w:rsid w:val="005B140D"/>
    <w:rsid w:val="005B1BA5"/>
    <w:rsid w:val="005B3104"/>
    <w:rsid w:val="005B339B"/>
    <w:rsid w:val="005B4AAA"/>
    <w:rsid w:val="005C0D42"/>
    <w:rsid w:val="005C1FEA"/>
    <w:rsid w:val="005C300C"/>
    <w:rsid w:val="005C3495"/>
    <w:rsid w:val="005C3785"/>
    <w:rsid w:val="005C4A3D"/>
    <w:rsid w:val="005D0E77"/>
    <w:rsid w:val="005D1A12"/>
    <w:rsid w:val="005D1A31"/>
    <w:rsid w:val="005E13EA"/>
    <w:rsid w:val="005E1527"/>
    <w:rsid w:val="005E15E0"/>
    <w:rsid w:val="005E3889"/>
    <w:rsid w:val="005E3A8A"/>
    <w:rsid w:val="005E3DFC"/>
    <w:rsid w:val="005E3E53"/>
    <w:rsid w:val="005E423F"/>
    <w:rsid w:val="005E60AF"/>
    <w:rsid w:val="005E7013"/>
    <w:rsid w:val="005E7B4E"/>
    <w:rsid w:val="005F1DEA"/>
    <w:rsid w:val="005F4932"/>
    <w:rsid w:val="005F5AA8"/>
    <w:rsid w:val="00600573"/>
    <w:rsid w:val="00601366"/>
    <w:rsid w:val="006015F9"/>
    <w:rsid w:val="0060233C"/>
    <w:rsid w:val="00602FCB"/>
    <w:rsid w:val="0060768A"/>
    <w:rsid w:val="00607FC9"/>
    <w:rsid w:val="00610955"/>
    <w:rsid w:val="006140B6"/>
    <w:rsid w:val="0061490C"/>
    <w:rsid w:val="006159D9"/>
    <w:rsid w:val="00616861"/>
    <w:rsid w:val="00620933"/>
    <w:rsid w:val="00622B29"/>
    <w:rsid w:val="00622FE1"/>
    <w:rsid w:val="0062521C"/>
    <w:rsid w:val="00626095"/>
    <w:rsid w:val="00626389"/>
    <w:rsid w:val="00630A2B"/>
    <w:rsid w:val="00630BA2"/>
    <w:rsid w:val="0063283F"/>
    <w:rsid w:val="00632DC7"/>
    <w:rsid w:val="00633896"/>
    <w:rsid w:val="00635104"/>
    <w:rsid w:val="006357FB"/>
    <w:rsid w:val="006370E6"/>
    <w:rsid w:val="00637239"/>
    <w:rsid w:val="006406FC"/>
    <w:rsid w:val="00642530"/>
    <w:rsid w:val="006435FB"/>
    <w:rsid w:val="0064407B"/>
    <w:rsid w:val="006456AC"/>
    <w:rsid w:val="00646122"/>
    <w:rsid w:val="0064691C"/>
    <w:rsid w:val="00646BD5"/>
    <w:rsid w:val="00653E16"/>
    <w:rsid w:val="00657220"/>
    <w:rsid w:val="00657BA8"/>
    <w:rsid w:val="0066104B"/>
    <w:rsid w:val="00661419"/>
    <w:rsid w:val="00661432"/>
    <w:rsid w:val="006627C5"/>
    <w:rsid w:val="006655EE"/>
    <w:rsid w:val="00667C10"/>
    <w:rsid w:val="00667EF4"/>
    <w:rsid w:val="00670B4E"/>
    <w:rsid w:val="00672ACC"/>
    <w:rsid w:val="00672B85"/>
    <w:rsid w:val="00673B97"/>
    <w:rsid w:val="00674604"/>
    <w:rsid w:val="00674E59"/>
    <w:rsid w:val="00674ED5"/>
    <w:rsid w:val="00675AD2"/>
    <w:rsid w:val="00676210"/>
    <w:rsid w:val="00676FCA"/>
    <w:rsid w:val="00677177"/>
    <w:rsid w:val="0068056B"/>
    <w:rsid w:val="006817E3"/>
    <w:rsid w:val="00681D30"/>
    <w:rsid w:val="0068247E"/>
    <w:rsid w:val="0068612E"/>
    <w:rsid w:val="00686FA7"/>
    <w:rsid w:val="00687858"/>
    <w:rsid w:val="00687C92"/>
    <w:rsid w:val="006903B7"/>
    <w:rsid w:val="0069178A"/>
    <w:rsid w:val="0069527F"/>
    <w:rsid w:val="0069534E"/>
    <w:rsid w:val="00696365"/>
    <w:rsid w:val="0069669C"/>
    <w:rsid w:val="00697EBD"/>
    <w:rsid w:val="006A04A5"/>
    <w:rsid w:val="006A0AAB"/>
    <w:rsid w:val="006A112E"/>
    <w:rsid w:val="006A1200"/>
    <w:rsid w:val="006A1D5D"/>
    <w:rsid w:val="006A2C5A"/>
    <w:rsid w:val="006A30D0"/>
    <w:rsid w:val="006A4B28"/>
    <w:rsid w:val="006A4DF5"/>
    <w:rsid w:val="006A4F4E"/>
    <w:rsid w:val="006A56AB"/>
    <w:rsid w:val="006A5D47"/>
    <w:rsid w:val="006A6019"/>
    <w:rsid w:val="006A7098"/>
    <w:rsid w:val="006B0E8F"/>
    <w:rsid w:val="006B14DB"/>
    <w:rsid w:val="006B21C4"/>
    <w:rsid w:val="006B3BCD"/>
    <w:rsid w:val="006B4CF0"/>
    <w:rsid w:val="006B50EF"/>
    <w:rsid w:val="006C1519"/>
    <w:rsid w:val="006C3F85"/>
    <w:rsid w:val="006C4A1A"/>
    <w:rsid w:val="006C7DAD"/>
    <w:rsid w:val="006D0393"/>
    <w:rsid w:val="006D1A83"/>
    <w:rsid w:val="006D29F6"/>
    <w:rsid w:val="006D3840"/>
    <w:rsid w:val="006D3DA5"/>
    <w:rsid w:val="006D5A0E"/>
    <w:rsid w:val="006D5D1E"/>
    <w:rsid w:val="006D5F01"/>
    <w:rsid w:val="006D7C2F"/>
    <w:rsid w:val="006E06C7"/>
    <w:rsid w:val="006E1CFE"/>
    <w:rsid w:val="006E31A2"/>
    <w:rsid w:val="006E33CE"/>
    <w:rsid w:val="006E6D10"/>
    <w:rsid w:val="006F10C4"/>
    <w:rsid w:val="006F3A0C"/>
    <w:rsid w:val="006F40E9"/>
    <w:rsid w:val="006F5603"/>
    <w:rsid w:val="00701400"/>
    <w:rsid w:val="00702C3C"/>
    <w:rsid w:val="007037CF"/>
    <w:rsid w:val="00703BB8"/>
    <w:rsid w:val="00704B37"/>
    <w:rsid w:val="00707EE4"/>
    <w:rsid w:val="00710517"/>
    <w:rsid w:val="00712A8B"/>
    <w:rsid w:val="00716583"/>
    <w:rsid w:val="007167C0"/>
    <w:rsid w:val="007203C3"/>
    <w:rsid w:val="00720481"/>
    <w:rsid w:val="00720BA6"/>
    <w:rsid w:val="00721642"/>
    <w:rsid w:val="00721BC7"/>
    <w:rsid w:val="0072268E"/>
    <w:rsid w:val="00722817"/>
    <w:rsid w:val="0072510B"/>
    <w:rsid w:val="007262C0"/>
    <w:rsid w:val="00727C18"/>
    <w:rsid w:val="00727E2F"/>
    <w:rsid w:val="00731B6C"/>
    <w:rsid w:val="00733193"/>
    <w:rsid w:val="00737CBA"/>
    <w:rsid w:val="0074468B"/>
    <w:rsid w:val="007450F5"/>
    <w:rsid w:val="00745F8E"/>
    <w:rsid w:val="007528F6"/>
    <w:rsid w:val="00752FF8"/>
    <w:rsid w:val="00754C17"/>
    <w:rsid w:val="0075732A"/>
    <w:rsid w:val="00760262"/>
    <w:rsid w:val="0076310C"/>
    <w:rsid w:val="007654F3"/>
    <w:rsid w:val="0076744F"/>
    <w:rsid w:val="00767BCE"/>
    <w:rsid w:val="00767EFC"/>
    <w:rsid w:val="007707DE"/>
    <w:rsid w:val="00770B5D"/>
    <w:rsid w:val="007721CF"/>
    <w:rsid w:val="0077292C"/>
    <w:rsid w:val="00772E64"/>
    <w:rsid w:val="007752AF"/>
    <w:rsid w:val="007752F1"/>
    <w:rsid w:val="00775B07"/>
    <w:rsid w:val="00776768"/>
    <w:rsid w:val="007822AD"/>
    <w:rsid w:val="00782D61"/>
    <w:rsid w:val="00783863"/>
    <w:rsid w:val="00791024"/>
    <w:rsid w:val="007920B6"/>
    <w:rsid w:val="007921C6"/>
    <w:rsid w:val="00794818"/>
    <w:rsid w:val="007A2573"/>
    <w:rsid w:val="007A3B9C"/>
    <w:rsid w:val="007B047A"/>
    <w:rsid w:val="007B106C"/>
    <w:rsid w:val="007B1A4E"/>
    <w:rsid w:val="007B240B"/>
    <w:rsid w:val="007B3D05"/>
    <w:rsid w:val="007B4F1B"/>
    <w:rsid w:val="007B5503"/>
    <w:rsid w:val="007B55FC"/>
    <w:rsid w:val="007C04F2"/>
    <w:rsid w:val="007C14F1"/>
    <w:rsid w:val="007C29EC"/>
    <w:rsid w:val="007C5720"/>
    <w:rsid w:val="007C6350"/>
    <w:rsid w:val="007C69F8"/>
    <w:rsid w:val="007C6BB3"/>
    <w:rsid w:val="007D14B4"/>
    <w:rsid w:val="007D183E"/>
    <w:rsid w:val="007D27B0"/>
    <w:rsid w:val="007D3134"/>
    <w:rsid w:val="007D384E"/>
    <w:rsid w:val="007D3AD7"/>
    <w:rsid w:val="007E24F6"/>
    <w:rsid w:val="007F0E14"/>
    <w:rsid w:val="007F3F09"/>
    <w:rsid w:val="007F5A51"/>
    <w:rsid w:val="007F6B02"/>
    <w:rsid w:val="007F6BAB"/>
    <w:rsid w:val="007F7D51"/>
    <w:rsid w:val="00800F64"/>
    <w:rsid w:val="00802893"/>
    <w:rsid w:val="00802992"/>
    <w:rsid w:val="00802F0B"/>
    <w:rsid w:val="008035FA"/>
    <w:rsid w:val="00803D9E"/>
    <w:rsid w:val="00810A67"/>
    <w:rsid w:val="00812CD7"/>
    <w:rsid w:val="0081315B"/>
    <w:rsid w:val="008255BD"/>
    <w:rsid w:val="00827E94"/>
    <w:rsid w:val="00833CF7"/>
    <w:rsid w:val="00836C7C"/>
    <w:rsid w:val="00836DBE"/>
    <w:rsid w:val="00840F02"/>
    <w:rsid w:val="00843722"/>
    <w:rsid w:val="008439F7"/>
    <w:rsid w:val="0084531E"/>
    <w:rsid w:val="00845601"/>
    <w:rsid w:val="008472B0"/>
    <w:rsid w:val="008524B9"/>
    <w:rsid w:val="008529C0"/>
    <w:rsid w:val="00855C19"/>
    <w:rsid w:val="00855C5C"/>
    <w:rsid w:val="00860A95"/>
    <w:rsid w:val="0086233C"/>
    <w:rsid w:val="00865516"/>
    <w:rsid w:val="00865B3F"/>
    <w:rsid w:val="00865CFA"/>
    <w:rsid w:val="008720FD"/>
    <w:rsid w:val="00874522"/>
    <w:rsid w:val="00876D2E"/>
    <w:rsid w:val="00880561"/>
    <w:rsid w:val="00880E56"/>
    <w:rsid w:val="00881527"/>
    <w:rsid w:val="008823DA"/>
    <w:rsid w:val="00883CE7"/>
    <w:rsid w:val="0088607F"/>
    <w:rsid w:val="008938F7"/>
    <w:rsid w:val="00893ABC"/>
    <w:rsid w:val="0089504E"/>
    <w:rsid w:val="00895C79"/>
    <w:rsid w:val="008A187F"/>
    <w:rsid w:val="008A2AA7"/>
    <w:rsid w:val="008A3435"/>
    <w:rsid w:val="008A3C96"/>
    <w:rsid w:val="008B0179"/>
    <w:rsid w:val="008B0BBA"/>
    <w:rsid w:val="008B15C2"/>
    <w:rsid w:val="008B1627"/>
    <w:rsid w:val="008B1923"/>
    <w:rsid w:val="008B2A34"/>
    <w:rsid w:val="008B3948"/>
    <w:rsid w:val="008B4019"/>
    <w:rsid w:val="008B505F"/>
    <w:rsid w:val="008B5B06"/>
    <w:rsid w:val="008B65C9"/>
    <w:rsid w:val="008B7A97"/>
    <w:rsid w:val="008C00AD"/>
    <w:rsid w:val="008C2D4A"/>
    <w:rsid w:val="008C32D2"/>
    <w:rsid w:val="008C58CC"/>
    <w:rsid w:val="008C6A05"/>
    <w:rsid w:val="008C7DBB"/>
    <w:rsid w:val="008D0EB1"/>
    <w:rsid w:val="008D2551"/>
    <w:rsid w:val="008D3900"/>
    <w:rsid w:val="008D6E1D"/>
    <w:rsid w:val="008D6EDB"/>
    <w:rsid w:val="008D7A39"/>
    <w:rsid w:val="008E0B09"/>
    <w:rsid w:val="008E36FE"/>
    <w:rsid w:val="008E47D4"/>
    <w:rsid w:val="008E4BBC"/>
    <w:rsid w:val="008F39B4"/>
    <w:rsid w:val="008F4162"/>
    <w:rsid w:val="008F6C3C"/>
    <w:rsid w:val="00900455"/>
    <w:rsid w:val="00903E02"/>
    <w:rsid w:val="00904372"/>
    <w:rsid w:val="00904387"/>
    <w:rsid w:val="009110D5"/>
    <w:rsid w:val="00913175"/>
    <w:rsid w:val="00913905"/>
    <w:rsid w:val="00915915"/>
    <w:rsid w:val="009164F6"/>
    <w:rsid w:val="00916BB4"/>
    <w:rsid w:val="00916EDB"/>
    <w:rsid w:val="00920861"/>
    <w:rsid w:val="00922B13"/>
    <w:rsid w:val="00922E8E"/>
    <w:rsid w:val="009237EF"/>
    <w:rsid w:val="009242EF"/>
    <w:rsid w:val="00924AB9"/>
    <w:rsid w:val="00926393"/>
    <w:rsid w:val="009303F9"/>
    <w:rsid w:val="00931E84"/>
    <w:rsid w:val="00932291"/>
    <w:rsid w:val="009330D3"/>
    <w:rsid w:val="00933B1B"/>
    <w:rsid w:val="0093408E"/>
    <w:rsid w:val="00934BB6"/>
    <w:rsid w:val="00934CEB"/>
    <w:rsid w:val="0094036E"/>
    <w:rsid w:val="00940467"/>
    <w:rsid w:val="00941A02"/>
    <w:rsid w:val="00942973"/>
    <w:rsid w:val="00942F21"/>
    <w:rsid w:val="00947507"/>
    <w:rsid w:val="00947EBD"/>
    <w:rsid w:val="0095209A"/>
    <w:rsid w:val="00952696"/>
    <w:rsid w:val="00952DDF"/>
    <w:rsid w:val="00952EC4"/>
    <w:rsid w:val="00954013"/>
    <w:rsid w:val="00954330"/>
    <w:rsid w:val="0095595D"/>
    <w:rsid w:val="00956DA5"/>
    <w:rsid w:val="009633FA"/>
    <w:rsid w:val="009661C3"/>
    <w:rsid w:val="009665F8"/>
    <w:rsid w:val="009719F8"/>
    <w:rsid w:val="00972423"/>
    <w:rsid w:val="00972575"/>
    <w:rsid w:val="00977DCC"/>
    <w:rsid w:val="00980E7E"/>
    <w:rsid w:val="009812D4"/>
    <w:rsid w:val="00982653"/>
    <w:rsid w:val="009873F4"/>
    <w:rsid w:val="009911A8"/>
    <w:rsid w:val="009920D8"/>
    <w:rsid w:val="00994A88"/>
    <w:rsid w:val="00994DB8"/>
    <w:rsid w:val="00996242"/>
    <w:rsid w:val="009969EE"/>
    <w:rsid w:val="0099716E"/>
    <w:rsid w:val="009A371F"/>
    <w:rsid w:val="009A4362"/>
    <w:rsid w:val="009A4869"/>
    <w:rsid w:val="009A4B6B"/>
    <w:rsid w:val="009A6605"/>
    <w:rsid w:val="009B16D7"/>
    <w:rsid w:val="009B38BE"/>
    <w:rsid w:val="009B4556"/>
    <w:rsid w:val="009B682F"/>
    <w:rsid w:val="009C3B74"/>
    <w:rsid w:val="009C3D0F"/>
    <w:rsid w:val="009C7F73"/>
    <w:rsid w:val="009D6232"/>
    <w:rsid w:val="009D685E"/>
    <w:rsid w:val="009D72A5"/>
    <w:rsid w:val="009E0F3E"/>
    <w:rsid w:val="009E1B19"/>
    <w:rsid w:val="009E1D6D"/>
    <w:rsid w:val="009E4B8F"/>
    <w:rsid w:val="009E67BE"/>
    <w:rsid w:val="009E79B6"/>
    <w:rsid w:val="009F18BD"/>
    <w:rsid w:val="009F35E2"/>
    <w:rsid w:val="009F3A52"/>
    <w:rsid w:val="009F438B"/>
    <w:rsid w:val="009F65F9"/>
    <w:rsid w:val="009F68BA"/>
    <w:rsid w:val="00A06062"/>
    <w:rsid w:val="00A0618B"/>
    <w:rsid w:val="00A06277"/>
    <w:rsid w:val="00A07756"/>
    <w:rsid w:val="00A079DC"/>
    <w:rsid w:val="00A10598"/>
    <w:rsid w:val="00A10BAB"/>
    <w:rsid w:val="00A111C2"/>
    <w:rsid w:val="00A12E7F"/>
    <w:rsid w:val="00A130F7"/>
    <w:rsid w:val="00A17C39"/>
    <w:rsid w:val="00A21440"/>
    <w:rsid w:val="00A238AA"/>
    <w:rsid w:val="00A23BD2"/>
    <w:rsid w:val="00A23F8F"/>
    <w:rsid w:val="00A338E7"/>
    <w:rsid w:val="00A353EC"/>
    <w:rsid w:val="00A35CAA"/>
    <w:rsid w:val="00A35D2E"/>
    <w:rsid w:val="00A35DEF"/>
    <w:rsid w:val="00A36E7F"/>
    <w:rsid w:val="00A41E65"/>
    <w:rsid w:val="00A426F9"/>
    <w:rsid w:val="00A43517"/>
    <w:rsid w:val="00A436E0"/>
    <w:rsid w:val="00A43E0A"/>
    <w:rsid w:val="00A44485"/>
    <w:rsid w:val="00A46247"/>
    <w:rsid w:val="00A479AC"/>
    <w:rsid w:val="00A47F07"/>
    <w:rsid w:val="00A503C5"/>
    <w:rsid w:val="00A530C7"/>
    <w:rsid w:val="00A55F5B"/>
    <w:rsid w:val="00A56963"/>
    <w:rsid w:val="00A57E42"/>
    <w:rsid w:val="00A60185"/>
    <w:rsid w:val="00A611EE"/>
    <w:rsid w:val="00A61C18"/>
    <w:rsid w:val="00A622EC"/>
    <w:rsid w:val="00A64443"/>
    <w:rsid w:val="00A661EA"/>
    <w:rsid w:val="00A66263"/>
    <w:rsid w:val="00A6775C"/>
    <w:rsid w:val="00A70A6C"/>
    <w:rsid w:val="00A830E5"/>
    <w:rsid w:val="00A83DF5"/>
    <w:rsid w:val="00A84BF3"/>
    <w:rsid w:val="00A86216"/>
    <w:rsid w:val="00A87135"/>
    <w:rsid w:val="00A9130E"/>
    <w:rsid w:val="00A91E6E"/>
    <w:rsid w:val="00A92D30"/>
    <w:rsid w:val="00A93280"/>
    <w:rsid w:val="00A93C73"/>
    <w:rsid w:val="00A951EA"/>
    <w:rsid w:val="00A9543B"/>
    <w:rsid w:val="00A961A6"/>
    <w:rsid w:val="00A96CC0"/>
    <w:rsid w:val="00A973E1"/>
    <w:rsid w:val="00A97F71"/>
    <w:rsid w:val="00AA1C65"/>
    <w:rsid w:val="00AA2548"/>
    <w:rsid w:val="00AA3B6E"/>
    <w:rsid w:val="00AA5016"/>
    <w:rsid w:val="00AA58C4"/>
    <w:rsid w:val="00AA5CAC"/>
    <w:rsid w:val="00AA65A1"/>
    <w:rsid w:val="00AB0445"/>
    <w:rsid w:val="00AB0516"/>
    <w:rsid w:val="00AB11C8"/>
    <w:rsid w:val="00AB2248"/>
    <w:rsid w:val="00AC08A8"/>
    <w:rsid w:val="00AD20F6"/>
    <w:rsid w:val="00AD56C8"/>
    <w:rsid w:val="00AD58F2"/>
    <w:rsid w:val="00AD5915"/>
    <w:rsid w:val="00AD68E3"/>
    <w:rsid w:val="00AD6A7E"/>
    <w:rsid w:val="00AE0397"/>
    <w:rsid w:val="00AE2ADA"/>
    <w:rsid w:val="00AE4032"/>
    <w:rsid w:val="00AE4739"/>
    <w:rsid w:val="00AE5712"/>
    <w:rsid w:val="00AF22AB"/>
    <w:rsid w:val="00AF5EA3"/>
    <w:rsid w:val="00AF6573"/>
    <w:rsid w:val="00AF65FE"/>
    <w:rsid w:val="00AF66AD"/>
    <w:rsid w:val="00AF7690"/>
    <w:rsid w:val="00AF78F4"/>
    <w:rsid w:val="00B02986"/>
    <w:rsid w:val="00B0512A"/>
    <w:rsid w:val="00B0529F"/>
    <w:rsid w:val="00B05D52"/>
    <w:rsid w:val="00B07265"/>
    <w:rsid w:val="00B10382"/>
    <w:rsid w:val="00B1239B"/>
    <w:rsid w:val="00B1418B"/>
    <w:rsid w:val="00B151A0"/>
    <w:rsid w:val="00B1520C"/>
    <w:rsid w:val="00B1557C"/>
    <w:rsid w:val="00B1560E"/>
    <w:rsid w:val="00B16D16"/>
    <w:rsid w:val="00B201F5"/>
    <w:rsid w:val="00B2100F"/>
    <w:rsid w:val="00B21195"/>
    <w:rsid w:val="00B22B3D"/>
    <w:rsid w:val="00B22F1B"/>
    <w:rsid w:val="00B23EC7"/>
    <w:rsid w:val="00B24B22"/>
    <w:rsid w:val="00B25310"/>
    <w:rsid w:val="00B319A6"/>
    <w:rsid w:val="00B3287B"/>
    <w:rsid w:val="00B32E36"/>
    <w:rsid w:val="00B32F62"/>
    <w:rsid w:val="00B32F8F"/>
    <w:rsid w:val="00B349AD"/>
    <w:rsid w:val="00B3753C"/>
    <w:rsid w:val="00B421E6"/>
    <w:rsid w:val="00B4690F"/>
    <w:rsid w:val="00B47C42"/>
    <w:rsid w:val="00B47DFD"/>
    <w:rsid w:val="00B5044E"/>
    <w:rsid w:val="00B510B1"/>
    <w:rsid w:val="00B53A60"/>
    <w:rsid w:val="00B54DE9"/>
    <w:rsid w:val="00B5504D"/>
    <w:rsid w:val="00B55235"/>
    <w:rsid w:val="00B553EC"/>
    <w:rsid w:val="00B5544B"/>
    <w:rsid w:val="00B55870"/>
    <w:rsid w:val="00B60059"/>
    <w:rsid w:val="00B64ECD"/>
    <w:rsid w:val="00B67E52"/>
    <w:rsid w:val="00B71F19"/>
    <w:rsid w:val="00B71FBA"/>
    <w:rsid w:val="00B737DB"/>
    <w:rsid w:val="00B77732"/>
    <w:rsid w:val="00B80BAA"/>
    <w:rsid w:val="00B80D6D"/>
    <w:rsid w:val="00B90E2A"/>
    <w:rsid w:val="00B9154F"/>
    <w:rsid w:val="00B915F4"/>
    <w:rsid w:val="00B93DD0"/>
    <w:rsid w:val="00B97732"/>
    <w:rsid w:val="00BA0849"/>
    <w:rsid w:val="00BA08C9"/>
    <w:rsid w:val="00BA4B55"/>
    <w:rsid w:val="00BA4E66"/>
    <w:rsid w:val="00BA51C9"/>
    <w:rsid w:val="00BA56D7"/>
    <w:rsid w:val="00BA65A8"/>
    <w:rsid w:val="00BA686D"/>
    <w:rsid w:val="00BA6A97"/>
    <w:rsid w:val="00BA6D19"/>
    <w:rsid w:val="00BA7461"/>
    <w:rsid w:val="00BA7DA9"/>
    <w:rsid w:val="00BB0B33"/>
    <w:rsid w:val="00BB0BB7"/>
    <w:rsid w:val="00BB1B8E"/>
    <w:rsid w:val="00BB1BCF"/>
    <w:rsid w:val="00BB4E90"/>
    <w:rsid w:val="00BC0785"/>
    <w:rsid w:val="00BC4215"/>
    <w:rsid w:val="00BD0396"/>
    <w:rsid w:val="00BD1107"/>
    <w:rsid w:val="00BD1A6F"/>
    <w:rsid w:val="00BD3EE9"/>
    <w:rsid w:val="00BD5B71"/>
    <w:rsid w:val="00BE4923"/>
    <w:rsid w:val="00BE609F"/>
    <w:rsid w:val="00BE6D3C"/>
    <w:rsid w:val="00BE7852"/>
    <w:rsid w:val="00BF51F2"/>
    <w:rsid w:val="00BF686E"/>
    <w:rsid w:val="00BF6D87"/>
    <w:rsid w:val="00BF7CEE"/>
    <w:rsid w:val="00C00CA7"/>
    <w:rsid w:val="00C0109C"/>
    <w:rsid w:val="00C03880"/>
    <w:rsid w:val="00C044EB"/>
    <w:rsid w:val="00C046FB"/>
    <w:rsid w:val="00C06B4B"/>
    <w:rsid w:val="00C07F6C"/>
    <w:rsid w:val="00C101E5"/>
    <w:rsid w:val="00C11686"/>
    <w:rsid w:val="00C11C38"/>
    <w:rsid w:val="00C135CF"/>
    <w:rsid w:val="00C20BD1"/>
    <w:rsid w:val="00C231B8"/>
    <w:rsid w:val="00C26209"/>
    <w:rsid w:val="00C2683F"/>
    <w:rsid w:val="00C26BB6"/>
    <w:rsid w:val="00C31203"/>
    <w:rsid w:val="00C3165C"/>
    <w:rsid w:val="00C3184D"/>
    <w:rsid w:val="00C31C6D"/>
    <w:rsid w:val="00C32C44"/>
    <w:rsid w:val="00C338FD"/>
    <w:rsid w:val="00C344BF"/>
    <w:rsid w:val="00C407F2"/>
    <w:rsid w:val="00C4088F"/>
    <w:rsid w:val="00C409E2"/>
    <w:rsid w:val="00C43084"/>
    <w:rsid w:val="00C4421A"/>
    <w:rsid w:val="00C4714E"/>
    <w:rsid w:val="00C47AB6"/>
    <w:rsid w:val="00C47D0F"/>
    <w:rsid w:val="00C50941"/>
    <w:rsid w:val="00C50FEC"/>
    <w:rsid w:val="00C51FF7"/>
    <w:rsid w:val="00C5504F"/>
    <w:rsid w:val="00C55991"/>
    <w:rsid w:val="00C605B6"/>
    <w:rsid w:val="00C61475"/>
    <w:rsid w:val="00C63376"/>
    <w:rsid w:val="00C63377"/>
    <w:rsid w:val="00C63A32"/>
    <w:rsid w:val="00C66CB4"/>
    <w:rsid w:val="00C70750"/>
    <w:rsid w:val="00C708EE"/>
    <w:rsid w:val="00C73A56"/>
    <w:rsid w:val="00C74F97"/>
    <w:rsid w:val="00C75AED"/>
    <w:rsid w:val="00C76A08"/>
    <w:rsid w:val="00C803D7"/>
    <w:rsid w:val="00C8276E"/>
    <w:rsid w:val="00C83AD1"/>
    <w:rsid w:val="00C842AC"/>
    <w:rsid w:val="00C85B7B"/>
    <w:rsid w:val="00C90DE7"/>
    <w:rsid w:val="00C90F99"/>
    <w:rsid w:val="00C92AD5"/>
    <w:rsid w:val="00C93152"/>
    <w:rsid w:val="00C93FD9"/>
    <w:rsid w:val="00C96688"/>
    <w:rsid w:val="00CA0723"/>
    <w:rsid w:val="00CA294B"/>
    <w:rsid w:val="00CA2AB5"/>
    <w:rsid w:val="00CA4192"/>
    <w:rsid w:val="00CA4542"/>
    <w:rsid w:val="00CA5C3A"/>
    <w:rsid w:val="00CA7AD0"/>
    <w:rsid w:val="00CB0AE3"/>
    <w:rsid w:val="00CB1690"/>
    <w:rsid w:val="00CB34A2"/>
    <w:rsid w:val="00CB53C5"/>
    <w:rsid w:val="00CB6238"/>
    <w:rsid w:val="00CC27E7"/>
    <w:rsid w:val="00CC2873"/>
    <w:rsid w:val="00CC2B33"/>
    <w:rsid w:val="00CC2E5B"/>
    <w:rsid w:val="00CC40EB"/>
    <w:rsid w:val="00CC4365"/>
    <w:rsid w:val="00CC5D8E"/>
    <w:rsid w:val="00CD11B0"/>
    <w:rsid w:val="00CD5E0E"/>
    <w:rsid w:val="00CE12C9"/>
    <w:rsid w:val="00CE309A"/>
    <w:rsid w:val="00CE71C2"/>
    <w:rsid w:val="00CF03C9"/>
    <w:rsid w:val="00CF2242"/>
    <w:rsid w:val="00CF42D5"/>
    <w:rsid w:val="00CF4EDA"/>
    <w:rsid w:val="00CF562A"/>
    <w:rsid w:val="00CF5929"/>
    <w:rsid w:val="00CF67A5"/>
    <w:rsid w:val="00D00281"/>
    <w:rsid w:val="00D01E11"/>
    <w:rsid w:val="00D021CB"/>
    <w:rsid w:val="00D04009"/>
    <w:rsid w:val="00D10C4C"/>
    <w:rsid w:val="00D10EB0"/>
    <w:rsid w:val="00D10F1A"/>
    <w:rsid w:val="00D116F8"/>
    <w:rsid w:val="00D11EEE"/>
    <w:rsid w:val="00D138F3"/>
    <w:rsid w:val="00D13EED"/>
    <w:rsid w:val="00D140DA"/>
    <w:rsid w:val="00D15280"/>
    <w:rsid w:val="00D17596"/>
    <w:rsid w:val="00D179FB"/>
    <w:rsid w:val="00D205AA"/>
    <w:rsid w:val="00D206EF"/>
    <w:rsid w:val="00D20B6A"/>
    <w:rsid w:val="00D20C9E"/>
    <w:rsid w:val="00D2162C"/>
    <w:rsid w:val="00D2235C"/>
    <w:rsid w:val="00D2245B"/>
    <w:rsid w:val="00D22640"/>
    <w:rsid w:val="00D2397B"/>
    <w:rsid w:val="00D24E7C"/>
    <w:rsid w:val="00D2666D"/>
    <w:rsid w:val="00D26D3A"/>
    <w:rsid w:val="00D35B21"/>
    <w:rsid w:val="00D379FD"/>
    <w:rsid w:val="00D44048"/>
    <w:rsid w:val="00D441B2"/>
    <w:rsid w:val="00D45C91"/>
    <w:rsid w:val="00D45EE3"/>
    <w:rsid w:val="00D50618"/>
    <w:rsid w:val="00D509E9"/>
    <w:rsid w:val="00D50CFE"/>
    <w:rsid w:val="00D51C92"/>
    <w:rsid w:val="00D51ED4"/>
    <w:rsid w:val="00D53B1C"/>
    <w:rsid w:val="00D54687"/>
    <w:rsid w:val="00D55063"/>
    <w:rsid w:val="00D56188"/>
    <w:rsid w:val="00D57AEA"/>
    <w:rsid w:val="00D61714"/>
    <w:rsid w:val="00D620BE"/>
    <w:rsid w:val="00D622B9"/>
    <w:rsid w:val="00D652C8"/>
    <w:rsid w:val="00D656FF"/>
    <w:rsid w:val="00D65E5D"/>
    <w:rsid w:val="00D71455"/>
    <w:rsid w:val="00D82448"/>
    <w:rsid w:val="00D83615"/>
    <w:rsid w:val="00D83AAD"/>
    <w:rsid w:val="00D846C9"/>
    <w:rsid w:val="00D85762"/>
    <w:rsid w:val="00D85B74"/>
    <w:rsid w:val="00D85FDC"/>
    <w:rsid w:val="00D95213"/>
    <w:rsid w:val="00D97037"/>
    <w:rsid w:val="00DA1B12"/>
    <w:rsid w:val="00DA4F90"/>
    <w:rsid w:val="00DA54C9"/>
    <w:rsid w:val="00DA6739"/>
    <w:rsid w:val="00DA6CAE"/>
    <w:rsid w:val="00DA7376"/>
    <w:rsid w:val="00DB1A9E"/>
    <w:rsid w:val="00DB31D6"/>
    <w:rsid w:val="00DB3296"/>
    <w:rsid w:val="00DB4005"/>
    <w:rsid w:val="00DB44E2"/>
    <w:rsid w:val="00DB61F1"/>
    <w:rsid w:val="00DB712F"/>
    <w:rsid w:val="00DC08F9"/>
    <w:rsid w:val="00DC0A0A"/>
    <w:rsid w:val="00DC325B"/>
    <w:rsid w:val="00DC34EB"/>
    <w:rsid w:val="00DC46AA"/>
    <w:rsid w:val="00DC4E2E"/>
    <w:rsid w:val="00DC5948"/>
    <w:rsid w:val="00DC660D"/>
    <w:rsid w:val="00DC78C0"/>
    <w:rsid w:val="00DD276A"/>
    <w:rsid w:val="00DD5FC6"/>
    <w:rsid w:val="00DE2C10"/>
    <w:rsid w:val="00DE4BB0"/>
    <w:rsid w:val="00DE5945"/>
    <w:rsid w:val="00DE6688"/>
    <w:rsid w:val="00DF14C9"/>
    <w:rsid w:val="00DF1E5B"/>
    <w:rsid w:val="00DF2275"/>
    <w:rsid w:val="00DF3F5E"/>
    <w:rsid w:val="00DF5653"/>
    <w:rsid w:val="00DF5CB1"/>
    <w:rsid w:val="00E03BA2"/>
    <w:rsid w:val="00E0596E"/>
    <w:rsid w:val="00E06F66"/>
    <w:rsid w:val="00E112E5"/>
    <w:rsid w:val="00E127D8"/>
    <w:rsid w:val="00E150D5"/>
    <w:rsid w:val="00E15C98"/>
    <w:rsid w:val="00E15C9F"/>
    <w:rsid w:val="00E20189"/>
    <w:rsid w:val="00E2111A"/>
    <w:rsid w:val="00E21678"/>
    <w:rsid w:val="00E21F08"/>
    <w:rsid w:val="00E22CCE"/>
    <w:rsid w:val="00E270CE"/>
    <w:rsid w:val="00E31932"/>
    <w:rsid w:val="00E344AA"/>
    <w:rsid w:val="00E356E5"/>
    <w:rsid w:val="00E36F81"/>
    <w:rsid w:val="00E378A8"/>
    <w:rsid w:val="00E40B9B"/>
    <w:rsid w:val="00E414FF"/>
    <w:rsid w:val="00E4480F"/>
    <w:rsid w:val="00E44E7C"/>
    <w:rsid w:val="00E45765"/>
    <w:rsid w:val="00E45853"/>
    <w:rsid w:val="00E45AC0"/>
    <w:rsid w:val="00E47A38"/>
    <w:rsid w:val="00E50502"/>
    <w:rsid w:val="00E5098C"/>
    <w:rsid w:val="00E5414D"/>
    <w:rsid w:val="00E54ECD"/>
    <w:rsid w:val="00E574EF"/>
    <w:rsid w:val="00E57CD8"/>
    <w:rsid w:val="00E57E07"/>
    <w:rsid w:val="00E60213"/>
    <w:rsid w:val="00E60E43"/>
    <w:rsid w:val="00E63F68"/>
    <w:rsid w:val="00E661B2"/>
    <w:rsid w:val="00E67ADD"/>
    <w:rsid w:val="00E70414"/>
    <w:rsid w:val="00E74419"/>
    <w:rsid w:val="00E74834"/>
    <w:rsid w:val="00E74D29"/>
    <w:rsid w:val="00E75091"/>
    <w:rsid w:val="00E806FF"/>
    <w:rsid w:val="00E80D0F"/>
    <w:rsid w:val="00E837B7"/>
    <w:rsid w:val="00E83C74"/>
    <w:rsid w:val="00E83CEE"/>
    <w:rsid w:val="00E91802"/>
    <w:rsid w:val="00E91F18"/>
    <w:rsid w:val="00E9226D"/>
    <w:rsid w:val="00E93055"/>
    <w:rsid w:val="00E9391C"/>
    <w:rsid w:val="00E93D4F"/>
    <w:rsid w:val="00E96424"/>
    <w:rsid w:val="00EA26AA"/>
    <w:rsid w:val="00EA2A91"/>
    <w:rsid w:val="00EA39D0"/>
    <w:rsid w:val="00EA416C"/>
    <w:rsid w:val="00EA5941"/>
    <w:rsid w:val="00EA5A06"/>
    <w:rsid w:val="00EA6BCB"/>
    <w:rsid w:val="00EB0865"/>
    <w:rsid w:val="00EB2C3F"/>
    <w:rsid w:val="00EB60CE"/>
    <w:rsid w:val="00EB77BD"/>
    <w:rsid w:val="00EB7C82"/>
    <w:rsid w:val="00EB7D53"/>
    <w:rsid w:val="00EC3955"/>
    <w:rsid w:val="00EC596B"/>
    <w:rsid w:val="00EC5AF1"/>
    <w:rsid w:val="00EC7427"/>
    <w:rsid w:val="00ED2611"/>
    <w:rsid w:val="00ED3D6F"/>
    <w:rsid w:val="00ED5EEB"/>
    <w:rsid w:val="00ED79B6"/>
    <w:rsid w:val="00EE13C5"/>
    <w:rsid w:val="00EE3146"/>
    <w:rsid w:val="00EE7090"/>
    <w:rsid w:val="00EF150E"/>
    <w:rsid w:val="00EF3C2F"/>
    <w:rsid w:val="00EF46EF"/>
    <w:rsid w:val="00EF50BB"/>
    <w:rsid w:val="00EF5270"/>
    <w:rsid w:val="00EF71E4"/>
    <w:rsid w:val="00F00192"/>
    <w:rsid w:val="00F016D1"/>
    <w:rsid w:val="00F01DF6"/>
    <w:rsid w:val="00F027B8"/>
    <w:rsid w:val="00F0340D"/>
    <w:rsid w:val="00F035F2"/>
    <w:rsid w:val="00F051A5"/>
    <w:rsid w:val="00F059A6"/>
    <w:rsid w:val="00F14A04"/>
    <w:rsid w:val="00F16EED"/>
    <w:rsid w:val="00F236F7"/>
    <w:rsid w:val="00F23756"/>
    <w:rsid w:val="00F2464C"/>
    <w:rsid w:val="00F2523A"/>
    <w:rsid w:val="00F25FFA"/>
    <w:rsid w:val="00F310D2"/>
    <w:rsid w:val="00F31E11"/>
    <w:rsid w:val="00F36F3D"/>
    <w:rsid w:val="00F37C48"/>
    <w:rsid w:val="00F477BD"/>
    <w:rsid w:val="00F50333"/>
    <w:rsid w:val="00F506B6"/>
    <w:rsid w:val="00F52605"/>
    <w:rsid w:val="00F5269F"/>
    <w:rsid w:val="00F53491"/>
    <w:rsid w:val="00F54656"/>
    <w:rsid w:val="00F55386"/>
    <w:rsid w:val="00F56411"/>
    <w:rsid w:val="00F567DD"/>
    <w:rsid w:val="00F60181"/>
    <w:rsid w:val="00F618EB"/>
    <w:rsid w:val="00F62124"/>
    <w:rsid w:val="00F65A1C"/>
    <w:rsid w:val="00F66F50"/>
    <w:rsid w:val="00F67F31"/>
    <w:rsid w:val="00F70888"/>
    <w:rsid w:val="00F75FB3"/>
    <w:rsid w:val="00F77432"/>
    <w:rsid w:val="00F81162"/>
    <w:rsid w:val="00F81AA6"/>
    <w:rsid w:val="00F81B92"/>
    <w:rsid w:val="00F82C0F"/>
    <w:rsid w:val="00F82FF8"/>
    <w:rsid w:val="00F8330D"/>
    <w:rsid w:val="00F84305"/>
    <w:rsid w:val="00F8485C"/>
    <w:rsid w:val="00F85EF5"/>
    <w:rsid w:val="00F87149"/>
    <w:rsid w:val="00F87FFE"/>
    <w:rsid w:val="00F93FF3"/>
    <w:rsid w:val="00F954C9"/>
    <w:rsid w:val="00FA1289"/>
    <w:rsid w:val="00FA439B"/>
    <w:rsid w:val="00FA4CF0"/>
    <w:rsid w:val="00FA61AA"/>
    <w:rsid w:val="00FA69A4"/>
    <w:rsid w:val="00FB1279"/>
    <w:rsid w:val="00FB1495"/>
    <w:rsid w:val="00FB6A22"/>
    <w:rsid w:val="00FC20F8"/>
    <w:rsid w:val="00FC26F4"/>
    <w:rsid w:val="00FC6F1D"/>
    <w:rsid w:val="00FD1694"/>
    <w:rsid w:val="00FD2134"/>
    <w:rsid w:val="00FD26D4"/>
    <w:rsid w:val="00FD56A1"/>
    <w:rsid w:val="00FD6719"/>
    <w:rsid w:val="00FD7636"/>
    <w:rsid w:val="00FE3229"/>
    <w:rsid w:val="00FE3440"/>
    <w:rsid w:val="00FE4C4D"/>
    <w:rsid w:val="00FE65F4"/>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Body Text" w:uiPriority="0"/>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51ED4"/>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ing6"/>
    <w:next w:val="Normal"/>
    <w:link w:val="Heading2Char"/>
    <w:uiPriority w:val="9"/>
    <w:qFormat/>
    <w:rsid w:val="005A7E8B"/>
    <w:pPr>
      <w:suppressLineNumbers/>
      <w:outlineLvl w:val="1"/>
    </w:p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5A7E8B"/>
    <w:rPr>
      <w:rFonts w:eastAsia="Times New Roman" w:cs="Arial"/>
      <w:b/>
      <w:lang w:eastAsia="en-US"/>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aliases w:val="LP-DO NOT USE"/>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383963"/>
    <w:pPr>
      <w:numPr>
        <w:numId w:val="5"/>
      </w:numPr>
      <w:ind w:left="426" w:hanging="426"/>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9"/>
    <w:qFormat/>
    <w:rsid w:val="00D622B9"/>
    <w:pPr>
      <w:spacing w:after="0"/>
    </w:pPr>
  </w:style>
  <w:style w:type="paragraph" w:customStyle="1" w:styleId="tablelabel">
    <w:name w:val="table label"/>
    <w:basedOn w:val="Normal"/>
    <w:uiPriority w:val="99"/>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2F6DA2"/>
    <w:rPr>
      <w:color w:val="800080" w:themeColor="followedHyperlink"/>
      <w:u w:val="single"/>
    </w:rPr>
  </w:style>
  <w:style w:type="paragraph" w:styleId="BodyText">
    <w:name w:val="Body Text"/>
    <w:basedOn w:val="Normal"/>
    <w:link w:val="BodyTextChar"/>
    <w:rsid w:val="001515FE"/>
    <w:pPr>
      <w:autoSpaceDE/>
      <w:autoSpaceDN/>
      <w:adjustRightInd/>
      <w:spacing w:after="120" w:line="240" w:lineRule="auto"/>
    </w:pPr>
    <w:rPr>
      <w:rFonts w:ascii="Calibri" w:eastAsia="Calibri" w:hAnsi="Calibri" w:cs="Times New Roman"/>
      <w:color w:val="000000"/>
      <w:sz w:val="22"/>
      <w:szCs w:val="22"/>
      <w:lang w:eastAsia="en-AU"/>
    </w:rPr>
  </w:style>
  <w:style w:type="character" w:customStyle="1" w:styleId="BodyTextChar">
    <w:name w:val="Body Text Char"/>
    <w:basedOn w:val="DefaultParagraphFont"/>
    <w:link w:val="BodyText"/>
    <w:rsid w:val="001515FE"/>
    <w:rPr>
      <w:rFonts w:ascii="Calibri" w:hAnsi="Calibri"/>
      <w:color w:val="000000"/>
      <w:sz w:val="22"/>
      <w:szCs w:val="22"/>
    </w:rPr>
  </w:style>
  <w:style w:type="paragraph" w:styleId="FootnoteText">
    <w:name w:val="footnote text"/>
    <w:basedOn w:val="Normal"/>
    <w:link w:val="FootnoteTextChar"/>
    <w:uiPriority w:val="99"/>
    <w:rsid w:val="00731B6C"/>
    <w:pPr>
      <w:autoSpaceDE/>
      <w:autoSpaceDN/>
      <w:adjustRightInd/>
      <w:spacing w:after="0" w:line="180" w:lineRule="atLeast"/>
    </w:pPr>
    <w:rPr>
      <w:rFonts w:ascii="Calibri" w:eastAsia="Calibri" w:hAnsi="Calibri" w:cs="Times New Roman"/>
      <w:color w:val="000000"/>
      <w:sz w:val="16"/>
      <w:lang w:eastAsia="en-AU"/>
    </w:rPr>
  </w:style>
  <w:style w:type="character" w:customStyle="1" w:styleId="FootnoteTextChar">
    <w:name w:val="Footnote Text Char"/>
    <w:basedOn w:val="DefaultParagraphFont"/>
    <w:link w:val="FootnoteText"/>
    <w:uiPriority w:val="99"/>
    <w:rsid w:val="00731B6C"/>
    <w:rPr>
      <w:rFonts w:ascii="Calibri" w:hAnsi="Calibri"/>
      <w:color w:val="000000"/>
      <w:sz w:val="16"/>
    </w:rPr>
  </w:style>
  <w:style w:type="character" w:styleId="FootnoteReference">
    <w:name w:val="footnote reference"/>
    <w:basedOn w:val="DefaultParagraphFont"/>
    <w:uiPriority w:val="99"/>
    <w:rsid w:val="00731B6C"/>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Body Text" w:uiPriority="0"/>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51ED4"/>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ing6"/>
    <w:next w:val="Normal"/>
    <w:link w:val="Heading2Char"/>
    <w:uiPriority w:val="9"/>
    <w:qFormat/>
    <w:rsid w:val="005A7E8B"/>
    <w:pPr>
      <w:suppressLineNumbers/>
      <w:outlineLvl w:val="1"/>
    </w:p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5A7E8B"/>
    <w:rPr>
      <w:rFonts w:eastAsia="Times New Roman" w:cs="Arial"/>
      <w:b/>
      <w:lang w:eastAsia="en-US"/>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aliases w:val="LP-DO NOT USE"/>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ind w:left="426" w:hanging="426"/>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9"/>
    <w:qFormat/>
    <w:rsid w:val="00D622B9"/>
    <w:pPr>
      <w:spacing w:after="0"/>
    </w:pPr>
  </w:style>
  <w:style w:type="paragraph" w:customStyle="1" w:styleId="tablelabel">
    <w:name w:val="table label"/>
    <w:basedOn w:val="Normal"/>
    <w:uiPriority w:val="99"/>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2F6DA2"/>
    <w:rPr>
      <w:color w:val="800080" w:themeColor="followedHyperlink"/>
      <w:u w:val="single"/>
    </w:rPr>
  </w:style>
  <w:style w:type="paragraph" w:styleId="BodyText">
    <w:name w:val="Body Text"/>
    <w:basedOn w:val="Normal"/>
    <w:link w:val="BodyTextChar"/>
    <w:rsid w:val="001515FE"/>
    <w:pPr>
      <w:autoSpaceDE/>
      <w:autoSpaceDN/>
      <w:adjustRightInd/>
      <w:spacing w:after="120" w:line="240" w:lineRule="auto"/>
    </w:pPr>
    <w:rPr>
      <w:rFonts w:ascii="Calibri" w:eastAsia="Calibri" w:hAnsi="Calibri" w:cs="Times New Roman"/>
      <w:color w:val="000000"/>
      <w:sz w:val="22"/>
      <w:szCs w:val="22"/>
      <w:lang w:eastAsia="en-AU"/>
    </w:rPr>
  </w:style>
  <w:style w:type="character" w:customStyle="1" w:styleId="BodyTextChar">
    <w:name w:val="Body Text Char"/>
    <w:basedOn w:val="DefaultParagraphFont"/>
    <w:link w:val="BodyText"/>
    <w:rsid w:val="001515FE"/>
    <w:rPr>
      <w:rFonts w:ascii="Calibri" w:hAnsi="Calibri"/>
      <w:color w:val="000000"/>
      <w:sz w:val="22"/>
      <w:szCs w:val="22"/>
    </w:rPr>
  </w:style>
  <w:style w:type="paragraph" w:styleId="FootnoteText">
    <w:name w:val="footnote text"/>
    <w:basedOn w:val="Normal"/>
    <w:link w:val="FootnoteTextChar"/>
    <w:uiPriority w:val="99"/>
    <w:rsid w:val="00731B6C"/>
    <w:pPr>
      <w:autoSpaceDE/>
      <w:autoSpaceDN/>
      <w:adjustRightInd/>
      <w:spacing w:after="0" w:line="180" w:lineRule="atLeast"/>
    </w:pPr>
    <w:rPr>
      <w:rFonts w:ascii="Calibri" w:eastAsia="Calibri" w:hAnsi="Calibri" w:cs="Times New Roman"/>
      <w:color w:val="000000"/>
      <w:sz w:val="16"/>
      <w:lang w:eastAsia="en-AU"/>
    </w:rPr>
  </w:style>
  <w:style w:type="character" w:customStyle="1" w:styleId="FootnoteTextChar">
    <w:name w:val="Footnote Text Char"/>
    <w:basedOn w:val="DefaultParagraphFont"/>
    <w:link w:val="FootnoteText"/>
    <w:uiPriority w:val="99"/>
    <w:rsid w:val="00731B6C"/>
    <w:rPr>
      <w:rFonts w:ascii="Calibri" w:hAnsi="Calibri"/>
      <w:color w:val="000000"/>
      <w:sz w:val="16"/>
    </w:rPr>
  </w:style>
  <w:style w:type="character" w:styleId="FootnoteReference">
    <w:name w:val="footnote reference"/>
    <w:basedOn w:val="DefaultParagraphFont"/>
    <w:uiPriority w:val="99"/>
    <w:rsid w:val="00731B6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0267878">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85264256">
      <w:bodyDiv w:val="1"/>
      <w:marLeft w:val="0"/>
      <w:marRight w:val="0"/>
      <w:marTop w:val="0"/>
      <w:marBottom w:val="0"/>
      <w:divBdr>
        <w:top w:val="none" w:sz="0" w:space="0" w:color="auto"/>
        <w:left w:val="none" w:sz="0" w:space="0" w:color="auto"/>
        <w:bottom w:val="none" w:sz="0" w:space="0" w:color="auto"/>
        <w:right w:val="none" w:sz="0" w:space="0" w:color="auto"/>
      </w:divBdr>
    </w:div>
    <w:div w:id="62489038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34"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http://www.environment.gov.au/coal-seam-gas-mining/project-advice/pubs/iesc-information-guidelines.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16614</Words>
  <Characters>94701</Characters>
  <Application>Microsoft Office Word</Application>
  <DocSecurity>4</DocSecurity>
  <Lines>789</Lines>
  <Paragraphs>222</Paragraphs>
  <ScaleCrop>false</ScaleCrop>
  <LinksUpToDate>false</LinksUpToDate>
  <CharactersWithSpaces>111093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2015-066 and IESC 2015-067: Watermark Coal Project (EPBC 2011/6201) – New Development</dc:title>
  <dc:creator/>
  <cp:lastModifiedBy/>
  <cp:revision>1</cp:revision>
  <dcterms:created xsi:type="dcterms:W3CDTF">2015-05-05T00:54:00Z</dcterms:created>
  <dcterms:modified xsi:type="dcterms:W3CDTF">2015-05-05T00:54:00Z</dcterms:modified>
</cp:coreProperties>
</file>