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B8" w:rsidRPr="007348E1" w:rsidRDefault="00F027B8" w:rsidP="00D52BCF">
      <w:pPr>
        <w:pStyle w:val="Header"/>
      </w:pPr>
      <w:r w:rsidRPr="007348E1">
        <w:rPr>
          <w:noProof/>
          <w:lang w:eastAsia="en-AU"/>
        </w:rPr>
        <w:drawing>
          <wp:anchor distT="0" distB="0" distL="114300" distR="114300" simplePos="0" relativeHeight="251658240" behindDoc="0" locked="0" layoutInCell="1" allowOverlap="1">
            <wp:simplePos x="0" y="0"/>
            <wp:positionH relativeFrom="column">
              <wp:posOffset>-903976</wp:posOffset>
            </wp:positionH>
            <wp:positionV relativeFrom="paragraph">
              <wp:posOffset>-879894</wp:posOffset>
            </wp:positionV>
            <wp:extent cx="7572195" cy="2355011"/>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72195" cy="2355011"/>
                    </a:xfrm>
                    <a:prstGeom prst="rect">
                      <a:avLst/>
                    </a:prstGeom>
                    <a:noFill/>
                    <a:ln w="9525">
                      <a:noFill/>
                      <a:miter lim="800000"/>
                      <a:headEnd/>
                      <a:tailEnd/>
                    </a:ln>
                  </pic:spPr>
                </pic:pic>
              </a:graphicData>
            </a:graphic>
          </wp:anchor>
        </w:drawing>
      </w:r>
    </w:p>
    <w:p w:rsidR="00F027B8" w:rsidRPr="007348E1" w:rsidRDefault="00F027B8" w:rsidP="00D52BCF">
      <w:pPr>
        <w:pStyle w:val="Header"/>
      </w:pPr>
    </w:p>
    <w:p w:rsidR="00F027B8" w:rsidRPr="007348E1" w:rsidRDefault="00F027B8" w:rsidP="00D52BCF">
      <w:pPr>
        <w:pStyle w:val="Header"/>
      </w:pPr>
    </w:p>
    <w:p w:rsidR="00F027B8" w:rsidRPr="007348E1" w:rsidRDefault="00F027B8" w:rsidP="00D52BCF">
      <w:pPr>
        <w:pStyle w:val="Header"/>
      </w:pPr>
    </w:p>
    <w:p w:rsidR="00F027B8" w:rsidRPr="007348E1" w:rsidRDefault="00F027B8" w:rsidP="00D52BCF">
      <w:pPr>
        <w:pStyle w:val="Header"/>
      </w:pPr>
    </w:p>
    <w:p w:rsidR="001765DA" w:rsidRPr="007348E1" w:rsidRDefault="00F027B8" w:rsidP="0038383D">
      <w:pPr>
        <w:pStyle w:val="Heading1"/>
      </w:pPr>
      <w:r w:rsidRPr="007348E1">
        <w:t>Advi</w:t>
      </w:r>
      <w:r w:rsidR="001765DA" w:rsidRPr="007348E1">
        <w:t>ce to decision maker on coal mining</w:t>
      </w:r>
      <w:r w:rsidR="00E21678" w:rsidRPr="007348E1">
        <w:t xml:space="preserve"> project</w:t>
      </w:r>
    </w:p>
    <w:p w:rsidR="004861E6" w:rsidRPr="007348E1" w:rsidRDefault="00D10C4C" w:rsidP="0038383D">
      <w:pPr>
        <w:pStyle w:val="Heading2"/>
      </w:pPr>
      <w:r w:rsidRPr="007348E1">
        <w:t xml:space="preserve">IESC </w:t>
      </w:r>
      <w:r w:rsidR="00C43084" w:rsidRPr="007348E1">
        <w:t>201</w:t>
      </w:r>
      <w:r w:rsidR="00923EBB" w:rsidRPr="007348E1">
        <w:t>4-</w:t>
      </w:r>
      <w:r w:rsidR="001903A8" w:rsidRPr="007348E1">
        <w:t>048</w:t>
      </w:r>
      <w:r w:rsidR="001765DA" w:rsidRPr="007348E1">
        <w:t>:</w:t>
      </w:r>
      <w:r w:rsidR="002974BC" w:rsidRPr="007348E1">
        <w:t xml:space="preserve"> </w:t>
      </w:r>
      <w:r w:rsidR="005E08B5" w:rsidRPr="007348E1">
        <w:t xml:space="preserve">Washpool Coal Mine </w:t>
      </w:r>
      <w:r w:rsidR="00C803D7" w:rsidRPr="007348E1">
        <w:t>–</w:t>
      </w:r>
      <w:r w:rsidR="00923EBB" w:rsidRPr="007348E1">
        <w:t xml:space="preserve"> </w:t>
      </w:r>
      <w:r w:rsidR="00C803D7" w:rsidRPr="007348E1">
        <w:t>New Development</w:t>
      </w:r>
    </w:p>
    <w:tbl>
      <w:tblPr>
        <w:tblW w:w="9968" w:type="dxa"/>
        <w:tblBorders>
          <w:insideH w:val="single" w:sz="4" w:space="0" w:color="auto"/>
        </w:tblBorders>
        <w:tblCellMar>
          <w:top w:w="113" w:type="dxa"/>
          <w:bottom w:w="113" w:type="dxa"/>
        </w:tblCellMar>
        <w:tblLook w:val="01E0"/>
      </w:tblPr>
      <w:tblGrid>
        <w:gridCol w:w="1809"/>
        <w:gridCol w:w="8159"/>
      </w:tblGrid>
      <w:tr w:rsidR="001765DA" w:rsidRPr="007348E1" w:rsidTr="00B4690F">
        <w:trPr>
          <w:trHeight w:val="563"/>
        </w:trPr>
        <w:tc>
          <w:tcPr>
            <w:tcW w:w="1809" w:type="dxa"/>
            <w:tcBorders>
              <w:top w:val="single" w:sz="4" w:space="0" w:color="auto"/>
              <w:bottom w:val="single" w:sz="4" w:space="0" w:color="auto"/>
            </w:tcBorders>
          </w:tcPr>
          <w:p w:rsidR="001765DA" w:rsidRPr="007348E1" w:rsidRDefault="001765DA" w:rsidP="00BD0FEB">
            <w:pPr>
              <w:pStyle w:val="Heading3"/>
            </w:pPr>
            <w:r w:rsidRPr="007348E1">
              <w:t>Requesting agency</w:t>
            </w:r>
          </w:p>
        </w:tc>
        <w:tc>
          <w:tcPr>
            <w:tcW w:w="8159" w:type="dxa"/>
            <w:tcBorders>
              <w:top w:val="single" w:sz="4" w:space="0" w:color="auto"/>
              <w:bottom w:val="single" w:sz="4" w:space="0" w:color="auto"/>
            </w:tcBorders>
          </w:tcPr>
          <w:p w:rsidR="003E2BDB" w:rsidRPr="007348E1" w:rsidRDefault="00F0767C" w:rsidP="008F7B45">
            <w:pPr>
              <w:spacing w:after="0"/>
            </w:pPr>
            <w:r w:rsidRPr="007348E1">
              <w:t>The Australian Government</w:t>
            </w:r>
            <w:r w:rsidR="008F7B45" w:rsidRPr="007348E1">
              <w:t xml:space="preserve"> </w:t>
            </w:r>
            <w:r w:rsidR="005E08B5" w:rsidRPr="007348E1">
              <w:t>Department of the Environment</w:t>
            </w:r>
          </w:p>
        </w:tc>
      </w:tr>
      <w:tr w:rsidR="001765DA" w:rsidRPr="007348E1" w:rsidTr="00B4690F">
        <w:trPr>
          <w:trHeight w:val="19"/>
        </w:trPr>
        <w:tc>
          <w:tcPr>
            <w:tcW w:w="1809" w:type="dxa"/>
            <w:tcBorders>
              <w:top w:val="single" w:sz="4" w:space="0" w:color="auto"/>
              <w:bottom w:val="single" w:sz="4" w:space="0" w:color="auto"/>
            </w:tcBorders>
          </w:tcPr>
          <w:p w:rsidR="001765DA" w:rsidRPr="007348E1" w:rsidRDefault="001765DA" w:rsidP="00BD0FEB">
            <w:pPr>
              <w:pStyle w:val="Heading3"/>
            </w:pPr>
            <w:r w:rsidRPr="007348E1">
              <w:t>Date of request</w:t>
            </w:r>
          </w:p>
        </w:tc>
        <w:tc>
          <w:tcPr>
            <w:tcW w:w="8159" w:type="dxa"/>
            <w:tcBorders>
              <w:top w:val="single" w:sz="4" w:space="0" w:color="auto"/>
              <w:bottom w:val="single" w:sz="4" w:space="0" w:color="auto"/>
            </w:tcBorders>
          </w:tcPr>
          <w:p w:rsidR="001765DA" w:rsidRPr="007348E1" w:rsidRDefault="001903A8" w:rsidP="00D44300">
            <w:pPr>
              <w:spacing w:after="0"/>
            </w:pPr>
            <w:r w:rsidRPr="007348E1">
              <w:t>9</w:t>
            </w:r>
            <w:r w:rsidR="00A10BAB" w:rsidRPr="007348E1">
              <w:t xml:space="preserve"> </w:t>
            </w:r>
            <w:r w:rsidR="00923EBB" w:rsidRPr="007348E1">
              <w:t>April</w:t>
            </w:r>
            <w:r w:rsidR="00A10BAB" w:rsidRPr="007348E1">
              <w:t xml:space="preserve"> </w:t>
            </w:r>
            <w:r w:rsidR="00716583" w:rsidRPr="007348E1">
              <w:t>201</w:t>
            </w:r>
            <w:r w:rsidR="00923EBB" w:rsidRPr="007348E1">
              <w:t>4</w:t>
            </w:r>
            <w:r w:rsidR="00E21678" w:rsidRPr="007348E1">
              <w:rPr>
                <w:b/>
              </w:rPr>
              <w:t xml:space="preserve"> </w:t>
            </w:r>
          </w:p>
        </w:tc>
      </w:tr>
      <w:tr w:rsidR="00185039" w:rsidRPr="007348E1" w:rsidTr="00B4690F">
        <w:trPr>
          <w:trHeight w:val="19"/>
        </w:trPr>
        <w:tc>
          <w:tcPr>
            <w:tcW w:w="1809" w:type="dxa"/>
            <w:tcBorders>
              <w:top w:val="single" w:sz="4" w:space="0" w:color="auto"/>
              <w:bottom w:val="single" w:sz="4" w:space="0" w:color="auto"/>
            </w:tcBorders>
          </w:tcPr>
          <w:p w:rsidR="00185039" w:rsidRPr="007348E1" w:rsidRDefault="00185039" w:rsidP="00BD0FEB">
            <w:pPr>
              <w:pStyle w:val="Heading3"/>
            </w:pPr>
            <w:r w:rsidRPr="007348E1">
              <w:t>Date request accepted</w:t>
            </w:r>
          </w:p>
        </w:tc>
        <w:tc>
          <w:tcPr>
            <w:tcW w:w="8159" w:type="dxa"/>
            <w:tcBorders>
              <w:top w:val="single" w:sz="4" w:space="0" w:color="auto"/>
              <w:bottom w:val="single" w:sz="4" w:space="0" w:color="auto"/>
            </w:tcBorders>
          </w:tcPr>
          <w:p w:rsidR="00185039" w:rsidRPr="007348E1" w:rsidRDefault="00CC7467" w:rsidP="00D44300">
            <w:pPr>
              <w:spacing w:after="0"/>
            </w:pPr>
            <w:r w:rsidRPr="007348E1">
              <w:t>10</w:t>
            </w:r>
            <w:r w:rsidR="00923EBB" w:rsidRPr="007348E1">
              <w:t xml:space="preserve"> April 2014</w:t>
            </w:r>
            <w:r w:rsidR="00923EBB" w:rsidRPr="007348E1">
              <w:rPr>
                <w:b/>
              </w:rPr>
              <w:t xml:space="preserve"> </w:t>
            </w:r>
          </w:p>
        </w:tc>
      </w:tr>
      <w:tr w:rsidR="00062A46" w:rsidRPr="007348E1" w:rsidTr="00B4690F">
        <w:trPr>
          <w:trHeight w:val="19"/>
        </w:trPr>
        <w:tc>
          <w:tcPr>
            <w:tcW w:w="1809" w:type="dxa"/>
            <w:tcBorders>
              <w:top w:val="single" w:sz="4" w:space="0" w:color="auto"/>
              <w:bottom w:val="single" w:sz="4" w:space="0" w:color="auto"/>
            </w:tcBorders>
            <w:vAlign w:val="center"/>
          </w:tcPr>
          <w:p w:rsidR="00062A46" w:rsidRPr="007348E1" w:rsidRDefault="00062A46" w:rsidP="00BD0FEB">
            <w:pPr>
              <w:pStyle w:val="Heading3"/>
            </w:pPr>
            <w:r w:rsidRPr="007348E1">
              <w:t xml:space="preserve">Advice stage </w:t>
            </w:r>
          </w:p>
        </w:tc>
        <w:tc>
          <w:tcPr>
            <w:tcW w:w="8159" w:type="dxa"/>
            <w:tcBorders>
              <w:top w:val="single" w:sz="4" w:space="0" w:color="auto"/>
              <w:bottom w:val="single" w:sz="4" w:space="0" w:color="auto"/>
            </w:tcBorders>
            <w:vAlign w:val="center"/>
          </w:tcPr>
          <w:p w:rsidR="00062A46" w:rsidRPr="007348E1" w:rsidRDefault="00275759" w:rsidP="00A65118">
            <w:pPr>
              <w:spacing w:after="0"/>
              <w:rPr>
                <w:lang w:eastAsia="en-AU"/>
              </w:rPr>
            </w:pPr>
            <w:r w:rsidRPr="007348E1">
              <w:rPr>
                <w:lang w:val="en-US"/>
              </w:rPr>
              <w:t xml:space="preserve">Assessment </w:t>
            </w:r>
          </w:p>
        </w:tc>
      </w:tr>
    </w:tbl>
    <w:p w:rsidR="007203C3" w:rsidRPr="007348E1" w:rsidRDefault="00F0767C" w:rsidP="00BD0FEB">
      <w:pPr>
        <w:pStyle w:val="Heading3"/>
        <w:spacing w:before="240" w:after="240"/>
      </w:pPr>
      <w:r w:rsidRPr="007348E1">
        <w:t>Context</w:t>
      </w:r>
    </w:p>
    <w:p w:rsidR="005E08B5" w:rsidRPr="007348E1" w:rsidRDefault="007203C3" w:rsidP="00737D62">
      <w:r w:rsidRPr="007348E1">
        <w:t xml:space="preserve">The Independent Expert Scientific Committee on Coal Seam Gas and Large Coal Mining Development (the </w:t>
      </w:r>
      <w:r w:rsidR="00CF562A" w:rsidRPr="007348E1">
        <w:t>IESC</w:t>
      </w:r>
      <w:r w:rsidRPr="007348E1">
        <w:t xml:space="preserve">) was requested </w:t>
      </w:r>
      <w:r w:rsidR="00D10C4C" w:rsidRPr="007348E1">
        <w:t xml:space="preserve">by </w:t>
      </w:r>
      <w:r w:rsidR="00FE53AD" w:rsidRPr="007348E1">
        <w:t>t</w:t>
      </w:r>
      <w:r w:rsidR="005E08B5" w:rsidRPr="007348E1">
        <w:t xml:space="preserve">he Commonwealth Department of the Environment </w:t>
      </w:r>
      <w:r w:rsidRPr="007348E1">
        <w:t xml:space="preserve">to </w:t>
      </w:r>
      <w:proofErr w:type="gramStart"/>
      <w:r w:rsidRPr="007348E1">
        <w:t>provide</w:t>
      </w:r>
      <w:proofErr w:type="gramEnd"/>
      <w:r w:rsidRPr="007348E1">
        <w:t xml:space="preserve"> advice on the</w:t>
      </w:r>
      <w:r w:rsidR="0010600A" w:rsidRPr="007348E1">
        <w:t xml:space="preserve"> </w:t>
      </w:r>
      <w:r w:rsidR="005E08B5" w:rsidRPr="007348E1">
        <w:t>Washpool</w:t>
      </w:r>
      <w:r w:rsidR="0010600A" w:rsidRPr="007348E1">
        <w:t xml:space="preserve"> Coal Project </w:t>
      </w:r>
      <w:r w:rsidRPr="007348E1">
        <w:t>in</w:t>
      </w:r>
      <w:r w:rsidR="0010600A" w:rsidRPr="007348E1">
        <w:t xml:space="preserve"> </w:t>
      </w:r>
      <w:r w:rsidR="005E08B5" w:rsidRPr="007348E1">
        <w:t>Queensland</w:t>
      </w:r>
      <w:r w:rsidR="00D10C4C" w:rsidRPr="007348E1">
        <w:t>.</w:t>
      </w:r>
      <w:r w:rsidR="0010600A" w:rsidRPr="007348E1">
        <w:t xml:space="preserve"> </w:t>
      </w:r>
    </w:p>
    <w:p w:rsidR="006A760E" w:rsidRPr="007348E1" w:rsidRDefault="006A760E" w:rsidP="00737D62">
      <w:r w:rsidRPr="007348E1">
        <w:rPr>
          <w:lang w:val="en-US"/>
        </w:rPr>
        <w:t xml:space="preserve">The </w:t>
      </w:r>
      <w:r w:rsidR="00F0767C" w:rsidRPr="007348E1">
        <w:rPr>
          <w:lang w:val="en-US"/>
        </w:rPr>
        <w:t>proposed p</w:t>
      </w:r>
      <w:r w:rsidRPr="007348E1">
        <w:rPr>
          <w:lang w:val="en-US"/>
        </w:rPr>
        <w:t xml:space="preserve">roject has been assessed under a bilateral agreement between the Australian and Queensland governments </w:t>
      </w:r>
      <w:r w:rsidR="008F78FB" w:rsidRPr="007348E1">
        <w:rPr>
          <w:lang w:val="en-US"/>
        </w:rPr>
        <w:t>of</w:t>
      </w:r>
      <w:r w:rsidRPr="007348E1">
        <w:rPr>
          <w:lang w:val="en-US"/>
        </w:rPr>
        <w:t xml:space="preserve"> 2012. The Interim IESC provided advice on a previous draft Environmental Impact Statement (EIS) for the </w:t>
      </w:r>
      <w:proofErr w:type="spellStart"/>
      <w:r w:rsidRPr="007348E1">
        <w:rPr>
          <w:lang w:val="en-US"/>
        </w:rPr>
        <w:t>Washpool</w:t>
      </w:r>
      <w:proofErr w:type="spellEnd"/>
      <w:r w:rsidRPr="007348E1">
        <w:rPr>
          <w:lang w:val="en-US"/>
        </w:rPr>
        <w:t xml:space="preserve"> Project in June 2012. </w:t>
      </w:r>
    </w:p>
    <w:p w:rsidR="0010600A" w:rsidRPr="007348E1" w:rsidRDefault="0010600A" w:rsidP="00737D62">
      <w:r w:rsidRPr="007348E1">
        <w:t xml:space="preserve">This advice draws upon aspects of information </w:t>
      </w:r>
      <w:r w:rsidR="00203805" w:rsidRPr="007348E1">
        <w:t xml:space="preserve">provided </w:t>
      </w:r>
      <w:r w:rsidR="005E08B5" w:rsidRPr="007348E1">
        <w:t xml:space="preserve">in the </w:t>
      </w:r>
      <w:r w:rsidR="00F0767C" w:rsidRPr="007348E1">
        <w:t>Jacobs SKM 2014,</w:t>
      </w:r>
      <w:r w:rsidR="00E86C14" w:rsidRPr="007348E1">
        <w:t xml:space="preserve"> </w:t>
      </w:r>
      <w:r w:rsidR="005E08B5" w:rsidRPr="007348E1">
        <w:t xml:space="preserve">Water Resources </w:t>
      </w:r>
      <w:r w:rsidR="00203805" w:rsidRPr="007348E1">
        <w:t xml:space="preserve">IESC </w:t>
      </w:r>
      <w:r w:rsidR="005E08B5" w:rsidRPr="007348E1">
        <w:t xml:space="preserve">Submission and the </w:t>
      </w:r>
      <w:r w:rsidR="00F0767C" w:rsidRPr="007348E1">
        <w:t>EIS</w:t>
      </w:r>
      <w:r w:rsidR="005E08B5" w:rsidRPr="007348E1">
        <w:t xml:space="preserve"> Addendum dated January 2012</w:t>
      </w:r>
      <w:r w:rsidRPr="007348E1">
        <w:t>, together with the expert deliberations of the IESC. The project documentation and information accessed by the IESC are listed in the source documentation at the end of this advice.</w:t>
      </w:r>
    </w:p>
    <w:p w:rsidR="00FC2D2F" w:rsidRPr="007348E1" w:rsidRDefault="00FC2D2F" w:rsidP="00737D62">
      <w:pPr>
        <w:rPr>
          <w:lang w:val="en-US"/>
        </w:rPr>
      </w:pPr>
      <w:r w:rsidRPr="007348E1">
        <w:rPr>
          <w:lang w:val="en-US"/>
        </w:rPr>
        <w:t>The project proposed by Aquila Resources Ltd is a</w:t>
      </w:r>
      <w:r w:rsidR="008F7B45" w:rsidRPr="007348E1">
        <w:rPr>
          <w:lang w:val="en-US"/>
        </w:rPr>
        <w:t xml:space="preserve"> </w:t>
      </w:r>
      <w:r w:rsidRPr="007348E1">
        <w:rPr>
          <w:lang w:val="en-US"/>
        </w:rPr>
        <w:t>n</w:t>
      </w:r>
      <w:r w:rsidR="008F7B45" w:rsidRPr="007348E1">
        <w:rPr>
          <w:lang w:val="en-US"/>
        </w:rPr>
        <w:t>ew</w:t>
      </w:r>
      <w:r w:rsidRPr="007348E1">
        <w:rPr>
          <w:lang w:val="en-US"/>
        </w:rPr>
        <w:t xml:space="preserve"> open cut coal mine in the Bowen Basin</w:t>
      </w:r>
      <w:r w:rsidR="006A760E" w:rsidRPr="007348E1">
        <w:rPr>
          <w:lang w:val="en-US"/>
        </w:rPr>
        <w:t xml:space="preserve">, in Central Queensland near Emerald and </w:t>
      </w:r>
      <w:proofErr w:type="spellStart"/>
      <w:r w:rsidR="006A760E" w:rsidRPr="007348E1">
        <w:rPr>
          <w:lang w:val="en-US"/>
        </w:rPr>
        <w:t>Blackwater</w:t>
      </w:r>
      <w:proofErr w:type="spellEnd"/>
      <w:r w:rsidR="006A760E" w:rsidRPr="007348E1">
        <w:rPr>
          <w:lang w:val="en-US"/>
        </w:rPr>
        <w:t xml:space="preserve">. </w:t>
      </w:r>
      <w:r w:rsidRPr="007348E1">
        <w:rPr>
          <w:lang w:val="en-US"/>
        </w:rPr>
        <w:t xml:space="preserve">Truck and electric shovel mining methods are proposed to extract up to 7.2 million </w:t>
      </w:r>
      <w:proofErr w:type="spellStart"/>
      <w:r w:rsidRPr="007348E1">
        <w:rPr>
          <w:lang w:val="en-US"/>
        </w:rPr>
        <w:t>tonnes</w:t>
      </w:r>
      <w:proofErr w:type="spellEnd"/>
      <w:r w:rsidRPr="007348E1">
        <w:rPr>
          <w:lang w:val="en-US"/>
        </w:rPr>
        <w:t xml:space="preserve"> per annum (</w:t>
      </w:r>
      <w:proofErr w:type="spellStart"/>
      <w:r w:rsidRPr="007348E1">
        <w:rPr>
          <w:lang w:val="en-US"/>
        </w:rPr>
        <w:t>Mt</w:t>
      </w:r>
      <w:r w:rsidR="008F7B45" w:rsidRPr="007348E1">
        <w:rPr>
          <w:lang w:val="en-US"/>
        </w:rPr>
        <w:t>p</w:t>
      </w:r>
      <w:r w:rsidRPr="007348E1">
        <w:rPr>
          <w:lang w:val="en-US"/>
        </w:rPr>
        <w:t>a</w:t>
      </w:r>
      <w:proofErr w:type="spellEnd"/>
      <w:r w:rsidRPr="007348E1">
        <w:rPr>
          <w:lang w:val="en-US"/>
        </w:rPr>
        <w:t xml:space="preserve">) of run of mine coal, to produce up to 2.6 </w:t>
      </w:r>
      <w:proofErr w:type="spellStart"/>
      <w:r w:rsidRPr="007348E1">
        <w:rPr>
          <w:lang w:val="en-US"/>
        </w:rPr>
        <w:t>M</w:t>
      </w:r>
      <w:r w:rsidR="008F7B45" w:rsidRPr="007348E1">
        <w:rPr>
          <w:lang w:val="en-US"/>
        </w:rPr>
        <w:t>tpa</w:t>
      </w:r>
      <w:proofErr w:type="spellEnd"/>
      <w:r w:rsidRPr="007348E1">
        <w:rPr>
          <w:lang w:val="en-US"/>
        </w:rPr>
        <w:t xml:space="preserve"> of product hard coking coal for export market. The proposed project will target the Scorpio seam within the </w:t>
      </w:r>
      <w:proofErr w:type="spellStart"/>
      <w:r w:rsidRPr="007348E1">
        <w:rPr>
          <w:lang w:val="en-US"/>
        </w:rPr>
        <w:t>Burngrove</w:t>
      </w:r>
      <w:proofErr w:type="spellEnd"/>
      <w:r w:rsidRPr="007348E1">
        <w:rPr>
          <w:lang w:val="en-US"/>
        </w:rPr>
        <w:t xml:space="preserve"> Formation over a mine life of 15 to 20 years. </w:t>
      </w:r>
    </w:p>
    <w:p w:rsidR="00FC2D2F" w:rsidRPr="007348E1" w:rsidRDefault="00BC67A0" w:rsidP="00737D62">
      <w:pPr>
        <w:rPr>
          <w:rFonts w:cs="Calibri"/>
        </w:rPr>
      </w:pPr>
      <w:r w:rsidRPr="007348E1">
        <w:rPr>
          <w:lang w:val="en-US"/>
        </w:rPr>
        <w:t xml:space="preserve">The Mackenzie River </w:t>
      </w:r>
      <w:r w:rsidR="00A54829" w:rsidRPr="007348E1">
        <w:rPr>
          <w:lang w:val="en-US"/>
        </w:rPr>
        <w:t>is located</w:t>
      </w:r>
      <w:r w:rsidRPr="007348E1">
        <w:rPr>
          <w:lang w:val="en-US"/>
        </w:rPr>
        <w:t xml:space="preserve"> to the west and north of the </w:t>
      </w:r>
      <w:r w:rsidR="00DB4DB4" w:rsidRPr="007348E1">
        <w:rPr>
          <w:lang w:val="en-US"/>
        </w:rPr>
        <w:t>p</w:t>
      </w:r>
      <w:r w:rsidRPr="007348E1">
        <w:rPr>
          <w:lang w:val="en-US"/>
        </w:rPr>
        <w:t xml:space="preserve">roject site. </w:t>
      </w:r>
      <w:r w:rsidR="00E623FE" w:rsidRPr="007348E1">
        <w:rPr>
          <w:lang w:val="en-US"/>
        </w:rPr>
        <w:t xml:space="preserve">The Bedford Weir is located </w:t>
      </w:r>
      <w:r w:rsidR="00DF23FB" w:rsidRPr="007348E1">
        <w:rPr>
          <w:lang w:val="en-US"/>
        </w:rPr>
        <w:t>9.5</w:t>
      </w:r>
      <w:r w:rsidR="00737D62">
        <w:rPr>
          <w:lang w:val="en-US"/>
        </w:rPr>
        <w:t xml:space="preserve"> </w:t>
      </w:r>
      <w:r w:rsidR="00DF23FB" w:rsidRPr="007348E1">
        <w:rPr>
          <w:lang w:val="en-US"/>
        </w:rPr>
        <w:t xml:space="preserve">km downstream </w:t>
      </w:r>
      <w:r w:rsidR="00DB4DB4" w:rsidRPr="007348E1">
        <w:rPr>
          <w:lang w:val="en-US"/>
        </w:rPr>
        <w:t xml:space="preserve">on the Mackenzie </w:t>
      </w:r>
      <w:r w:rsidR="00DF23FB" w:rsidRPr="007348E1">
        <w:rPr>
          <w:lang w:val="en-US"/>
        </w:rPr>
        <w:t>River</w:t>
      </w:r>
      <w:r w:rsidR="00DB4DB4" w:rsidRPr="007348E1">
        <w:rPr>
          <w:lang w:val="en-US"/>
        </w:rPr>
        <w:t xml:space="preserve">. Outside of rainfall events, the water level in this reach of the Mackenzie River is controlled by Bedford Weir. Coal Mine Lagoon is an anabranch of the Mackenzie River and forms the western boundary of the mining area. </w:t>
      </w:r>
      <w:proofErr w:type="spellStart"/>
      <w:r w:rsidR="00DB4DB4" w:rsidRPr="007348E1">
        <w:rPr>
          <w:lang w:val="en-US"/>
        </w:rPr>
        <w:t>Burngrove</w:t>
      </w:r>
      <w:proofErr w:type="spellEnd"/>
      <w:r w:rsidR="00DB4DB4" w:rsidRPr="007348E1">
        <w:rPr>
          <w:lang w:val="en-US"/>
        </w:rPr>
        <w:t xml:space="preserve"> Creek is an ephemeral water course</w:t>
      </w:r>
      <w:r w:rsidR="00A54829" w:rsidRPr="007348E1">
        <w:rPr>
          <w:lang w:val="en-US"/>
        </w:rPr>
        <w:t xml:space="preserve"> to the south of the project site that converges with the Mackenzie River immediately </w:t>
      </w:r>
      <w:r w:rsidR="0031140F" w:rsidRPr="007348E1">
        <w:rPr>
          <w:lang w:val="en-US"/>
        </w:rPr>
        <w:t xml:space="preserve">downstream </w:t>
      </w:r>
      <w:r w:rsidR="00A54829" w:rsidRPr="007348E1">
        <w:rPr>
          <w:lang w:val="en-US"/>
        </w:rPr>
        <w:t xml:space="preserve">of the break out to Coal Mine Lagoon. </w:t>
      </w:r>
      <w:r w:rsidR="00FC2D2F" w:rsidRPr="007348E1">
        <w:rPr>
          <w:rFonts w:cs="Calibri"/>
        </w:rPr>
        <w:t xml:space="preserve">Water from Bedford Weir is used for </w:t>
      </w:r>
      <w:r w:rsidR="001903A8" w:rsidRPr="007348E1">
        <w:rPr>
          <w:rFonts w:cs="Calibri"/>
        </w:rPr>
        <w:t xml:space="preserve">several purposes including </w:t>
      </w:r>
      <w:r w:rsidR="00FC2D2F" w:rsidRPr="007348E1">
        <w:rPr>
          <w:rFonts w:cs="Calibri"/>
        </w:rPr>
        <w:t xml:space="preserve">agriculture, </w:t>
      </w:r>
      <w:r w:rsidR="001903A8" w:rsidRPr="007348E1">
        <w:rPr>
          <w:rFonts w:cs="Calibri"/>
        </w:rPr>
        <w:t xml:space="preserve">stock watering, </w:t>
      </w:r>
      <w:r w:rsidR="00FC2D2F" w:rsidRPr="007348E1">
        <w:rPr>
          <w:rFonts w:cs="Calibri"/>
        </w:rPr>
        <w:t xml:space="preserve">industrial use and potable water supply. </w:t>
      </w:r>
    </w:p>
    <w:p w:rsidR="00702550" w:rsidRPr="007348E1" w:rsidRDefault="00702550" w:rsidP="00737D62">
      <w:pPr>
        <w:pStyle w:val="Heading4"/>
      </w:pPr>
    </w:p>
    <w:p w:rsidR="00E20190" w:rsidRPr="007348E1" w:rsidRDefault="00E20190" w:rsidP="00737D62">
      <w:pPr>
        <w:pStyle w:val="Heading4"/>
      </w:pPr>
      <w:r w:rsidRPr="007348E1">
        <w:lastRenderedPageBreak/>
        <w:t>Assessment against</w:t>
      </w:r>
      <w:r w:rsidR="003F547F" w:rsidRPr="007348E1">
        <w:t xml:space="preserve"> the I</w:t>
      </w:r>
      <w:r w:rsidRPr="007348E1">
        <w:t xml:space="preserve">nformation </w:t>
      </w:r>
      <w:r w:rsidR="003F547F" w:rsidRPr="007348E1">
        <w:t>G</w:t>
      </w:r>
      <w:r w:rsidRPr="007348E1">
        <w:t>uidelines</w:t>
      </w:r>
      <w:r w:rsidR="003F547F" w:rsidRPr="007348E1">
        <w:rPr>
          <w:vertAlign w:val="superscript"/>
        </w:rPr>
        <w:t>1</w:t>
      </w:r>
    </w:p>
    <w:p w:rsidR="00A508F5" w:rsidRPr="007348E1" w:rsidRDefault="00BF1142" w:rsidP="00737D62">
      <w:pPr>
        <w:rPr>
          <w:lang w:val="en-US"/>
        </w:rPr>
      </w:pPr>
      <w:r w:rsidRPr="007348E1">
        <w:rPr>
          <w:lang w:val="en-US"/>
        </w:rPr>
        <w:t xml:space="preserve">The </w:t>
      </w:r>
      <w:r w:rsidR="003F547F" w:rsidRPr="007348E1">
        <w:rPr>
          <w:lang w:val="en-US"/>
        </w:rPr>
        <w:t>IESC</w:t>
      </w:r>
      <w:r w:rsidRPr="007348E1">
        <w:rPr>
          <w:lang w:val="en-US"/>
        </w:rPr>
        <w:t xml:space="preserve"> has considered the information available against the key points identified in the </w:t>
      </w:r>
      <w:r w:rsidR="00F0767C" w:rsidRPr="007348E1">
        <w:rPr>
          <w:lang w:val="en-US"/>
        </w:rPr>
        <w:t>IESC’s</w:t>
      </w:r>
      <w:r w:rsidR="008F7B45" w:rsidRPr="007348E1">
        <w:rPr>
          <w:lang w:val="en-US"/>
        </w:rPr>
        <w:t xml:space="preserve"> </w:t>
      </w:r>
      <w:r w:rsidRPr="007348E1">
        <w:rPr>
          <w:lang w:val="en-US"/>
        </w:rPr>
        <w:t>Information Guidelines</w:t>
      </w:r>
      <w:r w:rsidR="003F547F" w:rsidRPr="007348E1">
        <w:rPr>
          <w:vertAlign w:val="superscript"/>
          <w:lang w:val="en-US"/>
        </w:rPr>
        <w:t>1</w:t>
      </w:r>
      <w:r w:rsidRPr="007348E1">
        <w:rPr>
          <w:lang w:val="en-US"/>
        </w:rPr>
        <w:t xml:space="preserve">. </w:t>
      </w:r>
    </w:p>
    <w:p w:rsidR="00BF1142" w:rsidRPr="007348E1" w:rsidRDefault="00BF1142" w:rsidP="00737D62">
      <w:pPr>
        <w:rPr>
          <w:u w:val="single"/>
          <w:lang w:val="en-US"/>
        </w:rPr>
      </w:pPr>
      <w:r w:rsidRPr="007348E1">
        <w:rPr>
          <w:u w:val="single"/>
          <w:lang w:val="en-US"/>
        </w:rPr>
        <w:t>Relevant data and information</w:t>
      </w:r>
      <w:r w:rsidR="0072053E" w:rsidRPr="007348E1">
        <w:rPr>
          <w:u w:val="single"/>
          <w:lang w:val="en-US"/>
        </w:rPr>
        <w:t>: key conclusion</w:t>
      </w:r>
      <w:r w:rsidR="008F78FB" w:rsidRPr="007348E1">
        <w:rPr>
          <w:u w:val="single"/>
          <w:lang w:val="en-US"/>
        </w:rPr>
        <w:t>s</w:t>
      </w:r>
    </w:p>
    <w:p w:rsidR="00A508F5" w:rsidRPr="007348E1" w:rsidRDefault="00F0767C" w:rsidP="00737D62">
      <w:pPr>
        <w:rPr>
          <w:lang w:val="en-US"/>
        </w:rPr>
      </w:pPr>
      <w:r w:rsidRPr="007348E1">
        <w:rPr>
          <w:lang w:val="en-US"/>
        </w:rPr>
        <w:t>Consistent with the Interim IESC advice</w:t>
      </w:r>
      <w:r w:rsidR="00FD1AC3" w:rsidRPr="007348E1">
        <w:rPr>
          <w:vertAlign w:val="superscript"/>
          <w:lang w:val="en-US"/>
        </w:rPr>
        <w:t>2</w:t>
      </w:r>
      <w:r w:rsidRPr="007348E1">
        <w:rPr>
          <w:lang w:val="en-US"/>
        </w:rPr>
        <w:t xml:space="preserve"> provided in July 2012, the project </w:t>
      </w:r>
      <w:r w:rsidR="00DD192D" w:rsidRPr="007348E1">
        <w:rPr>
          <w:lang w:val="en-US"/>
        </w:rPr>
        <w:t xml:space="preserve">documentation </w:t>
      </w:r>
      <w:r w:rsidR="003321A2" w:rsidRPr="007348E1">
        <w:rPr>
          <w:lang w:val="en-US"/>
        </w:rPr>
        <w:t>does not</w:t>
      </w:r>
      <w:r w:rsidRPr="007348E1">
        <w:rPr>
          <w:lang w:val="en-US"/>
        </w:rPr>
        <w:t xml:space="preserve"> provide sufficient detail and data to address potential impacts associated with the project. In particular</w:t>
      </w:r>
      <w:r w:rsidR="00203805" w:rsidRPr="007348E1">
        <w:rPr>
          <w:lang w:val="en-US"/>
        </w:rPr>
        <w:t>,</w:t>
      </w:r>
      <w:r w:rsidRPr="007348E1">
        <w:rPr>
          <w:lang w:val="en-US"/>
        </w:rPr>
        <w:t xml:space="preserve"> data to improve the regional and local geological and </w:t>
      </w:r>
      <w:proofErr w:type="spellStart"/>
      <w:r w:rsidRPr="007348E1">
        <w:rPr>
          <w:lang w:val="en-US"/>
        </w:rPr>
        <w:t>hydrogeological</w:t>
      </w:r>
      <w:proofErr w:type="spellEnd"/>
      <w:r w:rsidRPr="007348E1">
        <w:rPr>
          <w:lang w:val="en-US"/>
        </w:rPr>
        <w:t xml:space="preserve"> </w:t>
      </w:r>
      <w:proofErr w:type="spellStart"/>
      <w:r w:rsidRPr="007348E1">
        <w:rPr>
          <w:lang w:val="en-US"/>
        </w:rPr>
        <w:t>conceptualisation</w:t>
      </w:r>
      <w:proofErr w:type="spellEnd"/>
      <w:r w:rsidRPr="007348E1">
        <w:rPr>
          <w:lang w:val="en-US"/>
        </w:rPr>
        <w:t xml:space="preserve"> and to inform the interaction between surface water and groundwater is still needed. In addition, based on the information provided</w:t>
      </w:r>
      <w:r w:rsidR="00203805" w:rsidRPr="007348E1">
        <w:rPr>
          <w:lang w:val="en-US"/>
        </w:rPr>
        <w:t>,</w:t>
      </w:r>
      <w:r w:rsidRPr="007348E1">
        <w:rPr>
          <w:lang w:val="en-US"/>
        </w:rPr>
        <w:t xml:space="preserve"> potential impacts to the Fitzroy River Turtle </w:t>
      </w:r>
      <w:r w:rsidR="00DD192D" w:rsidRPr="007348E1">
        <w:rPr>
          <w:lang w:val="en-US"/>
        </w:rPr>
        <w:t>have</w:t>
      </w:r>
      <w:r w:rsidRPr="007348E1">
        <w:rPr>
          <w:lang w:val="en-US"/>
        </w:rPr>
        <w:t xml:space="preserve"> not </w:t>
      </w:r>
      <w:r w:rsidR="00DD192D" w:rsidRPr="007348E1">
        <w:rPr>
          <w:lang w:val="en-US"/>
        </w:rPr>
        <w:t xml:space="preserve">been </w:t>
      </w:r>
      <w:r w:rsidRPr="007348E1">
        <w:rPr>
          <w:lang w:val="en-US"/>
        </w:rPr>
        <w:t xml:space="preserve">assessed and appropriate management options have not been considered. </w:t>
      </w:r>
    </w:p>
    <w:p w:rsidR="00BF1142" w:rsidRPr="007348E1" w:rsidRDefault="00BF1142" w:rsidP="00737D62">
      <w:pPr>
        <w:rPr>
          <w:u w:val="single"/>
          <w:lang w:val="en-US"/>
        </w:rPr>
      </w:pPr>
      <w:r w:rsidRPr="007348E1">
        <w:rPr>
          <w:u w:val="single"/>
          <w:lang w:val="en-US"/>
        </w:rPr>
        <w:t>Appropriate methodologies which have been applied correctly</w:t>
      </w:r>
      <w:r w:rsidR="00B67970" w:rsidRPr="007348E1">
        <w:rPr>
          <w:u w:val="single"/>
          <w:lang w:val="en-US"/>
        </w:rPr>
        <w:t>: key conclusions</w:t>
      </w:r>
    </w:p>
    <w:p w:rsidR="002E62F9" w:rsidRPr="007348E1" w:rsidRDefault="002E62F9" w:rsidP="00737D62">
      <w:r w:rsidRPr="007348E1">
        <w:rPr>
          <w:lang w:val="en-US"/>
        </w:rPr>
        <w:t xml:space="preserve">The </w:t>
      </w:r>
      <w:r w:rsidR="00671CF1" w:rsidRPr="007348E1">
        <w:rPr>
          <w:lang w:val="en-US"/>
        </w:rPr>
        <w:t>g</w:t>
      </w:r>
      <w:r w:rsidR="00B67970" w:rsidRPr="007348E1">
        <w:rPr>
          <w:lang w:val="en-US"/>
        </w:rPr>
        <w:t xml:space="preserve">roundwater </w:t>
      </w:r>
      <w:r w:rsidR="00526C61" w:rsidRPr="007348E1">
        <w:rPr>
          <w:lang w:val="en-US"/>
        </w:rPr>
        <w:t>model</w:t>
      </w:r>
      <w:r w:rsidR="00BF1142" w:rsidRPr="007348E1">
        <w:rPr>
          <w:lang w:val="en-US"/>
        </w:rPr>
        <w:t xml:space="preserve"> cons</w:t>
      </w:r>
      <w:r w:rsidR="00B67970" w:rsidRPr="007348E1">
        <w:rPr>
          <w:lang w:val="en-US"/>
        </w:rPr>
        <w:t xml:space="preserve">truction and </w:t>
      </w:r>
      <w:proofErr w:type="spellStart"/>
      <w:r w:rsidR="00B67970" w:rsidRPr="007348E1">
        <w:rPr>
          <w:lang w:val="en-US"/>
        </w:rPr>
        <w:t>parameterisation</w:t>
      </w:r>
      <w:proofErr w:type="spellEnd"/>
      <w:r w:rsidR="00B67970" w:rsidRPr="007348E1">
        <w:rPr>
          <w:lang w:val="en-US"/>
        </w:rPr>
        <w:t xml:space="preserve"> </w:t>
      </w:r>
      <w:r w:rsidRPr="007348E1">
        <w:rPr>
          <w:lang w:val="en-US"/>
        </w:rPr>
        <w:t xml:space="preserve">is </w:t>
      </w:r>
      <w:r w:rsidR="00B67970" w:rsidRPr="007348E1">
        <w:rPr>
          <w:lang w:val="en-US"/>
        </w:rPr>
        <w:t xml:space="preserve">based on </w:t>
      </w:r>
      <w:r w:rsidR="00BF1142" w:rsidRPr="007348E1">
        <w:rPr>
          <w:lang w:val="en-US"/>
        </w:rPr>
        <w:t xml:space="preserve">overly simplified </w:t>
      </w:r>
      <w:r w:rsidR="00B93504" w:rsidRPr="007348E1">
        <w:rPr>
          <w:lang w:val="en-US"/>
        </w:rPr>
        <w:t xml:space="preserve">and </w:t>
      </w:r>
      <w:r w:rsidR="00F0767C" w:rsidRPr="007348E1">
        <w:rPr>
          <w:lang w:val="en-US"/>
        </w:rPr>
        <w:t>basic</w:t>
      </w:r>
      <w:r w:rsidR="00E86C14" w:rsidRPr="007348E1">
        <w:rPr>
          <w:lang w:val="en-US"/>
        </w:rPr>
        <w:t xml:space="preserve"> </w:t>
      </w:r>
      <w:r w:rsidR="00BF1142" w:rsidRPr="007348E1">
        <w:rPr>
          <w:lang w:val="en-US"/>
        </w:rPr>
        <w:t xml:space="preserve">regional </w:t>
      </w:r>
      <w:proofErr w:type="spellStart"/>
      <w:r w:rsidR="00BF1142" w:rsidRPr="007348E1">
        <w:rPr>
          <w:lang w:val="en-US"/>
        </w:rPr>
        <w:t>conceptualisation</w:t>
      </w:r>
      <w:proofErr w:type="spellEnd"/>
      <w:r w:rsidR="00526C61" w:rsidRPr="007348E1">
        <w:rPr>
          <w:lang w:val="en-US"/>
        </w:rPr>
        <w:t xml:space="preserve"> and limited data</w:t>
      </w:r>
      <w:r w:rsidR="00BF1142" w:rsidRPr="007348E1">
        <w:rPr>
          <w:lang w:val="en-US"/>
        </w:rPr>
        <w:t xml:space="preserve">. </w:t>
      </w:r>
      <w:r w:rsidRPr="007348E1">
        <w:rPr>
          <w:lang w:val="en-US"/>
        </w:rPr>
        <w:t xml:space="preserve">The use of inactive no flow boundary </w:t>
      </w:r>
      <w:proofErr w:type="gramStart"/>
      <w:r w:rsidRPr="007348E1">
        <w:rPr>
          <w:lang w:val="en-US"/>
        </w:rPr>
        <w:t xml:space="preserve">cells to the north and west of the Mackenzie River </w:t>
      </w:r>
      <w:r w:rsidR="00F0767C" w:rsidRPr="007348E1">
        <w:rPr>
          <w:lang w:val="en-US"/>
        </w:rPr>
        <w:t>needs</w:t>
      </w:r>
      <w:proofErr w:type="gramEnd"/>
      <w:r w:rsidR="00F0767C" w:rsidRPr="007348E1">
        <w:rPr>
          <w:lang w:val="en-US"/>
        </w:rPr>
        <w:t xml:space="preserve"> to be</w:t>
      </w:r>
      <w:r w:rsidRPr="007348E1">
        <w:rPr>
          <w:lang w:val="en-US"/>
        </w:rPr>
        <w:t xml:space="preserve"> justifi</w:t>
      </w:r>
      <w:r w:rsidR="00E86C14" w:rsidRPr="007348E1">
        <w:rPr>
          <w:lang w:val="en-US"/>
        </w:rPr>
        <w:t>ed</w:t>
      </w:r>
      <w:r w:rsidRPr="007348E1">
        <w:rPr>
          <w:lang w:val="en-US"/>
        </w:rPr>
        <w:t>.</w:t>
      </w:r>
      <w:r w:rsidR="00391622" w:rsidRPr="007348E1">
        <w:rPr>
          <w:lang w:val="en-US"/>
        </w:rPr>
        <w:t xml:space="preserve"> </w:t>
      </w:r>
      <w:r w:rsidR="00F0767C" w:rsidRPr="007348E1">
        <w:rPr>
          <w:lang w:val="en-US"/>
        </w:rPr>
        <w:t>With respect to the site water balance, all relevant components have not been fully considered or explicitly represented, including rainfall and the project’s site water demands.</w:t>
      </w:r>
      <w:r w:rsidRPr="007348E1">
        <w:rPr>
          <w:lang w:val="en-US"/>
        </w:rPr>
        <w:t xml:space="preserve"> </w:t>
      </w:r>
      <w:r w:rsidRPr="007348E1">
        <w:t xml:space="preserve">The targeted survey for the Fitzroy River Turtle </w:t>
      </w:r>
      <w:r w:rsidR="00F0767C" w:rsidRPr="007348E1">
        <w:t>was not consistent with</w:t>
      </w:r>
      <w:r w:rsidR="00FF3251" w:rsidRPr="007348E1">
        <w:t xml:space="preserve"> </w:t>
      </w:r>
      <w:r w:rsidRPr="007348E1">
        <w:t>Survey Guidelines for Australia’s Threatened Reptiles</w:t>
      </w:r>
      <w:r w:rsidR="00FD1AC3" w:rsidRPr="007348E1">
        <w:rPr>
          <w:vertAlign w:val="superscript"/>
        </w:rPr>
        <w:t>3</w:t>
      </w:r>
      <w:r w:rsidRPr="007348E1">
        <w:t xml:space="preserve">. </w:t>
      </w:r>
    </w:p>
    <w:p w:rsidR="00BF1142" w:rsidRPr="007348E1" w:rsidRDefault="00BF1142" w:rsidP="00737D62">
      <w:pPr>
        <w:rPr>
          <w:u w:val="single"/>
          <w:lang w:val="en-US"/>
        </w:rPr>
      </w:pPr>
      <w:r w:rsidRPr="007348E1">
        <w:rPr>
          <w:u w:val="single"/>
          <w:lang w:val="en-US"/>
        </w:rPr>
        <w:t>Reasonable values and parameters in calculations</w:t>
      </w:r>
      <w:r w:rsidR="00AF3A2E" w:rsidRPr="007348E1">
        <w:rPr>
          <w:u w:val="single"/>
          <w:lang w:val="en-US"/>
        </w:rPr>
        <w:t>: key conclusions</w:t>
      </w:r>
    </w:p>
    <w:p w:rsidR="00107D52" w:rsidRPr="007348E1" w:rsidRDefault="00BF1142" w:rsidP="00737D62">
      <w:pPr>
        <w:pStyle w:val="ListBullet"/>
        <w:numPr>
          <w:ilvl w:val="0"/>
          <w:numId w:val="0"/>
        </w:numPr>
      </w:pPr>
      <w:r w:rsidRPr="007348E1">
        <w:t>The parameters</w:t>
      </w:r>
      <w:r w:rsidR="00880A8E" w:rsidRPr="007348E1">
        <w:t xml:space="preserve"> used in the groundwater model, </w:t>
      </w:r>
      <w:r w:rsidRPr="007348E1">
        <w:t>particularly for recharge and hydraulic conductivity</w:t>
      </w:r>
      <w:r w:rsidR="00880A8E" w:rsidRPr="007348E1">
        <w:t>,</w:t>
      </w:r>
      <w:r w:rsidR="00AF3A2E" w:rsidRPr="007348E1">
        <w:t xml:space="preserve"> were</w:t>
      </w:r>
      <w:r w:rsidRPr="007348E1">
        <w:t xml:space="preserve"> based largely on literature values and were</w:t>
      </w:r>
      <w:r w:rsidR="00AF3A2E" w:rsidRPr="007348E1">
        <w:t xml:space="preserve"> subsequently</w:t>
      </w:r>
      <w:r w:rsidRPr="007348E1">
        <w:t xml:space="preserve"> recalibrated</w:t>
      </w:r>
      <w:r w:rsidR="00203805" w:rsidRPr="007348E1">
        <w:t xml:space="preserve"> within the model</w:t>
      </w:r>
      <w:r w:rsidRPr="007348E1">
        <w:t xml:space="preserve">. </w:t>
      </w:r>
      <w:r w:rsidR="00F0767C" w:rsidRPr="007348E1">
        <w:rPr>
          <w:lang w:val="en-AU"/>
        </w:rPr>
        <w:t xml:space="preserve">Field ‘slug’ tests were carried out on only three bores, one in the coal seam and two in the </w:t>
      </w:r>
      <w:proofErr w:type="spellStart"/>
      <w:r w:rsidR="00F0767C" w:rsidRPr="007348E1">
        <w:rPr>
          <w:lang w:val="en-AU"/>
        </w:rPr>
        <w:t>Burngrove</w:t>
      </w:r>
      <w:proofErr w:type="spellEnd"/>
      <w:r w:rsidR="00F0767C" w:rsidRPr="007348E1">
        <w:rPr>
          <w:lang w:val="en-AU"/>
        </w:rPr>
        <w:t xml:space="preserve"> Formation. No tests were carried out in the </w:t>
      </w:r>
      <w:r w:rsidR="003321A2" w:rsidRPr="007348E1">
        <w:rPr>
          <w:lang w:val="en-AU"/>
        </w:rPr>
        <w:t>alluvial sediment</w:t>
      </w:r>
      <w:r w:rsidR="00F0767C" w:rsidRPr="007348E1">
        <w:rPr>
          <w:lang w:val="en-AU"/>
        </w:rPr>
        <w:t xml:space="preserve"> to support its parameter estimates.</w:t>
      </w:r>
      <w:r w:rsidR="00B943E8" w:rsidRPr="007348E1">
        <w:rPr>
          <w:lang w:val="en-AU"/>
        </w:rPr>
        <w:t xml:space="preserve"> </w:t>
      </w:r>
      <w:r w:rsidR="003F547F" w:rsidRPr="007348E1">
        <w:t>W</w:t>
      </w:r>
      <w:r w:rsidR="00880A8E" w:rsidRPr="007348E1">
        <w:t>ate</w:t>
      </w:r>
      <w:r w:rsidR="00AF3A2E" w:rsidRPr="007348E1">
        <w:t>r level measurements were</w:t>
      </w:r>
      <w:r w:rsidR="00880A8E" w:rsidRPr="007348E1">
        <w:t xml:space="preserve"> </w:t>
      </w:r>
      <w:r w:rsidR="00EB007C">
        <w:t>not provided for all model layers</w:t>
      </w:r>
      <w:r w:rsidR="00FE581C" w:rsidRPr="007348E1">
        <w:t xml:space="preserve">, </w:t>
      </w:r>
      <w:r w:rsidR="00EB007C">
        <w:t>which would not</w:t>
      </w:r>
      <w:r w:rsidR="00AF3A2E" w:rsidRPr="007348E1">
        <w:t xml:space="preserve"> </w:t>
      </w:r>
      <w:r w:rsidR="005C5159" w:rsidRPr="007348E1">
        <w:t xml:space="preserve">enable </w:t>
      </w:r>
      <w:r w:rsidR="00EF3CFB" w:rsidRPr="007348E1">
        <w:t xml:space="preserve">sufficient </w:t>
      </w:r>
      <w:r w:rsidR="005C5159" w:rsidRPr="007348E1">
        <w:t>calibration</w:t>
      </w:r>
      <w:r w:rsidR="00796E9D">
        <w:t xml:space="preserve"> of the model</w:t>
      </w:r>
      <w:r w:rsidR="0096210F" w:rsidRPr="007348E1">
        <w:t xml:space="preserve">. </w:t>
      </w:r>
      <w:r w:rsidRPr="007348E1">
        <w:t xml:space="preserve">Hydrological information for </w:t>
      </w:r>
      <w:proofErr w:type="spellStart"/>
      <w:r w:rsidRPr="007348E1">
        <w:t>Burngrove</w:t>
      </w:r>
      <w:proofErr w:type="spellEnd"/>
      <w:r w:rsidRPr="007348E1">
        <w:t xml:space="preserve"> Creek was based on stream gauge data from an unspecified catchment in the Fitzroy River Basin</w:t>
      </w:r>
      <w:r w:rsidR="00107D52" w:rsidRPr="007348E1">
        <w:t xml:space="preserve">. Flood modeling did not take into account the </w:t>
      </w:r>
      <w:r w:rsidR="00AF3A2E" w:rsidRPr="007348E1">
        <w:t xml:space="preserve">location of the </w:t>
      </w:r>
      <w:r w:rsidR="00107D52" w:rsidRPr="007348E1">
        <w:t>amended rail line.</w:t>
      </w:r>
    </w:p>
    <w:p w:rsidR="00412045" w:rsidRPr="007348E1" w:rsidRDefault="00F0767C" w:rsidP="00737D62">
      <w:pPr>
        <w:pStyle w:val="Default"/>
        <w:spacing w:after="200" w:line="276" w:lineRule="auto"/>
        <w:rPr>
          <w:rFonts w:ascii="Arial" w:eastAsia="Times New Roman" w:hAnsi="Arial" w:cs="Arial"/>
          <w:b/>
          <w:color w:val="auto"/>
          <w:sz w:val="20"/>
          <w:szCs w:val="20"/>
          <w:lang w:eastAsia="en-US"/>
        </w:rPr>
      </w:pPr>
      <w:r w:rsidRPr="007348E1">
        <w:rPr>
          <w:rFonts w:ascii="Arial" w:eastAsia="Times New Roman" w:hAnsi="Arial" w:cs="Arial"/>
          <w:b/>
          <w:color w:val="auto"/>
          <w:sz w:val="20"/>
          <w:szCs w:val="20"/>
          <w:lang w:eastAsia="en-US"/>
        </w:rPr>
        <w:t>Advice</w:t>
      </w:r>
    </w:p>
    <w:p w:rsidR="00F527FC" w:rsidRPr="007348E1" w:rsidRDefault="007203C3" w:rsidP="00737D62">
      <w:pPr>
        <w:pStyle w:val="Default"/>
        <w:spacing w:after="200" w:line="276" w:lineRule="auto"/>
        <w:rPr>
          <w:rFonts w:ascii="Arial" w:eastAsia="Times New Roman" w:hAnsi="Arial" w:cs="Arial"/>
          <w:color w:val="auto"/>
          <w:sz w:val="20"/>
          <w:szCs w:val="20"/>
          <w:lang w:eastAsia="en-US"/>
        </w:rPr>
      </w:pPr>
      <w:r w:rsidRPr="007348E1">
        <w:rPr>
          <w:rFonts w:ascii="Arial" w:eastAsia="Times New Roman" w:hAnsi="Arial" w:cs="Arial"/>
          <w:color w:val="auto"/>
          <w:sz w:val="20"/>
          <w:szCs w:val="20"/>
          <w:lang w:eastAsia="en-US"/>
        </w:rPr>
        <w:t xml:space="preserve">The </w:t>
      </w:r>
      <w:r w:rsidR="00CF562A" w:rsidRPr="007348E1">
        <w:rPr>
          <w:rFonts w:ascii="Arial" w:eastAsia="Times New Roman" w:hAnsi="Arial" w:cs="Arial"/>
          <w:color w:val="auto"/>
          <w:sz w:val="20"/>
          <w:szCs w:val="20"/>
          <w:lang w:eastAsia="en-US"/>
        </w:rPr>
        <w:t>IESC</w:t>
      </w:r>
      <w:r w:rsidRPr="007348E1">
        <w:rPr>
          <w:rFonts w:ascii="Arial" w:eastAsia="Times New Roman" w:hAnsi="Arial" w:cs="Arial"/>
          <w:color w:val="auto"/>
          <w:sz w:val="20"/>
          <w:szCs w:val="20"/>
          <w:lang w:eastAsia="en-US"/>
        </w:rPr>
        <w:t xml:space="preserve">’s advice in response to the </w:t>
      </w:r>
      <w:r w:rsidR="00E57CD8" w:rsidRPr="007348E1">
        <w:rPr>
          <w:rFonts w:ascii="Arial" w:eastAsia="Times New Roman" w:hAnsi="Arial" w:cs="Arial"/>
          <w:color w:val="auto"/>
          <w:sz w:val="20"/>
          <w:szCs w:val="20"/>
          <w:lang w:eastAsia="en-US"/>
        </w:rPr>
        <w:t>requesting agency</w:t>
      </w:r>
      <w:r w:rsidRPr="007348E1">
        <w:rPr>
          <w:rFonts w:ascii="Arial" w:eastAsia="Times New Roman" w:hAnsi="Arial" w:cs="Arial"/>
          <w:color w:val="auto"/>
          <w:sz w:val="20"/>
          <w:szCs w:val="20"/>
          <w:lang w:eastAsia="en-US"/>
        </w:rPr>
        <w:t xml:space="preserve">’s specific questions is provided below. </w:t>
      </w:r>
    </w:p>
    <w:p w:rsidR="00BF1142" w:rsidRPr="007348E1" w:rsidRDefault="00BF1142" w:rsidP="00737D62">
      <w:pPr>
        <w:pStyle w:val="ListNumber"/>
        <w:numPr>
          <w:ilvl w:val="0"/>
          <w:numId w:val="0"/>
        </w:numPr>
        <w:rPr>
          <w:i/>
        </w:rPr>
      </w:pPr>
      <w:r w:rsidRPr="007348E1">
        <w:rPr>
          <w:i/>
        </w:rPr>
        <w:t>Question 1: Are the regional and site water balance models (provided by the proponent in Attachment</w:t>
      </w:r>
      <w:r w:rsidR="00412045" w:rsidRPr="007348E1">
        <w:rPr>
          <w:i/>
        </w:rPr>
        <w:t> </w:t>
      </w:r>
      <w:r w:rsidRPr="007348E1">
        <w:rPr>
          <w:i/>
        </w:rPr>
        <w:t>D) adequate and do they inform the project</w:t>
      </w:r>
      <w:r w:rsidR="00D02E6A" w:rsidRPr="007348E1">
        <w:rPr>
          <w:i/>
        </w:rPr>
        <w:t>’</w:t>
      </w:r>
      <w:r w:rsidRPr="007348E1">
        <w:rPr>
          <w:i/>
        </w:rPr>
        <w:t>s contribution to cumulative impacts in the region?</w:t>
      </w:r>
    </w:p>
    <w:p w:rsidR="00053229" w:rsidRPr="007348E1" w:rsidRDefault="004F5074" w:rsidP="00737D62">
      <w:pPr>
        <w:autoSpaceDE/>
        <w:autoSpaceDN/>
        <w:adjustRightInd/>
        <w:ind w:left="369" w:hanging="369"/>
        <w:rPr>
          <w:u w:val="single"/>
        </w:rPr>
      </w:pPr>
      <w:r w:rsidRPr="007348E1">
        <w:rPr>
          <w:u w:val="single"/>
        </w:rPr>
        <w:t>Response</w:t>
      </w:r>
    </w:p>
    <w:p w:rsidR="008507E3" w:rsidRPr="007348E1" w:rsidRDefault="00BF1142" w:rsidP="00737D62">
      <w:pPr>
        <w:pStyle w:val="ListParagraph"/>
        <w:numPr>
          <w:ilvl w:val="0"/>
          <w:numId w:val="7"/>
        </w:numPr>
        <w:autoSpaceDE/>
        <w:autoSpaceDN/>
        <w:adjustRightInd/>
        <w:ind w:left="426"/>
      </w:pPr>
      <w:r w:rsidRPr="007348E1">
        <w:t>The regional and site water balance models provided by the proponent are based on limited</w:t>
      </w:r>
      <w:r w:rsidR="00F54B81" w:rsidRPr="007348E1">
        <w:t xml:space="preserve"> data and </w:t>
      </w:r>
      <w:r w:rsidR="00AF3A2E" w:rsidRPr="007348E1">
        <w:t>a</w:t>
      </w:r>
      <w:r w:rsidR="00372D8E" w:rsidRPr="007348E1">
        <w:t>n overly</w:t>
      </w:r>
      <w:r w:rsidR="00AF3A2E" w:rsidRPr="007348E1">
        <w:t xml:space="preserve"> </w:t>
      </w:r>
      <w:r w:rsidR="00F54B81" w:rsidRPr="007348E1">
        <w:t xml:space="preserve">simplified conceptualisation. </w:t>
      </w:r>
      <w:r w:rsidR="004D6A1A" w:rsidRPr="007348E1">
        <w:t xml:space="preserve">These </w:t>
      </w:r>
      <w:r w:rsidR="00AF3A2E" w:rsidRPr="007348E1">
        <w:t xml:space="preserve">models </w:t>
      </w:r>
      <w:r w:rsidR="00702999" w:rsidRPr="007348E1">
        <w:t xml:space="preserve">do not provide </w:t>
      </w:r>
      <w:r w:rsidR="00AF3A2E" w:rsidRPr="007348E1">
        <w:t xml:space="preserve">for </w:t>
      </w:r>
      <w:r w:rsidR="00702999" w:rsidRPr="007348E1">
        <w:t xml:space="preserve">a sound basis to inform the proposed project’s contribution to cumulative impacts. </w:t>
      </w:r>
    </w:p>
    <w:p w:rsidR="00053229" w:rsidRPr="007348E1" w:rsidRDefault="00053229" w:rsidP="00737D62">
      <w:pPr>
        <w:autoSpaceDE/>
        <w:autoSpaceDN/>
        <w:adjustRightInd/>
        <w:ind w:left="66"/>
        <w:rPr>
          <w:u w:val="single"/>
        </w:rPr>
      </w:pPr>
      <w:r w:rsidRPr="007348E1">
        <w:rPr>
          <w:u w:val="single"/>
        </w:rPr>
        <w:t>Explanation</w:t>
      </w:r>
    </w:p>
    <w:p w:rsidR="00702999" w:rsidRPr="007348E1" w:rsidRDefault="00702999" w:rsidP="00737D62">
      <w:pPr>
        <w:autoSpaceDE/>
        <w:autoSpaceDN/>
        <w:adjustRightInd/>
        <w:ind w:left="66"/>
        <w:rPr>
          <w:i/>
        </w:rPr>
      </w:pPr>
      <w:r w:rsidRPr="007348E1">
        <w:rPr>
          <w:i/>
        </w:rPr>
        <w:t>Regional Water Balance</w:t>
      </w:r>
    </w:p>
    <w:p w:rsidR="00CA60FB" w:rsidRPr="007348E1" w:rsidRDefault="00712247" w:rsidP="00737D62">
      <w:pPr>
        <w:pStyle w:val="ListParagraph"/>
        <w:numPr>
          <w:ilvl w:val="0"/>
          <w:numId w:val="7"/>
        </w:numPr>
        <w:autoSpaceDE/>
        <w:autoSpaceDN/>
        <w:adjustRightInd/>
        <w:ind w:left="426"/>
      </w:pPr>
      <w:r w:rsidRPr="007348E1">
        <w:t xml:space="preserve">In order to increase </w:t>
      </w:r>
      <w:r w:rsidR="00B105F2" w:rsidRPr="007348E1">
        <w:t>c</w:t>
      </w:r>
      <w:r w:rsidR="00BC4779" w:rsidRPr="007348E1">
        <w:t>onfidence in the regional water balance</w:t>
      </w:r>
      <w:r w:rsidRPr="007348E1">
        <w:t>’s</w:t>
      </w:r>
      <w:r w:rsidR="00BC4779" w:rsidRPr="007348E1">
        <w:t xml:space="preserve"> predictions</w:t>
      </w:r>
      <w:r w:rsidRPr="007348E1">
        <w:t>,</w:t>
      </w:r>
      <w:r w:rsidR="00B105F2" w:rsidRPr="007348E1">
        <w:t xml:space="preserve"> an improved geological conceptualisation is</w:t>
      </w:r>
      <w:r w:rsidR="005420E0" w:rsidRPr="007348E1">
        <w:t xml:space="preserve"> </w:t>
      </w:r>
      <w:r w:rsidR="00F0767C" w:rsidRPr="007348E1">
        <w:t>needed</w:t>
      </w:r>
      <w:r w:rsidR="00B105F2" w:rsidRPr="007348E1">
        <w:t xml:space="preserve">, along with further </w:t>
      </w:r>
      <w:proofErr w:type="spellStart"/>
      <w:r w:rsidR="00B105F2" w:rsidRPr="007348E1">
        <w:t>hydrogeological</w:t>
      </w:r>
      <w:proofErr w:type="spellEnd"/>
      <w:r w:rsidR="00B105F2" w:rsidRPr="007348E1">
        <w:t xml:space="preserve"> data and details on the </w:t>
      </w:r>
      <w:r w:rsidRPr="007348E1">
        <w:t>assumptions that un</w:t>
      </w:r>
      <w:r w:rsidR="00B93504" w:rsidRPr="007348E1">
        <w:t>der</w:t>
      </w:r>
      <w:r w:rsidRPr="007348E1">
        <w:t>pin the groundwater model</w:t>
      </w:r>
      <w:r w:rsidR="00FE581C" w:rsidRPr="007348E1">
        <w:t>’s</w:t>
      </w:r>
      <w:r w:rsidRPr="007348E1">
        <w:t xml:space="preserve"> construction and parameterisation</w:t>
      </w:r>
      <w:r w:rsidR="00B105F2" w:rsidRPr="007348E1">
        <w:t>. In particular, the follow</w:t>
      </w:r>
      <w:r w:rsidR="00B93504" w:rsidRPr="007348E1">
        <w:t>ing</w:t>
      </w:r>
      <w:r w:rsidR="00B105F2" w:rsidRPr="007348E1">
        <w:t xml:space="preserve"> issues should be addressed: </w:t>
      </w:r>
    </w:p>
    <w:p w:rsidR="00702999" w:rsidRPr="007348E1" w:rsidRDefault="00982FA7" w:rsidP="00737D62">
      <w:pPr>
        <w:pStyle w:val="ListParagraph"/>
        <w:numPr>
          <w:ilvl w:val="1"/>
          <w:numId w:val="7"/>
        </w:numPr>
        <w:autoSpaceDE/>
        <w:autoSpaceDN/>
        <w:adjustRightInd/>
        <w:ind w:left="851"/>
      </w:pPr>
      <w:r w:rsidRPr="007348E1">
        <w:lastRenderedPageBreak/>
        <w:t>A</w:t>
      </w:r>
      <w:r w:rsidR="00702999" w:rsidRPr="007348E1">
        <w:t xml:space="preserve">reas along the Mackenzie River, </w:t>
      </w:r>
      <w:proofErr w:type="spellStart"/>
      <w:r w:rsidR="00702999" w:rsidRPr="007348E1">
        <w:t>Burngrove</w:t>
      </w:r>
      <w:proofErr w:type="spellEnd"/>
      <w:r w:rsidR="00702999" w:rsidRPr="007348E1">
        <w:t xml:space="preserve"> Creek and around Coal Mine Lagoon</w:t>
      </w:r>
      <w:r w:rsidR="00EE0E7B" w:rsidRPr="007348E1">
        <w:t xml:space="preserve"> </w:t>
      </w:r>
      <w:r w:rsidR="00F0767C" w:rsidRPr="007348E1">
        <w:t>need f</w:t>
      </w:r>
      <w:r w:rsidR="00EE0E7B" w:rsidRPr="007348E1">
        <w:t>urther characterisation</w:t>
      </w:r>
      <w:r w:rsidR="00702999" w:rsidRPr="007348E1">
        <w:t xml:space="preserve">. The </w:t>
      </w:r>
      <w:r w:rsidR="007644AD" w:rsidRPr="007348E1">
        <w:t>paucity of data</w:t>
      </w:r>
      <w:r w:rsidR="00702999" w:rsidRPr="007348E1">
        <w:t xml:space="preserve"> in the</w:t>
      </w:r>
      <w:r w:rsidR="00CA60FB" w:rsidRPr="007348E1">
        <w:t>se</w:t>
      </w:r>
      <w:r w:rsidR="00B105F2" w:rsidRPr="007348E1">
        <w:t xml:space="preserve"> </w:t>
      </w:r>
      <w:r w:rsidR="00702999" w:rsidRPr="007348E1">
        <w:t>areas</w:t>
      </w:r>
      <w:r w:rsidR="00F27C14" w:rsidRPr="007348E1">
        <w:t xml:space="preserve">, </w:t>
      </w:r>
      <w:r w:rsidR="00F0767C" w:rsidRPr="007348E1">
        <w:t xml:space="preserve">including alluvium thickness, groundwater level and </w:t>
      </w:r>
      <w:proofErr w:type="spellStart"/>
      <w:r w:rsidR="00F0767C" w:rsidRPr="007348E1">
        <w:t>hydrogeological</w:t>
      </w:r>
      <w:proofErr w:type="spellEnd"/>
      <w:r w:rsidR="00F0767C" w:rsidRPr="007348E1">
        <w:t xml:space="preserve"> parameters</w:t>
      </w:r>
      <w:r w:rsidR="007D7F0B" w:rsidRPr="007348E1">
        <w:t>,</w:t>
      </w:r>
      <w:r w:rsidR="00F0767C" w:rsidRPr="007348E1">
        <w:t xml:space="preserve"> has reduced </w:t>
      </w:r>
      <w:r w:rsidR="00702999" w:rsidRPr="007348E1">
        <w:t>understanding of the interaction of groundwater wit</w:t>
      </w:r>
      <w:r w:rsidR="001E269C" w:rsidRPr="007348E1">
        <w:t>h these surface water features and their respect</w:t>
      </w:r>
      <w:r w:rsidR="00390B54" w:rsidRPr="007348E1">
        <w:t>ive</w:t>
      </w:r>
      <w:r w:rsidR="001E269C" w:rsidRPr="007348E1">
        <w:t xml:space="preserve"> contributions </w:t>
      </w:r>
      <w:r w:rsidR="00E7352B" w:rsidRPr="007348E1">
        <w:t>to</w:t>
      </w:r>
      <w:r w:rsidR="001E269C" w:rsidRPr="007348E1">
        <w:t xml:space="preserve"> the regional water balance;</w:t>
      </w:r>
      <w:r w:rsidR="00702999" w:rsidRPr="007348E1">
        <w:t xml:space="preserve"> </w:t>
      </w:r>
    </w:p>
    <w:p w:rsidR="006865AE" w:rsidRPr="007348E1" w:rsidRDefault="00390B54" w:rsidP="00737D62">
      <w:pPr>
        <w:pStyle w:val="ListParagraph"/>
        <w:numPr>
          <w:ilvl w:val="1"/>
          <w:numId w:val="7"/>
        </w:numPr>
        <w:autoSpaceDE/>
        <w:autoSpaceDN/>
        <w:adjustRightInd/>
        <w:ind w:left="851"/>
      </w:pPr>
      <w:r w:rsidRPr="007348E1">
        <w:t>The use of no</w:t>
      </w:r>
      <w:r w:rsidR="005E2F32" w:rsidRPr="007348E1">
        <w:t xml:space="preserve"> flow boundaries</w:t>
      </w:r>
      <w:r w:rsidR="00B86B36" w:rsidRPr="007348E1">
        <w:t xml:space="preserve"> (inactive cells)</w:t>
      </w:r>
      <w:r w:rsidR="005E2F32" w:rsidRPr="007348E1">
        <w:t xml:space="preserve"> </w:t>
      </w:r>
      <w:r w:rsidR="00B86B36" w:rsidRPr="007348E1">
        <w:t xml:space="preserve">to the north and west of the Mackenzie River </w:t>
      </w:r>
      <w:r w:rsidR="005E2F32" w:rsidRPr="007348E1">
        <w:t>require</w:t>
      </w:r>
      <w:r w:rsidR="003F547F" w:rsidRPr="007348E1">
        <w:t>s</w:t>
      </w:r>
      <w:r w:rsidR="005E2F32" w:rsidRPr="007348E1">
        <w:t xml:space="preserve"> further justification as they have the potential to constrai</w:t>
      </w:r>
      <w:r w:rsidR="0037124D" w:rsidRPr="007348E1">
        <w:t>n groundwater flow that might otherwise be</w:t>
      </w:r>
      <w:r w:rsidR="005E2F32" w:rsidRPr="007348E1">
        <w:t xml:space="preserve"> infl</w:t>
      </w:r>
      <w:r w:rsidR="0037124D" w:rsidRPr="007348E1">
        <w:t>uenced by</w:t>
      </w:r>
      <w:r w:rsidRPr="007348E1">
        <w:t xml:space="preserve"> the Mackenzie River and/or</w:t>
      </w:r>
      <w:r w:rsidR="0037124D" w:rsidRPr="007348E1">
        <w:t xml:space="preserve"> project operations; </w:t>
      </w:r>
    </w:p>
    <w:p w:rsidR="00EE00CD" w:rsidRPr="007348E1" w:rsidRDefault="00F0767C" w:rsidP="00737D62">
      <w:pPr>
        <w:pStyle w:val="ListParagraph"/>
        <w:numPr>
          <w:ilvl w:val="1"/>
          <w:numId w:val="7"/>
        </w:numPr>
        <w:autoSpaceDE/>
        <w:autoSpaceDN/>
        <w:adjustRightInd/>
        <w:ind w:left="851"/>
      </w:pPr>
      <w:r w:rsidRPr="007348E1">
        <w:t>Parameters for hydraulic conductivity in the alluvium are noted to be high (500m/day) and no field tests were carried out to support this estimate</w:t>
      </w:r>
      <w:r w:rsidR="0037124D" w:rsidRPr="007348E1">
        <w:t>;</w:t>
      </w:r>
      <w:r w:rsidR="00EE00CD" w:rsidRPr="007348E1">
        <w:t xml:space="preserve"> </w:t>
      </w:r>
    </w:p>
    <w:p w:rsidR="00967E5F" w:rsidRPr="007348E1" w:rsidRDefault="005928FF" w:rsidP="00737D62">
      <w:pPr>
        <w:pStyle w:val="ListParagraph"/>
        <w:numPr>
          <w:ilvl w:val="1"/>
          <w:numId w:val="7"/>
        </w:numPr>
        <w:autoSpaceDE/>
        <w:autoSpaceDN/>
        <w:adjustRightInd/>
        <w:ind w:left="851"/>
      </w:pPr>
      <w:r w:rsidRPr="007348E1">
        <w:t xml:space="preserve">Estimates for </w:t>
      </w:r>
      <w:r w:rsidR="00390B54" w:rsidRPr="007348E1">
        <w:t>recharge</w:t>
      </w:r>
      <w:r w:rsidRPr="007348E1">
        <w:t xml:space="preserve"> (&lt;0.01%) for all model layers</w:t>
      </w:r>
      <w:r w:rsidR="00390B54" w:rsidRPr="007348E1">
        <w:t xml:space="preserve"> </w:t>
      </w:r>
      <w:r w:rsidR="00372D8E" w:rsidRPr="007348E1">
        <w:t>appear low</w:t>
      </w:r>
      <w:r w:rsidR="00390B54" w:rsidRPr="007348E1">
        <w:t xml:space="preserve">, </w:t>
      </w:r>
      <w:r w:rsidR="00D0365B" w:rsidRPr="007348E1">
        <w:t xml:space="preserve">particularly </w:t>
      </w:r>
      <w:r w:rsidRPr="007348E1">
        <w:t>given the</w:t>
      </w:r>
      <w:r w:rsidR="00D0365B" w:rsidRPr="007348E1">
        <w:t xml:space="preserve"> </w:t>
      </w:r>
      <w:r w:rsidR="00390B54" w:rsidRPr="007348E1">
        <w:t>un</w:t>
      </w:r>
      <w:r w:rsidR="00D0365B" w:rsidRPr="007348E1">
        <w:t>consolidated alluvial sediments</w:t>
      </w:r>
      <w:r w:rsidR="00390B54" w:rsidRPr="007348E1">
        <w:t xml:space="preserve"> </w:t>
      </w:r>
      <w:r w:rsidR="00D0365B" w:rsidRPr="007348E1">
        <w:t>that are</w:t>
      </w:r>
      <w:r w:rsidR="00390B54" w:rsidRPr="007348E1">
        <w:t xml:space="preserve"> prevalent within an</w:t>
      </w:r>
      <w:r w:rsidRPr="007348E1">
        <w:t>d surrounding the project site;</w:t>
      </w:r>
    </w:p>
    <w:p w:rsidR="0057446F" w:rsidRPr="007348E1" w:rsidRDefault="004A27A6" w:rsidP="00737D62">
      <w:pPr>
        <w:pStyle w:val="ListParagraph"/>
        <w:numPr>
          <w:ilvl w:val="1"/>
          <w:numId w:val="7"/>
        </w:numPr>
        <w:autoSpaceDE/>
        <w:autoSpaceDN/>
        <w:adjustRightInd/>
        <w:ind w:left="851"/>
      </w:pPr>
      <w:r w:rsidRPr="007348E1">
        <w:t>The pre-development water balance schem</w:t>
      </w:r>
      <w:r w:rsidR="0057446F" w:rsidRPr="007348E1">
        <w:t xml:space="preserve">atic indicates net </w:t>
      </w:r>
      <w:proofErr w:type="spellStart"/>
      <w:r w:rsidR="0057446F" w:rsidRPr="007348E1">
        <w:t>evapotranspir</w:t>
      </w:r>
      <w:r w:rsidRPr="007348E1">
        <w:t>ation</w:t>
      </w:r>
      <w:proofErr w:type="spellEnd"/>
      <w:r w:rsidRPr="007348E1">
        <w:t xml:space="preserve"> from the </w:t>
      </w:r>
      <w:r w:rsidR="003F547F" w:rsidRPr="007348E1">
        <w:t>a</w:t>
      </w:r>
      <w:r w:rsidRPr="007348E1">
        <w:t xml:space="preserve">lluvium, weathered material and </w:t>
      </w:r>
      <w:proofErr w:type="spellStart"/>
      <w:r w:rsidRPr="007348E1">
        <w:t>Burngrove</w:t>
      </w:r>
      <w:proofErr w:type="spellEnd"/>
      <w:r w:rsidRPr="007348E1">
        <w:t xml:space="preserve"> Formation. </w:t>
      </w:r>
      <w:r w:rsidR="0057446F" w:rsidRPr="007348E1">
        <w:t>However, g</w:t>
      </w:r>
      <w:r w:rsidRPr="007348E1">
        <w:t>iven the depth of the weathered m</w:t>
      </w:r>
      <w:r w:rsidR="0057446F" w:rsidRPr="007348E1">
        <w:t xml:space="preserve">aterial and </w:t>
      </w:r>
      <w:proofErr w:type="spellStart"/>
      <w:r w:rsidR="0057446F" w:rsidRPr="007348E1">
        <w:t>Burngrove</w:t>
      </w:r>
      <w:proofErr w:type="spellEnd"/>
      <w:r w:rsidR="0057446F" w:rsidRPr="007348E1">
        <w:t xml:space="preserve"> Formation</w:t>
      </w:r>
      <w:r w:rsidRPr="007348E1">
        <w:t xml:space="preserve">, </w:t>
      </w:r>
      <w:r w:rsidR="00255AC9" w:rsidRPr="007348E1">
        <w:t xml:space="preserve">it is considered unlikely that </w:t>
      </w:r>
      <w:r w:rsidRPr="007348E1">
        <w:t xml:space="preserve">these </w:t>
      </w:r>
      <w:r w:rsidR="0057446F" w:rsidRPr="007348E1">
        <w:t xml:space="preserve">two </w:t>
      </w:r>
      <w:r w:rsidRPr="007348E1">
        <w:t>formations would signific</w:t>
      </w:r>
      <w:r w:rsidR="0057446F" w:rsidRPr="007348E1">
        <w:t>ant</w:t>
      </w:r>
      <w:r w:rsidR="00255AC9" w:rsidRPr="007348E1">
        <w:t>ly</w:t>
      </w:r>
      <w:r w:rsidR="0057446F" w:rsidRPr="007348E1">
        <w:t xml:space="preserve"> contribut</w:t>
      </w:r>
      <w:r w:rsidR="00255AC9" w:rsidRPr="007348E1">
        <w:t>e</w:t>
      </w:r>
      <w:r w:rsidR="0057446F" w:rsidRPr="007348E1">
        <w:t xml:space="preserve"> to </w:t>
      </w:r>
      <w:proofErr w:type="spellStart"/>
      <w:r w:rsidR="0057446F" w:rsidRPr="007348E1">
        <w:t>evapotranspi</w:t>
      </w:r>
      <w:r w:rsidRPr="007348E1">
        <w:t>ration</w:t>
      </w:r>
      <w:proofErr w:type="spellEnd"/>
      <w:r w:rsidR="0057446F" w:rsidRPr="007348E1">
        <w:t>;</w:t>
      </w:r>
      <w:r w:rsidRPr="007348E1">
        <w:t xml:space="preserve"> </w:t>
      </w:r>
    </w:p>
    <w:p w:rsidR="00D0365B" w:rsidRPr="007348E1" w:rsidRDefault="0057446F" w:rsidP="00737D62">
      <w:pPr>
        <w:pStyle w:val="ListParagraph"/>
        <w:numPr>
          <w:ilvl w:val="1"/>
          <w:numId w:val="7"/>
        </w:numPr>
        <w:autoSpaceDE/>
        <w:autoSpaceDN/>
        <w:adjustRightInd/>
        <w:ind w:left="851"/>
      </w:pPr>
      <w:r w:rsidRPr="007348E1">
        <w:t>The potential for all three formations</w:t>
      </w:r>
      <w:r w:rsidR="004A27A6" w:rsidRPr="007348E1">
        <w:t xml:space="preserve"> </w:t>
      </w:r>
      <w:r w:rsidRPr="007348E1">
        <w:t xml:space="preserve">(alluvium, weathered material and </w:t>
      </w:r>
      <w:proofErr w:type="spellStart"/>
      <w:r w:rsidRPr="007348E1">
        <w:t>Burngrove</w:t>
      </w:r>
      <w:proofErr w:type="spellEnd"/>
      <w:r w:rsidRPr="007348E1">
        <w:t xml:space="preserve"> Formation) </w:t>
      </w:r>
      <w:r w:rsidR="004A27A6" w:rsidRPr="007348E1">
        <w:t xml:space="preserve">to </w:t>
      </w:r>
      <w:r w:rsidRPr="007348E1">
        <w:t xml:space="preserve">contribute to </w:t>
      </w:r>
      <w:proofErr w:type="spellStart"/>
      <w:r w:rsidR="004A27A6" w:rsidRPr="007348E1">
        <w:t>baseflow</w:t>
      </w:r>
      <w:proofErr w:type="spellEnd"/>
      <w:r w:rsidRPr="007348E1">
        <w:t xml:space="preserve"> to the Mackenzie R</w:t>
      </w:r>
      <w:r w:rsidR="004A27A6" w:rsidRPr="007348E1">
        <w:t xml:space="preserve">iver </w:t>
      </w:r>
      <w:r w:rsidRPr="007348E1">
        <w:t xml:space="preserve">is not discussed in any detail; </w:t>
      </w:r>
    </w:p>
    <w:p w:rsidR="007644AD" w:rsidRPr="007348E1" w:rsidRDefault="00052367" w:rsidP="00737D62">
      <w:pPr>
        <w:pStyle w:val="ListParagraph"/>
        <w:numPr>
          <w:ilvl w:val="1"/>
          <w:numId w:val="7"/>
        </w:numPr>
        <w:autoSpaceDE/>
        <w:autoSpaceDN/>
        <w:adjustRightInd/>
        <w:ind w:left="851"/>
      </w:pPr>
      <w:r w:rsidRPr="007348E1">
        <w:t xml:space="preserve">There </w:t>
      </w:r>
      <w:r w:rsidR="002D48CA" w:rsidRPr="007348E1">
        <w:t>are too few</w:t>
      </w:r>
      <w:r w:rsidR="00391622" w:rsidRPr="007348E1">
        <w:t xml:space="preserve"> </w:t>
      </w:r>
      <w:r w:rsidRPr="007348E1">
        <w:t>groundwater monitoring bores on and around the site to adequately calibrate the model. Additional bores</w:t>
      </w:r>
      <w:r w:rsidR="00A37202" w:rsidRPr="007348E1">
        <w:t>,</w:t>
      </w:r>
      <w:r w:rsidRPr="007348E1">
        <w:t xml:space="preserve"> including nested bores at adequate depth</w:t>
      </w:r>
      <w:r w:rsidR="0057446F" w:rsidRPr="007348E1">
        <w:t>s</w:t>
      </w:r>
      <w:r w:rsidRPr="007348E1">
        <w:t xml:space="preserve"> and spatial coverage, targeting specific formations</w:t>
      </w:r>
      <w:r w:rsidR="00A37202" w:rsidRPr="007348E1">
        <w:t>,</w:t>
      </w:r>
      <w:r w:rsidRPr="007348E1">
        <w:t xml:space="preserve"> are required </w:t>
      </w:r>
      <w:r w:rsidR="0057446F" w:rsidRPr="007348E1">
        <w:t xml:space="preserve">to increase confidence in the </w:t>
      </w:r>
      <w:r w:rsidRPr="007348E1">
        <w:t>model</w:t>
      </w:r>
      <w:r w:rsidR="0057446F" w:rsidRPr="007348E1">
        <w:t>’s</w:t>
      </w:r>
      <w:r w:rsidRPr="007348E1">
        <w:t xml:space="preserve"> predictions</w:t>
      </w:r>
      <w:r w:rsidR="00576AE7" w:rsidRPr="007348E1">
        <w:t>; and</w:t>
      </w:r>
    </w:p>
    <w:p w:rsidR="00702999" w:rsidRPr="007348E1" w:rsidRDefault="00576AE7" w:rsidP="00737D62">
      <w:pPr>
        <w:pStyle w:val="ListParagraph"/>
        <w:numPr>
          <w:ilvl w:val="1"/>
          <w:numId w:val="7"/>
        </w:numPr>
        <w:autoSpaceDE/>
        <w:autoSpaceDN/>
        <w:adjustRightInd/>
        <w:ind w:left="851"/>
      </w:pPr>
      <w:r w:rsidRPr="007348E1">
        <w:t>The pre-development water balance schematic should detail the contribution of individual components (such as rainfall, the Bedford Weir, private water bores in the region and the other nearby mines). It is unclear whether these components were taken into consideration in the net volumes provided in the water balance.</w:t>
      </w:r>
      <w:r w:rsidR="001E269C" w:rsidRPr="007348E1">
        <w:t xml:space="preserve"> </w:t>
      </w:r>
    </w:p>
    <w:p w:rsidR="00BF1142" w:rsidRPr="007348E1" w:rsidRDefault="00BF1142" w:rsidP="00737D62">
      <w:pPr>
        <w:ind w:left="369" w:hanging="369"/>
        <w:rPr>
          <w:i/>
        </w:rPr>
      </w:pPr>
      <w:r w:rsidRPr="007348E1">
        <w:rPr>
          <w:i/>
        </w:rPr>
        <w:t>Site water balance:</w:t>
      </w:r>
    </w:p>
    <w:p w:rsidR="00BF1142" w:rsidRPr="007348E1" w:rsidRDefault="00BF1142" w:rsidP="00737D62">
      <w:pPr>
        <w:pStyle w:val="ListParagraph"/>
        <w:numPr>
          <w:ilvl w:val="0"/>
          <w:numId w:val="7"/>
        </w:numPr>
        <w:autoSpaceDE/>
        <w:autoSpaceDN/>
        <w:adjustRightInd/>
        <w:ind w:left="426"/>
      </w:pPr>
      <w:r w:rsidRPr="007348E1">
        <w:t xml:space="preserve">Key inputs and outputs for the site water balance have not been </w:t>
      </w:r>
      <w:r w:rsidR="00712247" w:rsidRPr="007348E1">
        <w:t xml:space="preserve">adequately </w:t>
      </w:r>
      <w:r w:rsidR="00DF625D" w:rsidRPr="007348E1">
        <w:t>identified.</w:t>
      </w:r>
      <w:r w:rsidR="00762DB3" w:rsidRPr="007348E1">
        <w:t xml:space="preserve"> </w:t>
      </w:r>
      <w:r w:rsidRPr="007348E1">
        <w:t xml:space="preserve">As a result, it is difficult to evaluate the adequacy of the site water balance or understand the proposal’s contribution to cumulative impacts. </w:t>
      </w:r>
      <w:r w:rsidR="00A5684F" w:rsidRPr="007348E1">
        <w:t>A</w:t>
      </w:r>
      <w:r w:rsidRPr="007348E1">
        <w:t xml:space="preserve">spects of the site water balance which </w:t>
      </w:r>
      <w:r w:rsidR="00F0767C" w:rsidRPr="007348E1">
        <w:t>need</w:t>
      </w:r>
      <w:r w:rsidR="001D4089" w:rsidRPr="007348E1">
        <w:t xml:space="preserve"> </w:t>
      </w:r>
      <w:r w:rsidRPr="007348E1">
        <w:t>further clarification and justification include:</w:t>
      </w:r>
    </w:p>
    <w:p w:rsidR="00BF1142" w:rsidRPr="007348E1" w:rsidRDefault="00BF1142" w:rsidP="00737D62">
      <w:pPr>
        <w:pStyle w:val="ListParagraph"/>
        <w:numPr>
          <w:ilvl w:val="1"/>
          <w:numId w:val="7"/>
        </w:numPr>
        <w:autoSpaceDE/>
        <w:autoSpaceDN/>
        <w:adjustRightInd/>
        <w:ind w:left="851"/>
      </w:pPr>
      <w:r w:rsidRPr="007348E1">
        <w:t>Estimates for evaporation, collected on-site runoff and seepage, and groundwater inflows</w:t>
      </w:r>
      <w:r w:rsidR="00E04194" w:rsidRPr="007348E1">
        <w:t xml:space="preserve">. </w:t>
      </w:r>
      <w:r w:rsidRPr="007348E1">
        <w:t>In addition</w:t>
      </w:r>
      <w:r w:rsidR="00762DB3" w:rsidRPr="007348E1">
        <w:t>,</w:t>
      </w:r>
      <w:r w:rsidRPr="007348E1">
        <w:t xml:space="preserve"> a comprehensive list of mine site water demands has not been provided. </w:t>
      </w:r>
      <w:r w:rsidR="00762DB3" w:rsidRPr="007348E1">
        <w:t xml:space="preserve">These </w:t>
      </w:r>
      <w:r w:rsidRPr="007348E1">
        <w:t xml:space="preserve">inputs and outputs should be quantified throughout the </w:t>
      </w:r>
      <w:r w:rsidR="00762DB3" w:rsidRPr="007348E1">
        <w:t>life of the mine</w:t>
      </w:r>
      <w:r w:rsidRPr="007348E1">
        <w:t xml:space="preserve"> on a seasonal basis;</w:t>
      </w:r>
    </w:p>
    <w:p w:rsidR="00463B1F" w:rsidRPr="007348E1" w:rsidRDefault="007D7F0B" w:rsidP="00737D62">
      <w:pPr>
        <w:pStyle w:val="ListParagraph"/>
        <w:numPr>
          <w:ilvl w:val="1"/>
          <w:numId w:val="7"/>
        </w:numPr>
        <w:autoSpaceDE/>
        <w:autoSpaceDN/>
        <w:adjustRightInd/>
        <w:ind w:left="851"/>
      </w:pPr>
      <w:r w:rsidRPr="007348E1">
        <w:t>D</w:t>
      </w:r>
      <w:r w:rsidR="00F0767C" w:rsidRPr="007348E1">
        <w:t>etails</w:t>
      </w:r>
      <w:r w:rsidR="00FE581C" w:rsidRPr="007348E1">
        <w:t xml:space="preserve"> of </w:t>
      </w:r>
      <w:r w:rsidR="00762DB3" w:rsidRPr="007348E1">
        <w:t xml:space="preserve">the capacity and use of </w:t>
      </w:r>
      <w:r w:rsidR="00463B1F" w:rsidRPr="007348E1">
        <w:t xml:space="preserve">mine water storage facilities including scenarios of when and how they will be used; </w:t>
      </w:r>
    </w:p>
    <w:p w:rsidR="00E04194" w:rsidRPr="007348E1" w:rsidRDefault="007D7F0B" w:rsidP="00737D62">
      <w:pPr>
        <w:pStyle w:val="ListParagraph"/>
        <w:numPr>
          <w:ilvl w:val="1"/>
          <w:numId w:val="7"/>
        </w:numPr>
        <w:autoSpaceDE/>
        <w:autoSpaceDN/>
        <w:adjustRightInd/>
        <w:ind w:left="851"/>
      </w:pPr>
      <w:r w:rsidRPr="007348E1">
        <w:t>Obtaining d</w:t>
      </w:r>
      <w:r w:rsidR="00BF1142" w:rsidRPr="007348E1">
        <w:t xml:space="preserve">etails of the </w:t>
      </w:r>
      <w:r w:rsidR="00463B1F" w:rsidRPr="007348E1">
        <w:t xml:space="preserve">proposed water treatment </w:t>
      </w:r>
      <w:r w:rsidR="00762DB3" w:rsidRPr="007348E1">
        <w:t xml:space="preserve">facility </w:t>
      </w:r>
      <w:r w:rsidR="00BF1142" w:rsidRPr="007348E1">
        <w:t xml:space="preserve">would be prudent given the range of contaminants </w:t>
      </w:r>
      <w:r w:rsidR="001110F1" w:rsidRPr="007348E1">
        <w:t xml:space="preserve">that could </w:t>
      </w:r>
      <w:r w:rsidR="00BF1142" w:rsidRPr="007348E1">
        <w:t xml:space="preserve">potentially </w:t>
      </w:r>
      <w:r w:rsidR="001110F1" w:rsidRPr="007348E1">
        <w:t xml:space="preserve">be </w:t>
      </w:r>
      <w:r w:rsidR="00BF1142" w:rsidRPr="007348E1">
        <w:t xml:space="preserve">generated </w:t>
      </w:r>
      <w:r w:rsidR="00A37202" w:rsidRPr="007348E1">
        <w:t>and discharge</w:t>
      </w:r>
      <w:r w:rsidR="00DF625D" w:rsidRPr="007348E1">
        <w:t>d</w:t>
      </w:r>
      <w:r w:rsidR="00A37202" w:rsidRPr="007348E1">
        <w:t xml:space="preserve"> from the </w:t>
      </w:r>
      <w:r w:rsidR="00BF1142" w:rsidRPr="007348E1">
        <w:t>site</w:t>
      </w:r>
      <w:r w:rsidR="00F0767C" w:rsidRPr="007348E1">
        <w:t>; and</w:t>
      </w:r>
    </w:p>
    <w:p w:rsidR="00BF1142" w:rsidRPr="007348E1" w:rsidRDefault="00B47A1C" w:rsidP="00737D62">
      <w:pPr>
        <w:pStyle w:val="ListParagraph"/>
        <w:numPr>
          <w:ilvl w:val="1"/>
          <w:numId w:val="7"/>
        </w:numPr>
        <w:autoSpaceDE/>
        <w:autoSpaceDN/>
        <w:adjustRightInd/>
        <w:ind w:left="851"/>
      </w:pPr>
      <w:r w:rsidRPr="007348E1">
        <w:t>T</w:t>
      </w:r>
      <w:r w:rsidR="00BF1142" w:rsidRPr="007348E1">
        <w:t>he proposed c</w:t>
      </w:r>
      <w:r w:rsidRPr="007348E1">
        <w:t>ontrolled release strategy used</w:t>
      </w:r>
      <w:r w:rsidR="00BF1142" w:rsidRPr="007348E1">
        <w:t xml:space="preserve"> gauge data from an unspecified catchment within the Fitzroy Basin</w:t>
      </w:r>
      <w:r w:rsidRPr="007348E1">
        <w:t xml:space="preserve"> to simulate flows in </w:t>
      </w:r>
      <w:proofErr w:type="spellStart"/>
      <w:r w:rsidRPr="007348E1">
        <w:t>Burngrove</w:t>
      </w:r>
      <w:proofErr w:type="spellEnd"/>
      <w:r w:rsidRPr="007348E1">
        <w:t xml:space="preserve"> Creek</w:t>
      </w:r>
      <w:r w:rsidR="00BF1142" w:rsidRPr="007348E1">
        <w:t xml:space="preserve">. </w:t>
      </w:r>
      <w:r w:rsidR="0038622D" w:rsidRPr="007348E1">
        <w:t>The appropriateness of this gauge needs to be demonstrated</w:t>
      </w:r>
      <w:r w:rsidR="00587851" w:rsidRPr="007348E1">
        <w:t xml:space="preserve"> and the addition of </w:t>
      </w:r>
      <w:r w:rsidR="0038622D" w:rsidRPr="007348E1">
        <w:t>a</w:t>
      </w:r>
      <w:r w:rsidR="00BF1142" w:rsidRPr="007348E1">
        <w:t xml:space="preserve"> flow gauge on </w:t>
      </w:r>
      <w:proofErr w:type="spellStart"/>
      <w:r w:rsidR="00BF1142" w:rsidRPr="007348E1">
        <w:t>Burngrove</w:t>
      </w:r>
      <w:proofErr w:type="spellEnd"/>
      <w:r w:rsidR="00BF1142" w:rsidRPr="007348E1">
        <w:t xml:space="preserve"> Creek </w:t>
      </w:r>
      <w:r w:rsidR="00587851" w:rsidRPr="007348E1">
        <w:t>should be considered.</w:t>
      </w:r>
    </w:p>
    <w:p w:rsidR="00BF1142" w:rsidRPr="007348E1" w:rsidRDefault="00BF1142" w:rsidP="00737D62">
      <w:pPr>
        <w:ind w:left="369" w:hanging="369"/>
        <w:rPr>
          <w:i/>
        </w:rPr>
      </w:pPr>
      <w:r w:rsidRPr="007348E1">
        <w:rPr>
          <w:i/>
        </w:rPr>
        <w:lastRenderedPageBreak/>
        <w:t>Cumulative Impacts</w:t>
      </w:r>
    </w:p>
    <w:p w:rsidR="005C01F9" w:rsidRPr="007348E1" w:rsidRDefault="005C01F9" w:rsidP="00737D62">
      <w:pPr>
        <w:pStyle w:val="ListParagraph"/>
        <w:numPr>
          <w:ilvl w:val="0"/>
          <w:numId w:val="7"/>
        </w:numPr>
        <w:autoSpaceDE/>
        <w:autoSpaceDN/>
        <w:adjustRightInd/>
      </w:pPr>
      <w:r w:rsidRPr="007348E1">
        <w:t>T</w:t>
      </w:r>
      <w:r w:rsidR="00BF1142" w:rsidRPr="007348E1">
        <w:t>he proposed mine is located between three mines</w:t>
      </w:r>
      <w:r w:rsidR="00DF625D" w:rsidRPr="007348E1">
        <w:t xml:space="preserve">: </w:t>
      </w:r>
      <w:proofErr w:type="spellStart"/>
      <w:r w:rsidR="00DF625D" w:rsidRPr="007348E1">
        <w:t>Curragh</w:t>
      </w:r>
      <w:proofErr w:type="spellEnd"/>
      <w:r w:rsidR="00DF625D" w:rsidRPr="007348E1">
        <w:t xml:space="preserve"> Coal Mine to the east, </w:t>
      </w:r>
      <w:proofErr w:type="spellStart"/>
      <w:r w:rsidR="00DF625D" w:rsidRPr="007348E1">
        <w:t>Ensham</w:t>
      </w:r>
      <w:proofErr w:type="spellEnd"/>
      <w:r w:rsidR="00DF625D" w:rsidRPr="007348E1">
        <w:t xml:space="preserve"> Coal Mine to the west</w:t>
      </w:r>
      <w:r w:rsidR="00BF1142" w:rsidRPr="007348E1">
        <w:t xml:space="preserve"> and Blackwater Coal Mine to the south. </w:t>
      </w:r>
      <w:r w:rsidR="00DF625D" w:rsidRPr="007348E1">
        <w:t xml:space="preserve">Based on the </w:t>
      </w:r>
      <w:r w:rsidR="00C0671B" w:rsidRPr="007348E1">
        <w:t>conclusions fro</w:t>
      </w:r>
      <w:r w:rsidR="001350A6" w:rsidRPr="007348E1">
        <w:t>m</w:t>
      </w:r>
      <w:r w:rsidR="00DF625D" w:rsidRPr="007348E1">
        <w:t xml:space="preserve"> an analytical model</w:t>
      </w:r>
      <w:r w:rsidR="008343AE" w:rsidRPr="007348E1">
        <w:t xml:space="preserve"> (</w:t>
      </w:r>
      <w:r w:rsidR="00C0671B" w:rsidRPr="007348E1">
        <w:t>for</w:t>
      </w:r>
      <w:r w:rsidR="008343AE" w:rsidRPr="007348E1">
        <w:t xml:space="preserve"> which limited detail is provided)</w:t>
      </w:r>
      <w:r w:rsidR="00587851" w:rsidRPr="007348E1">
        <w:t>,</w:t>
      </w:r>
      <w:r w:rsidR="00DF625D" w:rsidRPr="007348E1">
        <w:t xml:space="preserve"> </w:t>
      </w:r>
      <w:r w:rsidR="00255AC9" w:rsidRPr="007348E1">
        <w:t xml:space="preserve">the proponent </w:t>
      </w:r>
      <w:r w:rsidR="00C0671B" w:rsidRPr="007348E1">
        <w:t>assumes</w:t>
      </w:r>
      <w:r w:rsidR="00255AC9" w:rsidRPr="007348E1">
        <w:t xml:space="preserve"> </w:t>
      </w:r>
      <w:r w:rsidR="00DF625D" w:rsidRPr="007348E1">
        <w:t xml:space="preserve">that drawdown is not likely </w:t>
      </w:r>
      <w:r w:rsidR="00255AC9" w:rsidRPr="007348E1">
        <w:t xml:space="preserve">to </w:t>
      </w:r>
      <w:r w:rsidR="00DF625D" w:rsidRPr="007348E1">
        <w:t>extend to these mines</w:t>
      </w:r>
      <w:r w:rsidRPr="007348E1">
        <w:t xml:space="preserve"> </w:t>
      </w:r>
      <w:r w:rsidR="00255AC9" w:rsidRPr="007348E1">
        <w:t xml:space="preserve">and </w:t>
      </w:r>
      <w:r w:rsidR="00C0671B" w:rsidRPr="007348E1">
        <w:t xml:space="preserve">so </w:t>
      </w:r>
      <w:r w:rsidRPr="007348E1">
        <w:t xml:space="preserve">excluded the neighbouring mines from the numerical groundwater model. </w:t>
      </w:r>
      <w:r w:rsidR="0097796B" w:rsidRPr="007348E1">
        <w:t xml:space="preserve">In addition, the </w:t>
      </w:r>
      <w:r w:rsidRPr="007348E1">
        <w:t xml:space="preserve">extent or </w:t>
      </w:r>
      <w:r w:rsidR="00FC1349" w:rsidRPr="007348E1">
        <w:t xml:space="preserve">magnitude of drawdown associated with the three adjacent mines, in particular the nearby </w:t>
      </w:r>
      <w:proofErr w:type="spellStart"/>
      <w:r w:rsidR="00FC1349" w:rsidRPr="007348E1">
        <w:t>Curragh</w:t>
      </w:r>
      <w:proofErr w:type="spellEnd"/>
      <w:r w:rsidR="00FC1349" w:rsidRPr="007348E1">
        <w:t xml:space="preserve"> mine to the east, has</w:t>
      </w:r>
      <w:r w:rsidRPr="007348E1">
        <w:t xml:space="preserve"> not been provided in </w:t>
      </w:r>
      <w:r w:rsidR="00587851" w:rsidRPr="007348E1">
        <w:t xml:space="preserve">the </w:t>
      </w:r>
      <w:r w:rsidRPr="007348E1">
        <w:t>drawdown estimated from the proposed project</w:t>
      </w:r>
      <w:r w:rsidR="00FC1349" w:rsidRPr="007348E1">
        <w:t xml:space="preserve">. </w:t>
      </w:r>
      <w:r w:rsidR="00587851" w:rsidRPr="007348E1">
        <w:t>As a result,</w:t>
      </w:r>
      <w:r w:rsidR="001350A6" w:rsidRPr="007348E1">
        <w:t xml:space="preserve"> based on the information presented,</w:t>
      </w:r>
      <w:r w:rsidR="00587851" w:rsidRPr="007348E1">
        <w:t xml:space="preserve"> it is </w:t>
      </w:r>
      <w:r w:rsidR="00FC1349" w:rsidRPr="007348E1">
        <w:t xml:space="preserve">not possible to verify the </w:t>
      </w:r>
      <w:proofErr w:type="spellStart"/>
      <w:r w:rsidR="00255AC9" w:rsidRPr="007348E1">
        <w:t>proponent’s</w:t>
      </w:r>
      <w:proofErr w:type="spellEnd"/>
      <w:r w:rsidR="00FC1349" w:rsidRPr="007348E1">
        <w:t xml:space="preserve"> claim that </w:t>
      </w:r>
      <w:r w:rsidR="008343AE" w:rsidRPr="007348E1">
        <w:t>t</w:t>
      </w:r>
      <w:r w:rsidR="00FC1349" w:rsidRPr="007348E1">
        <w:t xml:space="preserve">here is a low risk of cumulative groundwater drawdown </w:t>
      </w:r>
      <w:r w:rsidR="008343AE" w:rsidRPr="007348E1">
        <w:t>associated with all the</w:t>
      </w:r>
      <w:r w:rsidR="00FC1349" w:rsidRPr="007348E1">
        <w:t xml:space="preserve"> mines.</w:t>
      </w:r>
    </w:p>
    <w:p w:rsidR="00CA60FB" w:rsidRPr="007348E1" w:rsidRDefault="00865408" w:rsidP="00737D62">
      <w:pPr>
        <w:pStyle w:val="ListParagraph"/>
        <w:numPr>
          <w:ilvl w:val="0"/>
          <w:numId w:val="7"/>
        </w:numPr>
        <w:autoSpaceDE/>
        <w:autoSpaceDN/>
        <w:adjustRightInd/>
        <w:ind w:left="426"/>
      </w:pPr>
      <w:r w:rsidRPr="007348E1">
        <w:t>U</w:t>
      </w:r>
      <w:r w:rsidR="00BF1142" w:rsidRPr="007348E1">
        <w:t>p to 11 ML/</w:t>
      </w:r>
      <w:r w:rsidR="00F0767C" w:rsidRPr="007348E1">
        <w:t>year</w:t>
      </w:r>
      <w:r w:rsidR="00BF1142" w:rsidRPr="007348E1">
        <w:t xml:space="preserve"> of loss in </w:t>
      </w:r>
      <w:proofErr w:type="spellStart"/>
      <w:r w:rsidR="00BF1142" w:rsidRPr="007348E1">
        <w:t>baseflow</w:t>
      </w:r>
      <w:proofErr w:type="spellEnd"/>
      <w:r w:rsidR="00BF1142" w:rsidRPr="007348E1">
        <w:t xml:space="preserve"> contribution and l</w:t>
      </w:r>
      <w:r w:rsidRPr="007348E1">
        <w:t>eakage from the Mackenzie River has been estimated</w:t>
      </w:r>
      <w:r w:rsidR="00BF1142" w:rsidRPr="007348E1">
        <w:t xml:space="preserve">. The proponent states that all losses to the river are proposed to be licensed; </w:t>
      </w:r>
      <w:r w:rsidR="00587851" w:rsidRPr="007348E1">
        <w:t xml:space="preserve">and as a result, </w:t>
      </w:r>
      <w:r w:rsidR="00BF1142" w:rsidRPr="007348E1">
        <w:t xml:space="preserve">no cumulative </w:t>
      </w:r>
      <w:proofErr w:type="spellStart"/>
      <w:r w:rsidR="00587851" w:rsidRPr="007348E1">
        <w:t>baseflow</w:t>
      </w:r>
      <w:proofErr w:type="spellEnd"/>
      <w:r w:rsidR="00587851" w:rsidRPr="007348E1">
        <w:t xml:space="preserve"> </w:t>
      </w:r>
      <w:r w:rsidR="00BF1142" w:rsidRPr="007348E1">
        <w:t>impacts will occur</w:t>
      </w:r>
      <w:r w:rsidR="00587851" w:rsidRPr="007348E1">
        <w:t>.</w:t>
      </w:r>
      <w:r w:rsidR="00BF1142" w:rsidRPr="007348E1">
        <w:t xml:space="preserve"> </w:t>
      </w:r>
      <w:r w:rsidR="00337876" w:rsidRPr="007348E1">
        <w:t>D</w:t>
      </w:r>
      <w:r w:rsidR="00BF1142" w:rsidRPr="007348E1">
        <w:t xml:space="preserve">ue to the lack </w:t>
      </w:r>
      <w:r w:rsidR="00587851" w:rsidRPr="007348E1">
        <w:t>of surface– groundwater characterisation</w:t>
      </w:r>
      <w:r w:rsidR="00702550" w:rsidRPr="007348E1">
        <w:t>s</w:t>
      </w:r>
      <w:r w:rsidR="00BF1142" w:rsidRPr="007348E1">
        <w:t xml:space="preserve">, the estimated </w:t>
      </w:r>
      <w:r w:rsidR="00587851" w:rsidRPr="007348E1">
        <w:t xml:space="preserve">loss </w:t>
      </w:r>
      <w:r w:rsidR="00BF1142" w:rsidRPr="007348E1">
        <w:t xml:space="preserve">could be underestimated. </w:t>
      </w:r>
    </w:p>
    <w:p w:rsidR="001D4089" w:rsidRPr="007348E1" w:rsidRDefault="00F0767C" w:rsidP="00737D62">
      <w:pPr>
        <w:pStyle w:val="ListParagraph"/>
        <w:numPr>
          <w:ilvl w:val="0"/>
          <w:numId w:val="7"/>
        </w:numPr>
        <w:autoSpaceDE/>
        <w:autoSpaceDN/>
        <w:adjustRightInd/>
      </w:pPr>
      <w:r w:rsidRPr="007348E1">
        <w:t xml:space="preserve">Given the presence of the </w:t>
      </w:r>
      <w:proofErr w:type="spellStart"/>
      <w:r w:rsidRPr="007348E1">
        <w:t>Curragh</w:t>
      </w:r>
      <w:proofErr w:type="spellEnd"/>
      <w:r w:rsidRPr="007348E1">
        <w:t xml:space="preserve"> West mine upstream on </w:t>
      </w:r>
      <w:proofErr w:type="spellStart"/>
      <w:r w:rsidRPr="007348E1">
        <w:t>Burngrove</w:t>
      </w:r>
      <w:proofErr w:type="spellEnd"/>
      <w:r w:rsidRPr="007348E1">
        <w:t xml:space="preserve"> Creek, clarification should be sought from the operators of this mine to determine whether discharges are made to </w:t>
      </w:r>
      <w:proofErr w:type="spellStart"/>
      <w:r w:rsidRPr="007348E1">
        <w:t>Burngrove</w:t>
      </w:r>
      <w:proofErr w:type="spellEnd"/>
      <w:r w:rsidRPr="007348E1">
        <w:t xml:space="preserve"> Creek. This will allow an assessment of potential cumulative flood impacts as well as cumulative impacts on downstream hydrology, water quality and other water related assets. </w:t>
      </w:r>
    </w:p>
    <w:p w:rsidR="00BF1142" w:rsidRPr="007348E1" w:rsidRDefault="00BF1142" w:rsidP="00737D62">
      <w:pPr>
        <w:pStyle w:val="ListNumber"/>
        <w:numPr>
          <w:ilvl w:val="0"/>
          <w:numId w:val="0"/>
        </w:numPr>
        <w:rPr>
          <w:i/>
        </w:rPr>
      </w:pPr>
      <w:r w:rsidRPr="007348E1">
        <w:rPr>
          <w:i/>
        </w:rPr>
        <w:t xml:space="preserve">Question 2: Are the provided management options adequate to manage local and regional flooding? What modifications or additions would address any significant shortcomings? </w:t>
      </w:r>
    </w:p>
    <w:p w:rsidR="008343AE" w:rsidRPr="007348E1" w:rsidRDefault="004F5074" w:rsidP="00737D62">
      <w:pPr>
        <w:pStyle w:val="ListNumber"/>
        <w:numPr>
          <w:ilvl w:val="0"/>
          <w:numId w:val="0"/>
        </w:numPr>
        <w:rPr>
          <w:u w:val="single"/>
        </w:rPr>
      </w:pPr>
      <w:r w:rsidRPr="007348E1">
        <w:rPr>
          <w:u w:val="single"/>
        </w:rPr>
        <w:t>Response</w:t>
      </w:r>
    </w:p>
    <w:p w:rsidR="00BE4510" w:rsidRPr="007348E1" w:rsidRDefault="00BE4510" w:rsidP="00737D62">
      <w:pPr>
        <w:pStyle w:val="ListParagraph"/>
        <w:numPr>
          <w:ilvl w:val="0"/>
          <w:numId w:val="7"/>
        </w:numPr>
        <w:autoSpaceDE/>
        <w:autoSpaceDN/>
        <w:adjustRightInd/>
        <w:ind w:left="426"/>
      </w:pPr>
      <w:r w:rsidRPr="007348E1">
        <w:t>There is l</w:t>
      </w:r>
      <w:r w:rsidR="00BF1142" w:rsidRPr="007348E1">
        <w:t xml:space="preserve">imited and conflicting information </w:t>
      </w:r>
      <w:r w:rsidR="008343AE" w:rsidRPr="007348E1">
        <w:t>regarding</w:t>
      </w:r>
      <w:r w:rsidR="000342C4" w:rsidRPr="007348E1">
        <w:t xml:space="preserve"> </w:t>
      </w:r>
      <w:r w:rsidR="00BF1142" w:rsidRPr="007348E1">
        <w:t>flood</w:t>
      </w:r>
      <w:r w:rsidR="000342C4" w:rsidRPr="007348E1">
        <w:t xml:space="preserve"> </w:t>
      </w:r>
      <w:r w:rsidR="00BF1142" w:rsidRPr="007348E1">
        <w:t>impacts</w:t>
      </w:r>
      <w:r w:rsidR="003C295B" w:rsidRPr="007348E1">
        <w:t xml:space="preserve">, in particular </w:t>
      </w:r>
      <w:r w:rsidR="00BF1142" w:rsidRPr="007348E1">
        <w:t xml:space="preserve">geomorphology and water </w:t>
      </w:r>
      <w:r w:rsidRPr="007348E1">
        <w:t>quality</w:t>
      </w:r>
      <w:r w:rsidR="008343AE" w:rsidRPr="007348E1">
        <w:t xml:space="preserve"> impacts. In the absence of an adequate assessment</w:t>
      </w:r>
      <w:r w:rsidR="00682843" w:rsidRPr="007348E1">
        <w:t xml:space="preserve"> of the flood impacts</w:t>
      </w:r>
      <w:r w:rsidR="008343AE" w:rsidRPr="007348E1">
        <w:t xml:space="preserve">, it is difficult to determine the </w:t>
      </w:r>
      <w:r w:rsidR="00A65118" w:rsidRPr="007348E1">
        <w:t xml:space="preserve">adequacy </w:t>
      </w:r>
      <w:r w:rsidR="008343AE" w:rsidRPr="007348E1">
        <w:t xml:space="preserve">of </w:t>
      </w:r>
      <w:r w:rsidR="00A37202" w:rsidRPr="007348E1">
        <w:t>proposed management options</w:t>
      </w:r>
      <w:r w:rsidR="00BF1142" w:rsidRPr="007348E1">
        <w:t xml:space="preserve">. </w:t>
      </w:r>
    </w:p>
    <w:p w:rsidR="00A71076" w:rsidRPr="007348E1" w:rsidRDefault="00BF361B" w:rsidP="00737D62">
      <w:pPr>
        <w:autoSpaceDE/>
        <w:autoSpaceDN/>
        <w:adjustRightInd/>
        <w:rPr>
          <w:u w:val="single"/>
        </w:rPr>
      </w:pPr>
      <w:r w:rsidRPr="007348E1">
        <w:rPr>
          <w:u w:val="single"/>
        </w:rPr>
        <w:t>Explanation</w:t>
      </w:r>
    </w:p>
    <w:p w:rsidR="00BF1142" w:rsidRPr="007348E1" w:rsidRDefault="002755F2" w:rsidP="00737D62">
      <w:pPr>
        <w:pStyle w:val="ListParagraph"/>
        <w:numPr>
          <w:ilvl w:val="0"/>
          <w:numId w:val="7"/>
        </w:numPr>
        <w:autoSpaceDE/>
        <w:autoSpaceDN/>
        <w:adjustRightInd/>
        <w:ind w:left="426"/>
      </w:pPr>
      <w:r w:rsidRPr="007348E1">
        <w:t xml:space="preserve">The </w:t>
      </w:r>
      <w:r w:rsidR="00BF1142" w:rsidRPr="007348E1">
        <w:t>following</w:t>
      </w:r>
      <w:r w:rsidRPr="007348E1">
        <w:t xml:space="preserve"> details</w:t>
      </w:r>
      <w:r w:rsidR="0029392C" w:rsidRPr="007348E1">
        <w:t xml:space="preserve"> </w:t>
      </w:r>
      <w:r w:rsidR="00BF1142" w:rsidRPr="007348E1">
        <w:t xml:space="preserve">are needed to </w:t>
      </w:r>
      <w:r w:rsidRPr="007348E1">
        <w:t>characterise</w:t>
      </w:r>
      <w:r w:rsidR="0029392C" w:rsidRPr="007348E1">
        <w:t xml:space="preserve"> </w:t>
      </w:r>
      <w:r w:rsidR="0092123F" w:rsidRPr="007348E1">
        <w:t xml:space="preserve">and </w:t>
      </w:r>
      <w:r w:rsidR="00682843" w:rsidRPr="007348E1">
        <w:t xml:space="preserve">identify options for managing </w:t>
      </w:r>
      <w:r w:rsidR="0092123F" w:rsidRPr="007348E1">
        <w:t>flood risks</w:t>
      </w:r>
      <w:r w:rsidR="000342C4" w:rsidRPr="007348E1">
        <w:t>:</w:t>
      </w:r>
    </w:p>
    <w:p w:rsidR="00BF1142" w:rsidRPr="007348E1" w:rsidRDefault="002755F2" w:rsidP="00737D62">
      <w:pPr>
        <w:pStyle w:val="ListParagraph"/>
        <w:numPr>
          <w:ilvl w:val="1"/>
          <w:numId w:val="7"/>
        </w:numPr>
        <w:autoSpaceDE/>
        <w:autoSpaceDN/>
        <w:adjustRightInd/>
        <w:ind w:left="851"/>
      </w:pPr>
      <w:r w:rsidRPr="007348E1">
        <w:t>S</w:t>
      </w:r>
      <w:r w:rsidR="00BF1142" w:rsidRPr="007348E1">
        <w:t xml:space="preserve">patial extent, depth and duration of local flooding </w:t>
      </w:r>
      <w:r w:rsidRPr="007348E1">
        <w:t xml:space="preserve">so as to </w:t>
      </w:r>
      <w:r w:rsidR="00BF1142" w:rsidRPr="007348E1">
        <w:t xml:space="preserve">inform the design and placement of mine infrastructure, particularly in relation to </w:t>
      </w:r>
      <w:proofErr w:type="spellStart"/>
      <w:r w:rsidR="00BF1142" w:rsidRPr="007348E1">
        <w:t>siting</w:t>
      </w:r>
      <w:proofErr w:type="spellEnd"/>
      <w:r w:rsidR="00BF1142" w:rsidRPr="007348E1">
        <w:t xml:space="preserve"> and flood protection for product coal stockpiles and the water retention dam at the train-load out area. The transitional waste storage area should also be located away</w:t>
      </w:r>
      <w:r w:rsidRPr="007348E1">
        <w:t xml:space="preserve"> from</w:t>
      </w:r>
      <w:r w:rsidR="00BF1142" w:rsidRPr="007348E1">
        <w:t>, or protected from</w:t>
      </w:r>
      <w:r w:rsidRPr="007348E1">
        <w:t>,</w:t>
      </w:r>
      <w:r w:rsidR="00BF1142" w:rsidRPr="007348E1">
        <w:t xml:space="preserve"> loc</w:t>
      </w:r>
      <w:r w:rsidR="0092123F" w:rsidRPr="007348E1">
        <w:t>al flooding;</w:t>
      </w:r>
    </w:p>
    <w:p w:rsidR="00BF1142" w:rsidRPr="007348E1" w:rsidRDefault="002755F2" w:rsidP="00737D62">
      <w:pPr>
        <w:pStyle w:val="ListParagraph"/>
        <w:numPr>
          <w:ilvl w:val="1"/>
          <w:numId w:val="7"/>
        </w:numPr>
        <w:autoSpaceDE/>
        <w:autoSpaceDN/>
        <w:adjustRightInd/>
        <w:ind w:left="851"/>
      </w:pPr>
      <w:r w:rsidRPr="007348E1">
        <w:t>F</w:t>
      </w:r>
      <w:r w:rsidR="00BF1142" w:rsidRPr="007348E1">
        <w:t>lood hydrology of the Coal Mine Lagoon anabranch</w:t>
      </w:r>
      <w:r w:rsidR="00412045" w:rsidRPr="007348E1">
        <w:t xml:space="preserve">. </w:t>
      </w:r>
      <w:r w:rsidR="00F0767C" w:rsidRPr="007348E1">
        <w:t>This is particularly important as</w:t>
      </w:r>
      <w:r w:rsidR="00BF1142" w:rsidRPr="007348E1">
        <w:t xml:space="preserve"> water quality in Coal Mine Lagoon has been identified as posing a hazard to environmental values of the Mackenzie River, in particular, potable water supply and aquatic ecosystems. </w:t>
      </w:r>
      <w:r w:rsidR="0092123F" w:rsidRPr="007348E1">
        <w:t>Q</w:t>
      </w:r>
      <w:r w:rsidR="00BF1142" w:rsidRPr="007348E1">
        <w:t xml:space="preserve">uantification of the following </w:t>
      </w:r>
      <w:r w:rsidRPr="007348E1">
        <w:t>elements is</w:t>
      </w:r>
      <w:r w:rsidR="00BF1142" w:rsidRPr="007348E1">
        <w:t xml:space="preserve"> needed to </w:t>
      </w:r>
      <w:r w:rsidR="004241A4" w:rsidRPr="007348E1">
        <w:t xml:space="preserve">evaluate </w:t>
      </w:r>
      <w:r w:rsidR="00BF1142" w:rsidRPr="007348E1">
        <w:t>flood risks to the environmental values of Coal Mine</w:t>
      </w:r>
      <w:r w:rsidR="00903E76" w:rsidRPr="007348E1">
        <w:t xml:space="preserve"> Lagoon and the Mackenzie River</w:t>
      </w:r>
      <w:r w:rsidR="00467972" w:rsidRPr="007348E1">
        <w:t xml:space="preserve"> and options for mana</w:t>
      </w:r>
      <w:r w:rsidR="0035340F" w:rsidRPr="007348E1">
        <w:t>g</w:t>
      </w:r>
      <w:r w:rsidR="00467972" w:rsidRPr="007348E1">
        <w:t>ing them</w:t>
      </w:r>
      <w:r w:rsidR="00903E76" w:rsidRPr="007348E1">
        <w:t>;</w:t>
      </w:r>
    </w:p>
    <w:p w:rsidR="00BF1142" w:rsidRPr="007348E1" w:rsidRDefault="00BF1142" w:rsidP="00737D62">
      <w:pPr>
        <w:pStyle w:val="ListParagraph"/>
        <w:numPr>
          <w:ilvl w:val="0"/>
          <w:numId w:val="11"/>
        </w:numPr>
        <w:autoSpaceDE/>
        <w:autoSpaceDN/>
        <w:adjustRightInd/>
      </w:pPr>
      <w:r w:rsidRPr="007348E1">
        <w:t>The rainfall or flood event needed to activate the Coal Mine Lagoon anabr</w:t>
      </w:r>
      <w:r w:rsidR="00A4263B" w:rsidRPr="007348E1">
        <w:t>anch including the event need</w:t>
      </w:r>
      <w:r w:rsidR="003C504E" w:rsidRPr="007348E1">
        <w:t>ed</w:t>
      </w:r>
      <w:r w:rsidR="00A4263B" w:rsidRPr="007348E1">
        <w:t xml:space="preserve"> to connect the </w:t>
      </w:r>
      <w:r w:rsidRPr="007348E1">
        <w:t>anabranch to the Mackenzie River</w:t>
      </w:r>
      <w:r w:rsidR="003C504E" w:rsidRPr="007348E1">
        <w:t xml:space="preserve">. </w:t>
      </w:r>
      <w:r w:rsidRPr="007348E1">
        <w:t>The effect of the proposed flood levee on the frequency of connection to the Mackenzie River</w:t>
      </w:r>
      <w:r w:rsidR="003A2FBC" w:rsidRPr="007348E1">
        <w:t xml:space="preserve"> should also be assessed</w:t>
      </w:r>
      <w:r w:rsidR="00412045" w:rsidRPr="007348E1">
        <w:t>;</w:t>
      </w:r>
      <w:r w:rsidRPr="007348E1">
        <w:t xml:space="preserve"> and</w:t>
      </w:r>
    </w:p>
    <w:p w:rsidR="00BF1142" w:rsidRPr="007348E1" w:rsidRDefault="0029392C" w:rsidP="00737D62">
      <w:pPr>
        <w:pStyle w:val="ListParagraph"/>
        <w:numPr>
          <w:ilvl w:val="0"/>
          <w:numId w:val="11"/>
        </w:numPr>
        <w:autoSpaceDE/>
        <w:autoSpaceDN/>
        <w:adjustRightInd/>
      </w:pPr>
      <w:r w:rsidRPr="007348E1">
        <w:t>P</w:t>
      </w:r>
      <w:r w:rsidR="00BF1142" w:rsidRPr="007348E1">
        <w:t>otential impacts on water quality within the Lagoon and the Mackenzie River, in</w:t>
      </w:r>
      <w:r w:rsidR="000342C4" w:rsidRPr="007348E1">
        <w:t xml:space="preserve">cluding </w:t>
      </w:r>
      <w:r w:rsidR="00BF1142" w:rsidRPr="007348E1">
        <w:t xml:space="preserve">behind Bedford Weir, </w:t>
      </w:r>
      <w:r w:rsidR="000342C4" w:rsidRPr="007348E1">
        <w:t xml:space="preserve">particularly </w:t>
      </w:r>
      <w:r w:rsidRPr="007348E1">
        <w:t>if the proposed flood levee is assessed to alter the flood hydrology of the Coal Mine Lagoon anabranch.</w:t>
      </w:r>
      <w:r w:rsidR="00BF1142" w:rsidRPr="007348E1">
        <w:t xml:space="preserve"> Where risks to </w:t>
      </w:r>
      <w:r w:rsidR="00BF1142" w:rsidRPr="007348E1">
        <w:lastRenderedPageBreak/>
        <w:t xml:space="preserve">downstream environmental values are assessed to be significant, appropriate monitoring, mitigation and management measures </w:t>
      </w:r>
      <w:r w:rsidRPr="007348E1">
        <w:t xml:space="preserve">should </w:t>
      </w:r>
      <w:r w:rsidR="00BF1142" w:rsidRPr="007348E1">
        <w:t xml:space="preserve">be developed. </w:t>
      </w:r>
    </w:p>
    <w:p w:rsidR="003A2FBC" w:rsidRPr="007348E1" w:rsidRDefault="003A2FBC" w:rsidP="00737D62">
      <w:pPr>
        <w:pStyle w:val="ListParagraph"/>
        <w:numPr>
          <w:ilvl w:val="1"/>
          <w:numId w:val="7"/>
        </w:numPr>
        <w:autoSpaceDE/>
        <w:autoSpaceDN/>
        <w:adjustRightInd/>
        <w:ind w:left="851"/>
      </w:pPr>
      <w:r w:rsidRPr="007348E1">
        <w:t>A pre-development geomorphology study</w:t>
      </w:r>
      <w:r w:rsidR="00A37202" w:rsidRPr="007348E1">
        <w:t xml:space="preserve"> </w:t>
      </w:r>
      <w:r w:rsidRPr="007348E1">
        <w:t>to document existing channel and floodplain conditions within reaches of watercourses potentially affected by changes in flood behaviour. This should include a detailed assessment of potential geomorphic impacts on Coal Mine Lagoon given its stated environmental values and position above Bedford Weir</w:t>
      </w:r>
      <w:r w:rsidR="006949ED" w:rsidRPr="007348E1">
        <w:t>;</w:t>
      </w:r>
      <w:r w:rsidRPr="007348E1">
        <w:t xml:space="preserve"> </w:t>
      </w:r>
    </w:p>
    <w:p w:rsidR="00BF1142" w:rsidRPr="007348E1" w:rsidRDefault="000342C4" w:rsidP="00737D62">
      <w:pPr>
        <w:pStyle w:val="ListParagraph"/>
        <w:numPr>
          <w:ilvl w:val="1"/>
          <w:numId w:val="7"/>
        </w:numPr>
        <w:autoSpaceDE/>
        <w:autoSpaceDN/>
        <w:adjustRightInd/>
        <w:ind w:left="851"/>
      </w:pPr>
      <w:r w:rsidRPr="007348E1">
        <w:t>H</w:t>
      </w:r>
      <w:r w:rsidR="006949ED" w:rsidRPr="007348E1">
        <w:t xml:space="preserve">ydrologic </w:t>
      </w:r>
      <w:r w:rsidR="00A37202" w:rsidRPr="007348E1">
        <w:t xml:space="preserve">and hydraulic </w:t>
      </w:r>
      <w:r w:rsidR="006633A4" w:rsidRPr="007348E1">
        <w:t>model</w:t>
      </w:r>
      <w:r w:rsidRPr="007348E1">
        <w:t>s</w:t>
      </w:r>
      <w:r w:rsidR="006633A4" w:rsidRPr="007348E1">
        <w:t xml:space="preserve"> </w:t>
      </w:r>
      <w:r w:rsidR="0029392C" w:rsidRPr="007348E1">
        <w:t xml:space="preserve">that </w:t>
      </w:r>
      <w:r w:rsidR="00BF1142" w:rsidRPr="007348E1">
        <w:t>incorporate b</w:t>
      </w:r>
      <w:r w:rsidR="006949ED" w:rsidRPr="007348E1">
        <w:t>oth the levee and the rail line;</w:t>
      </w:r>
    </w:p>
    <w:p w:rsidR="00BF1142" w:rsidRPr="007348E1" w:rsidRDefault="00BF1142" w:rsidP="00737D62">
      <w:pPr>
        <w:pStyle w:val="ListParagraph"/>
        <w:numPr>
          <w:ilvl w:val="1"/>
          <w:numId w:val="7"/>
        </w:numPr>
        <w:autoSpaceDE/>
        <w:autoSpaceDN/>
        <w:adjustRightInd/>
        <w:ind w:left="851"/>
      </w:pPr>
      <w:r w:rsidRPr="007348E1">
        <w:t>An operational phase geomorphic monitoring program to confirm the conclusions of the geomorphic impact assessment, verify the effectiveness of mitigation and management measures, and d</w:t>
      </w:r>
      <w:r w:rsidR="00903E76" w:rsidRPr="007348E1">
        <w:t>etect any unanticipated impacts; and</w:t>
      </w:r>
    </w:p>
    <w:p w:rsidR="00C76700" w:rsidRPr="007348E1" w:rsidRDefault="0029392C" w:rsidP="00737D62">
      <w:pPr>
        <w:pStyle w:val="ListParagraph"/>
        <w:numPr>
          <w:ilvl w:val="1"/>
          <w:numId w:val="7"/>
        </w:numPr>
        <w:autoSpaceDE/>
        <w:autoSpaceDN/>
        <w:adjustRightInd/>
        <w:ind w:left="851"/>
      </w:pPr>
      <w:r w:rsidRPr="007348E1">
        <w:t>A</w:t>
      </w:r>
      <w:r w:rsidR="000342C4" w:rsidRPr="007348E1">
        <w:t>n</w:t>
      </w:r>
      <w:r w:rsidRPr="007348E1">
        <w:t xml:space="preserve"> assessment of i</w:t>
      </w:r>
      <w:r w:rsidR="00710BE3" w:rsidRPr="007348E1">
        <w:t xml:space="preserve">ncreased turbidity and sedimentation due to flood and discharge events </w:t>
      </w:r>
      <w:r w:rsidR="00CC7467" w:rsidRPr="007348E1">
        <w:t>that</w:t>
      </w:r>
      <w:r w:rsidRPr="007348E1">
        <w:t xml:space="preserve"> </w:t>
      </w:r>
      <w:r w:rsidR="00710BE3" w:rsidRPr="007348E1">
        <w:t>may affect the Fitzroy River Turtle</w:t>
      </w:r>
      <w:r w:rsidRPr="007348E1">
        <w:t xml:space="preserve"> and its habitat</w:t>
      </w:r>
      <w:r w:rsidR="00710BE3" w:rsidRPr="007348E1">
        <w:t xml:space="preserve">. Appropriate measures to reduce turbidity and sedimentation during such events </w:t>
      </w:r>
      <w:r w:rsidR="00D25BA2" w:rsidRPr="007348E1">
        <w:t>may also need to be developed</w:t>
      </w:r>
      <w:r w:rsidR="00710BE3" w:rsidRPr="007348E1">
        <w:t xml:space="preserve">. </w:t>
      </w:r>
    </w:p>
    <w:p w:rsidR="00BF1142" w:rsidRPr="007348E1" w:rsidRDefault="00C76700" w:rsidP="00737D62">
      <w:pPr>
        <w:pStyle w:val="ListParagraph"/>
        <w:numPr>
          <w:ilvl w:val="0"/>
          <w:numId w:val="7"/>
        </w:numPr>
        <w:autoSpaceDE/>
        <w:autoSpaceDN/>
        <w:adjustRightInd/>
        <w:ind w:left="426"/>
      </w:pPr>
      <w:r w:rsidRPr="007348E1">
        <w:t>The assessment documentation identifies several purposes for the levee</w:t>
      </w:r>
      <w:r w:rsidR="000342C4" w:rsidRPr="007348E1">
        <w:t>,</w:t>
      </w:r>
      <w:r w:rsidR="00A37202" w:rsidRPr="007348E1">
        <w:t xml:space="preserve"> </w:t>
      </w:r>
      <w:r w:rsidRPr="007348E1">
        <w:t>these being</w:t>
      </w:r>
      <w:r w:rsidR="000342C4" w:rsidRPr="007348E1">
        <w:t>:</w:t>
      </w:r>
      <w:r w:rsidR="00A37202" w:rsidRPr="007348E1">
        <w:t xml:space="preserve"> flood protection;</w:t>
      </w:r>
      <w:r w:rsidRPr="007348E1">
        <w:t xml:space="preserve"> part of the dam wall for the Mine Retention Dam</w:t>
      </w:r>
      <w:r w:rsidR="00A37202" w:rsidRPr="007348E1">
        <w:t>;</w:t>
      </w:r>
      <w:r w:rsidRPr="007348E1">
        <w:t xml:space="preserve"> and</w:t>
      </w:r>
      <w:r w:rsidR="000342C4" w:rsidRPr="007348E1">
        <w:t>,</w:t>
      </w:r>
      <w:r w:rsidRPr="007348E1">
        <w:t xml:space="preserve"> a</w:t>
      </w:r>
      <w:r w:rsidR="00A37202" w:rsidRPr="007348E1">
        <w:t xml:space="preserve"> possible</w:t>
      </w:r>
      <w:r w:rsidRPr="007348E1">
        <w:t xml:space="preserve"> haul road. Given the multipurpose use of the levee, its design and construction should be supported by a comprehensive geotechnical assessment to ensure it is adequate for all its intended uses. </w:t>
      </w:r>
    </w:p>
    <w:p w:rsidR="00BF1142" w:rsidRPr="007348E1" w:rsidRDefault="00BF1142" w:rsidP="00737D62">
      <w:pPr>
        <w:pStyle w:val="ListNumber"/>
        <w:numPr>
          <w:ilvl w:val="0"/>
          <w:numId w:val="0"/>
        </w:numPr>
        <w:rPr>
          <w:i/>
        </w:rPr>
      </w:pPr>
      <w:r w:rsidRPr="007348E1">
        <w:rPr>
          <w:i/>
        </w:rPr>
        <w:t>Question 3: Has the proponent adequately characterised the interaction between surface water and groundwater and taken this into account when assessing habitat requiremen</w:t>
      </w:r>
      <w:r w:rsidR="00DD2C85" w:rsidRPr="007348E1">
        <w:rPr>
          <w:i/>
        </w:rPr>
        <w:t>ts for the Fitzroy River Turtle?</w:t>
      </w:r>
    </w:p>
    <w:p w:rsidR="00977A5A" w:rsidRPr="007348E1" w:rsidRDefault="004F5074" w:rsidP="00737D62">
      <w:pPr>
        <w:autoSpaceDE/>
        <w:autoSpaceDN/>
        <w:adjustRightInd/>
        <w:ind w:left="369" w:hanging="369"/>
        <w:rPr>
          <w:u w:val="single"/>
        </w:rPr>
      </w:pPr>
      <w:r w:rsidRPr="007348E1">
        <w:rPr>
          <w:u w:val="single"/>
        </w:rPr>
        <w:t>Response</w:t>
      </w:r>
    </w:p>
    <w:p w:rsidR="00BF1142" w:rsidRPr="007348E1" w:rsidRDefault="00BF1142" w:rsidP="00737D62">
      <w:pPr>
        <w:pStyle w:val="ListParagraph"/>
        <w:numPr>
          <w:ilvl w:val="0"/>
          <w:numId w:val="7"/>
        </w:numPr>
        <w:autoSpaceDE/>
        <w:autoSpaceDN/>
        <w:adjustRightInd/>
        <w:ind w:left="426"/>
      </w:pPr>
      <w:r w:rsidRPr="007348E1">
        <w:t xml:space="preserve">The interaction between surface water and groundwater </w:t>
      </w:r>
      <w:r w:rsidR="00F0767C" w:rsidRPr="007348E1">
        <w:t>is not well understood</w:t>
      </w:r>
      <w:r w:rsidRPr="007348E1">
        <w:t xml:space="preserve"> at a local or regional scale. Therefore</w:t>
      </w:r>
      <w:r w:rsidR="00A37202" w:rsidRPr="007348E1">
        <w:t>,</w:t>
      </w:r>
      <w:r w:rsidRPr="007348E1">
        <w:t xml:space="preserve"> not all indirect and direct impacts associated with these interactions have been taken into account when assessing </w:t>
      </w:r>
      <w:r w:rsidR="005353E8" w:rsidRPr="007348E1">
        <w:t>(</w:t>
      </w:r>
      <w:r w:rsidRPr="007348E1">
        <w:t>the persistence of</w:t>
      </w:r>
      <w:r w:rsidR="005353E8" w:rsidRPr="007348E1">
        <w:t>)</w:t>
      </w:r>
      <w:r w:rsidRPr="007348E1">
        <w:t xml:space="preserve"> Fitzroy River Turtle habitat requirements. </w:t>
      </w:r>
    </w:p>
    <w:p w:rsidR="00CA60FB" w:rsidRPr="007348E1" w:rsidRDefault="00A71076" w:rsidP="00737D62">
      <w:pPr>
        <w:autoSpaceDE/>
        <w:autoSpaceDN/>
        <w:adjustRightInd/>
        <w:ind w:left="66"/>
        <w:rPr>
          <w:u w:val="single"/>
        </w:rPr>
      </w:pPr>
      <w:r w:rsidRPr="007348E1">
        <w:rPr>
          <w:u w:val="single"/>
        </w:rPr>
        <w:t>Explanation</w:t>
      </w:r>
    </w:p>
    <w:p w:rsidR="00BF1142" w:rsidRPr="007348E1" w:rsidRDefault="00BF1142" w:rsidP="00737D62">
      <w:pPr>
        <w:pStyle w:val="ListParagraph"/>
        <w:numPr>
          <w:ilvl w:val="0"/>
          <w:numId w:val="7"/>
        </w:numPr>
        <w:autoSpaceDE/>
        <w:autoSpaceDN/>
        <w:adjustRightInd/>
        <w:ind w:left="426"/>
      </w:pPr>
      <w:r w:rsidRPr="007348E1">
        <w:t xml:space="preserve">There are conflicting statements throughout the </w:t>
      </w:r>
      <w:r w:rsidR="005068DC" w:rsidRPr="007348E1">
        <w:t xml:space="preserve">assessment </w:t>
      </w:r>
      <w:r w:rsidRPr="007348E1">
        <w:t>document</w:t>
      </w:r>
      <w:r w:rsidR="005068DC" w:rsidRPr="007348E1">
        <w:t>ation</w:t>
      </w:r>
      <w:r w:rsidRPr="007348E1">
        <w:t xml:space="preserve"> in relation to the nature and extent of surface water and groundwater interactions. The proponent has predicted limited groundwater based flow contribution to the Mackenzie River on the basis that Cainozoic sediments are generally dry. This </w:t>
      </w:r>
      <w:r w:rsidR="0030691C" w:rsidRPr="007348E1">
        <w:t xml:space="preserve">prediction </w:t>
      </w:r>
      <w:r w:rsidRPr="007348E1">
        <w:t xml:space="preserve">is contradicted in </w:t>
      </w:r>
      <w:r w:rsidR="0030691C" w:rsidRPr="007348E1">
        <w:t xml:space="preserve">a </w:t>
      </w:r>
      <w:r w:rsidR="0029392C" w:rsidRPr="007348E1">
        <w:t xml:space="preserve">geological </w:t>
      </w:r>
      <w:r w:rsidRPr="007348E1">
        <w:t xml:space="preserve">cross section </w:t>
      </w:r>
      <w:r w:rsidR="0030691C" w:rsidRPr="007348E1">
        <w:t>which reveals</w:t>
      </w:r>
      <w:r w:rsidR="00530F87" w:rsidRPr="007348E1">
        <w:t xml:space="preserve"> </w:t>
      </w:r>
      <w:r w:rsidRPr="007348E1">
        <w:t xml:space="preserve">elevation of the water table above the river water level, </w:t>
      </w:r>
      <w:r w:rsidR="005068DC" w:rsidRPr="007348E1">
        <w:t>indicat</w:t>
      </w:r>
      <w:r w:rsidR="0030691C" w:rsidRPr="007348E1">
        <w:t>ing</w:t>
      </w:r>
      <w:r w:rsidRPr="007348E1">
        <w:t xml:space="preserve"> some </w:t>
      </w:r>
      <w:proofErr w:type="spellStart"/>
      <w:r w:rsidRPr="007348E1">
        <w:t>baseflow</w:t>
      </w:r>
      <w:proofErr w:type="spellEnd"/>
      <w:r w:rsidRPr="007348E1">
        <w:t xml:space="preserve"> contribution from the Cainozoic sediments. </w:t>
      </w:r>
      <w:r w:rsidR="00B41CB8" w:rsidRPr="007348E1">
        <w:t>In other parts of the assessment documentation</w:t>
      </w:r>
      <w:r w:rsidR="007463BA" w:rsidRPr="007348E1">
        <w:t xml:space="preserve"> </w:t>
      </w:r>
      <w:r w:rsidR="00B41CB8" w:rsidRPr="007348E1">
        <w:t>t</w:t>
      </w:r>
      <w:r w:rsidRPr="007348E1">
        <w:t>he proponent has conceptualised the</w:t>
      </w:r>
      <w:r w:rsidR="0030691C" w:rsidRPr="007348E1">
        <w:t xml:space="preserve"> stretch of the</w:t>
      </w:r>
      <w:r w:rsidRPr="007348E1">
        <w:t xml:space="preserve"> Mackenzie River</w:t>
      </w:r>
      <w:r w:rsidR="0030691C" w:rsidRPr="007348E1">
        <w:t xml:space="preserve">, adjacent to the proposed site, as </w:t>
      </w:r>
      <w:r w:rsidR="000342C4" w:rsidRPr="007348E1">
        <w:t>‘</w:t>
      </w:r>
      <w:r w:rsidRPr="007348E1">
        <w:t>losing</w:t>
      </w:r>
      <w:r w:rsidR="000342C4" w:rsidRPr="007348E1">
        <w:t>’</w:t>
      </w:r>
      <w:r w:rsidR="0030691C" w:rsidRPr="007348E1">
        <w:t xml:space="preserve">. </w:t>
      </w:r>
      <w:r w:rsidR="000342C4" w:rsidRPr="007348E1">
        <w:t>L</w:t>
      </w:r>
      <w:r w:rsidRPr="007348E1">
        <w:t xml:space="preserve">osses are expected to increase due to drawdown potentially increasing river leakage. Additional bores in strategic locations along the Mackenzie River would allow </w:t>
      </w:r>
      <w:r w:rsidR="0030691C" w:rsidRPr="007348E1">
        <w:t xml:space="preserve">for </w:t>
      </w:r>
      <w:r w:rsidR="000342C4" w:rsidRPr="007348E1">
        <w:t>a more thorough</w:t>
      </w:r>
      <w:r w:rsidRPr="007348E1">
        <w:t xml:space="preserve"> assessment of these interactions</w:t>
      </w:r>
      <w:r w:rsidR="00B85B2A" w:rsidRPr="007348E1">
        <w:t xml:space="preserve">. </w:t>
      </w:r>
    </w:p>
    <w:p w:rsidR="00CA60FB" w:rsidRPr="007348E1" w:rsidRDefault="00BF1142" w:rsidP="00737D62">
      <w:pPr>
        <w:ind w:left="66"/>
        <w:rPr>
          <w:i/>
        </w:rPr>
      </w:pPr>
      <w:r w:rsidRPr="007348E1">
        <w:rPr>
          <w:i/>
        </w:rPr>
        <w:t>Assessment of turtle habitat</w:t>
      </w:r>
    </w:p>
    <w:p w:rsidR="007463BA" w:rsidRPr="007348E1" w:rsidRDefault="007463BA" w:rsidP="00737D62">
      <w:pPr>
        <w:pStyle w:val="ListParagraph"/>
        <w:numPr>
          <w:ilvl w:val="0"/>
          <w:numId w:val="7"/>
        </w:numPr>
        <w:autoSpaceDE/>
        <w:autoSpaceDN/>
        <w:adjustRightInd/>
        <w:ind w:left="426"/>
        <w:rPr>
          <w:u w:val="single"/>
        </w:rPr>
      </w:pPr>
      <w:r w:rsidRPr="007348E1">
        <w:t xml:space="preserve">The proponent considers that the relative contribution of groundwater to flow is likely to be small in comparison to catchment runoff; however, in relation to habitat requirements for the Fitzroy River Turtle, the contribution of groundwater flow may be ecologically-relevant, especially during dry times. </w:t>
      </w:r>
    </w:p>
    <w:p w:rsidR="005714E9" w:rsidRPr="007348E1" w:rsidRDefault="005714E9" w:rsidP="00737D62">
      <w:pPr>
        <w:pStyle w:val="ListParagraph"/>
        <w:numPr>
          <w:ilvl w:val="0"/>
          <w:numId w:val="7"/>
        </w:numPr>
        <w:autoSpaceDE/>
        <w:autoSpaceDN/>
        <w:adjustRightInd/>
        <w:ind w:left="426"/>
      </w:pPr>
      <w:r w:rsidRPr="007348E1">
        <w:lastRenderedPageBreak/>
        <w:t xml:space="preserve">The targeted turtle survey conducted in April 2010 </w:t>
      </w:r>
      <w:r w:rsidR="0030691C" w:rsidRPr="007348E1">
        <w:t xml:space="preserve">did </w:t>
      </w:r>
      <w:r w:rsidR="003C295B" w:rsidRPr="007348E1">
        <w:t xml:space="preserve">not reveal </w:t>
      </w:r>
      <w:r w:rsidR="00991AED" w:rsidRPr="007348E1">
        <w:t xml:space="preserve">the </w:t>
      </w:r>
      <w:r w:rsidR="003C295B" w:rsidRPr="007348E1">
        <w:t xml:space="preserve">presence of the Fitzroy River Turtle in the waterways associated with project, however the survey did </w:t>
      </w:r>
      <w:r w:rsidR="0030691C" w:rsidRPr="007348E1">
        <w:t xml:space="preserve">not utilise </w:t>
      </w:r>
      <w:r w:rsidRPr="007348E1">
        <w:t xml:space="preserve">Survey Guidelines for Australia’s Threatened Reptiles. </w:t>
      </w:r>
    </w:p>
    <w:p w:rsidR="00BF1142" w:rsidRPr="007348E1" w:rsidRDefault="006631FF" w:rsidP="00737D62">
      <w:pPr>
        <w:pStyle w:val="ListParagraph"/>
        <w:numPr>
          <w:ilvl w:val="0"/>
          <w:numId w:val="7"/>
        </w:numPr>
        <w:autoSpaceDE/>
        <w:autoSpaceDN/>
        <w:adjustRightInd/>
        <w:ind w:left="426"/>
      </w:pPr>
      <w:r w:rsidRPr="007348E1">
        <w:t xml:space="preserve">Habitat requirements for the </w:t>
      </w:r>
      <w:r w:rsidR="00DD2C85" w:rsidRPr="007348E1">
        <w:t>Fitzroy River Turtle</w:t>
      </w:r>
      <w:r w:rsidR="002B6E22" w:rsidRPr="007348E1">
        <w:t xml:space="preserve"> are considered to</w:t>
      </w:r>
      <w:r w:rsidRPr="007348E1">
        <w:t xml:space="preserve"> include w</w:t>
      </w:r>
      <w:r w:rsidR="00BF1142" w:rsidRPr="007348E1">
        <w:t>ater quality, channel habitat, in-stream habitat and potential nesting banks</w:t>
      </w:r>
      <w:r w:rsidRPr="007348E1">
        <w:t xml:space="preserve">. </w:t>
      </w:r>
      <w:r w:rsidR="00BF1142" w:rsidRPr="007348E1">
        <w:t xml:space="preserve">These attributes may be impacted by groundwater and surface water interactions that influence water quality, volume and flow. </w:t>
      </w:r>
      <w:r w:rsidRPr="007348E1">
        <w:t>As such, t</w:t>
      </w:r>
      <w:r w:rsidR="00BF1142" w:rsidRPr="007348E1">
        <w:t>hese interactions can alter the occurrence and persistence of key habitat requirements in the waterways associated with</w:t>
      </w:r>
      <w:r w:rsidRPr="007348E1">
        <w:t xml:space="preserve"> the project, which include th</w:t>
      </w:r>
      <w:r w:rsidR="003C295B" w:rsidRPr="007348E1">
        <w:t xml:space="preserve">e </w:t>
      </w:r>
      <w:r w:rsidR="00BF1142" w:rsidRPr="007348E1">
        <w:t>stretch of the Mackenzie River</w:t>
      </w:r>
      <w:r w:rsidR="003C295B" w:rsidRPr="007348E1">
        <w:t xml:space="preserve"> adjacent to the project site</w:t>
      </w:r>
      <w:r w:rsidR="00BF1142" w:rsidRPr="007348E1">
        <w:t xml:space="preserve">. </w:t>
      </w:r>
    </w:p>
    <w:p w:rsidR="00BF1142" w:rsidRPr="007348E1" w:rsidRDefault="00BF1142" w:rsidP="00737D62">
      <w:pPr>
        <w:pStyle w:val="ListParagraph"/>
        <w:numPr>
          <w:ilvl w:val="0"/>
          <w:numId w:val="7"/>
        </w:numPr>
        <w:autoSpaceDE/>
        <w:autoSpaceDN/>
        <w:adjustRightInd/>
        <w:ind w:left="426"/>
      </w:pPr>
      <w:proofErr w:type="spellStart"/>
      <w:r w:rsidRPr="007348E1">
        <w:t>Baseflow</w:t>
      </w:r>
      <w:proofErr w:type="spellEnd"/>
      <w:r w:rsidRPr="007348E1">
        <w:t xml:space="preserve"> may be an important contributor to current flow in th</w:t>
      </w:r>
      <w:r w:rsidR="003C295B" w:rsidRPr="007348E1">
        <w:t>e</w:t>
      </w:r>
      <w:r w:rsidRPr="007348E1">
        <w:t xml:space="preserve"> stretch of the Mackenzie River and may also contribute to the persistence of habitat requirements (for example, riffle zone at site MR1). There may also be upstream and downstream impacts beyond the stretch of the river adjacent to the site. However, it is not possible to determine the full extent of these impacts without adequate characterisation of groundwater and surface water interactions and details on the volume and timing of releases. It is noted that the Bedford Weir is approximately 9.5 km downst</w:t>
      </w:r>
      <w:r w:rsidR="00DD2C85" w:rsidRPr="007348E1">
        <w:t>ream from the site</w:t>
      </w:r>
      <w:r w:rsidR="00C83F8C" w:rsidRPr="007348E1">
        <w:t>. T</w:t>
      </w:r>
      <w:r w:rsidR="002B6E22" w:rsidRPr="007348E1">
        <w:t xml:space="preserve">he </w:t>
      </w:r>
      <w:r w:rsidRPr="007348E1">
        <w:t xml:space="preserve">migration and nesting behaviour </w:t>
      </w:r>
      <w:r w:rsidR="00A54829" w:rsidRPr="007348E1">
        <w:t xml:space="preserve">of the Fitzroy River Turtle </w:t>
      </w:r>
      <w:r w:rsidRPr="007348E1">
        <w:t>in response to th</w:t>
      </w:r>
      <w:r w:rsidR="00C83F8C" w:rsidRPr="007348E1">
        <w:t>e</w:t>
      </w:r>
      <w:r w:rsidRPr="007348E1">
        <w:t xml:space="preserve"> barrier </w:t>
      </w:r>
      <w:r w:rsidR="00A54829" w:rsidRPr="007348E1">
        <w:t>is</w:t>
      </w:r>
      <w:r w:rsidRPr="007348E1">
        <w:t xml:space="preserve"> not well known. </w:t>
      </w:r>
    </w:p>
    <w:p w:rsidR="00BF1142" w:rsidRPr="007348E1" w:rsidRDefault="00BF1142" w:rsidP="00737D62">
      <w:pPr>
        <w:ind w:left="66"/>
        <w:rPr>
          <w:i/>
        </w:rPr>
      </w:pPr>
      <w:r w:rsidRPr="007348E1">
        <w:rPr>
          <w:i/>
        </w:rPr>
        <w:t>Question 4: In addition to the Queensland Government</w:t>
      </w:r>
      <w:r w:rsidR="00991AED" w:rsidRPr="007348E1">
        <w:rPr>
          <w:i/>
        </w:rPr>
        <w:t>’</w:t>
      </w:r>
      <w:r w:rsidRPr="007348E1">
        <w:rPr>
          <w:i/>
        </w:rPr>
        <w:t xml:space="preserve">s conditions to manage downstream impacts on water users, including the </w:t>
      </w:r>
      <w:r w:rsidR="002D4FD5" w:rsidRPr="007348E1">
        <w:rPr>
          <w:i/>
        </w:rPr>
        <w:t>Fitzroy River Turtle</w:t>
      </w:r>
      <w:r w:rsidRPr="007348E1">
        <w:rPr>
          <w:i/>
        </w:rPr>
        <w:t>, can the IESC suggest any further management actions to reduce downstream impacts?</w:t>
      </w:r>
    </w:p>
    <w:p w:rsidR="005714E9" w:rsidRPr="007348E1" w:rsidRDefault="004F5074" w:rsidP="00737D62">
      <w:pPr>
        <w:autoSpaceDE/>
        <w:autoSpaceDN/>
        <w:adjustRightInd/>
        <w:ind w:left="369" w:hanging="303"/>
        <w:rPr>
          <w:u w:val="single"/>
        </w:rPr>
      </w:pPr>
      <w:r w:rsidRPr="007348E1">
        <w:rPr>
          <w:u w:val="single"/>
        </w:rPr>
        <w:t>Response</w:t>
      </w:r>
    </w:p>
    <w:p w:rsidR="00BF1142" w:rsidRPr="007348E1" w:rsidRDefault="002B6E22" w:rsidP="00737D62">
      <w:pPr>
        <w:pStyle w:val="ListParagraph"/>
        <w:numPr>
          <w:ilvl w:val="0"/>
          <w:numId w:val="7"/>
        </w:numPr>
        <w:autoSpaceDE/>
        <w:autoSpaceDN/>
        <w:adjustRightInd/>
        <w:ind w:left="426"/>
      </w:pPr>
      <w:r w:rsidRPr="007348E1">
        <w:t>Further management action can be suggest</w:t>
      </w:r>
      <w:r w:rsidR="00F24EB2" w:rsidRPr="007348E1">
        <w:t>ed</w:t>
      </w:r>
      <w:r w:rsidRPr="007348E1">
        <w:t xml:space="preserve"> to reduce downstream impacts.</w:t>
      </w:r>
      <w:r w:rsidR="0074732F" w:rsidRPr="007348E1">
        <w:t xml:space="preserve"> </w:t>
      </w:r>
      <w:r w:rsidRPr="007348E1">
        <w:t xml:space="preserve">It is assumed that </w:t>
      </w:r>
      <w:r w:rsidR="00BF1142" w:rsidRPr="007348E1">
        <w:t xml:space="preserve">downstream users include ecological water related assets, users of water from Bedford Weir as well as Coal Mine Lagoon. In addition to the management actions suggested elsewhere in this advice, and proposed conditions contained in the draft Environmental Authority, the </w:t>
      </w:r>
      <w:r w:rsidR="006C0EFE" w:rsidRPr="007348E1">
        <w:t xml:space="preserve">IESC </w:t>
      </w:r>
      <w:r w:rsidR="00BF1142" w:rsidRPr="007348E1">
        <w:t>suggests:</w:t>
      </w:r>
    </w:p>
    <w:p w:rsidR="007F5C7E" w:rsidRPr="007348E1" w:rsidRDefault="007F5C7E" w:rsidP="00737D62">
      <w:pPr>
        <w:autoSpaceDE/>
        <w:autoSpaceDN/>
        <w:adjustRightInd/>
        <w:ind w:left="369" w:hanging="369"/>
        <w:rPr>
          <w:i/>
        </w:rPr>
      </w:pPr>
      <w:r w:rsidRPr="007348E1">
        <w:rPr>
          <w:i/>
        </w:rPr>
        <w:t>Groundwater</w:t>
      </w:r>
    </w:p>
    <w:p w:rsidR="007F5C7E" w:rsidRPr="007348E1" w:rsidRDefault="007F5C7E" w:rsidP="00737D62">
      <w:pPr>
        <w:pStyle w:val="ListParagraph"/>
        <w:numPr>
          <w:ilvl w:val="1"/>
          <w:numId w:val="7"/>
        </w:numPr>
        <w:autoSpaceDE/>
        <w:autoSpaceDN/>
        <w:adjustRightInd/>
        <w:ind w:left="851"/>
      </w:pPr>
      <w:r w:rsidRPr="007348E1">
        <w:t xml:space="preserve">The number of groundwater monitoring points should be increased and extend beyond and below the targeted coal measure and the alluvium. This will provide data for the local and regional groundwater regime and allow for the assessment of connectivity with the Mackenzie River. If connectivity is determined, an early warning trigger for groundwater fluctuations should be established. The </w:t>
      </w:r>
      <w:proofErr w:type="spellStart"/>
      <w:r w:rsidRPr="007348E1">
        <w:t>hydrogeological</w:t>
      </w:r>
      <w:proofErr w:type="spellEnd"/>
      <w:r w:rsidRPr="007348E1">
        <w:t xml:space="preserve"> information should be included in the proponent</w:t>
      </w:r>
      <w:r w:rsidR="002B6E22" w:rsidRPr="007348E1">
        <w:t>’</w:t>
      </w:r>
      <w:r w:rsidRPr="007348E1">
        <w:t xml:space="preserve">s Receiving Environmental Management Plan and the potential for the decrease of groundwater </w:t>
      </w:r>
      <w:proofErr w:type="spellStart"/>
      <w:r w:rsidRPr="007348E1">
        <w:t>baseflow</w:t>
      </w:r>
      <w:proofErr w:type="spellEnd"/>
      <w:r w:rsidRPr="007348E1">
        <w:t xml:space="preserve"> to in-stream flow (and associated impacts) should be considered</w:t>
      </w:r>
      <w:r w:rsidR="00D512E4" w:rsidRPr="007348E1">
        <w:t>;</w:t>
      </w:r>
    </w:p>
    <w:p w:rsidR="007F5C7E" w:rsidRPr="007348E1" w:rsidRDefault="007F5C7E" w:rsidP="00737D62">
      <w:pPr>
        <w:autoSpaceDE/>
        <w:autoSpaceDN/>
        <w:adjustRightInd/>
        <w:ind w:left="66"/>
        <w:rPr>
          <w:i/>
        </w:rPr>
      </w:pPr>
      <w:r w:rsidRPr="007348E1">
        <w:rPr>
          <w:i/>
        </w:rPr>
        <w:t xml:space="preserve">Surface Water </w:t>
      </w:r>
      <w:r w:rsidR="00734C3D" w:rsidRPr="007348E1">
        <w:rPr>
          <w:i/>
        </w:rPr>
        <w:t>and Water Quality</w:t>
      </w:r>
    </w:p>
    <w:p w:rsidR="00BF1142" w:rsidRPr="007348E1" w:rsidRDefault="00BF1142" w:rsidP="00737D62">
      <w:pPr>
        <w:pStyle w:val="ListParagraph"/>
        <w:numPr>
          <w:ilvl w:val="1"/>
          <w:numId w:val="7"/>
        </w:numPr>
        <w:autoSpaceDE/>
        <w:autoSpaceDN/>
        <w:adjustRightInd/>
        <w:ind w:left="851"/>
      </w:pPr>
      <w:r w:rsidRPr="007348E1">
        <w:t xml:space="preserve">Additional monitoring </w:t>
      </w:r>
      <w:r w:rsidR="002B6E22" w:rsidRPr="007348E1">
        <w:t>should be</w:t>
      </w:r>
      <w:r w:rsidRPr="007348E1">
        <w:t xml:space="preserve"> undertaken within Coal Mine Lagoon, </w:t>
      </w:r>
      <w:proofErr w:type="spellStart"/>
      <w:r w:rsidRPr="007348E1">
        <w:t>Burngrove</w:t>
      </w:r>
      <w:proofErr w:type="spellEnd"/>
      <w:r w:rsidRPr="007348E1">
        <w:t xml:space="preserve"> Creek and the Mackenzie River to </w:t>
      </w:r>
      <w:r w:rsidR="002B6E22" w:rsidRPr="007348E1">
        <w:t xml:space="preserve">improve </w:t>
      </w:r>
      <w:r w:rsidR="00F24EB2" w:rsidRPr="007348E1">
        <w:t xml:space="preserve">the </w:t>
      </w:r>
      <w:r w:rsidRPr="007348E1">
        <w:t>characteris</w:t>
      </w:r>
      <w:r w:rsidR="002B6E22" w:rsidRPr="007348E1">
        <w:t xml:space="preserve">ation of </w:t>
      </w:r>
      <w:r w:rsidRPr="007348E1">
        <w:t>existing water quality</w:t>
      </w:r>
      <w:r w:rsidR="006C0EFE" w:rsidRPr="007348E1">
        <w:t xml:space="preserve">. </w:t>
      </w:r>
      <w:r w:rsidR="00CA3D1B" w:rsidRPr="007348E1">
        <w:t xml:space="preserve">This should include </w:t>
      </w:r>
      <w:r w:rsidR="00C064C9" w:rsidRPr="007348E1">
        <w:t>a monitoring</w:t>
      </w:r>
      <w:r w:rsidR="00CA3D1B" w:rsidRPr="007348E1">
        <w:t xml:space="preserve"> site upstream of the proposed rail line to provide a basis for establishing existing conditions outside of the proposed project site. </w:t>
      </w:r>
      <w:r w:rsidRPr="007348E1">
        <w:t>Monitoring should be conducted in accord</w:t>
      </w:r>
      <w:r w:rsidR="00C064C9" w:rsidRPr="007348E1">
        <w:t xml:space="preserve">ance with published </w:t>
      </w:r>
      <w:r w:rsidR="004957E2" w:rsidRPr="007348E1">
        <w:t>guidelines</w:t>
      </w:r>
      <w:r w:rsidR="00B405CF" w:rsidRPr="00EE3A36">
        <w:t>4</w:t>
      </w:r>
      <w:r w:rsidR="00CA3D1B" w:rsidRPr="007348E1">
        <w:t>;</w:t>
      </w:r>
    </w:p>
    <w:p w:rsidR="00C064C9" w:rsidRPr="007348E1" w:rsidRDefault="00C064C9" w:rsidP="00737D62">
      <w:pPr>
        <w:pStyle w:val="ListParagraph"/>
        <w:numPr>
          <w:ilvl w:val="1"/>
          <w:numId w:val="7"/>
        </w:numPr>
        <w:autoSpaceDE/>
        <w:autoSpaceDN/>
        <w:adjustRightInd/>
        <w:ind w:left="851"/>
      </w:pPr>
      <w:r w:rsidRPr="007348E1">
        <w:t xml:space="preserve">Receiving water contaminant trigger investigation levels </w:t>
      </w:r>
      <w:r w:rsidR="00F24EB2" w:rsidRPr="007348E1">
        <w:t xml:space="preserve">should </w:t>
      </w:r>
      <w:r w:rsidR="005068DC" w:rsidRPr="007348E1">
        <w:t>be</w:t>
      </w:r>
      <w:r w:rsidRPr="007348E1">
        <w:t xml:space="preserve"> based on existing water quality</w:t>
      </w:r>
      <w:r w:rsidR="00F24EB2" w:rsidRPr="007348E1">
        <w:t xml:space="preserve"> and be</w:t>
      </w:r>
      <w:r w:rsidRPr="007348E1">
        <w:t xml:space="preserve"> established in accordance with published guidance methods, and/or water quality objectives for the Mackenzie River Sub-basin</w:t>
      </w:r>
      <w:r w:rsidR="00FD1AC3" w:rsidRPr="00EE3A36">
        <w:t>5</w:t>
      </w:r>
      <w:r w:rsidRPr="007348E1">
        <w:t xml:space="preserve">. Where higher receiving water contaminant trigger levels are proposed, evidence should be presented to demonstrate that </w:t>
      </w:r>
      <w:r w:rsidRPr="007348E1">
        <w:lastRenderedPageBreak/>
        <w:t>these will not adversely impact on downstream environmental values, including aquatic ecosystems;</w:t>
      </w:r>
    </w:p>
    <w:p w:rsidR="00BF1142" w:rsidRPr="007348E1" w:rsidRDefault="00BF1142" w:rsidP="00737D62">
      <w:pPr>
        <w:pStyle w:val="ListParagraph"/>
        <w:numPr>
          <w:ilvl w:val="1"/>
          <w:numId w:val="7"/>
        </w:numPr>
        <w:autoSpaceDE/>
        <w:autoSpaceDN/>
        <w:adjustRightInd/>
        <w:ind w:left="851"/>
      </w:pPr>
      <w:r w:rsidRPr="007348E1">
        <w:t xml:space="preserve">An investigation </w:t>
      </w:r>
      <w:r w:rsidR="00F24EB2" w:rsidRPr="007348E1">
        <w:t xml:space="preserve">of </w:t>
      </w:r>
      <w:r w:rsidRPr="007348E1">
        <w:t>existing sediment quality within Coal Mine Lagoon</w:t>
      </w:r>
      <w:r w:rsidR="00F24EB2" w:rsidRPr="007348E1">
        <w:t xml:space="preserve"> </w:t>
      </w:r>
      <w:r w:rsidR="003C295B" w:rsidRPr="007348E1">
        <w:t xml:space="preserve">should </w:t>
      </w:r>
      <w:r w:rsidR="00F24EB2" w:rsidRPr="007348E1">
        <w:t>be conducted</w:t>
      </w:r>
      <w:r w:rsidR="005D0922" w:rsidRPr="007348E1">
        <w:t>;</w:t>
      </w:r>
      <w:r w:rsidRPr="007348E1">
        <w:t xml:space="preserve"> </w:t>
      </w:r>
    </w:p>
    <w:p w:rsidR="00BF1142" w:rsidRPr="007348E1" w:rsidRDefault="00F0767C" w:rsidP="00737D62">
      <w:pPr>
        <w:pStyle w:val="ListParagraph"/>
        <w:numPr>
          <w:ilvl w:val="1"/>
          <w:numId w:val="7"/>
        </w:numPr>
        <w:autoSpaceDE/>
        <w:autoSpaceDN/>
        <w:adjustRightInd/>
        <w:ind w:left="851"/>
      </w:pPr>
      <w:proofErr w:type="spellStart"/>
      <w:r w:rsidRPr="007348E1">
        <w:t>Leachate</w:t>
      </w:r>
      <w:proofErr w:type="spellEnd"/>
      <w:r w:rsidRPr="007348E1">
        <w:t xml:space="preserve"> from coal rejects and tailings material stored in the northern out of pit dump needs to be managed to reduce potential impacts to groundwater and the Mackenzie River;</w:t>
      </w:r>
    </w:p>
    <w:p w:rsidR="00BF1142" w:rsidRPr="007348E1" w:rsidRDefault="00F0767C" w:rsidP="00737D62">
      <w:pPr>
        <w:pStyle w:val="ListParagraph"/>
        <w:numPr>
          <w:ilvl w:val="1"/>
          <w:numId w:val="7"/>
        </w:numPr>
        <w:autoSpaceDE/>
        <w:autoSpaceDN/>
        <w:adjustRightInd/>
        <w:ind w:left="851"/>
      </w:pPr>
      <w:r w:rsidRPr="007348E1">
        <w:t xml:space="preserve">Water from the mine-affected water dam should be retained onsite and reused, where possible, to reduce environmental impacts; </w:t>
      </w:r>
    </w:p>
    <w:p w:rsidR="005D0922" w:rsidRPr="007348E1" w:rsidRDefault="005068DC" w:rsidP="00737D62">
      <w:pPr>
        <w:pStyle w:val="ListParagraph"/>
        <w:numPr>
          <w:ilvl w:val="1"/>
          <w:numId w:val="7"/>
        </w:numPr>
        <w:autoSpaceDE/>
        <w:autoSpaceDN/>
        <w:adjustRightInd/>
        <w:ind w:left="851"/>
      </w:pPr>
      <w:r w:rsidRPr="007348E1">
        <w:t>W</w:t>
      </w:r>
      <w:r w:rsidR="005D0922" w:rsidRPr="007348E1">
        <w:t xml:space="preserve">ater quality modelling should be undertaken </w:t>
      </w:r>
      <w:r w:rsidR="009140DE" w:rsidRPr="007348E1">
        <w:t>on</w:t>
      </w:r>
      <w:r w:rsidR="005D0922" w:rsidRPr="007348E1">
        <w:t xml:space="preserve"> the Mine Retention Dam to inform the need for water treatment facilities and the design of</w:t>
      </w:r>
      <w:r w:rsidRPr="007348E1">
        <w:t xml:space="preserve"> those facilities, if</w:t>
      </w:r>
      <w:r w:rsidR="005D0922" w:rsidRPr="007348E1">
        <w:t xml:space="preserve"> necessary; </w:t>
      </w:r>
    </w:p>
    <w:p w:rsidR="00BF1142" w:rsidRPr="007348E1" w:rsidRDefault="00BF1142" w:rsidP="00737D62">
      <w:pPr>
        <w:pStyle w:val="ListParagraph"/>
        <w:numPr>
          <w:ilvl w:val="1"/>
          <w:numId w:val="7"/>
        </w:numPr>
        <w:autoSpaceDE/>
        <w:autoSpaceDN/>
        <w:adjustRightInd/>
        <w:ind w:left="851"/>
      </w:pPr>
      <w:r w:rsidRPr="007348E1">
        <w:t xml:space="preserve">Mine rehabilitation criteria </w:t>
      </w:r>
      <w:r w:rsidR="00F24EB2" w:rsidRPr="007348E1">
        <w:t xml:space="preserve">should include </w:t>
      </w:r>
      <w:r w:rsidRPr="007348E1">
        <w:t>water quality objectives for surface water and groundwater discharges from the</w:t>
      </w:r>
      <w:r w:rsidR="002976D2" w:rsidRPr="007348E1">
        <w:t xml:space="preserve"> site, which align with the most</w:t>
      </w:r>
      <w:r w:rsidRPr="007348E1">
        <w:t xml:space="preserve"> current version of DEHP’s water quality objectives for the Mackenzie River at the time of closure;</w:t>
      </w:r>
    </w:p>
    <w:p w:rsidR="00BF1142" w:rsidRPr="007348E1" w:rsidRDefault="00BF1142" w:rsidP="00737D62">
      <w:pPr>
        <w:pStyle w:val="ListParagraph"/>
        <w:numPr>
          <w:ilvl w:val="1"/>
          <w:numId w:val="7"/>
        </w:numPr>
        <w:autoSpaceDE/>
        <w:autoSpaceDN/>
        <w:adjustRightInd/>
        <w:ind w:left="851"/>
      </w:pPr>
      <w:r w:rsidRPr="007348E1">
        <w:t>The location and number of gauging stations be revised based on a review of the likely impacts to the receiving environment, and the changes in volume and flow within the Mackenzie River be considered in the overall analysis of water quality;</w:t>
      </w:r>
    </w:p>
    <w:p w:rsidR="00BF1142" w:rsidRPr="007348E1" w:rsidRDefault="00C064C9" w:rsidP="00737D62">
      <w:pPr>
        <w:pStyle w:val="ListParagraph"/>
        <w:numPr>
          <w:ilvl w:val="1"/>
          <w:numId w:val="7"/>
        </w:numPr>
        <w:autoSpaceDE/>
        <w:autoSpaceDN/>
        <w:adjustRightInd/>
        <w:ind w:left="851"/>
      </w:pPr>
      <w:r w:rsidRPr="007348E1">
        <w:t xml:space="preserve">The flood levee </w:t>
      </w:r>
      <w:r w:rsidR="0074732F" w:rsidRPr="007348E1">
        <w:t xml:space="preserve">should </w:t>
      </w:r>
      <w:r w:rsidRPr="007348E1">
        <w:t xml:space="preserve">not </w:t>
      </w:r>
      <w:r w:rsidR="00F40536" w:rsidRPr="007348E1">
        <w:t xml:space="preserve">be </w:t>
      </w:r>
      <w:r w:rsidRPr="007348E1">
        <w:t xml:space="preserve">constructed using </w:t>
      </w:r>
      <w:proofErr w:type="spellStart"/>
      <w:r w:rsidRPr="007348E1">
        <w:t>sodic</w:t>
      </w:r>
      <w:proofErr w:type="spellEnd"/>
      <w:r w:rsidRPr="007348E1">
        <w:t xml:space="preserve"> waste rock materials. </w:t>
      </w:r>
      <w:r w:rsidR="00BF1142" w:rsidRPr="007348E1">
        <w:t xml:space="preserve">Clarification </w:t>
      </w:r>
      <w:r w:rsidR="005068DC" w:rsidRPr="007348E1">
        <w:t>should also be sought</w:t>
      </w:r>
      <w:r w:rsidRPr="007348E1">
        <w:t xml:space="preserve"> on </w:t>
      </w:r>
      <w:r w:rsidR="00BF1142" w:rsidRPr="007348E1">
        <w:t xml:space="preserve">whether the flood levee will be retained post-mining to inform the evaluation of final void hydrology and water quality. If the levee is to be retained, post-mining monitoring and maintenance requirements should be </w:t>
      </w:r>
      <w:r w:rsidRPr="007348E1">
        <w:t>considered</w:t>
      </w:r>
      <w:r w:rsidR="002020DB" w:rsidRPr="007348E1">
        <w:t>;</w:t>
      </w:r>
      <w:r w:rsidRPr="007348E1">
        <w:t xml:space="preserve"> and</w:t>
      </w:r>
    </w:p>
    <w:p w:rsidR="009A1911" w:rsidRPr="007348E1" w:rsidRDefault="00BF1142" w:rsidP="00737D62">
      <w:pPr>
        <w:pStyle w:val="ListParagraph"/>
        <w:numPr>
          <w:ilvl w:val="1"/>
          <w:numId w:val="7"/>
        </w:numPr>
        <w:autoSpaceDE/>
        <w:autoSpaceDN/>
        <w:adjustRightInd/>
        <w:ind w:left="851"/>
      </w:pPr>
      <w:r w:rsidRPr="007348E1">
        <w:t>Further investigation of the</w:t>
      </w:r>
      <w:r w:rsidR="005068DC" w:rsidRPr="007348E1">
        <w:t xml:space="preserve"> out of pit waste dump </w:t>
      </w:r>
      <w:r w:rsidRPr="007348E1">
        <w:t xml:space="preserve">capping material and depth </w:t>
      </w:r>
      <w:r w:rsidR="00F40536" w:rsidRPr="007348E1">
        <w:t xml:space="preserve">be undertaken </w:t>
      </w:r>
      <w:r w:rsidRPr="007348E1">
        <w:t xml:space="preserve">to minimise the risk of acid and </w:t>
      </w:r>
      <w:proofErr w:type="spellStart"/>
      <w:r w:rsidRPr="007348E1">
        <w:t>metalliferous</w:t>
      </w:r>
      <w:proofErr w:type="spellEnd"/>
      <w:r w:rsidRPr="007348E1">
        <w:t xml:space="preserve"> drainage from out of pit dumps containing coal reject materials. </w:t>
      </w:r>
    </w:p>
    <w:p w:rsidR="00BF1142" w:rsidRPr="007348E1" w:rsidRDefault="00BF1142" w:rsidP="00737D62">
      <w:pPr>
        <w:ind w:left="369" w:hanging="369"/>
        <w:rPr>
          <w:i/>
        </w:rPr>
      </w:pPr>
      <w:r w:rsidRPr="007348E1">
        <w:rPr>
          <w:i/>
        </w:rPr>
        <w:t>Fitzroy River Turtle</w:t>
      </w:r>
    </w:p>
    <w:p w:rsidR="00BF1142" w:rsidRPr="007348E1" w:rsidRDefault="00F0767C" w:rsidP="00737D62">
      <w:pPr>
        <w:pStyle w:val="ListParagraph"/>
        <w:numPr>
          <w:ilvl w:val="0"/>
          <w:numId w:val="7"/>
        </w:numPr>
        <w:autoSpaceDE/>
        <w:autoSpaceDN/>
        <w:adjustRightInd/>
      </w:pPr>
      <w:r w:rsidRPr="007348E1">
        <w:t>In relation to the potential persistence of the Fitzroy River Turtle and its habitat</w:t>
      </w:r>
      <w:r w:rsidR="003321A2" w:rsidRPr="007348E1">
        <w:t>, p</w:t>
      </w:r>
      <w:r w:rsidRPr="007348E1">
        <w:t>ossible improvements to the monitoring regimes and management responses associated with downstream impacts of the mine, relate to the monitoring of contaminants and water quality attributes, and the establishment of appropriate management responses, such as</w:t>
      </w:r>
      <w:r w:rsidR="00BF1142" w:rsidRPr="007348E1">
        <w:t>:</w:t>
      </w:r>
    </w:p>
    <w:p w:rsidR="00BF1142" w:rsidRPr="007348E1" w:rsidRDefault="00BC2B43" w:rsidP="00737D62">
      <w:pPr>
        <w:pStyle w:val="ListParagraph"/>
        <w:numPr>
          <w:ilvl w:val="1"/>
          <w:numId w:val="7"/>
        </w:numPr>
        <w:autoSpaceDE/>
        <w:autoSpaceDN/>
        <w:adjustRightInd/>
        <w:ind w:left="851"/>
      </w:pPr>
      <w:r w:rsidRPr="007348E1">
        <w:t>C</w:t>
      </w:r>
      <w:r w:rsidR="00BF1142" w:rsidRPr="007348E1">
        <w:t xml:space="preserve">ontaminants and water quality </w:t>
      </w:r>
      <w:proofErr w:type="spellStart"/>
      <w:r w:rsidR="00BF1142" w:rsidRPr="007348E1">
        <w:t>exceedances</w:t>
      </w:r>
      <w:proofErr w:type="spellEnd"/>
      <w:r w:rsidR="00BF1142" w:rsidRPr="007348E1">
        <w:t xml:space="preserve"> of relevance to the persistence of the </w:t>
      </w:r>
      <w:r w:rsidR="002D4FD5" w:rsidRPr="007348E1">
        <w:t>Fitzroy River Turtle</w:t>
      </w:r>
      <w:r w:rsidR="00BF1142" w:rsidRPr="007348E1">
        <w:t xml:space="preserve"> and its habitat should be monitored more frequently</w:t>
      </w:r>
      <w:r w:rsidRPr="007348E1">
        <w:t xml:space="preserve">, </w:t>
      </w:r>
      <w:r w:rsidR="005068DC" w:rsidRPr="007348E1">
        <w:t>particularly during</w:t>
      </w:r>
      <w:r w:rsidR="00BF1142" w:rsidRPr="007348E1">
        <w:t xml:space="preserve"> the period after a release event;</w:t>
      </w:r>
    </w:p>
    <w:p w:rsidR="007F5C7E" w:rsidRPr="007348E1" w:rsidRDefault="00BF1142" w:rsidP="00737D62">
      <w:pPr>
        <w:pStyle w:val="ListParagraph"/>
        <w:numPr>
          <w:ilvl w:val="1"/>
          <w:numId w:val="7"/>
        </w:numPr>
        <w:autoSpaceDE/>
        <w:autoSpaceDN/>
        <w:adjustRightInd/>
        <w:ind w:left="851"/>
      </w:pPr>
      <w:r w:rsidRPr="007348E1">
        <w:t xml:space="preserve">Given the sensitivity of the species to particular contaminants and water quality </w:t>
      </w:r>
      <w:proofErr w:type="spellStart"/>
      <w:r w:rsidRPr="007348E1">
        <w:t>exceedances</w:t>
      </w:r>
      <w:proofErr w:type="spellEnd"/>
      <w:r w:rsidRPr="007348E1">
        <w:t>, increased monitoring points may also be beneficial. Currently</w:t>
      </w:r>
      <w:r w:rsidR="005068DC" w:rsidRPr="007348E1">
        <w:t>,</w:t>
      </w:r>
      <w:r w:rsidRPr="007348E1">
        <w:t xml:space="preserve"> six downstream monitoring points are proposed. It may also be prudent to extend monitoring beyond five</w:t>
      </w:r>
      <w:r w:rsidR="005068DC" w:rsidRPr="007348E1">
        <w:t xml:space="preserve"> kilometres</w:t>
      </w:r>
      <w:r w:rsidRPr="007348E1">
        <w:t xml:space="preserve"> unless monitoring/modelling demonstrates no impact beyond the five k</w:t>
      </w:r>
      <w:r w:rsidR="005068DC" w:rsidRPr="007348E1">
        <w:t>ilo</w:t>
      </w:r>
      <w:r w:rsidRPr="007348E1">
        <w:t>m</w:t>
      </w:r>
      <w:r w:rsidR="005068DC" w:rsidRPr="007348E1">
        <w:t>etre</w:t>
      </w:r>
      <w:r w:rsidRPr="007348E1">
        <w:t xml:space="preserve"> range. </w:t>
      </w:r>
    </w:p>
    <w:p w:rsidR="00BF1142" w:rsidRPr="007348E1" w:rsidRDefault="00BF1142" w:rsidP="00737D62">
      <w:pPr>
        <w:pStyle w:val="ListParagraph"/>
        <w:numPr>
          <w:ilvl w:val="1"/>
          <w:numId w:val="7"/>
        </w:numPr>
        <w:autoSpaceDE/>
        <w:autoSpaceDN/>
        <w:adjustRightInd/>
        <w:ind w:left="851"/>
      </w:pPr>
      <w:r w:rsidRPr="007348E1">
        <w:t>Wherever possible, management responses and discharge scenarios should maintain appropriate</w:t>
      </w:r>
      <w:r w:rsidR="00D32230" w:rsidRPr="007348E1">
        <w:t xml:space="preserve"> </w:t>
      </w:r>
      <w:r w:rsidR="00F0767C" w:rsidRPr="007348E1">
        <w:t>water quality and</w:t>
      </w:r>
      <w:r w:rsidRPr="007348E1">
        <w:t xml:space="preserve"> in-stream flows</w:t>
      </w:r>
      <w:r w:rsidR="00E25290" w:rsidRPr="007348E1">
        <w:t xml:space="preserve">. </w:t>
      </w:r>
      <w:r w:rsidR="00DF23FB" w:rsidRPr="007348E1">
        <w:t xml:space="preserve">The </w:t>
      </w:r>
      <w:r w:rsidR="00554DB0">
        <w:t xml:space="preserve">management </w:t>
      </w:r>
      <w:r w:rsidR="00DF23FB" w:rsidRPr="007348E1">
        <w:t xml:space="preserve">responses should </w:t>
      </w:r>
      <w:r w:rsidRPr="007348E1">
        <w:t xml:space="preserve">provide for the continuation of the </w:t>
      </w:r>
      <w:r w:rsidR="002D4FD5" w:rsidRPr="007348E1">
        <w:t>Fitzroy River Turtle</w:t>
      </w:r>
      <w:r w:rsidRPr="007348E1">
        <w:t xml:space="preserve"> habitat requirements, particularly for channels and nesting banks; and</w:t>
      </w:r>
    </w:p>
    <w:p w:rsidR="00BF1142" w:rsidRPr="007348E1" w:rsidRDefault="00BF1142" w:rsidP="00737D62">
      <w:pPr>
        <w:pStyle w:val="ListParagraph"/>
        <w:numPr>
          <w:ilvl w:val="1"/>
          <w:numId w:val="7"/>
        </w:numPr>
        <w:autoSpaceDE/>
        <w:autoSpaceDN/>
        <w:adjustRightInd/>
        <w:ind w:left="851"/>
      </w:pPr>
      <w:r w:rsidRPr="007348E1">
        <w:t>Erosion and sedimentation controls, along with saline, acid</w:t>
      </w:r>
      <w:r w:rsidR="00535048" w:rsidRPr="007348E1">
        <w:t xml:space="preserve"> and/</w:t>
      </w:r>
      <w:r w:rsidR="00F40536" w:rsidRPr="007348E1">
        <w:t>o</w:t>
      </w:r>
      <w:r w:rsidR="00535048" w:rsidRPr="007348E1">
        <w:t xml:space="preserve">r </w:t>
      </w:r>
      <w:proofErr w:type="spellStart"/>
      <w:r w:rsidR="00535048" w:rsidRPr="007348E1">
        <w:t>metalliferous</w:t>
      </w:r>
      <w:proofErr w:type="spellEnd"/>
      <w:r w:rsidRPr="007348E1">
        <w:t xml:space="preserve"> drainage and </w:t>
      </w:r>
      <w:proofErr w:type="spellStart"/>
      <w:r w:rsidRPr="007348E1">
        <w:t>leachate</w:t>
      </w:r>
      <w:proofErr w:type="spellEnd"/>
      <w:r w:rsidRPr="007348E1">
        <w:t xml:space="preserve"> management </w:t>
      </w:r>
      <w:proofErr w:type="gramStart"/>
      <w:r w:rsidRPr="007348E1">
        <w:t>controls</w:t>
      </w:r>
      <w:r w:rsidR="00BC67A0" w:rsidRPr="007348E1">
        <w:t>,</w:t>
      </w:r>
      <w:proofErr w:type="gramEnd"/>
      <w:r w:rsidRPr="007348E1">
        <w:t xml:space="preserve"> are important mitigation/management responses to limit </w:t>
      </w:r>
      <w:r w:rsidR="002D4FD5" w:rsidRPr="007348E1">
        <w:t>Fitzroy River Turtle</w:t>
      </w:r>
      <w:r w:rsidRPr="007348E1">
        <w:t xml:space="preserve"> habitat degradation. However</w:t>
      </w:r>
      <w:r w:rsidR="00D2554A">
        <w:t>,</w:t>
      </w:r>
      <w:r w:rsidRPr="007348E1">
        <w:t xml:space="preserve"> the </w:t>
      </w:r>
      <w:r w:rsidR="00F40536" w:rsidRPr="007348E1">
        <w:t xml:space="preserve">current </w:t>
      </w:r>
      <w:r w:rsidRPr="007348E1">
        <w:t xml:space="preserve">information </w:t>
      </w:r>
      <w:r w:rsidR="00F40536" w:rsidRPr="007348E1">
        <w:t xml:space="preserve">does not provide </w:t>
      </w:r>
      <w:r w:rsidR="003C295B" w:rsidRPr="007348E1">
        <w:t xml:space="preserve">a </w:t>
      </w:r>
      <w:r w:rsidR="00F40536" w:rsidRPr="007348E1">
        <w:lastRenderedPageBreak/>
        <w:t xml:space="preserve">sufficient level of information </w:t>
      </w:r>
      <w:r w:rsidRPr="007348E1">
        <w:t xml:space="preserve">to evaluate the ability of </w:t>
      </w:r>
      <w:r w:rsidR="004B4C9F" w:rsidRPr="007348E1">
        <w:t xml:space="preserve">these </w:t>
      </w:r>
      <w:r w:rsidRPr="007348E1">
        <w:t>management plans to minimise</w:t>
      </w:r>
      <w:r w:rsidR="002D4FD5" w:rsidRPr="007348E1">
        <w:t xml:space="preserve"> and manage</w:t>
      </w:r>
      <w:r w:rsidRPr="007348E1">
        <w:t xml:space="preserve"> potential impacts on </w:t>
      </w:r>
      <w:r w:rsidR="00D2554A">
        <w:t xml:space="preserve">the </w:t>
      </w:r>
      <w:r w:rsidR="002D4FD5" w:rsidRPr="007348E1">
        <w:t>Fitzroy River Turtle</w:t>
      </w:r>
      <w:r w:rsidRPr="007348E1">
        <w:t xml:space="preserve"> </w:t>
      </w:r>
      <w:r w:rsidR="00F40536" w:rsidRPr="007348E1">
        <w:t xml:space="preserve">and its </w:t>
      </w:r>
      <w:r w:rsidRPr="007348E1">
        <w:t xml:space="preserve">habitat. </w:t>
      </w:r>
    </w:p>
    <w:tbl>
      <w:tblPr>
        <w:tblW w:w="9968" w:type="dxa"/>
        <w:tblBorders>
          <w:insideH w:val="single" w:sz="4" w:space="0" w:color="auto"/>
        </w:tblBorders>
        <w:tblCellMar>
          <w:top w:w="113" w:type="dxa"/>
          <w:bottom w:w="113" w:type="dxa"/>
        </w:tblCellMar>
        <w:tblLook w:val="01E0"/>
      </w:tblPr>
      <w:tblGrid>
        <w:gridCol w:w="1809"/>
        <w:gridCol w:w="8159"/>
      </w:tblGrid>
      <w:tr w:rsidR="007203C3" w:rsidRPr="007348E1" w:rsidTr="00B1520C">
        <w:trPr>
          <w:trHeight w:val="19"/>
        </w:trPr>
        <w:tc>
          <w:tcPr>
            <w:tcW w:w="1809" w:type="dxa"/>
            <w:tcBorders>
              <w:top w:val="single" w:sz="4" w:space="0" w:color="auto"/>
              <w:bottom w:val="single" w:sz="4" w:space="0" w:color="auto"/>
            </w:tcBorders>
          </w:tcPr>
          <w:p w:rsidR="007203C3" w:rsidRPr="007348E1" w:rsidRDefault="007203C3" w:rsidP="00BD0FEB">
            <w:pPr>
              <w:pStyle w:val="Heading3"/>
            </w:pPr>
            <w:r w:rsidRPr="007348E1">
              <w:t>Date of advice</w:t>
            </w:r>
          </w:p>
        </w:tc>
        <w:tc>
          <w:tcPr>
            <w:tcW w:w="8159" w:type="dxa"/>
            <w:tcBorders>
              <w:top w:val="single" w:sz="4" w:space="0" w:color="auto"/>
              <w:bottom w:val="single" w:sz="4" w:space="0" w:color="auto"/>
            </w:tcBorders>
          </w:tcPr>
          <w:p w:rsidR="007203C3" w:rsidRPr="007348E1" w:rsidRDefault="00471EB0" w:rsidP="00EA72EE">
            <w:pPr>
              <w:spacing w:after="0"/>
            </w:pPr>
            <w:r w:rsidRPr="004469A2">
              <w:t>1</w:t>
            </w:r>
            <w:r w:rsidR="00EA72EE" w:rsidRPr="004469A2">
              <w:t>4</w:t>
            </w:r>
            <w:r w:rsidR="007203C3" w:rsidRPr="007348E1">
              <w:t xml:space="preserve"> </w:t>
            </w:r>
            <w:r w:rsidRPr="007348E1">
              <w:t>May</w:t>
            </w:r>
            <w:r w:rsidR="007203C3" w:rsidRPr="007348E1">
              <w:t xml:space="preserve"> 201</w:t>
            </w:r>
            <w:r w:rsidR="00D10C4C" w:rsidRPr="007348E1">
              <w:t>4</w:t>
            </w:r>
          </w:p>
        </w:tc>
      </w:tr>
      <w:tr w:rsidR="007203C3" w:rsidRPr="007348E1" w:rsidTr="00B1520C">
        <w:trPr>
          <w:trHeight w:val="161"/>
        </w:trPr>
        <w:tc>
          <w:tcPr>
            <w:tcW w:w="1809" w:type="dxa"/>
            <w:tcBorders>
              <w:top w:val="single" w:sz="4" w:space="0" w:color="auto"/>
              <w:bottom w:val="single" w:sz="4" w:space="0" w:color="auto"/>
            </w:tcBorders>
          </w:tcPr>
          <w:p w:rsidR="007203C3" w:rsidRPr="007348E1" w:rsidRDefault="007203C3" w:rsidP="00BD0FEB">
            <w:pPr>
              <w:pStyle w:val="Heading3"/>
            </w:pPr>
            <w:r w:rsidRPr="007348E1">
              <w:t xml:space="preserve">Source documentation available to the </w:t>
            </w:r>
            <w:r w:rsidR="00807D30" w:rsidRPr="007348E1">
              <w:t>IESC</w:t>
            </w:r>
            <w:r w:rsidRPr="007348E1">
              <w:t xml:space="preserve"> in the formulation of this advice</w:t>
            </w:r>
          </w:p>
        </w:tc>
        <w:tc>
          <w:tcPr>
            <w:tcW w:w="8159" w:type="dxa"/>
            <w:tcBorders>
              <w:top w:val="single" w:sz="4" w:space="0" w:color="auto"/>
              <w:bottom w:val="single" w:sz="4" w:space="0" w:color="auto"/>
            </w:tcBorders>
          </w:tcPr>
          <w:p w:rsidR="003D15EC" w:rsidRPr="007348E1" w:rsidRDefault="003D15EC" w:rsidP="003D15EC">
            <w:pPr>
              <w:pStyle w:val="ListNumber"/>
              <w:numPr>
                <w:ilvl w:val="0"/>
                <w:numId w:val="0"/>
              </w:numPr>
              <w:autoSpaceDE/>
              <w:autoSpaceDN/>
              <w:adjustRightInd/>
              <w:outlineLvl w:val="3"/>
              <w:rPr>
                <w:lang w:val="en-US"/>
              </w:rPr>
            </w:pPr>
            <w:r w:rsidRPr="007348E1">
              <w:rPr>
                <w:lang w:val="en-US"/>
              </w:rPr>
              <w:t>Department of Envi</w:t>
            </w:r>
            <w:r w:rsidR="00022B76" w:rsidRPr="007348E1">
              <w:rPr>
                <w:lang w:val="en-US"/>
              </w:rPr>
              <w:t>ronment and Heritage Protection (DEHP)</w:t>
            </w:r>
            <w:r w:rsidRPr="007348E1">
              <w:rPr>
                <w:lang w:val="en-US"/>
              </w:rPr>
              <w:t xml:space="preserve"> May 2012, EIS Assessment Report for the </w:t>
            </w:r>
            <w:proofErr w:type="spellStart"/>
            <w:r w:rsidRPr="007348E1">
              <w:rPr>
                <w:lang w:val="en-US"/>
              </w:rPr>
              <w:t>Washpool</w:t>
            </w:r>
            <w:proofErr w:type="spellEnd"/>
            <w:r w:rsidRPr="007348E1">
              <w:rPr>
                <w:lang w:val="en-US"/>
              </w:rPr>
              <w:t xml:space="preserve"> Coal Mine Project</w:t>
            </w:r>
          </w:p>
          <w:p w:rsidR="003D0956" w:rsidRPr="007348E1" w:rsidRDefault="00022B76" w:rsidP="003D0956">
            <w:pPr>
              <w:pStyle w:val="ListNumber"/>
              <w:numPr>
                <w:ilvl w:val="0"/>
                <w:numId w:val="0"/>
              </w:numPr>
              <w:autoSpaceDE/>
              <w:autoSpaceDN/>
              <w:adjustRightInd/>
              <w:outlineLvl w:val="3"/>
              <w:rPr>
                <w:lang w:val="en-US"/>
              </w:rPr>
            </w:pPr>
            <w:r w:rsidRPr="007348E1">
              <w:rPr>
                <w:lang w:val="en-US"/>
              </w:rPr>
              <w:t xml:space="preserve">DEHP 2012, </w:t>
            </w:r>
            <w:r w:rsidR="003D15EC" w:rsidRPr="007348E1">
              <w:rPr>
                <w:lang w:val="en-US"/>
              </w:rPr>
              <w:t>Draft Environmental Authority</w:t>
            </w:r>
          </w:p>
          <w:p w:rsidR="003D15EC" w:rsidRPr="007348E1" w:rsidRDefault="00D37E87" w:rsidP="003D15EC">
            <w:pPr>
              <w:pStyle w:val="ListNumber"/>
              <w:numPr>
                <w:ilvl w:val="0"/>
                <w:numId w:val="0"/>
              </w:numPr>
              <w:autoSpaceDE/>
              <w:autoSpaceDN/>
              <w:adjustRightInd/>
              <w:outlineLvl w:val="3"/>
              <w:rPr>
                <w:lang w:val="en-US"/>
              </w:rPr>
            </w:pPr>
            <w:r w:rsidRPr="007348E1">
              <w:rPr>
                <w:lang w:val="en-US"/>
              </w:rPr>
              <w:t>Jacobs SKM 2014, Water Resources IESC Submission (Ref QE0678|1)</w:t>
            </w:r>
          </w:p>
          <w:p w:rsidR="003D15EC" w:rsidRPr="007348E1" w:rsidRDefault="003D15EC" w:rsidP="003D15EC">
            <w:pPr>
              <w:pStyle w:val="ListNumber"/>
              <w:numPr>
                <w:ilvl w:val="0"/>
                <w:numId w:val="0"/>
              </w:numPr>
              <w:autoSpaceDE/>
              <w:autoSpaceDN/>
              <w:adjustRightInd/>
              <w:ind w:left="369" w:hanging="369"/>
              <w:outlineLvl w:val="3"/>
              <w:rPr>
                <w:lang w:val="en-US"/>
              </w:rPr>
            </w:pPr>
            <w:r w:rsidRPr="007348E1">
              <w:rPr>
                <w:lang w:val="en-US"/>
              </w:rPr>
              <w:t xml:space="preserve">SKM 2013, Fitzroy River Turtle Habitat Survey, </w:t>
            </w:r>
            <w:proofErr w:type="spellStart"/>
            <w:r w:rsidRPr="007348E1">
              <w:rPr>
                <w:lang w:val="en-US"/>
              </w:rPr>
              <w:t>Washpool</w:t>
            </w:r>
            <w:proofErr w:type="spellEnd"/>
            <w:r w:rsidRPr="007348E1">
              <w:rPr>
                <w:lang w:val="en-US"/>
              </w:rPr>
              <w:t xml:space="preserve"> Coal Mine</w:t>
            </w:r>
          </w:p>
          <w:p w:rsidR="00807D30" w:rsidRPr="007348E1" w:rsidRDefault="00022B76" w:rsidP="00022B76">
            <w:pPr>
              <w:pStyle w:val="ListNumber"/>
              <w:numPr>
                <w:ilvl w:val="0"/>
                <w:numId w:val="0"/>
              </w:numPr>
              <w:autoSpaceDE/>
              <w:autoSpaceDN/>
              <w:adjustRightInd/>
              <w:ind w:left="369" w:hanging="369"/>
              <w:outlineLvl w:val="3"/>
              <w:rPr>
                <w:lang w:val="en-US"/>
              </w:rPr>
            </w:pPr>
            <w:proofErr w:type="spellStart"/>
            <w:r w:rsidRPr="007348E1">
              <w:rPr>
                <w:lang w:val="en-US"/>
              </w:rPr>
              <w:t>Washpool</w:t>
            </w:r>
            <w:proofErr w:type="spellEnd"/>
            <w:r w:rsidRPr="007348E1">
              <w:rPr>
                <w:lang w:val="en-US"/>
              </w:rPr>
              <w:t xml:space="preserve"> Coal Project</w:t>
            </w:r>
            <w:r w:rsidR="003D15EC" w:rsidRPr="007348E1">
              <w:rPr>
                <w:lang w:val="en-US"/>
              </w:rPr>
              <w:t xml:space="preserve"> </w:t>
            </w:r>
            <w:r w:rsidRPr="007348E1">
              <w:rPr>
                <w:lang w:val="en-US"/>
              </w:rPr>
              <w:t xml:space="preserve">January 2012, </w:t>
            </w:r>
            <w:r w:rsidR="003D15EC" w:rsidRPr="007348E1">
              <w:rPr>
                <w:lang w:val="en-US"/>
              </w:rPr>
              <w:t xml:space="preserve">Environmental Impact Assessment Addendum, </w:t>
            </w:r>
          </w:p>
        </w:tc>
      </w:tr>
      <w:tr w:rsidR="007203C3" w:rsidRPr="00304CA9" w:rsidTr="00B1520C">
        <w:trPr>
          <w:trHeight w:val="19"/>
        </w:trPr>
        <w:tc>
          <w:tcPr>
            <w:tcW w:w="1809" w:type="dxa"/>
            <w:tcBorders>
              <w:top w:val="single" w:sz="4" w:space="0" w:color="auto"/>
              <w:bottom w:val="single" w:sz="4" w:space="0" w:color="auto"/>
            </w:tcBorders>
          </w:tcPr>
          <w:p w:rsidR="007203C3" w:rsidRPr="007348E1" w:rsidRDefault="00807D30" w:rsidP="00BD0FEB">
            <w:pPr>
              <w:pStyle w:val="Heading3"/>
            </w:pPr>
            <w:r w:rsidRPr="007348E1">
              <w:t>References cited within the IESC</w:t>
            </w:r>
            <w:r w:rsidR="007203C3" w:rsidRPr="007348E1">
              <w:t>’s advice</w:t>
            </w:r>
          </w:p>
        </w:tc>
        <w:tc>
          <w:tcPr>
            <w:tcW w:w="8159" w:type="dxa"/>
            <w:tcBorders>
              <w:top w:val="single" w:sz="4" w:space="0" w:color="auto"/>
              <w:bottom w:val="single" w:sz="4" w:space="0" w:color="auto"/>
            </w:tcBorders>
          </w:tcPr>
          <w:p w:rsidR="00E23429" w:rsidRPr="007348E1" w:rsidRDefault="00022B76" w:rsidP="00022B76">
            <w:pPr>
              <w:pStyle w:val="ListNumber"/>
              <w:numPr>
                <w:ilvl w:val="0"/>
                <w:numId w:val="0"/>
              </w:numPr>
              <w:autoSpaceDE/>
              <w:autoSpaceDN/>
              <w:adjustRightInd/>
              <w:outlineLvl w:val="3"/>
              <w:rPr>
                <w:lang w:val="en-US"/>
              </w:rPr>
            </w:pPr>
            <w:r w:rsidRPr="007348E1">
              <w:rPr>
                <w:vertAlign w:val="superscript"/>
                <w:lang w:val="en-US"/>
              </w:rPr>
              <w:t>1</w:t>
            </w:r>
            <w:r w:rsidR="00166B1A" w:rsidRPr="007348E1">
              <w:rPr>
                <w:lang w:val="en-US"/>
              </w:rPr>
              <w:t xml:space="preserve"> </w:t>
            </w:r>
            <w:r w:rsidR="00E23429" w:rsidRPr="007348E1">
              <w:rPr>
                <w:bCs/>
              </w:rPr>
              <w:t xml:space="preserve">Information Guidelines for Proposals Relating to the Development of Coal Seam Gas and Large Coal Mines where there is a Significant Impact on Water Resources available at: </w:t>
            </w:r>
            <w:hyperlink r:id="rId9" w:history="1">
              <w:r w:rsidR="00E23429" w:rsidRPr="007348E1">
                <w:rPr>
                  <w:bCs/>
                </w:rPr>
                <w:t>http://iesc.environment.gov.au/pubs/iesc-information-guidelines.pdf</w:t>
              </w:r>
            </w:hyperlink>
          </w:p>
          <w:p w:rsidR="00FD1AC3" w:rsidRPr="007348E1" w:rsidRDefault="00E23429" w:rsidP="00FD1AC3">
            <w:pPr>
              <w:pStyle w:val="ListNumber"/>
              <w:numPr>
                <w:ilvl w:val="0"/>
                <w:numId w:val="0"/>
              </w:numPr>
              <w:autoSpaceDE/>
              <w:autoSpaceDN/>
              <w:adjustRightInd/>
              <w:outlineLvl w:val="3"/>
              <w:rPr>
                <w:lang w:val="en-US"/>
              </w:rPr>
            </w:pPr>
            <w:r w:rsidRPr="007348E1">
              <w:rPr>
                <w:vertAlign w:val="superscript"/>
                <w:lang w:val="en-US"/>
              </w:rPr>
              <w:t xml:space="preserve">2. </w:t>
            </w:r>
            <w:r w:rsidR="00FD1AC3" w:rsidRPr="007348E1">
              <w:rPr>
                <w:lang w:val="en-US"/>
              </w:rPr>
              <w:t xml:space="preserve">Interim IESC 2012, Advice to decision maker on coal mining project, </w:t>
            </w:r>
            <w:proofErr w:type="spellStart"/>
            <w:r w:rsidR="00FD1AC3" w:rsidRPr="007348E1">
              <w:rPr>
                <w:lang w:val="en-US"/>
              </w:rPr>
              <w:t>Washpool</w:t>
            </w:r>
            <w:proofErr w:type="spellEnd"/>
            <w:r w:rsidR="00FD1AC3" w:rsidRPr="007348E1">
              <w:rPr>
                <w:lang w:val="en-US"/>
              </w:rPr>
              <w:t xml:space="preserve"> Coal Project (EPBC 2009/5240), 29 June 2012</w:t>
            </w:r>
          </w:p>
          <w:p w:rsidR="009717F1" w:rsidRPr="007348E1" w:rsidRDefault="00FD1AC3" w:rsidP="004960B6">
            <w:pPr>
              <w:pStyle w:val="ListNumber"/>
              <w:numPr>
                <w:ilvl w:val="0"/>
                <w:numId w:val="0"/>
              </w:numPr>
              <w:autoSpaceDE/>
              <w:autoSpaceDN/>
              <w:adjustRightInd/>
              <w:outlineLvl w:val="3"/>
              <w:rPr>
                <w:lang w:val="en-US"/>
              </w:rPr>
            </w:pPr>
            <w:r w:rsidRPr="007348E1">
              <w:rPr>
                <w:vertAlign w:val="superscript"/>
                <w:lang w:val="en-US"/>
              </w:rPr>
              <w:t xml:space="preserve">3. </w:t>
            </w:r>
            <w:r w:rsidR="00F0767C" w:rsidRPr="007348E1">
              <w:rPr>
                <w:lang w:val="en-US"/>
              </w:rPr>
              <w:t xml:space="preserve">DSEWPAC 2011, </w:t>
            </w:r>
            <w:r w:rsidR="00F0767C" w:rsidRPr="007348E1">
              <w:rPr>
                <w:i/>
                <w:lang w:val="en-US"/>
              </w:rPr>
              <w:t>Survey guidelines for Australia’s threatened reptiles</w:t>
            </w:r>
            <w:r w:rsidR="00F0767C" w:rsidRPr="007348E1">
              <w:rPr>
                <w:lang w:val="en-US"/>
              </w:rPr>
              <w:t xml:space="preserve">, available at: </w:t>
            </w:r>
            <w:hyperlink r:id="rId10" w:history="1">
              <w:r w:rsidR="00F0767C" w:rsidRPr="007348E1">
                <w:rPr>
                  <w:rStyle w:val="Hyperlink"/>
                  <w:lang w:val="en-US"/>
                </w:rPr>
                <w:t>http://www.environment.gov.au/system/files/resources/eba674a5-b220-4ef1-9f3a-b9ff3f08a959/files/survey-guidelines-reptiles.pdf</w:t>
              </w:r>
            </w:hyperlink>
            <w:r w:rsidR="009717F1" w:rsidRPr="007348E1">
              <w:rPr>
                <w:lang w:val="en-US"/>
              </w:rPr>
              <w:t xml:space="preserve"> </w:t>
            </w:r>
          </w:p>
          <w:p w:rsidR="004960B6" w:rsidRPr="007348E1" w:rsidRDefault="00FD1AC3" w:rsidP="004960B6">
            <w:pPr>
              <w:pStyle w:val="ListNumber"/>
              <w:numPr>
                <w:ilvl w:val="0"/>
                <w:numId w:val="0"/>
              </w:numPr>
              <w:autoSpaceDE/>
              <w:autoSpaceDN/>
              <w:adjustRightInd/>
              <w:outlineLvl w:val="3"/>
              <w:rPr>
                <w:lang w:val="en-US"/>
              </w:rPr>
            </w:pPr>
            <w:r w:rsidRPr="007348E1">
              <w:rPr>
                <w:vertAlign w:val="superscript"/>
                <w:lang w:val="en-US"/>
              </w:rPr>
              <w:t>4</w:t>
            </w:r>
            <w:r w:rsidR="009717F1" w:rsidRPr="007348E1">
              <w:rPr>
                <w:vertAlign w:val="superscript"/>
                <w:lang w:val="en-US"/>
              </w:rPr>
              <w:t>.</w:t>
            </w:r>
            <w:r w:rsidR="00166B1A" w:rsidRPr="007348E1">
              <w:rPr>
                <w:vertAlign w:val="superscript"/>
                <w:lang w:val="en-US"/>
              </w:rPr>
              <w:t xml:space="preserve"> </w:t>
            </w:r>
            <w:r w:rsidR="00022B76" w:rsidRPr="007348E1">
              <w:rPr>
                <w:lang w:val="en-US"/>
              </w:rPr>
              <w:t>ANZECC and ARMCANZ (2000) Australian Guidelines for Water Quality Monitoring and Reporting. National Water Quality Management Strategy (NWQMS). Document 4 and 7. Australian and New Zealand Environment and Conservation Council &amp; Agriculture and Resource Management Council for Australia and New Zealand, Canberra.</w:t>
            </w:r>
          </w:p>
          <w:p w:rsidR="00BA0334" w:rsidRPr="00304CA9" w:rsidRDefault="00FD1AC3" w:rsidP="004D2579">
            <w:pPr>
              <w:pStyle w:val="ListNumber"/>
              <w:numPr>
                <w:ilvl w:val="0"/>
                <w:numId w:val="0"/>
              </w:numPr>
              <w:autoSpaceDE/>
              <w:autoSpaceDN/>
              <w:adjustRightInd/>
              <w:outlineLvl w:val="3"/>
            </w:pPr>
            <w:r w:rsidRPr="007348E1">
              <w:rPr>
                <w:vertAlign w:val="superscript"/>
                <w:lang w:val="en-US"/>
              </w:rPr>
              <w:t>5</w:t>
            </w:r>
            <w:r w:rsidR="004960B6" w:rsidRPr="007348E1">
              <w:rPr>
                <w:vertAlign w:val="superscript"/>
                <w:lang w:val="en-US"/>
              </w:rPr>
              <w:t>.</w:t>
            </w:r>
            <w:r w:rsidR="004960B6" w:rsidRPr="007348E1">
              <w:rPr>
                <w:lang w:val="en-US"/>
              </w:rPr>
              <w:t xml:space="preserve"> Department of Environment and Heritage Protection (2013) </w:t>
            </w:r>
            <w:r w:rsidR="004960B6" w:rsidRPr="007348E1">
              <w:rPr>
                <w:i/>
                <w:lang w:val="en-US"/>
              </w:rPr>
              <w:t>Environmental Protection (Water) Policy 2009 – Mackenzie River sub-basin Environmental Values and Water Quality Objectives, Basin No. 130 (part), including all waters of the Mackenzie River Sub-basin</w:t>
            </w:r>
            <w:r w:rsidR="004960B6" w:rsidRPr="007348E1">
              <w:rPr>
                <w:lang w:val="en-US"/>
              </w:rPr>
              <w:t>, State of Queensland, Brisbane</w:t>
            </w:r>
            <w:r w:rsidR="0029489C">
              <w:t xml:space="preserve"> </w:t>
            </w:r>
          </w:p>
        </w:tc>
      </w:tr>
    </w:tbl>
    <w:p w:rsidR="007203C3" w:rsidRPr="00062A46" w:rsidRDefault="007203C3" w:rsidP="007D2326"/>
    <w:sectPr w:rsidR="007203C3" w:rsidRPr="00062A46" w:rsidSect="007203C3">
      <w:headerReference w:type="even" r:id="rId11"/>
      <w:footerReference w:type="default" r:id="rId12"/>
      <w:footerReference w:type="first" r:id="rId13"/>
      <w:pgSz w:w="11906" w:h="16838"/>
      <w:pgMar w:top="1440" w:right="1440" w:bottom="1440" w:left="1440" w:header="425" w:footer="42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8E1" w:rsidRDefault="007348E1" w:rsidP="00D52BCF">
      <w:r>
        <w:separator/>
      </w:r>
    </w:p>
  </w:endnote>
  <w:endnote w:type="continuationSeparator" w:id="0">
    <w:p w:rsidR="007348E1" w:rsidRDefault="007348E1" w:rsidP="00D52B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8E1" w:rsidRPr="007203C3" w:rsidRDefault="007348E1" w:rsidP="00807D30">
    <w:pPr>
      <w:pStyle w:val="Footer"/>
      <w:pBdr>
        <w:top w:val="single" w:sz="4" w:space="1" w:color="auto"/>
      </w:pBdr>
      <w:spacing w:after="0" w:line="240" w:lineRule="auto"/>
      <w:rPr>
        <w:color w:val="FF0000"/>
        <w:sz w:val="12"/>
      </w:rPr>
    </w:pPr>
  </w:p>
  <w:p w:rsidR="007348E1" w:rsidRDefault="004469A2" w:rsidP="00807D30">
    <w:pPr>
      <w:pStyle w:val="Footer"/>
      <w:pBdr>
        <w:top w:val="single" w:sz="4" w:space="1" w:color="auto"/>
      </w:pBdr>
      <w:spacing w:after="0" w:line="240" w:lineRule="auto"/>
    </w:pPr>
    <w:r>
      <w:t xml:space="preserve">Final </w:t>
    </w:r>
    <w:r w:rsidR="007348E1" w:rsidRPr="00D15280">
      <w:t>Advice</w:t>
    </w:r>
    <w:r w:rsidR="007348E1">
      <w:t xml:space="preserve"> </w:t>
    </w:r>
    <w:r w:rsidR="007348E1" w:rsidRPr="004469A2">
      <w:ptab w:relativeTo="margin" w:alignment="right" w:leader="none"/>
    </w:r>
    <w:r w:rsidR="007348E1" w:rsidRPr="004469A2">
      <w:t>14 M</w:t>
    </w:r>
    <w:r w:rsidR="007348E1" w:rsidRPr="00807D30">
      <w:t>ay 2014</w:t>
    </w:r>
  </w:p>
  <w:p w:rsidR="007348E1" w:rsidRPr="00807D30" w:rsidRDefault="00D44962" w:rsidP="00807D30">
    <w:pPr>
      <w:pStyle w:val="Footer"/>
      <w:spacing w:after="0" w:line="240" w:lineRule="auto"/>
      <w:jc w:val="center"/>
    </w:pPr>
    <w:fldSimple w:instr=" PAGE   \* MERGEFORMAT ">
      <w:r w:rsidR="00A51D7E">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8E1" w:rsidRPr="00D15280" w:rsidRDefault="007348E1" w:rsidP="00D52BCF">
    <w:pPr>
      <w:pStyle w:val="Footer"/>
    </w:pPr>
    <w:r w:rsidRPr="00062A46">
      <w:rPr>
        <w:color w:val="FF0000"/>
      </w:rPr>
      <w:t>Draft</w:t>
    </w:r>
    <w:r w:rsidRPr="00D15280">
      <w:t xml:space="preserve"> Advice</w:t>
    </w:r>
    <w:r>
      <w:t xml:space="preserve"> – Version </w:t>
    </w:r>
    <w:r w:rsidRPr="00062A46">
      <w:rPr>
        <w:color w:val="FF0000"/>
      </w:rPr>
      <w:t>1</w:t>
    </w:r>
    <w:r w:rsidRPr="00D15280">
      <w:ptab w:relativeTo="margin" w:alignment="right" w:leader="none"/>
    </w:r>
    <w:r w:rsidRPr="00062A46">
      <w:rPr>
        <w:b/>
        <w:color w:val="FF0000"/>
      </w:rPr>
      <w:t>DATE</w:t>
    </w:r>
  </w:p>
  <w:p w:rsidR="007348E1" w:rsidRPr="00062A46" w:rsidRDefault="00D44962" w:rsidP="00D52BCF">
    <w:pPr>
      <w:pStyle w:val="Footer"/>
    </w:pPr>
    <w:sdt>
      <w:sdtPr>
        <w:id w:val="16689876"/>
        <w:docPartObj>
          <w:docPartGallery w:val="Page Numbers (Bottom of Page)"/>
          <w:docPartUnique/>
        </w:docPartObj>
      </w:sdtPr>
      <w:sdtContent>
        <w:fldSimple w:instr=" PAGE   \* MERGEFORMAT ">
          <w:r w:rsidR="007348E1">
            <w:rPr>
              <w:noProof/>
            </w:rPr>
            <w:t>1</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8E1" w:rsidRDefault="007348E1" w:rsidP="00D52BCF">
      <w:r>
        <w:separator/>
      </w:r>
    </w:p>
  </w:footnote>
  <w:footnote w:type="continuationSeparator" w:id="0">
    <w:p w:rsidR="007348E1" w:rsidRDefault="007348E1" w:rsidP="00D52B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8E1" w:rsidRDefault="007348E1" w:rsidP="00D52BCF">
    <w:pPr>
      <w:pStyle w:val="Classification"/>
    </w:pPr>
    <w:r>
      <w:rPr>
        <w:lang w:val="en-US"/>
      </w:rPr>
      <w:t>Error! Unknown document property name.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03905DBB"/>
    <w:multiLevelType w:val="hybridMultilevel"/>
    <w:tmpl w:val="3136666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0A63112"/>
    <w:multiLevelType w:val="hybridMultilevel"/>
    <w:tmpl w:val="113C9A06"/>
    <w:lvl w:ilvl="0" w:tplc="BF9C37F6">
      <w:start w:val="1"/>
      <w:numFmt w:val="decimal"/>
      <w:lvlText w:val="%1."/>
      <w:lvlJc w:val="left"/>
      <w:pPr>
        <w:ind w:left="360" w:hanging="360"/>
      </w:pPr>
      <w:rPr>
        <w:b w:val="0"/>
      </w:rPr>
    </w:lvl>
    <w:lvl w:ilvl="1" w:tplc="0C090019">
      <w:start w:val="1"/>
      <w:numFmt w:val="lowerLetter"/>
      <w:lvlText w:val="%2."/>
      <w:lvlJc w:val="left"/>
      <w:pPr>
        <w:ind w:left="6708" w:hanging="360"/>
      </w:pPr>
    </w:lvl>
    <w:lvl w:ilvl="2" w:tplc="0C09001B">
      <w:start w:val="1"/>
      <w:numFmt w:val="lowerRoman"/>
      <w:lvlText w:val="%3."/>
      <w:lvlJc w:val="right"/>
      <w:pPr>
        <w:ind w:left="7428" w:hanging="180"/>
      </w:pPr>
    </w:lvl>
    <w:lvl w:ilvl="3" w:tplc="0C09000F" w:tentative="1">
      <w:start w:val="1"/>
      <w:numFmt w:val="decimal"/>
      <w:lvlText w:val="%4."/>
      <w:lvlJc w:val="left"/>
      <w:pPr>
        <w:ind w:left="8148" w:hanging="360"/>
      </w:pPr>
    </w:lvl>
    <w:lvl w:ilvl="4" w:tplc="0C090019" w:tentative="1">
      <w:start w:val="1"/>
      <w:numFmt w:val="lowerLetter"/>
      <w:lvlText w:val="%5."/>
      <w:lvlJc w:val="left"/>
      <w:pPr>
        <w:ind w:left="8868" w:hanging="360"/>
      </w:pPr>
    </w:lvl>
    <w:lvl w:ilvl="5" w:tplc="0C09001B" w:tentative="1">
      <w:start w:val="1"/>
      <w:numFmt w:val="lowerRoman"/>
      <w:lvlText w:val="%6."/>
      <w:lvlJc w:val="right"/>
      <w:pPr>
        <w:ind w:left="9588" w:hanging="180"/>
      </w:pPr>
    </w:lvl>
    <w:lvl w:ilvl="6" w:tplc="0C09000F" w:tentative="1">
      <w:start w:val="1"/>
      <w:numFmt w:val="decimal"/>
      <w:lvlText w:val="%7."/>
      <w:lvlJc w:val="left"/>
      <w:pPr>
        <w:ind w:left="10308" w:hanging="360"/>
      </w:pPr>
    </w:lvl>
    <w:lvl w:ilvl="7" w:tplc="0C090019" w:tentative="1">
      <w:start w:val="1"/>
      <w:numFmt w:val="lowerLetter"/>
      <w:lvlText w:val="%8."/>
      <w:lvlJc w:val="left"/>
      <w:pPr>
        <w:ind w:left="11028" w:hanging="360"/>
      </w:pPr>
    </w:lvl>
    <w:lvl w:ilvl="8" w:tplc="0C09001B" w:tentative="1">
      <w:start w:val="1"/>
      <w:numFmt w:val="lowerRoman"/>
      <w:lvlText w:val="%9."/>
      <w:lvlJc w:val="right"/>
      <w:pPr>
        <w:ind w:left="11748" w:hanging="180"/>
      </w:pPr>
    </w:lvl>
  </w:abstractNum>
  <w:abstractNum w:abstractNumId="3">
    <w:nsid w:val="21C77B79"/>
    <w:multiLevelType w:val="hybridMultilevel"/>
    <w:tmpl w:val="2500BFA8"/>
    <w:lvl w:ilvl="0" w:tplc="19FAF594">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43FF559B"/>
    <w:multiLevelType w:val="hybridMultilevel"/>
    <w:tmpl w:val="7BD87A78"/>
    <w:lvl w:ilvl="0" w:tplc="0C090019">
      <w:start w:val="1"/>
      <w:numFmt w:val="lowerLetter"/>
      <w:lvlText w:val="%1."/>
      <w:lvlJc w:val="left"/>
      <w:pPr>
        <w:ind w:left="1179" w:hanging="360"/>
      </w:pPr>
    </w:lvl>
    <w:lvl w:ilvl="1" w:tplc="0C090019">
      <w:start w:val="1"/>
      <w:numFmt w:val="lowerLetter"/>
      <w:lvlText w:val="%2."/>
      <w:lvlJc w:val="left"/>
      <w:pPr>
        <w:ind w:left="1899" w:hanging="360"/>
      </w:pPr>
    </w:lvl>
    <w:lvl w:ilvl="2" w:tplc="0C09001B">
      <w:start w:val="1"/>
      <w:numFmt w:val="lowerRoman"/>
      <w:lvlText w:val="%3."/>
      <w:lvlJc w:val="right"/>
      <w:pPr>
        <w:ind w:left="2619" w:hanging="180"/>
      </w:pPr>
    </w:lvl>
    <w:lvl w:ilvl="3" w:tplc="0C09000F" w:tentative="1">
      <w:start w:val="1"/>
      <w:numFmt w:val="decimal"/>
      <w:lvlText w:val="%4."/>
      <w:lvlJc w:val="left"/>
      <w:pPr>
        <w:ind w:left="3339" w:hanging="360"/>
      </w:pPr>
    </w:lvl>
    <w:lvl w:ilvl="4" w:tplc="0C090019" w:tentative="1">
      <w:start w:val="1"/>
      <w:numFmt w:val="lowerLetter"/>
      <w:lvlText w:val="%5."/>
      <w:lvlJc w:val="left"/>
      <w:pPr>
        <w:ind w:left="4059" w:hanging="360"/>
      </w:pPr>
    </w:lvl>
    <w:lvl w:ilvl="5" w:tplc="0C09001B" w:tentative="1">
      <w:start w:val="1"/>
      <w:numFmt w:val="lowerRoman"/>
      <w:lvlText w:val="%6."/>
      <w:lvlJc w:val="right"/>
      <w:pPr>
        <w:ind w:left="4779" w:hanging="180"/>
      </w:pPr>
    </w:lvl>
    <w:lvl w:ilvl="6" w:tplc="0C09000F" w:tentative="1">
      <w:start w:val="1"/>
      <w:numFmt w:val="decimal"/>
      <w:lvlText w:val="%7."/>
      <w:lvlJc w:val="left"/>
      <w:pPr>
        <w:ind w:left="5499" w:hanging="360"/>
      </w:pPr>
    </w:lvl>
    <w:lvl w:ilvl="7" w:tplc="0C090019" w:tentative="1">
      <w:start w:val="1"/>
      <w:numFmt w:val="lowerLetter"/>
      <w:lvlText w:val="%8."/>
      <w:lvlJc w:val="left"/>
      <w:pPr>
        <w:ind w:left="6219" w:hanging="360"/>
      </w:pPr>
    </w:lvl>
    <w:lvl w:ilvl="8" w:tplc="0C09001B" w:tentative="1">
      <w:start w:val="1"/>
      <w:numFmt w:val="lowerRoman"/>
      <w:lvlText w:val="%9."/>
      <w:lvlJc w:val="right"/>
      <w:pPr>
        <w:ind w:left="6939" w:hanging="180"/>
      </w:pPr>
    </w:lvl>
  </w:abstractNum>
  <w:abstractNum w:abstractNumId="7">
    <w:nsid w:val="64C2354F"/>
    <w:multiLevelType w:val="hybridMultilevel"/>
    <w:tmpl w:val="907E9452"/>
    <w:lvl w:ilvl="0" w:tplc="0C09001B">
      <w:start w:val="1"/>
      <w:numFmt w:val="lowerRoman"/>
      <w:lvlText w:val="%1."/>
      <w:lvlJc w:val="right"/>
      <w:pPr>
        <w:ind w:left="1571" w:hanging="360"/>
      </w:pPr>
    </w:lvl>
    <w:lvl w:ilvl="1" w:tplc="0C090019">
      <w:start w:val="1"/>
      <w:numFmt w:val="lowerLetter"/>
      <w:lvlText w:val="%2."/>
      <w:lvlJc w:val="left"/>
      <w:pPr>
        <w:ind w:left="2291" w:hanging="360"/>
      </w:pPr>
    </w:lvl>
    <w:lvl w:ilvl="2" w:tplc="0C09001B">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8">
    <w:nsid w:val="65456429"/>
    <w:multiLevelType w:val="multilevel"/>
    <w:tmpl w:val="464AD73C"/>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9">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0">
    <w:nsid w:val="77F006C5"/>
    <w:multiLevelType w:val="hybridMultilevel"/>
    <w:tmpl w:val="045C9F2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0"/>
  </w:num>
  <w:num w:numId="3">
    <w:abstractNumId w:val="5"/>
  </w:num>
  <w:num w:numId="4">
    <w:abstractNumId w:val="4"/>
  </w:num>
  <w:num w:numId="5">
    <w:abstractNumId w:val="8"/>
  </w:num>
  <w:num w:numId="6">
    <w:abstractNumId w:val="3"/>
  </w:num>
  <w:num w:numId="7">
    <w:abstractNumId w:val="2"/>
  </w:num>
  <w:num w:numId="8">
    <w:abstractNumId w:val="6"/>
  </w:num>
  <w:num w:numId="9">
    <w:abstractNumId w:val="1"/>
  </w:num>
  <w:num w:numId="10">
    <w:abstractNumId w:val="10"/>
  </w:num>
  <w:num w:numId="11">
    <w:abstractNumId w:val="7"/>
  </w:num>
  <w:num w:numId="12">
    <w:abstractNumId w:val="4"/>
  </w:num>
  <w:num w:numId="13">
    <w:abstractNumId w:val="4"/>
  </w:num>
  <w:num w:numId="14">
    <w:abstractNumId w:val="4"/>
  </w:num>
  <w:num w:numId="15">
    <w:abstractNumId w:val="4"/>
  </w:num>
  <w:num w:numId="16">
    <w:abstractNumId w:val="4"/>
  </w:num>
  <w:num w:numId="17">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rsids>
    <w:rsidRoot w:val="0041275D"/>
    <w:rsid w:val="00001D6C"/>
    <w:rsid w:val="00004AEE"/>
    <w:rsid w:val="000055DF"/>
    <w:rsid w:val="00005CAA"/>
    <w:rsid w:val="000071E6"/>
    <w:rsid w:val="00010210"/>
    <w:rsid w:val="00012D66"/>
    <w:rsid w:val="00015ADA"/>
    <w:rsid w:val="00015CC2"/>
    <w:rsid w:val="00020C99"/>
    <w:rsid w:val="00022A76"/>
    <w:rsid w:val="00022B76"/>
    <w:rsid w:val="0002707B"/>
    <w:rsid w:val="0002737D"/>
    <w:rsid w:val="00031B32"/>
    <w:rsid w:val="000342C4"/>
    <w:rsid w:val="00043E82"/>
    <w:rsid w:val="0005148E"/>
    <w:rsid w:val="00052367"/>
    <w:rsid w:val="00053229"/>
    <w:rsid w:val="000547F0"/>
    <w:rsid w:val="00062A46"/>
    <w:rsid w:val="000759E5"/>
    <w:rsid w:val="0007601C"/>
    <w:rsid w:val="00083927"/>
    <w:rsid w:val="00084AC6"/>
    <w:rsid w:val="00091608"/>
    <w:rsid w:val="0009196E"/>
    <w:rsid w:val="00092F92"/>
    <w:rsid w:val="0009333C"/>
    <w:rsid w:val="00093E0D"/>
    <w:rsid w:val="0009704F"/>
    <w:rsid w:val="000A0F11"/>
    <w:rsid w:val="000A125A"/>
    <w:rsid w:val="000A1696"/>
    <w:rsid w:val="000A228F"/>
    <w:rsid w:val="000A57CD"/>
    <w:rsid w:val="000B07A2"/>
    <w:rsid w:val="000B2FF3"/>
    <w:rsid w:val="000B3758"/>
    <w:rsid w:val="000B7681"/>
    <w:rsid w:val="000B7B42"/>
    <w:rsid w:val="000C02B7"/>
    <w:rsid w:val="000C2814"/>
    <w:rsid w:val="000C451B"/>
    <w:rsid w:val="000C5342"/>
    <w:rsid w:val="000C6A64"/>
    <w:rsid w:val="000C706A"/>
    <w:rsid w:val="000C7F4F"/>
    <w:rsid w:val="000D2887"/>
    <w:rsid w:val="000D522A"/>
    <w:rsid w:val="000D6D63"/>
    <w:rsid w:val="000D706B"/>
    <w:rsid w:val="000D7810"/>
    <w:rsid w:val="000E0081"/>
    <w:rsid w:val="000E07CF"/>
    <w:rsid w:val="000F1624"/>
    <w:rsid w:val="00100880"/>
    <w:rsid w:val="00100BEF"/>
    <w:rsid w:val="00102E17"/>
    <w:rsid w:val="00104A67"/>
    <w:rsid w:val="0010600A"/>
    <w:rsid w:val="001066C0"/>
    <w:rsid w:val="00107D52"/>
    <w:rsid w:val="001110F1"/>
    <w:rsid w:val="0011498E"/>
    <w:rsid w:val="00116A44"/>
    <w:rsid w:val="00116F28"/>
    <w:rsid w:val="00117A45"/>
    <w:rsid w:val="00121B4E"/>
    <w:rsid w:val="001224AE"/>
    <w:rsid w:val="00123035"/>
    <w:rsid w:val="00124390"/>
    <w:rsid w:val="00125D65"/>
    <w:rsid w:val="001337D4"/>
    <w:rsid w:val="001340EA"/>
    <w:rsid w:val="0013414E"/>
    <w:rsid w:val="001350A6"/>
    <w:rsid w:val="00147C12"/>
    <w:rsid w:val="00147EFC"/>
    <w:rsid w:val="00151BC7"/>
    <w:rsid w:val="001527A1"/>
    <w:rsid w:val="001530DC"/>
    <w:rsid w:val="001534AD"/>
    <w:rsid w:val="001539AF"/>
    <w:rsid w:val="001547A0"/>
    <w:rsid w:val="00154989"/>
    <w:rsid w:val="00155A9F"/>
    <w:rsid w:val="0015684F"/>
    <w:rsid w:val="00160262"/>
    <w:rsid w:val="00160314"/>
    <w:rsid w:val="0016186F"/>
    <w:rsid w:val="00161963"/>
    <w:rsid w:val="0016281C"/>
    <w:rsid w:val="0016433A"/>
    <w:rsid w:val="00166B1A"/>
    <w:rsid w:val="0016780A"/>
    <w:rsid w:val="001713FA"/>
    <w:rsid w:val="00173EBF"/>
    <w:rsid w:val="0017420A"/>
    <w:rsid w:val="001765DA"/>
    <w:rsid w:val="001842A2"/>
    <w:rsid w:val="00185039"/>
    <w:rsid w:val="00185407"/>
    <w:rsid w:val="00187FA8"/>
    <w:rsid w:val="001903A8"/>
    <w:rsid w:val="001922D0"/>
    <w:rsid w:val="00192F5E"/>
    <w:rsid w:val="00197772"/>
    <w:rsid w:val="001A51C8"/>
    <w:rsid w:val="001B472B"/>
    <w:rsid w:val="001B4CA8"/>
    <w:rsid w:val="001C2A92"/>
    <w:rsid w:val="001C322C"/>
    <w:rsid w:val="001C4F3D"/>
    <w:rsid w:val="001C5349"/>
    <w:rsid w:val="001D0CDC"/>
    <w:rsid w:val="001D1D82"/>
    <w:rsid w:val="001D4089"/>
    <w:rsid w:val="001E1182"/>
    <w:rsid w:val="001E269C"/>
    <w:rsid w:val="001F0E8B"/>
    <w:rsid w:val="002003D3"/>
    <w:rsid w:val="00200944"/>
    <w:rsid w:val="002020DB"/>
    <w:rsid w:val="00202387"/>
    <w:rsid w:val="00202C90"/>
    <w:rsid w:val="002035D9"/>
    <w:rsid w:val="00203805"/>
    <w:rsid w:val="00205605"/>
    <w:rsid w:val="002120C1"/>
    <w:rsid w:val="00213DE8"/>
    <w:rsid w:val="00216118"/>
    <w:rsid w:val="002209AB"/>
    <w:rsid w:val="002251E3"/>
    <w:rsid w:val="002262E6"/>
    <w:rsid w:val="00227A95"/>
    <w:rsid w:val="002316BD"/>
    <w:rsid w:val="002336F3"/>
    <w:rsid w:val="002357F8"/>
    <w:rsid w:val="0024690F"/>
    <w:rsid w:val="002473FC"/>
    <w:rsid w:val="00252E3C"/>
    <w:rsid w:val="00255AC9"/>
    <w:rsid w:val="00262198"/>
    <w:rsid w:val="00262DE7"/>
    <w:rsid w:val="002755F2"/>
    <w:rsid w:val="00275759"/>
    <w:rsid w:val="00277426"/>
    <w:rsid w:val="00285F1B"/>
    <w:rsid w:val="00292B81"/>
    <w:rsid w:val="0029322E"/>
    <w:rsid w:val="0029392C"/>
    <w:rsid w:val="00293975"/>
    <w:rsid w:val="0029489C"/>
    <w:rsid w:val="00296477"/>
    <w:rsid w:val="002974BC"/>
    <w:rsid w:val="002976D2"/>
    <w:rsid w:val="002A5EC3"/>
    <w:rsid w:val="002A64F0"/>
    <w:rsid w:val="002B08B1"/>
    <w:rsid w:val="002B18AE"/>
    <w:rsid w:val="002B6472"/>
    <w:rsid w:val="002B67D3"/>
    <w:rsid w:val="002B6E22"/>
    <w:rsid w:val="002C1C93"/>
    <w:rsid w:val="002C3465"/>
    <w:rsid w:val="002C3738"/>
    <w:rsid w:val="002C5066"/>
    <w:rsid w:val="002C5E84"/>
    <w:rsid w:val="002D48CA"/>
    <w:rsid w:val="002D4AAC"/>
    <w:rsid w:val="002D4FD5"/>
    <w:rsid w:val="002D6C33"/>
    <w:rsid w:val="002E62F9"/>
    <w:rsid w:val="002F045A"/>
    <w:rsid w:val="0030039D"/>
    <w:rsid w:val="00300715"/>
    <w:rsid w:val="0030326F"/>
    <w:rsid w:val="0030632B"/>
    <w:rsid w:val="0030691C"/>
    <w:rsid w:val="00310701"/>
    <w:rsid w:val="0031140F"/>
    <w:rsid w:val="00311510"/>
    <w:rsid w:val="003138AC"/>
    <w:rsid w:val="00315980"/>
    <w:rsid w:val="003163DA"/>
    <w:rsid w:val="00316F7F"/>
    <w:rsid w:val="00320162"/>
    <w:rsid w:val="0032087E"/>
    <w:rsid w:val="003218E8"/>
    <w:rsid w:val="00324D89"/>
    <w:rsid w:val="00330DCE"/>
    <w:rsid w:val="00331E11"/>
    <w:rsid w:val="003321A2"/>
    <w:rsid w:val="00334761"/>
    <w:rsid w:val="00336160"/>
    <w:rsid w:val="00337876"/>
    <w:rsid w:val="003378FA"/>
    <w:rsid w:val="00337EBC"/>
    <w:rsid w:val="0034033E"/>
    <w:rsid w:val="00341BA1"/>
    <w:rsid w:val="00341DCD"/>
    <w:rsid w:val="0034504D"/>
    <w:rsid w:val="0034563E"/>
    <w:rsid w:val="003504CC"/>
    <w:rsid w:val="00350E86"/>
    <w:rsid w:val="003518D6"/>
    <w:rsid w:val="0035340F"/>
    <w:rsid w:val="0035460C"/>
    <w:rsid w:val="003556BD"/>
    <w:rsid w:val="00365147"/>
    <w:rsid w:val="0037016E"/>
    <w:rsid w:val="003709EE"/>
    <w:rsid w:val="00370E55"/>
    <w:rsid w:val="0037124D"/>
    <w:rsid w:val="00372908"/>
    <w:rsid w:val="00372D8E"/>
    <w:rsid w:val="00375A38"/>
    <w:rsid w:val="00376457"/>
    <w:rsid w:val="00381917"/>
    <w:rsid w:val="00383020"/>
    <w:rsid w:val="0038383D"/>
    <w:rsid w:val="00384E50"/>
    <w:rsid w:val="003858F9"/>
    <w:rsid w:val="0038622D"/>
    <w:rsid w:val="00390B54"/>
    <w:rsid w:val="00391406"/>
    <w:rsid w:val="00391622"/>
    <w:rsid w:val="00392C5B"/>
    <w:rsid w:val="003959B0"/>
    <w:rsid w:val="003975FD"/>
    <w:rsid w:val="003A0593"/>
    <w:rsid w:val="003A29E3"/>
    <w:rsid w:val="003A2FBC"/>
    <w:rsid w:val="003A3DFE"/>
    <w:rsid w:val="003A6630"/>
    <w:rsid w:val="003B60CC"/>
    <w:rsid w:val="003C1B25"/>
    <w:rsid w:val="003C2443"/>
    <w:rsid w:val="003C295B"/>
    <w:rsid w:val="003C31E0"/>
    <w:rsid w:val="003C504E"/>
    <w:rsid w:val="003C5DA3"/>
    <w:rsid w:val="003D0956"/>
    <w:rsid w:val="003D15EC"/>
    <w:rsid w:val="003D4BCD"/>
    <w:rsid w:val="003E01D8"/>
    <w:rsid w:val="003E2100"/>
    <w:rsid w:val="003E2BDB"/>
    <w:rsid w:val="003E45FA"/>
    <w:rsid w:val="003E53CA"/>
    <w:rsid w:val="003E5ED5"/>
    <w:rsid w:val="003F0CB7"/>
    <w:rsid w:val="003F4A02"/>
    <w:rsid w:val="003F547F"/>
    <w:rsid w:val="003F6F5B"/>
    <w:rsid w:val="00400DCA"/>
    <w:rsid w:val="0040342D"/>
    <w:rsid w:val="00403FB9"/>
    <w:rsid w:val="00405E1C"/>
    <w:rsid w:val="00406BD1"/>
    <w:rsid w:val="0041192D"/>
    <w:rsid w:val="00412045"/>
    <w:rsid w:val="0041275D"/>
    <w:rsid w:val="00413EE1"/>
    <w:rsid w:val="0042128E"/>
    <w:rsid w:val="00421D85"/>
    <w:rsid w:val="004241A4"/>
    <w:rsid w:val="0042465A"/>
    <w:rsid w:val="00426051"/>
    <w:rsid w:val="00430940"/>
    <w:rsid w:val="00432B60"/>
    <w:rsid w:val="004333E6"/>
    <w:rsid w:val="00440698"/>
    <w:rsid w:val="004469A2"/>
    <w:rsid w:val="00451E04"/>
    <w:rsid w:val="004540E2"/>
    <w:rsid w:val="00454454"/>
    <w:rsid w:val="00454FB5"/>
    <w:rsid w:val="004578A2"/>
    <w:rsid w:val="0046154B"/>
    <w:rsid w:val="00463B1F"/>
    <w:rsid w:val="00465CA1"/>
    <w:rsid w:val="00467924"/>
    <w:rsid w:val="00467972"/>
    <w:rsid w:val="004712A5"/>
    <w:rsid w:val="00471EB0"/>
    <w:rsid w:val="0047266F"/>
    <w:rsid w:val="00476D6B"/>
    <w:rsid w:val="004861E6"/>
    <w:rsid w:val="0049013A"/>
    <w:rsid w:val="00491372"/>
    <w:rsid w:val="00492C16"/>
    <w:rsid w:val="004957E2"/>
    <w:rsid w:val="004960B6"/>
    <w:rsid w:val="004A0678"/>
    <w:rsid w:val="004A27A6"/>
    <w:rsid w:val="004A37E3"/>
    <w:rsid w:val="004A48A3"/>
    <w:rsid w:val="004B0D92"/>
    <w:rsid w:val="004B0EC0"/>
    <w:rsid w:val="004B32B2"/>
    <w:rsid w:val="004B4C9F"/>
    <w:rsid w:val="004B66F1"/>
    <w:rsid w:val="004C261C"/>
    <w:rsid w:val="004C3B7B"/>
    <w:rsid w:val="004C3EA0"/>
    <w:rsid w:val="004D24BE"/>
    <w:rsid w:val="004D2579"/>
    <w:rsid w:val="004D442A"/>
    <w:rsid w:val="004D5BFE"/>
    <w:rsid w:val="004D6A1A"/>
    <w:rsid w:val="004E36CD"/>
    <w:rsid w:val="004F1A60"/>
    <w:rsid w:val="004F3D69"/>
    <w:rsid w:val="004F5074"/>
    <w:rsid w:val="004F7169"/>
    <w:rsid w:val="00500D66"/>
    <w:rsid w:val="005036A6"/>
    <w:rsid w:val="005068DC"/>
    <w:rsid w:val="00511E3E"/>
    <w:rsid w:val="00514C8E"/>
    <w:rsid w:val="00515AB8"/>
    <w:rsid w:val="00517F35"/>
    <w:rsid w:val="00523A57"/>
    <w:rsid w:val="00523ED3"/>
    <w:rsid w:val="00526C61"/>
    <w:rsid w:val="00530F87"/>
    <w:rsid w:val="00531489"/>
    <w:rsid w:val="00531DBF"/>
    <w:rsid w:val="005335DF"/>
    <w:rsid w:val="005337FC"/>
    <w:rsid w:val="00535048"/>
    <w:rsid w:val="005353E8"/>
    <w:rsid w:val="00536B62"/>
    <w:rsid w:val="005420E0"/>
    <w:rsid w:val="00545759"/>
    <w:rsid w:val="00545BE0"/>
    <w:rsid w:val="00554C6A"/>
    <w:rsid w:val="00554DB0"/>
    <w:rsid w:val="00562E85"/>
    <w:rsid w:val="0056332F"/>
    <w:rsid w:val="00563DE2"/>
    <w:rsid w:val="0056454F"/>
    <w:rsid w:val="00567196"/>
    <w:rsid w:val="005714E9"/>
    <w:rsid w:val="0057446F"/>
    <w:rsid w:val="00576AE7"/>
    <w:rsid w:val="0057753B"/>
    <w:rsid w:val="00581C39"/>
    <w:rsid w:val="005834A4"/>
    <w:rsid w:val="00584F6B"/>
    <w:rsid w:val="00587851"/>
    <w:rsid w:val="005903B6"/>
    <w:rsid w:val="0059219B"/>
    <w:rsid w:val="005928FF"/>
    <w:rsid w:val="00592B20"/>
    <w:rsid w:val="005A0247"/>
    <w:rsid w:val="005A126E"/>
    <w:rsid w:val="005A452F"/>
    <w:rsid w:val="005A703F"/>
    <w:rsid w:val="005B140D"/>
    <w:rsid w:val="005B24B6"/>
    <w:rsid w:val="005C01F9"/>
    <w:rsid w:val="005C1FEA"/>
    <w:rsid w:val="005C3495"/>
    <w:rsid w:val="005C3785"/>
    <w:rsid w:val="005C5159"/>
    <w:rsid w:val="005C55AA"/>
    <w:rsid w:val="005D0922"/>
    <w:rsid w:val="005D7ABA"/>
    <w:rsid w:val="005E08B5"/>
    <w:rsid w:val="005E13EA"/>
    <w:rsid w:val="005E15E0"/>
    <w:rsid w:val="005E2F32"/>
    <w:rsid w:val="005E3889"/>
    <w:rsid w:val="005E3DFC"/>
    <w:rsid w:val="005E60AF"/>
    <w:rsid w:val="005E7B4E"/>
    <w:rsid w:val="005F021F"/>
    <w:rsid w:val="005F1DEA"/>
    <w:rsid w:val="005F4932"/>
    <w:rsid w:val="00602651"/>
    <w:rsid w:val="00602FCB"/>
    <w:rsid w:val="0060362D"/>
    <w:rsid w:val="00607FC9"/>
    <w:rsid w:val="00610955"/>
    <w:rsid w:val="0061490C"/>
    <w:rsid w:val="00616861"/>
    <w:rsid w:val="00622FE1"/>
    <w:rsid w:val="00624034"/>
    <w:rsid w:val="0062521C"/>
    <w:rsid w:val="00627EEF"/>
    <w:rsid w:val="00630A2B"/>
    <w:rsid w:val="00630BA2"/>
    <w:rsid w:val="0063283F"/>
    <w:rsid w:val="00632DC7"/>
    <w:rsid w:val="00633896"/>
    <w:rsid w:val="006357FB"/>
    <w:rsid w:val="006406FC"/>
    <w:rsid w:val="0064407B"/>
    <w:rsid w:val="00646122"/>
    <w:rsid w:val="00653E16"/>
    <w:rsid w:val="00657220"/>
    <w:rsid w:val="0066104B"/>
    <w:rsid w:val="00661419"/>
    <w:rsid w:val="006631FF"/>
    <w:rsid w:val="006633A4"/>
    <w:rsid w:val="006655EE"/>
    <w:rsid w:val="00667C10"/>
    <w:rsid w:val="00667EF4"/>
    <w:rsid w:val="00671CF1"/>
    <w:rsid w:val="00672B85"/>
    <w:rsid w:val="00673B97"/>
    <w:rsid w:val="00674E59"/>
    <w:rsid w:val="00676FCA"/>
    <w:rsid w:val="00677177"/>
    <w:rsid w:val="0068056B"/>
    <w:rsid w:val="00682843"/>
    <w:rsid w:val="00684BD0"/>
    <w:rsid w:val="0068612E"/>
    <w:rsid w:val="006865AE"/>
    <w:rsid w:val="00687858"/>
    <w:rsid w:val="00687C92"/>
    <w:rsid w:val="006903B7"/>
    <w:rsid w:val="00693229"/>
    <w:rsid w:val="006949ED"/>
    <w:rsid w:val="0069534E"/>
    <w:rsid w:val="00696365"/>
    <w:rsid w:val="0069669C"/>
    <w:rsid w:val="00697911"/>
    <w:rsid w:val="006A0482"/>
    <w:rsid w:val="006A1200"/>
    <w:rsid w:val="006A191B"/>
    <w:rsid w:val="006A2C5A"/>
    <w:rsid w:val="006A4792"/>
    <w:rsid w:val="006A4F4E"/>
    <w:rsid w:val="006A760E"/>
    <w:rsid w:val="006B055E"/>
    <w:rsid w:val="006B14DB"/>
    <w:rsid w:val="006B21C4"/>
    <w:rsid w:val="006B42B4"/>
    <w:rsid w:val="006C0EFE"/>
    <w:rsid w:val="006C4A1A"/>
    <w:rsid w:val="006C7DAD"/>
    <w:rsid w:val="006D0393"/>
    <w:rsid w:val="006D1A83"/>
    <w:rsid w:val="006D5D1E"/>
    <w:rsid w:val="006E11F5"/>
    <w:rsid w:val="006E1CFE"/>
    <w:rsid w:val="006E31A2"/>
    <w:rsid w:val="006E463D"/>
    <w:rsid w:val="006E6D10"/>
    <w:rsid w:val="006F10C4"/>
    <w:rsid w:val="006F40E9"/>
    <w:rsid w:val="006F5603"/>
    <w:rsid w:val="00701400"/>
    <w:rsid w:val="00702550"/>
    <w:rsid w:val="00702999"/>
    <w:rsid w:val="00702F10"/>
    <w:rsid w:val="007037CF"/>
    <w:rsid w:val="00703BB8"/>
    <w:rsid w:val="00707744"/>
    <w:rsid w:val="00710BE3"/>
    <w:rsid w:val="00712247"/>
    <w:rsid w:val="00716583"/>
    <w:rsid w:val="007167C0"/>
    <w:rsid w:val="007203C3"/>
    <w:rsid w:val="00720481"/>
    <w:rsid w:val="0072053E"/>
    <w:rsid w:val="00721642"/>
    <w:rsid w:val="0072510B"/>
    <w:rsid w:val="00726DB1"/>
    <w:rsid w:val="00727C18"/>
    <w:rsid w:val="00727E2F"/>
    <w:rsid w:val="00733193"/>
    <w:rsid w:val="007348E1"/>
    <w:rsid w:val="00734C3D"/>
    <w:rsid w:val="00737CBA"/>
    <w:rsid w:val="00737D62"/>
    <w:rsid w:val="007463BA"/>
    <w:rsid w:val="0074732F"/>
    <w:rsid w:val="00750644"/>
    <w:rsid w:val="00750E52"/>
    <w:rsid w:val="00752FF8"/>
    <w:rsid w:val="00754C17"/>
    <w:rsid w:val="0075732A"/>
    <w:rsid w:val="007600D7"/>
    <w:rsid w:val="00760262"/>
    <w:rsid w:val="00762DB3"/>
    <w:rsid w:val="0076310C"/>
    <w:rsid w:val="00763C50"/>
    <w:rsid w:val="007644AD"/>
    <w:rsid w:val="0076744F"/>
    <w:rsid w:val="00767BCE"/>
    <w:rsid w:val="00767EFC"/>
    <w:rsid w:val="007707DE"/>
    <w:rsid w:val="00770B5D"/>
    <w:rsid w:val="007710A3"/>
    <w:rsid w:val="007752F1"/>
    <w:rsid w:val="00776768"/>
    <w:rsid w:val="00782D61"/>
    <w:rsid w:val="00785729"/>
    <w:rsid w:val="00790458"/>
    <w:rsid w:val="00791024"/>
    <w:rsid w:val="007921C6"/>
    <w:rsid w:val="00792633"/>
    <w:rsid w:val="00794818"/>
    <w:rsid w:val="00796E9D"/>
    <w:rsid w:val="007A2573"/>
    <w:rsid w:val="007A3B9C"/>
    <w:rsid w:val="007A5C4C"/>
    <w:rsid w:val="007A6219"/>
    <w:rsid w:val="007B106C"/>
    <w:rsid w:val="007B1A4E"/>
    <w:rsid w:val="007B3D05"/>
    <w:rsid w:val="007B5503"/>
    <w:rsid w:val="007C6BB3"/>
    <w:rsid w:val="007D14B4"/>
    <w:rsid w:val="007D2326"/>
    <w:rsid w:val="007D3AD7"/>
    <w:rsid w:val="007D7F0B"/>
    <w:rsid w:val="007E24F6"/>
    <w:rsid w:val="007E2B22"/>
    <w:rsid w:val="007E318F"/>
    <w:rsid w:val="007E3238"/>
    <w:rsid w:val="007F402C"/>
    <w:rsid w:val="007F5C7E"/>
    <w:rsid w:val="007F6DA0"/>
    <w:rsid w:val="00800F64"/>
    <w:rsid w:val="008010F2"/>
    <w:rsid w:val="00802F0B"/>
    <w:rsid w:val="008057CB"/>
    <w:rsid w:val="00807D30"/>
    <w:rsid w:val="00810A67"/>
    <w:rsid w:val="0081315B"/>
    <w:rsid w:val="00815305"/>
    <w:rsid w:val="0082239B"/>
    <w:rsid w:val="00833CF7"/>
    <w:rsid w:val="008343AE"/>
    <w:rsid w:val="0084323D"/>
    <w:rsid w:val="00843D96"/>
    <w:rsid w:val="00845601"/>
    <w:rsid w:val="008507E3"/>
    <w:rsid w:val="008524B9"/>
    <w:rsid w:val="00852569"/>
    <w:rsid w:val="0085505B"/>
    <w:rsid w:val="00855C5C"/>
    <w:rsid w:val="0086233C"/>
    <w:rsid w:val="00863168"/>
    <w:rsid w:val="00865408"/>
    <w:rsid w:val="00865CFA"/>
    <w:rsid w:val="00880A8E"/>
    <w:rsid w:val="00882939"/>
    <w:rsid w:val="00883CE7"/>
    <w:rsid w:val="008A187F"/>
    <w:rsid w:val="008A3C96"/>
    <w:rsid w:val="008B0BBA"/>
    <w:rsid w:val="008B1627"/>
    <w:rsid w:val="008B4019"/>
    <w:rsid w:val="008B505F"/>
    <w:rsid w:val="008B65C9"/>
    <w:rsid w:val="008C2D4A"/>
    <w:rsid w:val="008C6A05"/>
    <w:rsid w:val="008C7DBB"/>
    <w:rsid w:val="008D3900"/>
    <w:rsid w:val="008D6E1D"/>
    <w:rsid w:val="008D6EDB"/>
    <w:rsid w:val="008E36FE"/>
    <w:rsid w:val="008F39B4"/>
    <w:rsid w:val="008F4162"/>
    <w:rsid w:val="008F65D3"/>
    <w:rsid w:val="008F78FB"/>
    <w:rsid w:val="008F7B45"/>
    <w:rsid w:val="00903E02"/>
    <w:rsid w:val="00903E76"/>
    <w:rsid w:val="00905B3C"/>
    <w:rsid w:val="00913175"/>
    <w:rsid w:val="009140DE"/>
    <w:rsid w:val="0091433D"/>
    <w:rsid w:val="00916EDB"/>
    <w:rsid w:val="00920861"/>
    <w:rsid w:val="0092123F"/>
    <w:rsid w:val="00922B13"/>
    <w:rsid w:val="00923EBB"/>
    <w:rsid w:val="009242EF"/>
    <w:rsid w:val="00924AB9"/>
    <w:rsid w:val="00927356"/>
    <w:rsid w:val="00932291"/>
    <w:rsid w:val="00933B1B"/>
    <w:rsid w:val="0093408E"/>
    <w:rsid w:val="00940467"/>
    <w:rsid w:val="00941E4A"/>
    <w:rsid w:val="00947507"/>
    <w:rsid w:val="00952DDF"/>
    <w:rsid w:val="00952EC4"/>
    <w:rsid w:val="0096210F"/>
    <w:rsid w:val="00964BF9"/>
    <w:rsid w:val="00967E5F"/>
    <w:rsid w:val="009717F1"/>
    <w:rsid w:val="00972423"/>
    <w:rsid w:val="0097796B"/>
    <w:rsid w:val="00977A5A"/>
    <w:rsid w:val="009812D4"/>
    <w:rsid w:val="00982653"/>
    <w:rsid w:val="00982FA7"/>
    <w:rsid w:val="009836D2"/>
    <w:rsid w:val="009842DB"/>
    <w:rsid w:val="009873F4"/>
    <w:rsid w:val="00991AED"/>
    <w:rsid w:val="009920D8"/>
    <w:rsid w:val="009A1911"/>
    <w:rsid w:val="009A371F"/>
    <w:rsid w:val="009A3B78"/>
    <w:rsid w:val="009A5A6D"/>
    <w:rsid w:val="009B38BE"/>
    <w:rsid w:val="009B4556"/>
    <w:rsid w:val="009B682F"/>
    <w:rsid w:val="009C136B"/>
    <w:rsid w:val="009C3D0F"/>
    <w:rsid w:val="009D10AB"/>
    <w:rsid w:val="009D6232"/>
    <w:rsid w:val="009E1B19"/>
    <w:rsid w:val="009E1D6D"/>
    <w:rsid w:val="009E67BE"/>
    <w:rsid w:val="009F35E2"/>
    <w:rsid w:val="009F438B"/>
    <w:rsid w:val="009F65F9"/>
    <w:rsid w:val="009F68BA"/>
    <w:rsid w:val="00A00F33"/>
    <w:rsid w:val="00A05ECB"/>
    <w:rsid w:val="00A06277"/>
    <w:rsid w:val="00A07967"/>
    <w:rsid w:val="00A079DC"/>
    <w:rsid w:val="00A10BAB"/>
    <w:rsid w:val="00A111C2"/>
    <w:rsid w:val="00A17C39"/>
    <w:rsid w:val="00A21440"/>
    <w:rsid w:val="00A238AA"/>
    <w:rsid w:val="00A338E7"/>
    <w:rsid w:val="00A35CAA"/>
    <w:rsid w:val="00A36190"/>
    <w:rsid w:val="00A36E7F"/>
    <w:rsid w:val="00A37202"/>
    <w:rsid w:val="00A377A8"/>
    <w:rsid w:val="00A41E65"/>
    <w:rsid w:val="00A41F95"/>
    <w:rsid w:val="00A4263B"/>
    <w:rsid w:val="00A426F9"/>
    <w:rsid w:val="00A42C72"/>
    <w:rsid w:val="00A43517"/>
    <w:rsid w:val="00A43E0A"/>
    <w:rsid w:val="00A46247"/>
    <w:rsid w:val="00A47F07"/>
    <w:rsid w:val="00A508F5"/>
    <w:rsid w:val="00A51D7E"/>
    <w:rsid w:val="00A530C7"/>
    <w:rsid w:val="00A54829"/>
    <w:rsid w:val="00A54A43"/>
    <w:rsid w:val="00A55BD7"/>
    <w:rsid w:val="00A55F5B"/>
    <w:rsid w:val="00A5684F"/>
    <w:rsid w:val="00A60185"/>
    <w:rsid w:val="00A619D6"/>
    <w:rsid w:val="00A65118"/>
    <w:rsid w:val="00A661EA"/>
    <w:rsid w:val="00A66263"/>
    <w:rsid w:val="00A67725"/>
    <w:rsid w:val="00A6775C"/>
    <w:rsid w:val="00A70A6C"/>
    <w:rsid w:val="00A71076"/>
    <w:rsid w:val="00A830E5"/>
    <w:rsid w:val="00A84BF3"/>
    <w:rsid w:val="00A86148"/>
    <w:rsid w:val="00A87135"/>
    <w:rsid w:val="00A90DF3"/>
    <w:rsid w:val="00A93280"/>
    <w:rsid w:val="00A93C73"/>
    <w:rsid w:val="00A951EA"/>
    <w:rsid w:val="00A961A6"/>
    <w:rsid w:val="00A973E1"/>
    <w:rsid w:val="00A97F71"/>
    <w:rsid w:val="00AA1C65"/>
    <w:rsid w:val="00AA2548"/>
    <w:rsid w:val="00AA3B6E"/>
    <w:rsid w:val="00AA4912"/>
    <w:rsid w:val="00AA58C4"/>
    <w:rsid w:val="00AB11C8"/>
    <w:rsid w:val="00AB2248"/>
    <w:rsid w:val="00AC08A8"/>
    <w:rsid w:val="00AC1D41"/>
    <w:rsid w:val="00AD56C8"/>
    <w:rsid w:val="00AD58F2"/>
    <w:rsid w:val="00AE02CE"/>
    <w:rsid w:val="00AE14DD"/>
    <w:rsid w:val="00AF3A2E"/>
    <w:rsid w:val="00AF5EA3"/>
    <w:rsid w:val="00AF6573"/>
    <w:rsid w:val="00AF6767"/>
    <w:rsid w:val="00AF7690"/>
    <w:rsid w:val="00B0512A"/>
    <w:rsid w:val="00B0529F"/>
    <w:rsid w:val="00B05D52"/>
    <w:rsid w:val="00B105F2"/>
    <w:rsid w:val="00B1418B"/>
    <w:rsid w:val="00B151A0"/>
    <w:rsid w:val="00B1520C"/>
    <w:rsid w:val="00B1560E"/>
    <w:rsid w:val="00B21195"/>
    <w:rsid w:val="00B22B3D"/>
    <w:rsid w:val="00B24B22"/>
    <w:rsid w:val="00B25310"/>
    <w:rsid w:val="00B26071"/>
    <w:rsid w:val="00B32F8F"/>
    <w:rsid w:val="00B364BD"/>
    <w:rsid w:val="00B405CF"/>
    <w:rsid w:val="00B41CB8"/>
    <w:rsid w:val="00B42ED4"/>
    <w:rsid w:val="00B44DE8"/>
    <w:rsid w:val="00B4690F"/>
    <w:rsid w:val="00B47A1C"/>
    <w:rsid w:val="00B47BC6"/>
    <w:rsid w:val="00B47C42"/>
    <w:rsid w:val="00B510B1"/>
    <w:rsid w:val="00B53C2D"/>
    <w:rsid w:val="00B54A9C"/>
    <w:rsid w:val="00B54DE9"/>
    <w:rsid w:val="00B553EC"/>
    <w:rsid w:val="00B55870"/>
    <w:rsid w:val="00B65737"/>
    <w:rsid w:val="00B67970"/>
    <w:rsid w:val="00B73097"/>
    <w:rsid w:val="00B73533"/>
    <w:rsid w:val="00B74149"/>
    <w:rsid w:val="00B76F79"/>
    <w:rsid w:val="00B77732"/>
    <w:rsid w:val="00B80D6D"/>
    <w:rsid w:val="00B85B2A"/>
    <w:rsid w:val="00B86957"/>
    <w:rsid w:val="00B86B36"/>
    <w:rsid w:val="00B9154F"/>
    <w:rsid w:val="00B91EA5"/>
    <w:rsid w:val="00B93504"/>
    <w:rsid w:val="00B93DD0"/>
    <w:rsid w:val="00B943E8"/>
    <w:rsid w:val="00B94709"/>
    <w:rsid w:val="00B97732"/>
    <w:rsid w:val="00BA0334"/>
    <w:rsid w:val="00BA0440"/>
    <w:rsid w:val="00BA56D7"/>
    <w:rsid w:val="00BA65A8"/>
    <w:rsid w:val="00BA6A97"/>
    <w:rsid w:val="00BA6ACE"/>
    <w:rsid w:val="00BA6D19"/>
    <w:rsid w:val="00BA7461"/>
    <w:rsid w:val="00BA7DA9"/>
    <w:rsid w:val="00BB32D4"/>
    <w:rsid w:val="00BC2B43"/>
    <w:rsid w:val="00BC4215"/>
    <w:rsid w:val="00BC4779"/>
    <w:rsid w:val="00BC6503"/>
    <w:rsid w:val="00BC67A0"/>
    <w:rsid w:val="00BD0396"/>
    <w:rsid w:val="00BD0FEB"/>
    <w:rsid w:val="00BD1A6F"/>
    <w:rsid w:val="00BD22D8"/>
    <w:rsid w:val="00BD5B71"/>
    <w:rsid w:val="00BE1F56"/>
    <w:rsid w:val="00BE4510"/>
    <w:rsid w:val="00BE6D3C"/>
    <w:rsid w:val="00BE7852"/>
    <w:rsid w:val="00BF1142"/>
    <w:rsid w:val="00BF361B"/>
    <w:rsid w:val="00BF6D87"/>
    <w:rsid w:val="00BF7321"/>
    <w:rsid w:val="00BF7CEE"/>
    <w:rsid w:val="00C03880"/>
    <w:rsid w:val="00C064C9"/>
    <w:rsid w:val="00C0671B"/>
    <w:rsid w:val="00C135CF"/>
    <w:rsid w:val="00C15A15"/>
    <w:rsid w:val="00C25435"/>
    <w:rsid w:val="00C2683F"/>
    <w:rsid w:val="00C3184D"/>
    <w:rsid w:val="00C33690"/>
    <w:rsid w:val="00C368C4"/>
    <w:rsid w:val="00C404A6"/>
    <w:rsid w:val="00C40C05"/>
    <w:rsid w:val="00C43084"/>
    <w:rsid w:val="00C448F0"/>
    <w:rsid w:val="00C4714E"/>
    <w:rsid w:val="00C50941"/>
    <w:rsid w:val="00C5504F"/>
    <w:rsid w:val="00C55991"/>
    <w:rsid w:val="00C571DD"/>
    <w:rsid w:val="00C61F58"/>
    <w:rsid w:val="00C63376"/>
    <w:rsid w:val="00C66CB4"/>
    <w:rsid w:val="00C74F97"/>
    <w:rsid w:val="00C75A0E"/>
    <w:rsid w:val="00C76700"/>
    <w:rsid w:val="00C76A08"/>
    <w:rsid w:val="00C803D7"/>
    <w:rsid w:val="00C81392"/>
    <w:rsid w:val="00C8276E"/>
    <w:rsid w:val="00C83AD1"/>
    <w:rsid w:val="00C83F8C"/>
    <w:rsid w:val="00C842AC"/>
    <w:rsid w:val="00C85B7B"/>
    <w:rsid w:val="00C92AD5"/>
    <w:rsid w:val="00C93152"/>
    <w:rsid w:val="00C93FD9"/>
    <w:rsid w:val="00C96688"/>
    <w:rsid w:val="00CA0723"/>
    <w:rsid w:val="00CA3D1B"/>
    <w:rsid w:val="00CA4019"/>
    <w:rsid w:val="00CA4542"/>
    <w:rsid w:val="00CA60FB"/>
    <w:rsid w:val="00CB1690"/>
    <w:rsid w:val="00CB4C22"/>
    <w:rsid w:val="00CC2AAC"/>
    <w:rsid w:val="00CC2B33"/>
    <w:rsid w:val="00CC4365"/>
    <w:rsid w:val="00CC7467"/>
    <w:rsid w:val="00CD11B0"/>
    <w:rsid w:val="00CD3873"/>
    <w:rsid w:val="00CD4732"/>
    <w:rsid w:val="00CD5E0E"/>
    <w:rsid w:val="00CE0F03"/>
    <w:rsid w:val="00CE139C"/>
    <w:rsid w:val="00CE71C2"/>
    <w:rsid w:val="00CF2242"/>
    <w:rsid w:val="00CF42D5"/>
    <w:rsid w:val="00CF4EDA"/>
    <w:rsid w:val="00CF562A"/>
    <w:rsid w:val="00D00281"/>
    <w:rsid w:val="00D01E11"/>
    <w:rsid w:val="00D021CB"/>
    <w:rsid w:val="00D02E6A"/>
    <w:rsid w:val="00D0365B"/>
    <w:rsid w:val="00D03B2F"/>
    <w:rsid w:val="00D0635F"/>
    <w:rsid w:val="00D10C4C"/>
    <w:rsid w:val="00D10F1A"/>
    <w:rsid w:val="00D116F8"/>
    <w:rsid w:val="00D142A6"/>
    <w:rsid w:val="00D15280"/>
    <w:rsid w:val="00D17596"/>
    <w:rsid w:val="00D17EF4"/>
    <w:rsid w:val="00D22640"/>
    <w:rsid w:val="00D2554A"/>
    <w:rsid w:val="00D25BA2"/>
    <w:rsid w:val="00D26D3A"/>
    <w:rsid w:val="00D2750A"/>
    <w:rsid w:val="00D32230"/>
    <w:rsid w:val="00D37E87"/>
    <w:rsid w:val="00D44300"/>
    <w:rsid w:val="00D44962"/>
    <w:rsid w:val="00D45C91"/>
    <w:rsid w:val="00D45E9C"/>
    <w:rsid w:val="00D45EE3"/>
    <w:rsid w:val="00D50618"/>
    <w:rsid w:val="00D509E9"/>
    <w:rsid w:val="00D512E4"/>
    <w:rsid w:val="00D52BCF"/>
    <w:rsid w:val="00D53B1C"/>
    <w:rsid w:val="00D61714"/>
    <w:rsid w:val="00D620BE"/>
    <w:rsid w:val="00D652C8"/>
    <w:rsid w:val="00D656FF"/>
    <w:rsid w:val="00D66BA0"/>
    <w:rsid w:val="00D75078"/>
    <w:rsid w:val="00D75662"/>
    <w:rsid w:val="00D82448"/>
    <w:rsid w:val="00D83092"/>
    <w:rsid w:val="00D83615"/>
    <w:rsid w:val="00D83AAD"/>
    <w:rsid w:val="00D9355C"/>
    <w:rsid w:val="00D951F8"/>
    <w:rsid w:val="00D97037"/>
    <w:rsid w:val="00DA1B12"/>
    <w:rsid w:val="00DA4F90"/>
    <w:rsid w:val="00DA54C9"/>
    <w:rsid w:val="00DA6739"/>
    <w:rsid w:val="00DA6CAE"/>
    <w:rsid w:val="00DB1A9E"/>
    <w:rsid w:val="00DB31D6"/>
    <w:rsid w:val="00DB3296"/>
    <w:rsid w:val="00DB4005"/>
    <w:rsid w:val="00DB44E2"/>
    <w:rsid w:val="00DB4DB4"/>
    <w:rsid w:val="00DB4E23"/>
    <w:rsid w:val="00DB61F1"/>
    <w:rsid w:val="00DC04EA"/>
    <w:rsid w:val="00DC1ABE"/>
    <w:rsid w:val="00DC325B"/>
    <w:rsid w:val="00DC34EB"/>
    <w:rsid w:val="00DC3B68"/>
    <w:rsid w:val="00DC4E2E"/>
    <w:rsid w:val="00DC78C0"/>
    <w:rsid w:val="00DC79A5"/>
    <w:rsid w:val="00DD192D"/>
    <w:rsid w:val="00DD2C85"/>
    <w:rsid w:val="00DD3EE2"/>
    <w:rsid w:val="00DE2C10"/>
    <w:rsid w:val="00DE4E1A"/>
    <w:rsid w:val="00DF0164"/>
    <w:rsid w:val="00DF14C9"/>
    <w:rsid w:val="00DF1E5B"/>
    <w:rsid w:val="00DF2275"/>
    <w:rsid w:val="00DF23FB"/>
    <w:rsid w:val="00DF3F5E"/>
    <w:rsid w:val="00DF5653"/>
    <w:rsid w:val="00DF625D"/>
    <w:rsid w:val="00E04194"/>
    <w:rsid w:val="00E0596E"/>
    <w:rsid w:val="00E06D23"/>
    <w:rsid w:val="00E06F66"/>
    <w:rsid w:val="00E20190"/>
    <w:rsid w:val="00E2111A"/>
    <w:rsid w:val="00E21678"/>
    <w:rsid w:val="00E23429"/>
    <w:rsid w:val="00E25290"/>
    <w:rsid w:val="00E25D0A"/>
    <w:rsid w:val="00E344AA"/>
    <w:rsid w:val="00E356E5"/>
    <w:rsid w:val="00E36F81"/>
    <w:rsid w:val="00E378A8"/>
    <w:rsid w:val="00E40B9B"/>
    <w:rsid w:val="00E434E2"/>
    <w:rsid w:val="00E438E9"/>
    <w:rsid w:val="00E45765"/>
    <w:rsid w:val="00E5098C"/>
    <w:rsid w:val="00E54ECD"/>
    <w:rsid w:val="00E574EF"/>
    <w:rsid w:val="00E57CD8"/>
    <w:rsid w:val="00E57E07"/>
    <w:rsid w:val="00E60213"/>
    <w:rsid w:val="00E610CE"/>
    <w:rsid w:val="00E623FE"/>
    <w:rsid w:val="00E62CA6"/>
    <w:rsid w:val="00E64596"/>
    <w:rsid w:val="00E661B2"/>
    <w:rsid w:val="00E7352B"/>
    <w:rsid w:val="00E74320"/>
    <w:rsid w:val="00E74D29"/>
    <w:rsid w:val="00E75779"/>
    <w:rsid w:val="00E77F55"/>
    <w:rsid w:val="00E806FF"/>
    <w:rsid w:val="00E83C74"/>
    <w:rsid w:val="00E83CEE"/>
    <w:rsid w:val="00E86C14"/>
    <w:rsid w:val="00E91F18"/>
    <w:rsid w:val="00E9226D"/>
    <w:rsid w:val="00E96424"/>
    <w:rsid w:val="00EA2A91"/>
    <w:rsid w:val="00EA31C3"/>
    <w:rsid w:val="00EA416C"/>
    <w:rsid w:val="00EA5941"/>
    <w:rsid w:val="00EA72EE"/>
    <w:rsid w:val="00EA7CC9"/>
    <w:rsid w:val="00EB007C"/>
    <w:rsid w:val="00EB1057"/>
    <w:rsid w:val="00EB1B04"/>
    <w:rsid w:val="00EB50C1"/>
    <w:rsid w:val="00EB51FC"/>
    <w:rsid w:val="00EB60CE"/>
    <w:rsid w:val="00EB7D53"/>
    <w:rsid w:val="00EC596B"/>
    <w:rsid w:val="00EC5E2D"/>
    <w:rsid w:val="00EC7160"/>
    <w:rsid w:val="00EE00CD"/>
    <w:rsid w:val="00EE0E7B"/>
    <w:rsid w:val="00EE13C5"/>
    <w:rsid w:val="00EE3146"/>
    <w:rsid w:val="00EE3A36"/>
    <w:rsid w:val="00EF3CFB"/>
    <w:rsid w:val="00EF50BB"/>
    <w:rsid w:val="00EF71E4"/>
    <w:rsid w:val="00F00192"/>
    <w:rsid w:val="00F01DF6"/>
    <w:rsid w:val="00F027B8"/>
    <w:rsid w:val="00F0340D"/>
    <w:rsid w:val="00F035F2"/>
    <w:rsid w:val="00F059A6"/>
    <w:rsid w:val="00F0767C"/>
    <w:rsid w:val="00F23756"/>
    <w:rsid w:val="00F2464C"/>
    <w:rsid w:val="00F24EB2"/>
    <w:rsid w:val="00F2523A"/>
    <w:rsid w:val="00F25A39"/>
    <w:rsid w:val="00F25FFA"/>
    <w:rsid w:val="00F27C14"/>
    <w:rsid w:val="00F310D2"/>
    <w:rsid w:val="00F32967"/>
    <w:rsid w:val="00F33A09"/>
    <w:rsid w:val="00F340F9"/>
    <w:rsid w:val="00F36CE8"/>
    <w:rsid w:val="00F36F3D"/>
    <w:rsid w:val="00F37C48"/>
    <w:rsid w:val="00F40536"/>
    <w:rsid w:val="00F454BE"/>
    <w:rsid w:val="00F477BD"/>
    <w:rsid w:val="00F50333"/>
    <w:rsid w:val="00F527FC"/>
    <w:rsid w:val="00F53491"/>
    <w:rsid w:val="00F54656"/>
    <w:rsid w:val="00F54B81"/>
    <w:rsid w:val="00F54F45"/>
    <w:rsid w:val="00F55386"/>
    <w:rsid w:val="00F56411"/>
    <w:rsid w:val="00F60181"/>
    <w:rsid w:val="00F65A1C"/>
    <w:rsid w:val="00F66F50"/>
    <w:rsid w:val="00F72257"/>
    <w:rsid w:val="00F77432"/>
    <w:rsid w:val="00F81162"/>
    <w:rsid w:val="00F82FF8"/>
    <w:rsid w:val="00F8330D"/>
    <w:rsid w:val="00F84305"/>
    <w:rsid w:val="00F8485C"/>
    <w:rsid w:val="00F87149"/>
    <w:rsid w:val="00F87FFE"/>
    <w:rsid w:val="00F954C9"/>
    <w:rsid w:val="00FA4CF0"/>
    <w:rsid w:val="00FA4EEF"/>
    <w:rsid w:val="00FA61AA"/>
    <w:rsid w:val="00FA69A4"/>
    <w:rsid w:val="00FB1279"/>
    <w:rsid w:val="00FB1495"/>
    <w:rsid w:val="00FC1349"/>
    <w:rsid w:val="00FC20F8"/>
    <w:rsid w:val="00FC2D2F"/>
    <w:rsid w:val="00FC63E9"/>
    <w:rsid w:val="00FC7FBA"/>
    <w:rsid w:val="00FD1694"/>
    <w:rsid w:val="00FD1921"/>
    <w:rsid w:val="00FD1AC3"/>
    <w:rsid w:val="00FD1F0E"/>
    <w:rsid w:val="00FD7636"/>
    <w:rsid w:val="00FE01B4"/>
    <w:rsid w:val="00FE2DC6"/>
    <w:rsid w:val="00FE3229"/>
    <w:rsid w:val="00FE53AD"/>
    <w:rsid w:val="00FE581C"/>
    <w:rsid w:val="00FE74C3"/>
    <w:rsid w:val="00FF215C"/>
    <w:rsid w:val="00FF3251"/>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lsdException w:name="Default Paragraph Font" w:uiPriority="1"/>
    <w:lsdException w:name="List Continue" w:semiHidden="0" w:unhideWhenUsed="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52BCF"/>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38383D"/>
    <w:pPr>
      <w:jc w:val="center"/>
      <w:outlineLvl w:val="0"/>
    </w:pPr>
    <w:rPr>
      <w:b/>
      <w:sz w:val="24"/>
    </w:rPr>
  </w:style>
  <w:style w:type="paragraph" w:styleId="Heading2">
    <w:name w:val="heading 2"/>
    <w:basedOn w:val="Header"/>
    <w:next w:val="Normal"/>
    <w:link w:val="Heading2Char"/>
    <w:uiPriority w:val="9"/>
    <w:qFormat/>
    <w:rsid w:val="0038383D"/>
    <w:pPr>
      <w:jc w:val="center"/>
      <w:outlineLvl w:val="1"/>
    </w:pPr>
    <w:rPr>
      <w:b/>
      <w:lang w:eastAsia="en-AU"/>
    </w:rPr>
  </w:style>
  <w:style w:type="paragraph" w:styleId="Heading3">
    <w:name w:val="heading 3"/>
    <w:basedOn w:val="tablelabel"/>
    <w:next w:val="Normal"/>
    <w:link w:val="Heading3Char"/>
    <w:uiPriority w:val="9"/>
    <w:qFormat/>
    <w:rsid w:val="00BD0FEB"/>
    <w:pPr>
      <w:spacing w:after="0"/>
      <w:outlineLvl w:val="2"/>
    </w:pPr>
    <w:rPr>
      <w:sz w:val="20"/>
    </w:rPr>
  </w:style>
  <w:style w:type="paragraph" w:styleId="Heading4">
    <w:name w:val="heading 4"/>
    <w:basedOn w:val="Normal"/>
    <w:next w:val="Normal"/>
    <w:link w:val="Heading4Char"/>
    <w:uiPriority w:val="9"/>
    <w:qFormat/>
    <w:rsid w:val="0038383D"/>
    <w:pPr>
      <w:outlineLvl w:val="3"/>
    </w:pPr>
    <w:rPr>
      <w:rFonts w:eastAsia="Calibri"/>
      <w:u w:val="single"/>
    </w:rPr>
  </w:style>
  <w:style w:type="paragraph" w:styleId="Heading5">
    <w:name w:val="heading 5"/>
    <w:basedOn w:val="Default"/>
    <w:next w:val="Normal"/>
    <w:link w:val="Heading5Char"/>
    <w:uiPriority w:val="9"/>
    <w:unhideWhenUsed/>
    <w:qFormat/>
    <w:rsid w:val="0038383D"/>
    <w:pPr>
      <w:spacing w:after="200" w:line="276" w:lineRule="auto"/>
      <w:outlineLvl w:val="4"/>
    </w:pPr>
    <w:rPr>
      <w:rFonts w:ascii="Arial" w:hAnsi="Arial" w:cs="Arial"/>
      <w:i/>
      <w:sz w:val="20"/>
      <w:szCs w:val="20"/>
    </w:rPr>
  </w:style>
  <w:style w:type="paragraph" w:styleId="Heading6">
    <w:name w:val="heading 6"/>
    <w:basedOn w:val="Normal"/>
    <w:next w:val="Normal"/>
    <w:link w:val="Heading6Char"/>
    <w:uiPriority w:val="9"/>
    <w:semiHidden/>
    <w:unhideWhenUsed/>
    <w:rsid w:val="0043094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38383D"/>
    <w:rPr>
      <w:rFonts w:eastAsia="Times New Roman" w:cs="Arial"/>
      <w:b/>
      <w:sz w:val="24"/>
      <w:lang w:eastAsia="en-US"/>
    </w:rPr>
  </w:style>
  <w:style w:type="character" w:customStyle="1" w:styleId="Heading2Char">
    <w:name w:val="Heading 2 Char"/>
    <w:basedOn w:val="DefaultParagraphFont"/>
    <w:link w:val="Heading2"/>
    <w:uiPriority w:val="9"/>
    <w:rsid w:val="0038383D"/>
    <w:rPr>
      <w:rFonts w:eastAsia="Times New Roman" w:cs="Arial"/>
      <w:b/>
    </w:rPr>
  </w:style>
  <w:style w:type="character" w:customStyle="1" w:styleId="Heading3Char">
    <w:name w:val="Heading 3 Char"/>
    <w:basedOn w:val="DefaultParagraphFont"/>
    <w:link w:val="Heading3"/>
    <w:uiPriority w:val="9"/>
    <w:rsid w:val="00BD0FEB"/>
    <w:rPr>
      <w:rFonts w:eastAsia="Times New Roman" w:cs="Arial"/>
      <w:b/>
      <w:lang w:eastAsia="en-US"/>
    </w:rPr>
  </w:style>
  <w:style w:type="character" w:customStyle="1" w:styleId="Heading4Char">
    <w:name w:val="Heading 4 Char"/>
    <w:basedOn w:val="DefaultParagraphFont"/>
    <w:link w:val="Heading4"/>
    <w:uiPriority w:val="9"/>
    <w:rsid w:val="0038383D"/>
    <w:rPr>
      <w:rFonts w:cs="Arial"/>
      <w:u w:val="single"/>
      <w:lang w:eastAsia="en-US"/>
    </w:rPr>
  </w:style>
  <w:style w:type="paragraph" w:styleId="ListBullet">
    <w:name w:val="List Bullet"/>
    <w:basedOn w:val="Normal"/>
    <w:uiPriority w:val="99"/>
    <w:unhideWhenUsed/>
    <w:qFormat/>
    <w:rsid w:val="0038383D"/>
    <w:pPr>
      <w:numPr>
        <w:numId w:val="6"/>
      </w:numPr>
      <w:ind w:left="426" w:hanging="426"/>
    </w:pPr>
    <w:rPr>
      <w:rFonts w:eastAsia="Calibri"/>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D44300"/>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38383D"/>
    <w:rPr>
      <w:rFonts w:cs="Arial"/>
      <w:i/>
      <w:color w:val="000000"/>
    </w:rPr>
  </w:style>
  <w:style w:type="character" w:styleId="FollowedHyperlink">
    <w:name w:val="FollowedHyperlink"/>
    <w:basedOn w:val="DefaultParagraphFont"/>
    <w:uiPriority w:val="99"/>
    <w:semiHidden/>
    <w:unhideWhenUsed/>
    <w:rsid w:val="00923EBB"/>
    <w:rPr>
      <w:color w:val="800080" w:themeColor="followedHyperlink"/>
      <w:u w:val="single"/>
    </w:rPr>
  </w:style>
  <w:style w:type="character" w:customStyle="1" w:styleId="Heading6Char">
    <w:name w:val="Heading 6 Char"/>
    <w:basedOn w:val="DefaultParagraphFont"/>
    <w:link w:val="Heading6"/>
    <w:uiPriority w:val="9"/>
    <w:semiHidden/>
    <w:rsid w:val="00430940"/>
    <w:rPr>
      <w:rFonts w:asciiTheme="majorHAnsi" w:eastAsiaTheme="majorEastAsia" w:hAnsiTheme="majorHAnsi" w:cstheme="majorBidi"/>
      <w:i/>
      <w:iCs/>
      <w:color w:val="243F60" w:themeColor="accent1" w:themeShade="7F"/>
      <w:lang w:eastAsia="en-US"/>
    </w:rPr>
  </w:style>
  <w:style w:type="paragraph" w:styleId="Quote">
    <w:name w:val="Quote"/>
    <w:basedOn w:val="Heading3"/>
    <w:next w:val="Normal"/>
    <w:link w:val="QuoteChar"/>
    <w:uiPriority w:val="29"/>
    <w:qFormat/>
    <w:rsid w:val="00EA7CC9"/>
    <w:pPr>
      <w:pBdr>
        <w:top w:val="single" w:sz="4" w:space="1" w:color="auto"/>
        <w:left w:val="single" w:sz="4" w:space="4" w:color="auto"/>
        <w:bottom w:val="single" w:sz="4" w:space="1" w:color="auto"/>
        <w:right w:val="single" w:sz="4" w:space="4" w:color="auto"/>
      </w:pBdr>
      <w:spacing w:after="200"/>
    </w:pPr>
    <w:rPr>
      <w:b w:val="0"/>
    </w:rPr>
  </w:style>
  <w:style w:type="character" w:customStyle="1" w:styleId="QuoteChar">
    <w:name w:val="Quote Char"/>
    <w:basedOn w:val="DefaultParagraphFont"/>
    <w:link w:val="Quote"/>
    <w:uiPriority w:val="29"/>
    <w:rsid w:val="00EA7CC9"/>
    <w:rPr>
      <w:rFonts w:eastAsia="Times New Roman" w:cs="Arial"/>
      <w:lang w:eastAsia="en-US"/>
    </w:rPr>
  </w:style>
  <w:style w:type="paragraph" w:styleId="FootnoteText">
    <w:name w:val="footnote text"/>
    <w:basedOn w:val="Normal"/>
    <w:link w:val="FootnoteTextChar"/>
    <w:uiPriority w:val="99"/>
    <w:semiHidden/>
    <w:unhideWhenUsed/>
    <w:rsid w:val="00D9355C"/>
    <w:pPr>
      <w:autoSpaceDE/>
      <w:autoSpaceDN/>
      <w:adjustRightInd/>
      <w:spacing w:after="0" w:line="240" w:lineRule="auto"/>
    </w:pPr>
    <w:rPr>
      <w:rFonts w:eastAsia="Calibri" w:cs="Times New Roman"/>
    </w:rPr>
  </w:style>
  <w:style w:type="character" w:customStyle="1" w:styleId="FootnoteTextChar">
    <w:name w:val="Footnote Text Char"/>
    <w:basedOn w:val="DefaultParagraphFont"/>
    <w:link w:val="FootnoteText"/>
    <w:uiPriority w:val="99"/>
    <w:semiHidden/>
    <w:rsid w:val="00D9355C"/>
    <w:rPr>
      <w:lang w:eastAsia="en-US"/>
    </w:rPr>
  </w:style>
  <w:style w:type="character" w:styleId="FootnoteReference">
    <w:name w:val="footnote reference"/>
    <w:basedOn w:val="DefaultParagraphFont"/>
    <w:uiPriority w:val="99"/>
    <w:semiHidden/>
    <w:unhideWhenUsed/>
    <w:rsid w:val="00D9355C"/>
    <w:rPr>
      <w:vertAlign w:val="superscript"/>
    </w:rPr>
  </w:style>
  <w:style w:type="character" w:styleId="CommentReference">
    <w:name w:val="annotation reference"/>
    <w:basedOn w:val="DefaultParagraphFont"/>
    <w:uiPriority w:val="99"/>
    <w:semiHidden/>
    <w:unhideWhenUsed/>
    <w:rsid w:val="009842DB"/>
    <w:rPr>
      <w:sz w:val="16"/>
      <w:szCs w:val="16"/>
    </w:rPr>
  </w:style>
  <w:style w:type="paragraph" w:styleId="CommentText">
    <w:name w:val="annotation text"/>
    <w:basedOn w:val="Normal"/>
    <w:link w:val="CommentTextChar"/>
    <w:uiPriority w:val="99"/>
    <w:semiHidden/>
    <w:unhideWhenUsed/>
    <w:rsid w:val="009842DB"/>
    <w:pPr>
      <w:spacing w:line="240" w:lineRule="auto"/>
    </w:pPr>
  </w:style>
  <w:style w:type="character" w:customStyle="1" w:styleId="CommentTextChar">
    <w:name w:val="Comment Text Char"/>
    <w:basedOn w:val="DefaultParagraphFont"/>
    <w:link w:val="CommentText"/>
    <w:uiPriority w:val="99"/>
    <w:semiHidden/>
    <w:rsid w:val="009842DB"/>
    <w:rPr>
      <w:rFonts w:eastAsia="Times New Roman" w:cs="Arial"/>
      <w:lang w:eastAsia="en-US"/>
    </w:rPr>
  </w:style>
  <w:style w:type="paragraph" w:styleId="CommentSubject">
    <w:name w:val="annotation subject"/>
    <w:basedOn w:val="CommentText"/>
    <w:next w:val="CommentText"/>
    <w:link w:val="CommentSubjectChar"/>
    <w:uiPriority w:val="99"/>
    <w:semiHidden/>
    <w:unhideWhenUsed/>
    <w:rsid w:val="009842DB"/>
    <w:rPr>
      <w:b/>
      <w:bCs/>
    </w:rPr>
  </w:style>
  <w:style w:type="character" w:customStyle="1" w:styleId="CommentSubjectChar">
    <w:name w:val="Comment Subject Char"/>
    <w:basedOn w:val="CommentTextChar"/>
    <w:link w:val="CommentSubject"/>
    <w:uiPriority w:val="99"/>
    <w:semiHidden/>
    <w:rsid w:val="009842DB"/>
    <w:rPr>
      <w:b/>
      <w:bCs/>
    </w:rPr>
  </w:style>
</w:styles>
</file>

<file path=word/webSettings.xml><?xml version="1.0" encoding="utf-8"?>
<w:webSettings xmlns:r="http://schemas.openxmlformats.org/officeDocument/2006/relationships" xmlns:w="http://schemas.openxmlformats.org/wordprocessingml/2006/main">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nvironment.gov.au/system/files/resources/eba674a5-b220-4ef1-9f3a-b9ff3f08a959/files/survey-guidelines-reptiles.pdf" TargetMode="External"/><Relationship Id="rId4" Type="http://schemas.openxmlformats.org/officeDocument/2006/relationships/settings" Target="settings.xml"/><Relationship Id="rId9" Type="http://schemas.openxmlformats.org/officeDocument/2006/relationships/hyperlink" Target="http://iesc.environment.gov.au/pubs/iesc-information-guideline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A90883-D3DF-44A9-BABC-C09E56B11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3588</Words>
  <Characters>20457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23998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dc:title>
  <dc:creator/>
  <cp:lastModifiedBy/>
  <cp:revision>1</cp:revision>
  <dcterms:created xsi:type="dcterms:W3CDTF">2014-08-27T01:11:00Z</dcterms:created>
  <dcterms:modified xsi:type="dcterms:W3CDTF">2014-08-27T01:11:00Z</dcterms:modified>
</cp:coreProperties>
</file>