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0A" w:rsidRDefault="00E833E9" w:rsidP="00F027B8">
      <w:pPr>
        <w:pStyle w:val="Header"/>
        <w:keepLines/>
        <w:tabs>
          <w:tab w:val="left" w:pos="2835"/>
        </w:tabs>
        <w:spacing w:after="200" w:line="276" w:lineRule="auto"/>
        <w:ind w:left="-1134" w:right="-1136"/>
        <w:rPr>
          <w:rFonts w:ascii="Arial" w:hAnsi="Arial" w:cs="Arial"/>
          <w:b/>
        </w:rPr>
      </w:pPr>
      <w:r>
        <w:rPr>
          <w:noProof/>
          <w:lang w:eastAsia="en-AU"/>
        </w:rPr>
        <w:drawing>
          <wp:anchor distT="0" distB="0" distL="114300" distR="114300" simplePos="0" relativeHeight="251658240" behindDoc="0" locked="0" layoutInCell="1" allowOverlap="1">
            <wp:simplePos x="0" y="0"/>
            <wp:positionH relativeFrom="column">
              <wp:posOffset>-1329121</wp:posOffset>
            </wp:positionH>
            <wp:positionV relativeFrom="paragraph">
              <wp:posOffset>-1209433</wp:posOffset>
            </wp:positionV>
            <wp:extent cx="7570404" cy="2358521"/>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570404" cy="2358521"/>
                    </a:xfrm>
                    <a:prstGeom prst="rect">
                      <a:avLst/>
                    </a:prstGeom>
                    <a:noFill/>
                  </pic:spPr>
                </pic:pic>
              </a:graphicData>
            </a:graphic>
          </wp:anchor>
        </w:drawing>
      </w:r>
      <w:r w:rsidR="0077460A" w:rsidRPr="002A5EC3">
        <w:rPr>
          <w:rFonts w:ascii="Arial" w:hAnsi="Arial" w:cs="Arial"/>
          <w:b/>
        </w:rPr>
        <w:t>Advi</w:t>
      </w:r>
    </w:p>
    <w:p w:rsidR="0077460A" w:rsidRDefault="0077460A" w:rsidP="0032087E">
      <w:pPr>
        <w:pStyle w:val="Header"/>
        <w:keepLines/>
        <w:tabs>
          <w:tab w:val="left" w:pos="2835"/>
        </w:tabs>
        <w:spacing w:after="200" w:line="276" w:lineRule="auto"/>
        <w:ind w:left="-360" w:right="-289"/>
        <w:jc w:val="center"/>
        <w:rPr>
          <w:rFonts w:ascii="Arial" w:hAnsi="Arial" w:cs="Arial"/>
          <w:b/>
        </w:rPr>
      </w:pPr>
    </w:p>
    <w:p w:rsidR="0077460A" w:rsidRDefault="0077460A" w:rsidP="0032087E">
      <w:pPr>
        <w:pStyle w:val="Header"/>
        <w:keepLines/>
        <w:tabs>
          <w:tab w:val="left" w:pos="2835"/>
        </w:tabs>
        <w:spacing w:after="200" w:line="276" w:lineRule="auto"/>
        <w:ind w:left="-360" w:right="-289"/>
        <w:jc w:val="center"/>
        <w:rPr>
          <w:rFonts w:ascii="Arial" w:hAnsi="Arial" w:cs="Arial"/>
          <w:b/>
        </w:rPr>
      </w:pPr>
    </w:p>
    <w:p w:rsidR="0077460A" w:rsidRDefault="0077460A" w:rsidP="0032087E">
      <w:pPr>
        <w:pStyle w:val="Header"/>
        <w:keepLines/>
        <w:tabs>
          <w:tab w:val="left" w:pos="2835"/>
        </w:tabs>
        <w:spacing w:after="200" w:line="276" w:lineRule="auto"/>
        <w:ind w:left="-360" w:right="-289"/>
        <w:jc w:val="center"/>
        <w:rPr>
          <w:rFonts w:ascii="Arial" w:hAnsi="Arial" w:cs="Arial"/>
          <w:b/>
        </w:rPr>
      </w:pPr>
    </w:p>
    <w:p w:rsidR="0077460A" w:rsidRPr="002A5EC3" w:rsidRDefault="0077460A" w:rsidP="0032087E">
      <w:pPr>
        <w:pStyle w:val="Header"/>
        <w:keepLines/>
        <w:tabs>
          <w:tab w:val="left" w:pos="2835"/>
        </w:tabs>
        <w:spacing w:after="200" w:line="276" w:lineRule="auto"/>
        <w:ind w:left="-360" w:right="-289"/>
        <w:jc w:val="center"/>
        <w:rPr>
          <w:rFonts w:ascii="Arial" w:hAnsi="Arial" w:cs="Arial"/>
          <w:b/>
        </w:rPr>
      </w:pPr>
      <w:r>
        <w:rPr>
          <w:rFonts w:ascii="Arial" w:hAnsi="Arial" w:cs="Arial"/>
          <w:b/>
        </w:rPr>
        <w:t>Advi</w:t>
      </w:r>
      <w:r w:rsidRPr="002A5EC3">
        <w:rPr>
          <w:rFonts w:ascii="Arial" w:hAnsi="Arial" w:cs="Arial"/>
          <w:b/>
        </w:rPr>
        <w:t>ce to decision maker on coal mining</w:t>
      </w:r>
      <w:r>
        <w:rPr>
          <w:rFonts w:ascii="Arial" w:hAnsi="Arial" w:cs="Arial"/>
          <w:b/>
        </w:rPr>
        <w:t xml:space="preserve"> project</w:t>
      </w:r>
    </w:p>
    <w:p w:rsidR="0077460A" w:rsidRPr="002A5EC3" w:rsidRDefault="0077460A"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 xml:space="preserve">Proposed action: </w:t>
      </w:r>
      <w:bookmarkStart w:id="0" w:name="OLE_LINK1"/>
      <w:bookmarkStart w:id="1" w:name="OLE_LINK2"/>
      <w:proofErr w:type="spellStart"/>
      <w:r>
        <w:rPr>
          <w:rFonts w:ascii="Arial" w:hAnsi="Arial" w:cs="Arial"/>
          <w:b/>
          <w:sz w:val="20"/>
          <w:lang w:eastAsia="en-AU"/>
        </w:rPr>
        <w:t>W</w:t>
      </w:r>
      <w:r>
        <w:rPr>
          <w:rFonts w:ascii="Arial Bold" w:hAnsi="Arial Bold" w:cs="Arial"/>
          <w:b/>
          <w:sz w:val="20"/>
          <w:lang w:eastAsia="en-AU"/>
        </w:rPr>
        <w:t>allarah</w:t>
      </w:r>
      <w:proofErr w:type="spellEnd"/>
      <w:r>
        <w:rPr>
          <w:rFonts w:ascii="Arial Bold" w:hAnsi="Arial Bold" w:cs="Arial"/>
          <w:b/>
          <w:sz w:val="20"/>
          <w:lang w:eastAsia="en-AU"/>
        </w:rPr>
        <w:t xml:space="preserve"> 2</w:t>
      </w:r>
      <w:r w:rsidRPr="00C94254">
        <w:rPr>
          <w:rFonts w:ascii="Arial Bold" w:hAnsi="Arial Bold" w:cs="Arial"/>
          <w:b/>
          <w:sz w:val="20"/>
          <w:lang w:eastAsia="en-AU"/>
        </w:rPr>
        <w:t xml:space="preserve"> Coal Project</w:t>
      </w:r>
      <w:r w:rsidRPr="002A5EC3">
        <w:rPr>
          <w:rFonts w:ascii="Arial" w:hAnsi="Arial" w:cs="Arial"/>
          <w:b/>
          <w:sz w:val="20"/>
          <w:lang w:eastAsia="en-AU"/>
        </w:rPr>
        <w:t xml:space="preserve"> (</w:t>
      </w:r>
      <w:r>
        <w:rPr>
          <w:rFonts w:ascii="Arial" w:hAnsi="Arial" w:cs="Arial"/>
          <w:b/>
          <w:sz w:val="20"/>
          <w:lang w:eastAsia="en-AU"/>
        </w:rPr>
        <w:t>E</w:t>
      </w:r>
      <w:r w:rsidRPr="002A5EC3">
        <w:rPr>
          <w:rFonts w:ascii="Arial" w:hAnsi="Arial" w:cs="Arial"/>
          <w:b/>
          <w:sz w:val="20"/>
          <w:lang w:eastAsia="en-AU"/>
        </w:rPr>
        <w:t xml:space="preserve">PBC </w:t>
      </w:r>
      <w:r>
        <w:rPr>
          <w:rFonts w:ascii="Arial" w:hAnsi="Arial" w:cs="Arial"/>
          <w:b/>
          <w:sz w:val="20"/>
          <w:lang w:eastAsia="en-AU"/>
        </w:rPr>
        <w:t>2012/6388</w:t>
      </w:r>
      <w:r w:rsidRPr="002A5EC3">
        <w:rPr>
          <w:rFonts w:ascii="Arial" w:hAnsi="Arial" w:cs="Arial"/>
          <w:b/>
          <w:sz w:val="20"/>
          <w:lang w:eastAsia="en-AU"/>
        </w:rPr>
        <w:t>)</w:t>
      </w:r>
      <w:r>
        <w:rPr>
          <w:rFonts w:ascii="Arial" w:hAnsi="Arial" w:cs="Arial"/>
          <w:b/>
          <w:sz w:val="20"/>
          <w:lang w:eastAsia="en-AU"/>
        </w:rPr>
        <w:t xml:space="preserve"> –</w:t>
      </w:r>
      <w:r w:rsidRPr="00B05E1C">
        <w:rPr>
          <w:rFonts w:ascii="Arial" w:hAnsi="Arial" w:cs="Arial"/>
          <w:b/>
          <w:sz w:val="20"/>
          <w:lang w:eastAsia="en-AU"/>
        </w:rPr>
        <w:t xml:space="preserve"> </w:t>
      </w:r>
      <w:r>
        <w:rPr>
          <w:rFonts w:ascii="Arial" w:hAnsi="Arial" w:cs="Arial"/>
          <w:b/>
          <w:sz w:val="20"/>
          <w:lang w:eastAsia="en-AU"/>
        </w:rPr>
        <w:t>New Development</w:t>
      </w:r>
      <w:bookmarkEnd w:id="0"/>
      <w:bookmarkEnd w:id="1"/>
    </w:p>
    <w:tbl>
      <w:tblPr>
        <w:tblW w:w="9968" w:type="dxa"/>
        <w:tblBorders>
          <w:insideH w:val="single" w:sz="4" w:space="0" w:color="auto"/>
        </w:tblBorders>
        <w:tblCellMar>
          <w:top w:w="113" w:type="dxa"/>
          <w:bottom w:w="113" w:type="dxa"/>
        </w:tblCellMar>
        <w:tblLook w:val="01E0"/>
      </w:tblPr>
      <w:tblGrid>
        <w:gridCol w:w="1809"/>
        <w:gridCol w:w="8159"/>
      </w:tblGrid>
      <w:tr w:rsidR="0077460A" w:rsidRPr="002A5EC3" w:rsidTr="007152BB">
        <w:trPr>
          <w:trHeight w:val="236"/>
        </w:trPr>
        <w:tc>
          <w:tcPr>
            <w:tcW w:w="1809" w:type="dxa"/>
            <w:tcBorders>
              <w:top w:val="single" w:sz="4" w:space="0" w:color="auto"/>
              <w:bottom w:val="single" w:sz="4" w:space="0" w:color="auto"/>
            </w:tcBorders>
          </w:tcPr>
          <w:p w:rsidR="0077460A" w:rsidRPr="002A5EC3" w:rsidRDefault="0077460A" w:rsidP="007152BB">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77460A" w:rsidRPr="002A5EC3" w:rsidRDefault="0077460A" w:rsidP="003F69E6">
            <w:pPr>
              <w:spacing w:line="276" w:lineRule="auto"/>
              <w:rPr>
                <w:rFonts w:ascii="Arial" w:hAnsi="Arial" w:cs="Arial"/>
                <w:sz w:val="20"/>
                <w:szCs w:val="20"/>
              </w:rPr>
            </w:pPr>
            <w:r w:rsidRPr="002A5EC3">
              <w:rPr>
                <w:rFonts w:ascii="Arial" w:hAnsi="Arial" w:cs="Arial"/>
                <w:sz w:val="20"/>
                <w:szCs w:val="20"/>
              </w:rPr>
              <w:t>Department of Sustainability, Environment, Water, Population and Communities</w:t>
            </w:r>
            <w:r>
              <w:rPr>
                <w:rFonts w:ascii="Arial" w:hAnsi="Arial" w:cs="Arial"/>
                <w:sz w:val="20"/>
                <w:szCs w:val="20"/>
              </w:rPr>
              <w:t xml:space="preserve"> </w:t>
            </w:r>
          </w:p>
        </w:tc>
      </w:tr>
      <w:tr w:rsidR="0077460A" w:rsidRPr="002A5EC3" w:rsidTr="007152BB">
        <w:trPr>
          <w:trHeight w:val="136"/>
        </w:trPr>
        <w:tc>
          <w:tcPr>
            <w:tcW w:w="1809" w:type="dxa"/>
            <w:tcBorders>
              <w:top w:val="single" w:sz="4" w:space="0" w:color="auto"/>
            </w:tcBorders>
          </w:tcPr>
          <w:p w:rsidR="0077460A" w:rsidRPr="002A5EC3" w:rsidRDefault="0077460A" w:rsidP="007152BB">
            <w:pPr>
              <w:pStyle w:val="tablelabel"/>
              <w:spacing w:line="276" w:lineRule="auto"/>
              <w:rPr>
                <w:rFonts w:cs="Arial"/>
                <w:sz w:val="20"/>
              </w:rPr>
            </w:pPr>
            <w:r w:rsidRPr="002A5EC3">
              <w:rPr>
                <w:rFonts w:cs="Arial"/>
                <w:sz w:val="20"/>
              </w:rPr>
              <w:t>Date of request</w:t>
            </w:r>
          </w:p>
        </w:tc>
        <w:tc>
          <w:tcPr>
            <w:tcW w:w="8159" w:type="dxa"/>
            <w:tcBorders>
              <w:top w:val="single" w:sz="4" w:space="0" w:color="auto"/>
            </w:tcBorders>
          </w:tcPr>
          <w:p w:rsidR="0077460A" w:rsidRPr="002A5EC3" w:rsidRDefault="0077460A" w:rsidP="000A5FA9">
            <w:pPr>
              <w:spacing w:line="276" w:lineRule="auto"/>
              <w:rPr>
                <w:rFonts w:ascii="Arial" w:hAnsi="Arial" w:cs="Arial"/>
                <w:sz w:val="20"/>
                <w:szCs w:val="20"/>
              </w:rPr>
            </w:pPr>
            <w:r>
              <w:rPr>
                <w:rFonts w:ascii="Arial" w:hAnsi="Arial" w:cs="Arial"/>
                <w:sz w:val="20"/>
                <w:szCs w:val="20"/>
              </w:rPr>
              <w:t>18</w:t>
            </w:r>
            <w:r w:rsidRPr="002A5EC3">
              <w:rPr>
                <w:rFonts w:ascii="Arial" w:hAnsi="Arial" w:cs="Arial"/>
                <w:sz w:val="20"/>
                <w:szCs w:val="20"/>
              </w:rPr>
              <w:t xml:space="preserve"> </w:t>
            </w:r>
            <w:r>
              <w:rPr>
                <w:rFonts w:ascii="Arial" w:hAnsi="Arial" w:cs="Arial"/>
                <w:sz w:val="20"/>
                <w:szCs w:val="20"/>
              </w:rPr>
              <w:t>April</w:t>
            </w:r>
            <w:r w:rsidRPr="002A5EC3">
              <w:rPr>
                <w:rFonts w:ascii="Arial" w:hAnsi="Arial" w:cs="Arial"/>
                <w:sz w:val="20"/>
                <w:szCs w:val="20"/>
              </w:rPr>
              <w:t xml:space="preserve"> 201</w:t>
            </w:r>
            <w:r>
              <w:rPr>
                <w:rFonts w:ascii="Arial" w:hAnsi="Arial" w:cs="Arial"/>
                <w:sz w:val="20"/>
                <w:szCs w:val="20"/>
              </w:rPr>
              <w:t>3</w:t>
            </w:r>
          </w:p>
        </w:tc>
      </w:tr>
      <w:tr w:rsidR="0077460A" w:rsidRPr="002A5EC3" w:rsidTr="00DC325B">
        <w:trPr>
          <w:trHeight w:val="19"/>
        </w:trPr>
        <w:tc>
          <w:tcPr>
            <w:tcW w:w="1809" w:type="dxa"/>
          </w:tcPr>
          <w:p w:rsidR="0077460A" w:rsidRPr="002A5EC3" w:rsidRDefault="0077460A" w:rsidP="007152BB">
            <w:pPr>
              <w:pStyle w:val="tablelabel"/>
              <w:spacing w:line="276" w:lineRule="auto"/>
              <w:rPr>
                <w:rFonts w:cs="Arial"/>
                <w:sz w:val="20"/>
              </w:rPr>
            </w:pPr>
            <w:r w:rsidRPr="002A5EC3">
              <w:rPr>
                <w:rFonts w:cs="Arial"/>
                <w:sz w:val="20"/>
              </w:rPr>
              <w:t>Date request accepted</w:t>
            </w:r>
          </w:p>
        </w:tc>
        <w:tc>
          <w:tcPr>
            <w:tcW w:w="8159" w:type="dxa"/>
          </w:tcPr>
          <w:p w:rsidR="0077460A" w:rsidRPr="002A5EC3" w:rsidRDefault="0077460A" w:rsidP="007A5C30">
            <w:pPr>
              <w:spacing w:line="276" w:lineRule="auto"/>
              <w:rPr>
                <w:rFonts w:ascii="Arial" w:hAnsi="Arial" w:cs="Arial"/>
                <w:color w:val="FF0000"/>
                <w:sz w:val="20"/>
                <w:szCs w:val="20"/>
              </w:rPr>
            </w:pPr>
            <w:r>
              <w:rPr>
                <w:rFonts w:ascii="Arial" w:hAnsi="Arial" w:cs="Arial"/>
                <w:sz w:val="20"/>
                <w:szCs w:val="20"/>
              </w:rPr>
              <w:t>18 April</w:t>
            </w:r>
            <w:r w:rsidRPr="002A5EC3">
              <w:rPr>
                <w:rFonts w:ascii="Arial" w:hAnsi="Arial" w:cs="Arial"/>
                <w:sz w:val="20"/>
                <w:szCs w:val="20"/>
              </w:rPr>
              <w:t xml:space="preserve"> 201</w:t>
            </w:r>
            <w:r>
              <w:rPr>
                <w:rFonts w:ascii="Arial" w:hAnsi="Arial" w:cs="Arial"/>
                <w:sz w:val="20"/>
                <w:szCs w:val="20"/>
              </w:rPr>
              <w:t>3</w:t>
            </w:r>
          </w:p>
        </w:tc>
      </w:tr>
      <w:tr w:rsidR="0077460A" w:rsidRPr="002A5EC3" w:rsidTr="00DC325B">
        <w:trPr>
          <w:trHeight w:val="19"/>
        </w:trPr>
        <w:tc>
          <w:tcPr>
            <w:tcW w:w="1809" w:type="dxa"/>
            <w:vAlign w:val="center"/>
          </w:tcPr>
          <w:p w:rsidR="0077460A" w:rsidRPr="00B451D3" w:rsidRDefault="0077460A" w:rsidP="007152BB">
            <w:pPr>
              <w:pStyle w:val="tablelabel"/>
              <w:rPr>
                <w:rFonts w:cs="Arial"/>
                <w:b w:val="0"/>
                <w:color w:val="FF0000"/>
                <w:sz w:val="20"/>
              </w:rPr>
            </w:pPr>
            <w:r>
              <w:rPr>
                <w:rFonts w:cs="Arial"/>
                <w:sz w:val="20"/>
              </w:rPr>
              <w:t xml:space="preserve">Advice stage </w:t>
            </w:r>
          </w:p>
        </w:tc>
        <w:tc>
          <w:tcPr>
            <w:tcW w:w="8159" w:type="dxa"/>
            <w:vAlign w:val="center"/>
          </w:tcPr>
          <w:p w:rsidR="0077460A" w:rsidRPr="00B451D3" w:rsidRDefault="0077460A" w:rsidP="00A66DFF">
            <w:pPr>
              <w:autoSpaceDE w:val="0"/>
              <w:autoSpaceDN w:val="0"/>
              <w:adjustRightInd w:val="0"/>
              <w:rPr>
                <w:rFonts w:ascii="Arial" w:hAnsi="Arial" w:cs="Arial"/>
                <w:sz w:val="20"/>
                <w:szCs w:val="20"/>
                <w:lang w:eastAsia="en-AU"/>
              </w:rPr>
            </w:pPr>
            <w:r>
              <w:rPr>
                <w:rFonts w:ascii="Arial" w:hAnsi="Arial" w:cs="Arial"/>
                <w:sz w:val="20"/>
                <w:lang w:eastAsia="en-AU"/>
              </w:rPr>
              <w:t>Environment Impact Assessment (</w:t>
            </w:r>
            <w:r w:rsidR="00A66DFF">
              <w:rPr>
                <w:rFonts w:ascii="Arial" w:hAnsi="Arial" w:cs="Arial"/>
                <w:sz w:val="20"/>
                <w:lang w:eastAsia="en-AU"/>
              </w:rPr>
              <w:t>d</w:t>
            </w:r>
            <w:r>
              <w:rPr>
                <w:rFonts w:ascii="Arial" w:hAnsi="Arial" w:cs="Arial"/>
                <w:sz w:val="20"/>
                <w:lang w:eastAsia="en-AU"/>
              </w:rPr>
              <w:t>raft)</w:t>
            </w:r>
          </w:p>
        </w:tc>
      </w:tr>
      <w:tr w:rsidR="0077460A" w:rsidRPr="002A5EC3" w:rsidTr="00DC325B">
        <w:trPr>
          <w:trHeight w:val="2588"/>
        </w:trPr>
        <w:tc>
          <w:tcPr>
            <w:tcW w:w="1809" w:type="dxa"/>
          </w:tcPr>
          <w:p w:rsidR="0077460A" w:rsidRPr="002A5EC3" w:rsidRDefault="0077460A" w:rsidP="007152BB">
            <w:pPr>
              <w:pStyle w:val="tablelabel"/>
              <w:spacing w:line="276" w:lineRule="auto"/>
              <w:rPr>
                <w:rFonts w:cs="Arial"/>
                <w:sz w:val="20"/>
              </w:rPr>
            </w:pPr>
            <w:r w:rsidRPr="002A5EC3">
              <w:rPr>
                <w:rFonts w:cs="Arial"/>
                <w:sz w:val="20"/>
              </w:rPr>
              <w:t>Summary of request</w:t>
            </w:r>
            <w:r>
              <w:rPr>
                <w:rFonts w:cs="Arial"/>
                <w:sz w:val="20"/>
              </w:rPr>
              <w:t xml:space="preserve"> from the regulator</w:t>
            </w:r>
          </w:p>
        </w:tc>
        <w:tc>
          <w:tcPr>
            <w:tcW w:w="8159" w:type="dxa"/>
          </w:tcPr>
          <w:p w:rsidR="0077460A" w:rsidRPr="00DC63CC" w:rsidRDefault="0077460A" w:rsidP="00D97037">
            <w:pPr>
              <w:tabs>
                <w:tab w:val="left" w:pos="425"/>
              </w:tabs>
              <w:spacing w:after="200" w:line="276" w:lineRule="auto"/>
              <w:rPr>
                <w:rFonts w:ascii="Arial" w:hAnsi="Arial" w:cs="Arial"/>
                <w:b/>
                <w:color w:val="FF0000"/>
                <w:sz w:val="20"/>
                <w:szCs w:val="20"/>
              </w:rPr>
            </w:pPr>
            <w:r w:rsidRPr="002A5EC3">
              <w:rPr>
                <w:rFonts w:ascii="Arial" w:hAnsi="Arial" w:cs="Arial"/>
                <w:sz w:val="20"/>
                <w:szCs w:val="20"/>
              </w:rPr>
              <w:t>The</w:t>
            </w:r>
            <w:r>
              <w:rPr>
                <w:rFonts w:ascii="Arial" w:hAnsi="Arial" w:cs="Arial"/>
                <w:sz w:val="20"/>
                <w:szCs w:val="20"/>
              </w:rPr>
              <w:t xml:space="preserve"> </w:t>
            </w:r>
            <w:r w:rsidRPr="002A5EC3">
              <w:rPr>
                <w:rFonts w:ascii="Arial" w:hAnsi="Arial" w:cs="Arial"/>
                <w:sz w:val="20"/>
                <w:szCs w:val="20"/>
              </w:rPr>
              <w:t>Department of Sustainability, Environment, Water, Population and C</w:t>
            </w:r>
            <w:r>
              <w:rPr>
                <w:rFonts w:ascii="Arial" w:hAnsi="Arial" w:cs="Arial"/>
                <w:sz w:val="20"/>
                <w:szCs w:val="20"/>
              </w:rPr>
              <w:t>ommunities (the D</w:t>
            </w:r>
            <w:r w:rsidRPr="002A5EC3">
              <w:rPr>
                <w:rFonts w:ascii="Arial" w:hAnsi="Arial" w:cs="Arial"/>
                <w:sz w:val="20"/>
                <w:szCs w:val="20"/>
              </w:rPr>
              <w:t xml:space="preserve">epartment) is currently assessing the proposed project in accordance with the provisions of the </w:t>
            </w:r>
            <w:r w:rsidRPr="002A5EC3">
              <w:rPr>
                <w:rFonts w:ascii="Arial" w:hAnsi="Arial" w:cs="Arial"/>
                <w:i/>
                <w:sz w:val="20"/>
                <w:szCs w:val="20"/>
              </w:rPr>
              <w:t xml:space="preserve">Environment Protection and Biodiversity Conservation Act 1999 </w:t>
            </w:r>
            <w:r w:rsidRPr="002A5EC3">
              <w:rPr>
                <w:rFonts w:ascii="Arial" w:hAnsi="Arial" w:cs="Arial"/>
                <w:sz w:val="20"/>
                <w:szCs w:val="20"/>
              </w:rPr>
              <w:t>(EPBC Act)</w:t>
            </w:r>
            <w:r>
              <w:rPr>
                <w:rFonts w:ascii="Arial" w:hAnsi="Arial" w:cs="Arial"/>
                <w:sz w:val="20"/>
                <w:szCs w:val="20"/>
              </w:rPr>
              <w:t>.</w:t>
            </w:r>
          </w:p>
          <w:p w:rsidR="0077460A" w:rsidRDefault="0077460A">
            <w:pPr>
              <w:tabs>
                <w:tab w:val="left" w:pos="425"/>
              </w:tabs>
              <w:spacing w:after="200" w:line="276" w:lineRule="auto"/>
              <w:rPr>
                <w:rFonts w:ascii="Arial" w:hAnsi="Arial" w:cs="Arial"/>
                <w:sz w:val="20"/>
                <w:szCs w:val="20"/>
                <w:lang w:eastAsia="en-AU"/>
              </w:rPr>
            </w:pPr>
            <w:r>
              <w:rPr>
                <w:rFonts w:ascii="Arial" w:hAnsi="Arial" w:cs="Arial"/>
                <w:sz w:val="20"/>
                <w:szCs w:val="20"/>
              </w:rPr>
              <w:t>The D</w:t>
            </w:r>
            <w:r w:rsidRPr="002A5EC3">
              <w:rPr>
                <w:rFonts w:ascii="Arial" w:hAnsi="Arial" w:cs="Arial"/>
                <w:sz w:val="20"/>
                <w:szCs w:val="20"/>
              </w:rPr>
              <w:t xml:space="preserve">epartment </w:t>
            </w:r>
            <w:r>
              <w:rPr>
                <w:rFonts w:ascii="Arial" w:hAnsi="Arial" w:cs="Arial"/>
                <w:sz w:val="20"/>
                <w:szCs w:val="20"/>
              </w:rPr>
              <w:t xml:space="preserve">notifies </w:t>
            </w:r>
            <w:r w:rsidRPr="002A5EC3">
              <w:rPr>
                <w:rFonts w:ascii="Arial" w:hAnsi="Arial" w:cs="Arial"/>
                <w:sz w:val="20"/>
                <w:szCs w:val="20"/>
              </w:rPr>
              <w:t xml:space="preserve">the 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Pr>
                <w:rFonts w:ascii="Arial" w:hAnsi="Arial" w:cs="Arial"/>
                <w:sz w:val="20"/>
                <w:szCs w:val="20"/>
              </w:rPr>
              <w:t>C</w:t>
            </w:r>
            <w:r w:rsidRPr="002A5EC3">
              <w:rPr>
                <w:rFonts w:ascii="Arial" w:hAnsi="Arial" w:cs="Arial"/>
                <w:sz w:val="20"/>
                <w:szCs w:val="20"/>
              </w:rPr>
              <w:t>ommittee) of</w:t>
            </w:r>
            <w:r>
              <w:rPr>
                <w:rFonts w:ascii="Arial" w:hAnsi="Arial" w:cs="Arial"/>
                <w:sz w:val="20"/>
                <w:szCs w:val="20"/>
              </w:rPr>
              <w:t xml:space="preserve"> an opportunity to comment on the Draft Environmental Impact </w:t>
            </w:r>
            <w:r>
              <w:rPr>
                <w:rFonts w:ascii="Arial" w:hAnsi="Arial" w:cs="Arial"/>
                <w:sz w:val="20"/>
                <w:lang w:eastAsia="en-AU"/>
              </w:rPr>
              <w:t xml:space="preserve">Assessment. </w:t>
            </w:r>
            <w:r w:rsidRPr="002A5EC3">
              <w:rPr>
                <w:rFonts w:ascii="Arial" w:hAnsi="Arial" w:cs="Arial"/>
                <w:sz w:val="20"/>
                <w:szCs w:val="20"/>
              </w:rPr>
              <w:t xml:space="preserve">Specifically, the </w:t>
            </w:r>
            <w:r>
              <w:rPr>
                <w:rFonts w:ascii="Arial" w:hAnsi="Arial" w:cs="Arial"/>
                <w:sz w:val="20"/>
                <w:szCs w:val="20"/>
              </w:rPr>
              <w:t>D</w:t>
            </w:r>
            <w:r w:rsidRPr="002A5EC3">
              <w:rPr>
                <w:rFonts w:ascii="Arial" w:hAnsi="Arial" w:cs="Arial"/>
                <w:sz w:val="20"/>
                <w:szCs w:val="20"/>
              </w:rPr>
              <w:t xml:space="preserve">epartment </w:t>
            </w:r>
            <w:r w:rsidR="004E5DE8">
              <w:rPr>
                <w:rFonts w:ascii="Arial" w:hAnsi="Arial" w:cs="Arial"/>
                <w:sz w:val="20"/>
                <w:szCs w:val="20"/>
              </w:rPr>
              <w:t xml:space="preserve">poses the following questions to </w:t>
            </w:r>
            <w:r w:rsidRPr="002A5EC3">
              <w:rPr>
                <w:rFonts w:ascii="Arial" w:hAnsi="Arial" w:cs="Arial"/>
                <w:sz w:val="20"/>
                <w:szCs w:val="20"/>
              </w:rPr>
              <w:t xml:space="preserve">the </w:t>
            </w:r>
            <w:r>
              <w:rPr>
                <w:rFonts w:ascii="Arial" w:hAnsi="Arial" w:cs="Arial"/>
                <w:sz w:val="20"/>
                <w:szCs w:val="20"/>
              </w:rPr>
              <w:t>Committee:</w:t>
            </w:r>
          </w:p>
          <w:p w:rsidR="0077460A" w:rsidRPr="00F8207F" w:rsidRDefault="0077460A" w:rsidP="00A85ECE">
            <w:pPr>
              <w:pStyle w:val="Heading2"/>
              <w:numPr>
                <w:ilvl w:val="0"/>
                <w:numId w:val="18"/>
              </w:numPr>
              <w:spacing w:after="200" w:line="276" w:lineRule="auto"/>
              <w:rPr>
                <w:rFonts w:cs="Arial"/>
                <w:b w:val="0"/>
                <w:sz w:val="20"/>
                <w:szCs w:val="20"/>
              </w:rPr>
            </w:pPr>
            <w:r w:rsidRPr="00F8207F">
              <w:rPr>
                <w:rFonts w:cs="Arial"/>
                <w:b w:val="0"/>
                <w:sz w:val="20"/>
                <w:szCs w:val="20"/>
              </w:rPr>
              <w:t>Does the Committee consider that the proponent has provided sufficient information on water resources and its management to assess the likely significant impacts from its proposed action? – If the information is considered insufficient, what advice regarding areas of inadequacy can the Committee provide?</w:t>
            </w:r>
          </w:p>
          <w:p w:rsidR="0077460A" w:rsidRPr="00F8207F" w:rsidRDefault="0077460A" w:rsidP="00A85ECE">
            <w:pPr>
              <w:pStyle w:val="Heading2"/>
              <w:numPr>
                <w:ilvl w:val="0"/>
                <w:numId w:val="18"/>
              </w:numPr>
              <w:spacing w:after="200" w:line="276" w:lineRule="auto"/>
              <w:rPr>
                <w:rFonts w:cs="Arial"/>
                <w:b w:val="0"/>
                <w:sz w:val="20"/>
                <w:szCs w:val="20"/>
              </w:rPr>
            </w:pPr>
            <w:r w:rsidRPr="00F8207F">
              <w:rPr>
                <w:rFonts w:cs="Arial"/>
                <w:b w:val="0"/>
                <w:sz w:val="20"/>
                <w:szCs w:val="20"/>
              </w:rPr>
              <w:t>What are the likely impacts of the proposed mine on surface and ground water resources, in particular, changes to surface and/or ground water dynamics and resources that may support surface habitat for threatened species and communities?</w:t>
            </w:r>
          </w:p>
          <w:p w:rsidR="0077460A" w:rsidRPr="007E6ACC" w:rsidRDefault="0077460A" w:rsidP="00A85ECE">
            <w:pPr>
              <w:pStyle w:val="ListNumber"/>
              <w:numPr>
                <w:ilvl w:val="0"/>
                <w:numId w:val="18"/>
              </w:numPr>
              <w:spacing w:after="200" w:line="276" w:lineRule="auto"/>
              <w:rPr>
                <w:rFonts w:ascii="Arial" w:hAnsi="Arial" w:cs="Arial"/>
                <w:sz w:val="20"/>
                <w:szCs w:val="20"/>
              </w:rPr>
            </w:pPr>
            <w:r w:rsidRPr="00C819A5">
              <w:rPr>
                <w:rFonts w:ascii="Arial" w:hAnsi="Arial" w:cs="Arial"/>
                <w:sz w:val="20"/>
                <w:szCs w:val="20"/>
              </w:rPr>
              <w:t>Does the Committee find the water balance and</w:t>
            </w:r>
            <w:r>
              <w:rPr>
                <w:rFonts w:ascii="Arial" w:hAnsi="Arial" w:cs="Arial"/>
                <w:sz w:val="20"/>
                <w:szCs w:val="20"/>
              </w:rPr>
              <w:t xml:space="preserve"> conclusions relating to water </w:t>
            </w:r>
            <w:r w:rsidRPr="00C819A5">
              <w:rPr>
                <w:rFonts w:ascii="Arial" w:hAnsi="Arial" w:cs="Arial"/>
                <w:sz w:val="20"/>
                <w:szCs w:val="20"/>
              </w:rPr>
              <w:t>management provided by the proponent and attached to this brief to be reasonable?</w:t>
            </w:r>
          </w:p>
        </w:tc>
      </w:tr>
      <w:tr w:rsidR="0077460A" w:rsidRPr="00B451D3" w:rsidTr="00DC325B">
        <w:trPr>
          <w:trHeight w:val="452"/>
        </w:trPr>
        <w:tc>
          <w:tcPr>
            <w:tcW w:w="9968" w:type="dxa"/>
            <w:gridSpan w:val="2"/>
          </w:tcPr>
          <w:p w:rsidR="0077460A" w:rsidRDefault="0077460A" w:rsidP="00062A46">
            <w:pPr>
              <w:pStyle w:val="tablelabel"/>
              <w:spacing w:after="200" w:line="276" w:lineRule="auto"/>
              <w:rPr>
                <w:rFonts w:cs="Arial"/>
                <w:sz w:val="20"/>
              </w:rPr>
            </w:pPr>
            <w:r w:rsidRPr="00F37C48">
              <w:rPr>
                <w:rFonts w:cs="Arial"/>
                <w:sz w:val="20"/>
              </w:rPr>
              <w:t>Advice</w:t>
            </w:r>
          </w:p>
          <w:p w:rsidR="0077460A" w:rsidRDefault="0077460A">
            <w:pPr>
              <w:autoSpaceDE w:val="0"/>
              <w:autoSpaceDN w:val="0"/>
              <w:adjustRightInd w:val="0"/>
              <w:spacing w:line="276" w:lineRule="auto"/>
              <w:rPr>
                <w:rFonts w:ascii="Arial" w:hAnsi="Arial" w:cs="Arial"/>
                <w:sz w:val="20"/>
                <w:szCs w:val="20"/>
              </w:rPr>
            </w:pPr>
            <w:r>
              <w:rPr>
                <w:rFonts w:ascii="Arial" w:hAnsi="Arial" w:cs="Arial"/>
                <w:sz w:val="20"/>
                <w:szCs w:val="20"/>
              </w:rPr>
              <w:t>The Committee was requested to provide advice on the Wallarah 2</w:t>
            </w:r>
            <w:r w:rsidRPr="001733E9">
              <w:rPr>
                <w:rFonts w:ascii="Arial" w:hAnsi="Arial" w:cs="Arial"/>
                <w:sz w:val="20"/>
                <w:szCs w:val="20"/>
              </w:rPr>
              <w:t xml:space="preserve"> Coal Project</w:t>
            </w:r>
            <w:r>
              <w:rPr>
                <w:rFonts w:ascii="Arial" w:hAnsi="Arial" w:cs="Arial"/>
                <w:b/>
                <w:color w:val="FF0000"/>
                <w:sz w:val="20"/>
                <w:szCs w:val="20"/>
              </w:rPr>
              <w:t xml:space="preserve"> </w:t>
            </w:r>
            <w:r>
              <w:rPr>
                <w:rFonts w:ascii="Arial" w:hAnsi="Arial" w:cs="Arial"/>
                <w:sz w:val="20"/>
                <w:szCs w:val="20"/>
              </w:rPr>
              <w:t xml:space="preserve">in </w:t>
            </w:r>
            <w:r w:rsidRPr="001733E9">
              <w:rPr>
                <w:rFonts w:ascii="Arial" w:hAnsi="Arial" w:cs="Arial"/>
                <w:sz w:val="20"/>
                <w:szCs w:val="20"/>
              </w:rPr>
              <w:t>New South Wales</w:t>
            </w:r>
            <w:r>
              <w:rPr>
                <w:rFonts w:ascii="Arial" w:hAnsi="Arial" w:cs="Arial"/>
                <w:color w:val="FF0000"/>
                <w:sz w:val="20"/>
                <w:szCs w:val="20"/>
              </w:rPr>
              <w:t xml:space="preserve"> </w:t>
            </w:r>
            <w:r>
              <w:rPr>
                <w:rFonts w:ascii="Arial" w:hAnsi="Arial" w:cs="Arial"/>
                <w:sz w:val="20"/>
                <w:szCs w:val="20"/>
              </w:rPr>
              <w:t>to the Commonwealth regulator</w:t>
            </w:r>
            <w:r>
              <w:rPr>
                <w:rFonts w:ascii="Arial" w:hAnsi="Arial" w:cs="Arial"/>
                <w:sz w:val="20"/>
                <w:lang w:eastAsia="en-AU"/>
              </w:rPr>
              <w:t xml:space="preserve"> </w:t>
            </w:r>
            <w:r>
              <w:rPr>
                <w:rFonts w:ascii="Arial" w:hAnsi="Arial" w:cs="Arial"/>
                <w:sz w:val="20"/>
                <w:szCs w:val="20"/>
              </w:rPr>
              <w:t xml:space="preserve">at </w:t>
            </w:r>
            <w:r w:rsidRPr="00EA1414">
              <w:rPr>
                <w:rFonts w:ascii="Arial" w:hAnsi="Arial" w:cs="Arial"/>
                <w:sz w:val="20"/>
                <w:szCs w:val="20"/>
              </w:rPr>
              <w:t>the</w:t>
            </w:r>
            <w:r>
              <w:rPr>
                <w:rFonts w:ascii="Arial" w:hAnsi="Arial" w:cs="Arial"/>
                <w:sz w:val="20"/>
                <w:lang w:eastAsia="en-AU"/>
              </w:rPr>
              <w:t xml:space="preserve"> Environmental</w:t>
            </w:r>
            <w:r w:rsidRPr="00FF7D88">
              <w:rPr>
                <w:rFonts w:ascii="Arial" w:hAnsi="Arial" w:cs="Arial"/>
                <w:sz w:val="20"/>
                <w:lang w:eastAsia="en-AU"/>
              </w:rPr>
              <w:t xml:space="preserve"> </w:t>
            </w:r>
            <w:r>
              <w:rPr>
                <w:rFonts w:ascii="Arial" w:hAnsi="Arial" w:cs="Arial"/>
                <w:sz w:val="20"/>
                <w:lang w:eastAsia="en-AU"/>
              </w:rPr>
              <w:t xml:space="preserve">Impact </w:t>
            </w:r>
            <w:r w:rsidRPr="00FF7D88">
              <w:rPr>
                <w:rFonts w:ascii="Arial" w:hAnsi="Arial" w:cs="Arial"/>
                <w:sz w:val="20"/>
                <w:lang w:eastAsia="en-AU"/>
              </w:rPr>
              <w:t xml:space="preserve">Assessment </w:t>
            </w:r>
            <w:r>
              <w:rPr>
                <w:rFonts w:ascii="Arial" w:hAnsi="Arial" w:cs="Arial"/>
                <w:sz w:val="20"/>
                <w:lang w:eastAsia="en-AU"/>
              </w:rPr>
              <w:t xml:space="preserve">(Draft) </w:t>
            </w:r>
            <w:r w:rsidRPr="00EA1414">
              <w:rPr>
                <w:rFonts w:ascii="Arial" w:hAnsi="Arial" w:cs="Arial"/>
                <w:sz w:val="20"/>
                <w:lang w:eastAsia="en-AU"/>
              </w:rPr>
              <w:t>stage</w:t>
            </w:r>
            <w:r w:rsidRPr="00EA1414">
              <w:rPr>
                <w:rFonts w:ascii="Arial" w:hAnsi="Arial" w:cs="Arial"/>
                <w:sz w:val="20"/>
                <w:szCs w:val="20"/>
              </w:rPr>
              <w:t xml:space="preserve">. This advice draws upon aspects of the information in the </w:t>
            </w:r>
            <w:r>
              <w:rPr>
                <w:rFonts w:ascii="Arial" w:hAnsi="Arial" w:cs="Arial"/>
                <w:sz w:val="20"/>
                <w:szCs w:val="20"/>
              </w:rPr>
              <w:t xml:space="preserve">draft Environmental Impact Assessment </w:t>
            </w:r>
            <w:r>
              <w:rPr>
                <w:rFonts w:ascii="Arial" w:hAnsi="Arial" w:cs="Arial"/>
                <w:sz w:val="20"/>
                <w:lang w:eastAsia="en-AU"/>
              </w:rPr>
              <w:t>provided by the proponent</w:t>
            </w:r>
            <w:r>
              <w:rPr>
                <w:rFonts w:ascii="Arial" w:hAnsi="Arial" w:cs="Arial"/>
                <w:sz w:val="20"/>
                <w:szCs w:val="20"/>
              </w:rPr>
              <w:t xml:space="preserve">, together with the expert deliberations of the Committee. The draft Environmental Impact Assessment </w:t>
            </w:r>
            <w:r>
              <w:rPr>
                <w:rFonts w:ascii="Arial" w:hAnsi="Arial" w:cs="Arial"/>
                <w:sz w:val="20"/>
                <w:lang w:eastAsia="en-AU"/>
              </w:rPr>
              <w:t>and information assessed by t</w:t>
            </w:r>
            <w:r w:rsidR="007A4EEB">
              <w:rPr>
                <w:rFonts w:ascii="Arial" w:hAnsi="Arial" w:cs="Arial"/>
                <w:sz w:val="20"/>
                <w:lang w:eastAsia="en-AU"/>
              </w:rPr>
              <w:t>he Committee are listed in the source d</w:t>
            </w:r>
            <w:r>
              <w:rPr>
                <w:rFonts w:ascii="Arial" w:hAnsi="Arial" w:cs="Arial"/>
                <w:sz w:val="20"/>
                <w:lang w:eastAsia="en-AU"/>
              </w:rPr>
              <w:t>ocumentation at the end of this advice.</w:t>
            </w:r>
          </w:p>
          <w:p w:rsidR="0077460A" w:rsidRDefault="0077460A" w:rsidP="00644DFD">
            <w:pPr>
              <w:autoSpaceDE w:val="0"/>
              <w:autoSpaceDN w:val="0"/>
              <w:adjustRightInd w:val="0"/>
              <w:spacing w:before="200" w:after="200" w:line="276" w:lineRule="auto"/>
              <w:rPr>
                <w:rFonts w:ascii="Arial" w:hAnsi="Arial" w:cs="Arial"/>
                <w:sz w:val="20"/>
                <w:szCs w:val="20"/>
              </w:rPr>
            </w:pPr>
            <w:r w:rsidRPr="0056629C">
              <w:rPr>
                <w:rFonts w:ascii="Arial" w:hAnsi="Arial" w:cs="Arial"/>
                <w:sz w:val="20"/>
                <w:szCs w:val="20"/>
                <w:lang w:val="en-US"/>
              </w:rPr>
              <w:t xml:space="preserve">The proposed project is for a new underground coal mine development, producing up to 5 million tonnes per </w:t>
            </w:r>
            <w:r w:rsidRPr="00E70590">
              <w:rPr>
                <w:rFonts w:ascii="Arial" w:hAnsi="Arial" w:cs="Arial"/>
                <w:sz w:val="20"/>
                <w:szCs w:val="20"/>
                <w:lang w:val="en-US"/>
              </w:rPr>
              <w:t>annum of coal for a period of 28 years. The proposed project is located on the central coast of New South</w:t>
            </w:r>
            <w:r w:rsidRPr="0056629C">
              <w:rPr>
                <w:rFonts w:ascii="Arial" w:hAnsi="Arial" w:cs="Arial"/>
                <w:sz w:val="20"/>
                <w:szCs w:val="20"/>
                <w:lang w:val="en-US"/>
              </w:rPr>
              <w:t xml:space="preserve"> Wales in the northeast of the Sydney Basin and in the southern part of the Newcastle Coalfield. The Project </w:t>
            </w:r>
            <w:r w:rsidRPr="0056629C">
              <w:rPr>
                <w:rFonts w:ascii="Arial" w:hAnsi="Arial" w:cs="Arial"/>
                <w:sz w:val="20"/>
                <w:szCs w:val="20"/>
                <w:lang w:val="en-US"/>
              </w:rPr>
              <w:lastRenderedPageBreak/>
              <w:t>area lies 4.7 km to the southeast of the township of Wyong</w:t>
            </w:r>
            <w:r>
              <w:rPr>
                <w:rFonts w:ascii="Arial" w:hAnsi="Arial" w:cs="Arial"/>
                <w:sz w:val="20"/>
                <w:szCs w:val="20"/>
              </w:rPr>
              <w:t xml:space="preserve">. </w:t>
            </w:r>
            <w:r w:rsidRPr="0056629C">
              <w:rPr>
                <w:rFonts w:ascii="Arial" w:hAnsi="Arial" w:cs="Arial"/>
                <w:sz w:val="20"/>
                <w:szCs w:val="20"/>
                <w:lang w:val="en-US"/>
              </w:rPr>
              <w:t>Mining will take place</w:t>
            </w:r>
            <w:r>
              <w:rPr>
                <w:rFonts w:ascii="Arial" w:hAnsi="Arial" w:cs="Arial"/>
                <w:sz w:val="20"/>
                <w:szCs w:val="20"/>
                <w:lang w:val="en-US"/>
              </w:rPr>
              <w:t xml:space="preserve"> between 350 m and</w:t>
            </w:r>
            <w:r w:rsidRPr="0056629C">
              <w:rPr>
                <w:rFonts w:ascii="Arial" w:hAnsi="Arial" w:cs="Arial"/>
                <w:sz w:val="20"/>
                <w:szCs w:val="20"/>
                <w:lang w:val="en-US"/>
              </w:rPr>
              <w:t xml:space="preserve"> 690 m below the surface targeting the Wallarah and Great Northern Coal Seams by means of </w:t>
            </w:r>
            <w:r w:rsidR="00603B21">
              <w:rPr>
                <w:rFonts w:ascii="Arial" w:hAnsi="Arial" w:cs="Arial"/>
                <w:sz w:val="20"/>
                <w:szCs w:val="20"/>
                <w:lang w:val="en-US"/>
              </w:rPr>
              <w:t xml:space="preserve">46 </w:t>
            </w:r>
            <w:r w:rsidRPr="0056629C">
              <w:rPr>
                <w:rFonts w:ascii="Arial" w:hAnsi="Arial" w:cs="Arial"/>
                <w:sz w:val="20"/>
                <w:szCs w:val="20"/>
                <w:lang w:val="en-US"/>
              </w:rPr>
              <w:t>underground longwall</w:t>
            </w:r>
            <w:r w:rsidR="00603B21">
              <w:rPr>
                <w:rFonts w:ascii="Arial" w:hAnsi="Arial" w:cs="Arial"/>
                <w:sz w:val="20"/>
                <w:szCs w:val="20"/>
                <w:lang w:val="en-US"/>
              </w:rPr>
              <w:t xml:space="preserve">s </w:t>
            </w:r>
            <w:r w:rsidRPr="0056629C">
              <w:rPr>
                <w:rFonts w:ascii="Arial" w:hAnsi="Arial" w:cs="Arial"/>
                <w:sz w:val="20"/>
                <w:szCs w:val="20"/>
                <w:lang w:val="en-US"/>
              </w:rPr>
              <w:t>in an area of</w:t>
            </w:r>
            <w:r w:rsidRPr="0056629C">
              <w:rPr>
                <w:rFonts w:ascii="Arial" w:eastAsia="ArialMT" w:hAnsi="Arial" w:cs="Arial"/>
                <w:sz w:val="20"/>
                <w:szCs w:val="20"/>
                <w:lang w:eastAsia="en-AU"/>
              </w:rPr>
              <w:t xml:space="preserve"> 37 km²</w:t>
            </w:r>
            <w:r w:rsidRPr="0056629C">
              <w:rPr>
                <w:rFonts w:ascii="Arial" w:hAnsi="Arial" w:cs="Arial"/>
                <w:sz w:val="20"/>
                <w:szCs w:val="20"/>
                <w:lang w:val="en-US"/>
              </w:rPr>
              <w:t>.</w:t>
            </w:r>
          </w:p>
          <w:p w:rsidR="00C3371D" w:rsidRDefault="0077460A" w:rsidP="00644DFD">
            <w:pPr>
              <w:autoSpaceDE w:val="0"/>
              <w:autoSpaceDN w:val="0"/>
              <w:adjustRightInd w:val="0"/>
              <w:spacing w:after="200" w:line="276" w:lineRule="auto"/>
              <w:rPr>
                <w:rFonts w:ascii="Arial" w:hAnsi="Arial" w:cs="Arial"/>
                <w:sz w:val="20"/>
                <w:szCs w:val="20"/>
              </w:rPr>
            </w:pPr>
            <w:r w:rsidRPr="003247B9">
              <w:rPr>
                <w:rFonts w:ascii="Arial" w:hAnsi="Arial" w:cs="Arial"/>
                <w:sz w:val="20"/>
                <w:szCs w:val="20"/>
              </w:rPr>
              <w:t>The Committee, in line with its Information Guidelines</w:t>
            </w:r>
            <w:r w:rsidRPr="003247B9">
              <w:rPr>
                <w:rFonts w:ascii="Arial" w:hAnsi="Arial" w:cs="Arial"/>
                <w:sz w:val="20"/>
                <w:szCs w:val="20"/>
                <w:vertAlign w:val="superscript"/>
              </w:rPr>
              <w:t>1</w:t>
            </w:r>
            <w:r w:rsidRPr="003247B9">
              <w:rPr>
                <w:rFonts w:ascii="Arial" w:hAnsi="Arial" w:cs="Arial"/>
                <w:sz w:val="20"/>
                <w:szCs w:val="20"/>
              </w:rPr>
              <w:t xml:space="preserve">, has considered </w:t>
            </w:r>
            <w:r w:rsidRPr="003247B9">
              <w:rPr>
                <w:rFonts w:ascii="Arial" w:hAnsi="Arial" w:cs="Arial"/>
                <w:color w:val="000000"/>
                <w:sz w:val="20"/>
                <w:szCs w:val="20"/>
              </w:rPr>
              <w:t>whether the proposed project assessment has used</w:t>
            </w:r>
            <w:r>
              <w:rPr>
                <w:rFonts w:ascii="Arial" w:hAnsi="Arial" w:cs="Arial"/>
                <w:color w:val="000000"/>
                <w:sz w:val="20"/>
                <w:szCs w:val="20"/>
              </w:rPr>
              <w:t xml:space="preserve"> the following</w:t>
            </w:r>
            <w:r w:rsidRPr="003247B9">
              <w:rPr>
                <w:rFonts w:ascii="Arial" w:hAnsi="Arial" w:cs="Arial"/>
                <w:sz w:val="20"/>
                <w:szCs w:val="20"/>
              </w:rPr>
              <w:t>:</w:t>
            </w:r>
          </w:p>
          <w:p w:rsidR="0077460A" w:rsidRPr="00F8207F" w:rsidRDefault="0077460A" w:rsidP="00644DFD">
            <w:pPr>
              <w:pStyle w:val="PlainText"/>
              <w:spacing w:after="200"/>
              <w:rPr>
                <w:rFonts w:ascii="Arial" w:hAnsi="Arial" w:cs="Arial"/>
                <w:sz w:val="20"/>
                <w:szCs w:val="20"/>
                <w:u w:val="single"/>
              </w:rPr>
            </w:pPr>
            <w:r w:rsidRPr="00F8207F">
              <w:rPr>
                <w:rFonts w:ascii="Arial" w:hAnsi="Arial" w:cs="Arial"/>
                <w:sz w:val="20"/>
                <w:szCs w:val="20"/>
                <w:u w:val="single"/>
              </w:rPr>
              <w:t>Relevant data and information: key conclusions</w:t>
            </w:r>
          </w:p>
          <w:p w:rsidR="0077460A" w:rsidRDefault="0099063D" w:rsidP="00E70590">
            <w:pPr>
              <w:autoSpaceDE w:val="0"/>
              <w:autoSpaceDN w:val="0"/>
              <w:adjustRightInd w:val="0"/>
              <w:spacing w:after="200" w:line="276" w:lineRule="auto"/>
              <w:rPr>
                <w:rFonts w:ascii="Arial" w:hAnsi="Arial" w:cs="Arial"/>
                <w:sz w:val="20"/>
                <w:szCs w:val="20"/>
              </w:rPr>
            </w:pPr>
            <w:r>
              <w:rPr>
                <w:rFonts w:ascii="Arial" w:hAnsi="Arial" w:cs="Arial"/>
                <w:sz w:val="20"/>
                <w:szCs w:val="20"/>
              </w:rPr>
              <w:t>Information provided addresses</w:t>
            </w:r>
            <w:r w:rsidR="00603B21">
              <w:rPr>
                <w:rFonts w:ascii="Arial" w:hAnsi="Arial" w:cs="Arial"/>
                <w:sz w:val="20"/>
                <w:szCs w:val="20"/>
              </w:rPr>
              <w:t xml:space="preserve"> many of</w:t>
            </w:r>
            <w:r>
              <w:rPr>
                <w:rFonts w:ascii="Arial" w:hAnsi="Arial" w:cs="Arial"/>
                <w:sz w:val="20"/>
                <w:szCs w:val="20"/>
              </w:rPr>
              <w:t xml:space="preserve"> the key areas in the </w:t>
            </w:r>
            <w:r w:rsidR="00AD20DC" w:rsidRPr="003247B9">
              <w:rPr>
                <w:rFonts w:ascii="Arial" w:hAnsi="Arial" w:cs="Arial"/>
                <w:sz w:val="20"/>
                <w:szCs w:val="20"/>
              </w:rPr>
              <w:t>Information Guidelines</w:t>
            </w:r>
            <w:r w:rsidR="00AD20DC" w:rsidRPr="003247B9">
              <w:rPr>
                <w:rFonts w:ascii="Arial" w:hAnsi="Arial" w:cs="Arial"/>
                <w:sz w:val="20"/>
                <w:szCs w:val="20"/>
                <w:vertAlign w:val="superscript"/>
              </w:rPr>
              <w:t>1</w:t>
            </w:r>
            <w:r w:rsidR="00AD20DC">
              <w:rPr>
                <w:rFonts w:ascii="Arial" w:hAnsi="Arial" w:cs="Arial"/>
                <w:sz w:val="20"/>
                <w:szCs w:val="20"/>
              </w:rPr>
              <w:t xml:space="preserve"> </w:t>
            </w:r>
            <w:r>
              <w:rPr>
                <w:rFonts w:ascii="Arial" w:hAnsi="Arial" w:cs="Arial"/>
                <w:sz w:val="20"/>
                <w:szCs w:val="20"/>
              </w:rPr>
              <w:t>however, r</w:t>
            </w:r>
            <w:r w:rsidR="0077460A" w:rsidRPr="0068216F">
              <w:rPr>
                <w:rFonts w:ascii="Arial" w:hAnsi="Arial" w:cs="Arial"/>
                <w:sz w:val="20"/>
                <w:szCs w:val="20"/>
              </w:rPr>
              <w:t>elevant data and information has not been provided on</w:t>
            </w:r>
            <w:r w:rsidR="003810C2">
              <w:rPr>
                <w:rFonts w:ascii="Arial" w:hAnsi="Arial" w:cs="Arial"/>
                <w:sz w:val="20"/>
                <w:szCs w:val="20"/>
              </w:rPr>
              <w:t xml:space="preserve"> the following</w:t>
            </w:r>
            <w:r w:rsidR="0077460A" w:rsidRPr="0068216F">
              <w:rPr>
                <w:rFonts w:ascii="Arial" w:hAnsi="Arial" w:cs="Arial"/>
                <w:sz w:val="20"/>
                <w:szCs w:val="20"/>
              </w:rPr>
              <w:t>:</w:t>
            </w:r>
          </w:p>
          <w:p w:rsidR="0077460A" w:rsidRPr="001B490F" w:rsidRDefault="003810C2" w:rsidP="00E70590">
            <w:pPr>
              <w:pStyle w:val="ListParagraph"/>
              <w:numPr>
                <w:ilvl w:val="0"/>
                <w:numId w:val="20"/>
              </w:numPr>
              <w:autoSpaceDE w:val="0"/>
              <w:autoSpaceDN w:val="0"/>
              <w:adjustRightInd w:val="0"/>
              <w:spacing w:after="120"/>
              <w:ind w:left="714" w:hanging="357"/>
              <w:rPr>
                <w:rFonts w:cs="Arial"/>
                <w:sz w:val="20"/>
                <w:szCs w:val="20"/>
              </w:rPr>
            </w:pPr>
            <w:r>
              <w:rPr>
                <w:rFonts w:cs="Arial"/>
                <w:sz w:val="20"/>
                <w:szCs w:val="20"/>
              </w:rPr>
              <w:t xml:space="preserve">the </w:t>
            </w:r>
            <w:r w:rsidR="0077460A" w:rsidRPr="001B490F">
              <w:rPr>
                <w:rFonts w:cs="Arial"/>
                <w:sz w:val="20"/>
                <w:szCs w:val="20"/>
              </w:rPr>
              <w:t>risks associated with</w:t>
            </w:r>
            <w:r w:rsidR="00D34419" w:rsidRPr="001B490F">
              <w:rPr>
                <w:rFonts w:cs="Arial"/>
                <w:sz w:val="20"/>
                <w:szCs w:val="20"/>
              </w:rPr>
              <w:t xml:space="preserve"> potential reduction of surface runoff </w:t>
            </w:r>
            <w:r w:rsidR="0077460A" w:rsidRPr="001B490F">
              <w:rPr>
                <w:rFonts w:cs="Arial"/>
                <w:sz w:val="20"/>
                <w:szCs w:val="20"/>
              </w:rPr>
              <w:t xml:space="preserve"> </w:t>
            </w:r>
            <w:r w:rsidR="00D34419" w:rsidRPr="001B490F">
              <w:rPr>
                <w:rFonts w:cs="Arial"/>
                <w:sz w:val="20"/>
                <w:szCs w:val="20"/>
              </w:rPr>
              <w:t xml:space="preserve">caused by subsidence and the </w:t>
            </w:r>
            <w:r w:rsidR="003A13D7" w:rsidRPr="001B490F">
              <w:rPr>
                <w:rFonts w:cs="Arial"/>
                <w:sz w:val="20"/>
                <w:szCs w:val="20"/>
              </w:rPr>
              <w:t>adverse affects on the Gosford-Wyong Water Supply Scheme</w:t>
            </w:r>
            <w:r w:rsidR="0077460A" w:rsidRPr="001B490F">
              <w:rPr>
                <w:rFonts w:cs="Arial"/>
                <w:sz w:val="20"/>
                <w:szCs w:val="20"/>
              </w:rPr>
              <w:t>;</w:t>
            </w:r>
          </w:p>
          <w:p w:rsidR="0077460A" w:rsidRPr="0068216F" w:rsidRDefault="0077460A" w:rsidP="00E70590">
            <w:pPr>
              <w:pStyle w:val="ListParagraph"/>
              <w:numPr>
                <w:ilvl w:val="0"/>
                <w:numId w:val="20"/>
              </w:numPr>
              <w:autoSpaceDE w:val="0"/>
              <w:autoSpaceDN w:val="0"/>
              <w:adjustRightInd w:val="0"/>
              <w:spacing w:after="120"/>
              <w:ind w:left="714" w:hanging="357"/>
              <w:rPr>
                <w:rFonts w:cs="Arial"/>
                <w:sz w:val="20"/>
                <w:szCs w:val="20"/>
              </w:rPr>
            </w:pPr>
            <w:r w:rsidRPr="0068216F">
              <w:rPr>
                <w:rFonts w:cs="Arial"/>
                <w:sz w:val="20"/>
                <w:szCs w:val="20"/>
              </w:rPr>
              <w:t>the fracture potential of the strata between the targeted coal seam and the surface;</w:t>
            </w:r>
          </w:p>
          <w:p w:rsidR="0077460A" w:rsidRDefault="003810C2" w:rsidP="00E70590">
            <w:pPr>
              <w:pStyle w:val="ListParagraph"/>
              <w:numPr>
                <w:ilvl w:val="0"/>
                <w:numId w:val="20"/>
              </w:numPr>
              <w:autoSpaceDE w:val="0"/>
              <w:autoSpaceDN w:val="0"/>
              <w:adjustRightInd w:val="0"/>
              <w:spacing w:after="120"/>
              <w:ind w:left="714" w:hanging="357"/>
              <w:rPr>
                <w:rFonts w:cs="Arial"/>
                <w:sz w:val="20"/>
                <w:szCs w:val="20"/>
              </w:rPr>
            </w:pPr>
            <w:r>
              <w:rPr>
                <w:rFonts w:cs="Arial"/>
                <w:sz w:val="20"/>
                <w:szCs w:val="20"/>
              </w:rPr>
              <w:t>changes to the regional water balance</w:t>
            </w:r>
            <w:r w:rsidR="0077460A" w:rsidRPr="0068216F">
              <w:rPr>
                <w:rFonts w:cs="Arial"/>
                <w:sz w:val="20"/>
                <w:szCs w:val="20"/>
              </w:rPr>
              <w:t>;</w:t>
            </w:r>
          </w:p>
          <w:p w:rsidR="00224879" w:rsidRPr="0068216F" w:rsidRDefault="00D23D36" w:rsidP="00E70590">
            <w:pPr>
              <w:pStyle w:val="ListParagraph"/>
              <w:numPr>
                <w:ilvl w:val="0"/>
                <w:numId w:val="20"/>
              </w:numPr>
              <w:autoSpaceDE w:val="0"/>
              <w:autoSpaceDN w:val="0"/>
              <w:adjustRightInd w:val="0"/>
              <w:spacing w:after="120"/>
              <w:ind w:left="714" w:hanging="357"/>
              <w:rPr>
                <w:rFonts w:cs="Arial"/>
                <w:sz w:val="20"/>
                <w:szCs w:val="20"/>
              </w:rPr>
            </w:pPr>
            <w:r>
              <w:rPr>
                <w:rFonts w:cs="Arial"/>
                <w:sz w:val="20"/>
                <w:szCs w:val="20"/>
              </w:rPr>
              <w:t xml:space="preserve">the potential impacts of the project on </w:t>
            </w:r>
            <w:r w:rsidR="00224879">
              <w:rPr>
                <w:rFonts w:cs="Arial"/>
                <w:sz w:val="20"/>
                <w:szCs w:val="20"/>
              </w:rPr>
              <w:t>a</w:t>
            </w:r>
            <w:r w:rsidR="00224879" w:rsidRPr="0068216F">
              <w:rPr>
                <w:rFonts w:cs="Arial"/>
                <w:sz w:val="20"/>
                <w:szCs w:val="20"/>
              </w:rPr>
              <w:t>quatic ecology</w:t>
            </w:r>
            <w:r w:rsidR="00224879">
              <w:rPr>
                <w:rFonts w:cs="Arial"/>
                <w:sz w:val="20"/>
                <w:szCs w:val="20"/>
              </w:rPr>
              <w:t>; and</w:t>
            </w:r>
          </w:p>
          <w:p w:rsidR="00224879" w:rsidRPr="00E70590" w:rsidRDefault="0077460A" w:rsidP="00E70590">
            <w:pPr>
              <w:pStyle w:val="ListParagraph"/>
              <w:numPr>
                <w:ilvl w:val="0"/>
                <w:numId w:val="20"/>
              </w:numPr>
              <w:autoSpaceDE w:val="0"/>
              <w:autoSpaceDN w:val="0"/>
              <w:adjustRightInd w:val="0"/>
              <w:spacing w:after="120"/>
              <w:rPr>
                <w:rFonts w:cs="Arial"/>
                <w:sz w:val="20"/>
                <w:szCs w:val="20"/>
              </w:rPr>
            </w:pPr>
            <w:proofErr w:type="gramStart"/>
            <w:r>
              <w:rPr>
                <w:rFonts w:cs="Arial"/>
                <w:sz w:val="20"/>
                <w:szCs w:val="20"/>
              </w:rPr>
              <w:t>c</w:t>
            </w:r>
            <w:r w:rsidRPr="0068216F">
              <w:rPr>
                <w:rFonts w:cs="Arial"/>
                <w:sz w:val="20"/>
                <w:szCs w:val="20"/>
              </w:rPr>
              <w:t>umulative</w:t>
            </w:r>
            <w:proofErr w:type="gramEnd"/>
            <w:r w:rsidRPr="0068216F">
              <w:rPr>
                <w:rFonts w:cs="Arial"/>
                <w:sz w:val="20"/>
                <w:szCs w:val="20"/>
              </w:rPr>
              <w:t xml:space="preserve"> impacts </w:t>
            </w:r>
            <w:r w:rsidR="003810C2">
              <w:rPr>
                <w:rFonts w:cs="Arial"/>
                <w:sz w:val="20"/>
                <w:szCs w:val="20"/>
              </w:rPr>
              <w:t>associated with</w:t>
            </w:r>
            <w:r w:rsidRPr="0068216F">
              <w:rPr>
                <w:rFonts w:cs="Arial"/>
                <w:sz w:val="20"/>
                <w:szCs w:val="20"/>
              </w:rPr>
              <w:t xml:space="preserve"> current and future mines within the area</w:t>
            </w:r>
            <w:r w:rsidR="00224879">
              <w:rPr>
                <w:rFonts w:cs="Arial"/>
                <w:sz w:val="20"/>
                <w:szCs w:val="20"/>
              </w:rPr>
              <w:t>.</w:t>
            </w:r>
          </w:p>
          <w:p w:rsidR="0077460A" w:rsidRPr="00F8207F" w:rsidRDefault="0077460A" w:rsidP="00644DFD">
            <w:pPr>
              <w:pStyle w:val="PlainText"/>
              <w:spacing w:after="200"/>
              <w:rPr>
                <w:rFonts w:ascii="Arial" w:hAnsi="Arial" w:cs="Arial"/>
                <w:sz w:val="20"/>
                <w:szCs w:val="20"/>
                <w:u w:val="single"/>
              </w:rPr>
            </w:pPr>
            <w:r w:rsidRPr="00F8207F">
              <w:rPr>
                <w:rFonts w:ascii="Arial" w:hAnsi="Arial" w:cs="Arial"/>
                <w:sz w:val="20"/>
                <w:szCs w:val="20"/>
                <w:u w:val="single"/>
              </w:rPr>
              <w:t>Appropriate methodologies which have been applied correctly: key conclusions</w:t>
            </w:r>
          </w:p>
          <w:p w:rsidR="0077460A" w:rsidRPr="00F8207F" w:rsidRDefault="0070472E" w:rsidP="00F97FC9">
            <w:pPr>
              <w:pStyle w:val="PlainText"/>
              <w:spacing w:after="200" w:line="276" w:lineRule="auto"/>
              <w:rPr>
                <w:rFonts w:ascii="Arial" w:hAnsi="Arial" w:cs="Arial"/>
                <w:sz w:val="20"/>
                <w:szCs w:val="20"/>
              </w:rPr>
            </w:pPr>
            <w:r>
              <w:rPr>
                <w:rFonts w:ascii="Arial" w:hAnsi="Arial" w:cs="Arial"/>
                <w:sz w:val="20"/>
                <w:szCs w:val="20"/>
              </w:rPr>
              <w:t>The k</w:t>
            </w:r>
            <w:r w:rsidR="0077460A" w:rsidRPr="00F8207F">
              <w:rPr>
                <w:rFonts w:ascii="Arial" w:hAnsi="Arial" w:cs="Arial"/>
                <w:sz w:val="20"/>
                <w:szCs w:val="20"/>
              </w:rPr>
              <w:t>ey methodologies and assessments needed to fully asse</w:t>
            </w:r>
            <w:r w:rsidR="003810C2">
              <w:rPr>
                <w:rFonts w:ascii="Arial" w:hAnsi="Arial" w:cs="Arial"/>
                <w:sz w:val="20"/>
                <w:szCs w:val="20"/>
              </w:rPr>
              <w:t>ss the proposed project that have</w:t>
            </w:r>
            <w:r w:rsidR="0077460A" w:rsidRPr="00F8207F">
              <w:rPr>
                <w:rFonts w:ascii="Arial" w:hAnsi="Arial" w:cs="Arial"/>
                <w:sz w:val="20"/>
                <w:szCs w:val="20"/>
              </w:rPr>
              <w:t xml:space="preserve"> not </w:t>
            </w:r>
            <w:r w:rsidR="003810C2">
              <w:rPr>
                <w:rFonts w:ascii="Arial" w:hAnsi="Arial" w:cs="Arial"/>
                <w:sz w:val="20"/>
                <w:szCs w:val="20"/>
              </w:rPr>
              <w:t>been provided include:</w:t>
            </w:r>
          </w:p>
          <w:p w:rsidR="0077460A" w:rsidRPr="00F8207F" w:rsidRDefault="00CC1DCC" w:rsidP="00E70590">
            <w:pPr>
              <w:pStyle w:val="PlainText"/>
              <w:numPr>
                <w:ilvl w:val="0"/>
                <w:numId w:val="17"/>
              </w:numPr>
              <w:spacing w:after="120" w:line="276" w:lineRule="auto"/>
              <w:ind w:left="714" w:hanging="357"/>
              <w:rPr>
                <w:rFonts w:ascii="Arial" w:hAnsi="Arial" w:cs="Arial"/>
                <w:sz w:val="20"/>
                <w:szCs w:val="20"/>
              </w:rPr>
            </w:pPr>
            <w:r>
              <w:rPr>
                <w:rFonts w:ascii="Arial" w:hAnsi="Arial" w:cs="Arial"/>
                <w:sz w:val="20"/>
                <w:szCs w:val="20"/>
              </w:rPr>
              <w:t>a</w:t>
            </w:r>
            <w:r w:rsidR="0077460A" w:rsidRPr="00F8207F">
              <w:rPr>
                <w:rFonts w:ascii="Arial" w:hAnsi="Arial" w:cs="Arial"/>
                <w:sz w:val="20"/>
                <w:szCs w:val="20"/>
              </w:rPr>
              <w:t xml:space="preserve"> regional water balance</w:t>
            </w:r>
            <w:r w:rsidR="003810C2">
              <w:rPr>
                <w:rFonts w:ascii="Arial" w:hAnsi="Arial" w:cs="Arial"/>
                <w:sz w:val="20"/>
                <w:szCs w:val="20"/>
              </w:rPr>
              <w:t xml:space="preserve">, </w:t>
            </w:r>
            <w:r w:rsidR="0070472E">
              <w:rPr>
                <w:rFonts w:ascii="Arial" w:hAnsi="Arial" w:cs="Arial"/>
                <w:sz w:val="20"/>
                <w:szCs w:val="20"/>
              </w:rPr>
              <w:t>that gives particular consideration to</w:t>
            </w:r>
            <w:r w:rsidR="003810C2">
              <w:rPr>
                <w:rFonts w:ascii="Arial" w:hAnsi="Arial" w:cs="Arial"/>
                <w:sz w:val="20"/>
                <w:szCs w:val="20"/>
              </w:rPr>
              <w:t xml:space="preserve"> both surface and groundwater impacts to the Gosford-Wyong Water Supply Scheme</w:t>
            </w:r>
            <w:r w:rsidR="0077460A" w:rsidRPr="00F8207F">
              <w:rPr>
                <w:rFonts w:ascii="Arial" w:hAnsi="Arial" w:cs="Arial"/>
                <w:sz w:val="20"/>
                <w:szCs w:val="20"/>
              </w:rPr>
              <w:t>;</w:t>
            </w:r>
          </w:p>
          <w:p w:rsidR="0077460A" w:rsidRPr="007133FA" w:rsidRDefault="002C6B86" w:rsidP="00E70590">
            <w:pPr>
              <w:pStyle w:val="PlainText"/>
              <w:numPr>
                <w:ilvl w:val="0"/>
                <w:numId w:val="17"/>
              </w:numPr>
              <w:spacing w:after="120" w:line="276" w:lineRule="auto"/>
              <w:ind w:left="714" w:hanging="357"/>
              <w:rPr>
                <w:rFonts w:ascii="Arial" w:hAnsi="Arial" w:cs="Arial"/>
                <w:sz w:val="20"/>
                <w:szCs w:val="20"/>
              </w:rPr>
            </w:pPr>
            <w:r w:rsidRPr="001B490F">
              <w:rPr>
                <w:rFonts w:ascii="Arial" w:hAnsi="Arial" w:cs="Arial"/>
                <w:sz w:val="20"/>
                <w:szCs w:val="20"/>
              </w:rPr>
              <w:t>assessment</w:t>
            </w:r>
            <w:r w:rsidR="003810C2">
              <w:rPr>
                <w:rFonts w:ascii="Arial" w:hAnsi="Arial" w:cs="Arial"/>
                <w:sz w:val="20"/>
                <w:szCs w:val="20"/>
              </w:rPr>
              <w:t xml:space="preserve"> of</w:t>
            </w:r>
            <w:r w:rsidR="0077460A" w:rsidRPr="001B490F">
              <w:rPr>
                <w:rFonts w:ascii="Arial" w:hAnsi="Arial" w:cs="Arial"/>
                <w:sz w:val="20"/>
                <w:szCs w:val="20"/>
              </w:rPr>
              <w:t xml:space="preserve"> subsidence issues</w:t>
            </w:r>
            <w:r w:rsidR="003810C2">
              <w:rPr>
                <w:rFonts w:ascii="Arial" w:hAnsi="Arial" w:cs="Arial"/>
                <w:sz w:val="20"/>
                <w:szCs w:val="20"/>
              </w:rPr>
              <w:t xml:space="preserve"> associated with longwall mining</w:t>
            </w:r>
            <w:r w:rsidR="00BC221F">
              <w:rPr>
                <w:rFonts w:ascii="Arial" w:hAnsi="Arial" w:cs="Arial"/>
                <w:sz w:val="20"/>
                <w:szCs w:val="20"/>
              </w:rPr>
              <w:t>,</w:t>
            </w:r>
            <w:r w:rsidR="0077460A" w:rsidRPr="001B490F">
              <w:rPr>
                <w:rFonts w:ascii="Arial" w:hAnsi="Arial" w:cs="Arial"/>
                <w:sz w:val="20"/>
                <w:szCs w:val="20"/>
              </w:rPr>
              <w:t xml:space="preserve"> relating to the changing of catchment characteristics</w:t>
            </w:r>
            <w:r w:rsidR="00895040" w:rsidRPr="001B490F">
              <w:rPr>
                <w:rFonts w:ascii="Arial" w:hAnsi="Arial" w:cs="Arial"/>
                <w:sz w:val="20"/>
                <w:szCs w:val="20"/>
              </w:rPr>
              <w:t xml:space="preserve">, </w:t>
            </w:r>
            <w:r w:rsidRPr="001B490F">
              <w:rPr>
                <w:rFonts w:ascii="Arial" w:hAnsi="Arial" w:cs="Arial"/>
                <w:sz w:val="20"/>
                <w:szCs w:val="20"/>
              </w:rPr>
              <w:t>variation in groundwater aquifers and potential increased</w:t>
            </w:r>
            <w:r w:rsidR="00BC221F">
              <w:rPr>
                <w:rFonts w:ascii="Arial" w:hAnsi="Arial" w:cs="Arial"/>
                <w:sz w:val="20"/>
                <w:szCs w:val="20"/>
              </w:rPr>
              <w:t xml:space="preserve"> surface water and aquifer</w:t>
            </w:r>
            <w:r w:rsidRPr="001B490F">
              <w:rPr>
                <w:rFonts w:ascii="Arial" w:hAnsi="Arial" w:cs="Arial"/>
                <w:sz w:val="20"/>
                <w:szCs w:val="20"/>
              </w:rPr>
              <w:t xml:space="preserve"> interconnectivity</w:t>
            </w:r>
            <w:r w:rsidR="0077460A" w:rsidRPr="001B490F">
              <w:rPr>
                <w:rFonts w:ascii="Arial" w:hAnsi="Arial" w:cs="Arial"/>
                <w:sz w:val="20"/>
                <w:szCs w:val="20"/>
              </w:rPr>
              <w:t>;</w:t>
            </w:r>
          </w:p>
          <w:p w:rsidR="0077460A" w:rsidRDefault="0077460A" w:rsidP="00E70590">
            <w:pPr>
              <w:pStyle w:val="PlainText"/>
              <w:numPr>
                <w:ilvl w:val="0"/>
                <w:numId w:val="17"/>
              </w:numPr>
              <w:spacing w:after="120" w:line="276" w:lineRule="auto"/>
              <w:ind w:left="714" w:hanging="357"/>
              <w:rPr>
                <w:rFonts w:ascii="Arial" w:hAnsi="Arial" w:cs="Arial"/>
                <w:sz w:val="20"/>
                <w:szCs w:val="20"/>
              </w:rPr>
            </w:pPr>
            <w:r w:rsidRPr="00F8207F">
              <w:rPr>
                <w:rFonts w:ascii="Arial" w:hAnsi="Arial" w:cs="Arial"/>
                <w:sz w:val="20"/>
                <w:szCs w:val="20"/>
              </w:rPr>
              <w:t xml:space="preserve">a </w:t>
            </w:r>
            <w:r w:rsidR="002002A4">
              <w:rPr>
                <w:rFonts w:ascii="Arial" w:hAnsi="Arial" w:cs="Arial"/>
                <w:sz w:val="20"/>
                <w:szCs w:val="20"/>
              </w:rPr>
              <w:t>comprehensive risk assessment of</w:t>
            </w:r>
            <w:r w:rsidRPr="00F8207F">
              <w:rPr>
                <w:rFonts w:ascii="Arial" w:hAnsi="Arial" w:cs="Arial"/>
                <w:sz w:val="20"/>
                <w:szCs w:val="20"/>
              </w:rPr>
              <w:t xml:space="preserve"> the impacts of the proposed project on surface water and gr</w:t>
            </w:r>
            <w:r w:rsidR="002002A4">
              <w:rPr>
                <w:rFonts w:ascii="Arial" w:hAnsi="Arial" w:cs="Arial"/>
                <w:sz w:val="20"/>
                <w:szCs w:val="20"/>
              </w:rPr>
              <w:t xml:space="preserve">oundwater </w:t>
            </w:r>
            <w:r w:rsidR="007133FA">
              <w:rPr>
                <w:rFonts w:ascii="Arial" w:hAnsi="Arial" w:cs="Arial"/>
                <w:sz w:val="20"/>
                <w:szCs w:val="20"/>
              </w:rPr>
              <w:t>dependent ecosystems; and</w:t>
            </w:r>
          </w:p>
          <w:p w:rsidR="007133FA" w:rsidRPr="00F8207F" w:rsidRDefault="007133FA" w:rsidP="00E70590">
            <w:pPr>
              <w:pStyle w:val="PlainText"/>
              <w:numPr>
                <w:ilvl w:val="0"/>
                <w:numId w:val="17"/>
              </w:numPr>
              <w:spacing w:after="120" w:line="276" w:lineRule="auto"/>
              <w:ind w:left="714" w:hanging="357"/>
              <w:rPr>
                <w:rFonts w:ascii="Arial" w:hAnsi="Arial" w:cs="Arial"/>
                <w:sz w:val="20"/>
                <w:szCs w:val="20"/>
              </w:rPr>
            </w:pPr>
            <w:r w:rsidRPr="00D1682C">
              <w:rPr>
                <w:rFonts w:ascii="Arial" w:hAnsi="Arial" w:cs="Arial"/>
                <w:sz w:val="20"/>
                <w:szCs w:val="20"/>
              </w:rPr>
              <w:t>a cumulative impact assessment associated with creek systems flowing from the Mandalong Southern Extension Project directly through the proposed extraction site</w:t>
            </w:r>
            <w:r>
              <w:rPr>
                <w:rFonts w:ascii="Arial" w:hAnsi="Arial" w:cs="Arial"/>
                <w:sz w:val="20"/>
                <w:szCs w:val="20"/>
              </w:rPr>
              <w:t>.</w:t>
            </w:r>
          </w:p>
          <w:p w:rsidR="0077460A" w:rsidRPr="00F8207F" w:rsidRDefault="0077460A" w:rsidP="00644DFD">
            <w:pPr>
              <w:pStyle w:val="PlainText"/>
              <w:spacing w:after="200"/>
              <w:rPr>
                <w:rFonts w:ascii="Arial" w:hAnsi="Arial" w:cs="Arial"/>
                <w:sz w:val="20"/>
                <w:szCs w:val="20"/>
                <w:u w:val="single"/>
              </w:rPr>
            </w:pPr>
            <w:r w:rsidRPr="00F8207F">
              <w:rPr>
                <w:rFonts w:ascii="Arial" w:hAnsi="Arial" w:cs="Arial"/>
                <w:sz w:val="20"/>
                <w:szCs w:val="20"/>
                <w:u w:val="single"/>
              </w:rPr>
              <w:t>Reasonable values and parameters in calculations: key conclusions</w:t>
            </w:r>
          </w:p>
          <w:p w:rsidR="00C3371D" w:rsidRDefault="0077460A" w:rsidP="00C3371D">
            <w:pPr>
              <w:rPr>
                <w:rFonts w:ascii="Arial" w:hAnsi="Arial"/>
                <w:sz w:val="20"/>
                <w:szCs w:val="20"/>
                <w:lang w:val="en-US" w:eastAsia="en-AU"/>
              </w:rPr>
            </w:pPr>
            <w:r w:rsidRPr="00F97FC9">
              <w:rPr>
                <w:rFonts w:ascii="Arial" w:hAnsi="Arial" w:cs="Arial"/>
                <w:sz w:val="20"/>
                <w:szCs w:val="20"/>
                <w:lang w:val="en-US" w:eastAsia="en-AU"/>
              </w:rPr>
              <w:t xml:space="preserve">The </w:t>
            </w:r>
            <w:r>
              <w:rPr>
                <w:rFonts w:ascii="Arial" w:hAnsi="Arial" w:cs="Arial"/>
                <w:sz w:val="20"/>
                <w:szCs w:val="20"/>
                <w:lang w:val="en-US" w:eastAsia="en-AU"/>
              </w:rPr>
              <w:t xml:space="preserve">draft </w:t>
            </w:r>
            <w:r w:rsidRPr="00F97FC9">
              <w:rPr>
                <w:rFonts w:ascii="Arial" w:hAnsi="Arial" w:cs="Arial"/>
                <w:sz w:val="20"/>
                <w:szCs w:val="20"/>
                <w:lang w:val="en-US" w:eastAsia="en-AU"/>
              </w:rPr>
              <w:t xml:space="preserve">Environmental </w:t>
            </w:r>
            <w:r>
              <w:rPr>
                <w:rFonts w:ascii="Arial" w:hAnsi="Arial" w:cs="Arial"/>
                <w:sz w:val="20"/>
                <w:szCs w:val="20"/>
                <w:lang w:val="en-US" w:eastAsia="en-AU"/>
              </w:rPr>
              <w:t xml:space="preserve">Impact </w:t>
            </w:r>
            <w:r w:rsidRPr="00F97FC9">
              <w:rPr>
                <w:rFonts w:ascii="Arial" w:hAnsi="Arial" w:cs="Arial"/>
                <w:sz w:val="20"/>
                <w:szCs w:val="20"/>
                <w:lang w:val="en-US" w:eastAsia="en-AU"/>
              </w:rPr>
              <w:t>Assessment generally uses reasonable values and parameters in calculations, with the exception of the use of data from Wallarah Creek in the water balance and the discussion on water quality. The monitoring point located outside the proposed main extraction site may not be an appropriate calibration tool for the site water balance.</w:t>
            </w:r>
            <w:r>
              <w:rPr>
                <w:rFonts w:ascii="Arial" w:hAnsi="Arial" w:cs="Arial"/>
                <w:sz w:val="20"/>
                <w:szCs w:val="20"/>
                <w:lang w:val="en-US" w:eastAsia="en-AU"/>
              </w:rPr>
              <w:t xml:space="preserve"> </w:t>
            </w:r>
            <w:r w:rsidRPr="0088129A">
              <w:rPr>
                <w:rFonts w:ascii="Arial" w:hAnsi="Arial"/>
                <w:sz w:val="20"/>
                <w:szCs w:val="20"/>
                <w:lang w:val="en-US" w:eastAsia="en-AU"/>
              </w:rPr>
              <w:t>A lack of supporting information on flood events and impacts on aquatic ecology has</w:t>
            </w:r>
            <w:r>
              <w:rPr>
                <w:rFonts w:ascii="Arial" w:hAnsi="Arial"/>
                <w:sz w:val="20"/>
                <w:szCs w:val="20"/>
                <w:lang w:val="en-US" w:eastAsia="en-AU"/>
              </w:rPr>
              <w:t xml:space="preserve"> also</w:t>
            </w:r>
            <w:r w:rsidRPr="0088129A">
              <w:rPr>
                <w:rFonts w:ascii="Arial" w:hAnsi="Arial"/>
                <w:sz w:val="20"/>
                <w:szCs w:val="20"/>
                <w:lang w:val="en-US" w:eastAsia="en-AU"/>
              </w:rPr>
              <w:t xml:space="preserve"> limited the onsite assessments. The proponent has relied heavily on literature reviews to provide analysis and assessments.</w:t>
            </w:r>
          </w:p>
          <w:p w:rsidR="00C3371D" w:rsidRPr="00C3371D" w:rsidRDefault="00C3371D" w:rsidP="00C3371D">
            <w:pPr>
              <w:rPr>
                <w:rFonts w:ascii="Arial" w:hAnsi="Arial"/>
                <w:sz w:val="20"/>
                <w:szCs w:val="20"/>
                <w:lang w:val="en-US" w:eastAsia="en-AU"/>
              </w:rPr>
            </w:pPr>
          </w:p>
          <w:p w:rsidR="00D1682C" w:rsidRPr="00E70590" w:rsidRDefault="0077460A" w:rsidP="00E70590">
            <w:pPr>
              <w:pStyle w:val="Heading2"/>
              <w:spacing w:after="200" w:line="276" w:lineRule="auto"/>
              <w:rPr>
                <w:rFonts w:cs="Arial"/>
                <w:b w:val="0"/>
                <w:i/>
                <w:sz w:val="20"/>
                <w:szCs w:val="20"/>
              </w:rPr>
            </w:pPr>
            <w:r w:rsidRPr="00F8207F">
              <w:rPr>
                <w:rFonts w:cs="Arial"/>
                <w:b w:val="0"/>
                <w:i/>
                <w:sz w:val="20"/>
                <w:szCs w:val="20"/>
              </w:rPr>
              <w:t>Question 1: Does the Committee consider that the proponent has provided sufficient information on water resources and its management to assess the likely significant impacts from its proposed action? – If the information is considered insufficient, what advice regarding areas of inadequacy can the Committee provide?</w:t>
            </w:r>
          </w:p>
          <w:p w:rsidR="000224E3" w:rsidRDefault="0077460A" w:rsidP="00FE600F">
            <w:pPr>
              <w:pStyle w:val="ColorfulList-Accent11"/>
              <w:numPr>
                <w:ilvl w:val="0"/>
                <w:numId w:val="16"/>
              </w:numPr>
              <w:spacing w:after="120" w:line="276" w:lineRule="auto"/>
              <w:ind w:left="357" w:hanging="357"/>
              <w:rPr>
                <w:rFonts w:ascii="Arial" w:hAnsi="Arial" w:cs="Arial"/>
                <w:sz w:val="20"/>
                <w:szCs w:val="20"/>
              </w:rPr>
            </w:pPr>
            <w:r w:rsidRPr="003B0B6A">
              <w:rPr>
                <w:rFonts w:ascii="Arial" w:hAnsi="Arial"/>
                <w:sz w:val="20"/>
                <w:szCs w:val="20"/>
              </w:rPr>
              <w:t>The Committee</w:t>
            </w:r>
            <w:r>
              <w:rPr>
                <w:rFonts w:ascii="Arial" w:hAnsi="Arial"/>
                <w:sz w:val="20"/>
                <w:szCs w:val="20"/>
              </w:rPr>
              <w:t xml:space="preserve"> considers that while the proponent has provided water resources and management information</w:t>
            </w:r>
            <w:r w:rsidR="00BA5E80">
              <w:rPr>
                <w:rFonts w:ascii="Arial" w:hAnsi="Arial"/>
                <w:sz w:val="20"/>
                <w:szCs w:val="20"/>
              </w:rPr>
              <w:t>,</w:t>
            </w:r>
            <w:r w:rsidR="00021B48">
              <w:rPr>
                <w:rFonts w:ascii="Arial" w:hAnsi="Arial"/>
                <w:sz w:val="20"/>
                <w:szCs w:val="20"/>
              </w:rPr>
              <w:t xml:space="preserve"> </w:t>
            </w:r>
            <w:r w:rsidR="002002A4">
              <w:rPr>
                <w:rFonts w:ascii="Arial" w:hAnsi="Arial"/>
                <w:sz w:val="20"/>
                <w:szCs w:val="20"/>
              </w:rPr>
              <w:t xml:space="preserve">there is limited information on the </w:t>
            </w:r>
            <w:r w:rsidRPr="003B0B6A">
              <w:rPr>
                <w:rFonts w:ascii="Arial" w:hAnsi="Arial"/>
                <w:sz w:val="20"/>
                <w:szCs w:val="20"/>
              </w:rPr>
              <w:t xml:space="preserve">full suite of groundwater impacts; </w:t>
            </w:r>
            <w:r w:rsidR="00587908">
              <w:rPr>
                <w:rFonts w:ascii="Arial" w:hAnsi="Arial"/>
                <w:sz w:val="20"/>
                <w:szCs w:val="20"/>
              </w:rPr>
              <w:t>r</w:t>
            </w:r>
            <w:r w:rsidR="002002A4">
              <w:rPr>
                <w:rFonts w:ascii="Arial" w:hAnsi="Arial"/>
                <w:sz w:val="20"/>
                <w:szCs w:val="20"/>
              </w:rPr>
              <w:t>isks</w:t>
            </w:r>
            <w:r w:rsidRPr="003B0B6A">
              <w:rPr>
                <w:rFonts w:ascii="Arial" w:hAnsi="Arial"/>
                <w:sz w:val="20"/>
                <w:szCs w:val="20"/>
              </w:rPr>
              <w:t xml:space="preserve"> to the reg</w:t>
            </w:r>
            <w:r w:rsidR="00302602">
              <w:rPr>
                <w:rFonts w:ascii="Arial" w:hAnsi="Arial"/>
                <w:sz w:val="20"/>
                <w:szCs w:val="20"/>
              </w:rPr>
              <w:t>ional water balance; subsidence-</w:t>
            </w:r>
            <w:r w:rsidRPr="003B0B6A">
              <w:rPr>
                <w:rFonts w:ascii="Arial" w:hAnsi="Arial"/>
                <w:sz w:val="20"/>
                <w:szCs w:val="20"/>
              </w:rPr>
              <w:t>related impacts;</w:t>
            </w:r>
            <w:r>
              <w:rPr>
                <w:rFonts w:ascii="Arial" w:hAnsi="Arial"/>
                <w:sz w:val="20"/>
                <w:szCs w:val="20"/>
              </w:rPr>
              <w:t xml:space="preserve"> impacts on </w:t>
            </w:r>
            <w:r w:rsidR="006F563B">
              <w:rPr>
                <w:rFonts w:ascii="Arial" w:hAnsi="Arial"/>
                <w:sz w:val="20"/>
                <w:szCs w:val="20"/>
              </w:rPr>
              <w:t xml:space="preserve">aquatic </w:t>
            </w:r>
            <w:r>
              <w:rPr>
                <w:rFonts w:ascii="Arial" w:hAnsi="Arial"/>
                <w:sz w:val="20"/>
                <w:szCs w:val="20"/>
              </w:rPr>
              <w:t>ecology</w:t>
            </w:r>
            <w:r w:rsidR="0070472E">
              <w:rPr>
                <w:rFonts w:ascii="Arial" w:hAnsi="Arial"/>
                <w:sz w:val="20"/>
                <w:szCs w:val="20"/>
              </w:rPr>
              <w:t>;</w:t>
            </w:r>
            <w:r w:rsidRPr="003B0B6A">
              <w:rPr>
                <w:rFonts w:ascii="Arial" w:hAnsi="Arial"/>
                <w:sz w:val="20"/>
                <w:szCs w:val="20"/>
              </w:rPr>
              <w:t xml:space="preserve"> and the project’s</w:t>
            </w:r>
            <w:r w:rsidR="006F563B">
              <w:rPr>
                <w:rFonts w:ascii="Arial" w:hAnsi="Arial"/>
                <w:sz w:val="20"/>
                <w:szCs w:val="20"/>
              </w:rPr>
              <w:t xml:space="preserve"> risk </w:t>
            </w:r>
            <w:r>
              <w:rPr>
                <w:rFonts w:ascii="Arial" w:hAnsi="Arial"/>
                <w:sz w:val="20"/>
                <w:szCs w:val="20"/>
              </w:rPr>
              <w:t>to the Gosford-Wyong Water Supply Scheme</w:t>
            </w:r>
            <w:r w:rsidRPr="003B0B6A">
              <w:rPr>
                <w:rFonts w:ascii="Arial" w:hAnsi="Arial"/>
                <w:sz w:val="20"/>
                <w:szCs w:val="20"/>
              </w:rPr>
              <w:t>.</w:t>
            </w:r>
          </w:p>
          <w:p w:rsidR="0077460A" w:rsidRPr="00F8207F" w:rsidRDefault="0077460A" w:rsidP="00237592">
            <w:pPr>
              <w:pStyle w:val="Heading2"/>
              <w:spacing w:after="200" w:line="276" w:lineRule="auto"/>
              <w:rPr>
                <w:rFonts w:cs="Arial"/>
                <w:b w:val="0"/>
                <w:i/>
                <w:sz w:val="20"/>
                <w:szCs w:val="20"/>
              </w:rPr>
            </w:pPr>
            <w:r w:rsidRPr="00F8207F">
              <w:rPr>
                <w:rFonts w:cs="Arial"/>
                <w:b w:val="0"/>
                <w:i/>
                <w:sz w:val="20"/>
                <w:szCs w:val="20"/>
              </w:rPr>
              <w:t xml:space="preserve">Question 2: What are the likely impacts of the proposed mine on surface and ground water resources, in particular, changes to surface and/or ground water dynamics and resources that may support surface habitat </w:t>
            </w:r>
            <w:r w:rsidRPr="00F8207F">
              <w:rPr>
                <w:rFonts w:cs="Arial"/>
                <w:b w:val="0"/>
                <w:i/>
                <w:sz w:val="20"/>
                <w:szCs w:val="20"/>
              </w:rPr>
              <w:lastRenderedPageBreak/>
              <w:t>for threatened species and communities?</w:t>
            </w:r>
          </w:p>
          <w:p w:rsidR="00675F89" w:rsidRPr="001B490F" w:rsidRDefault="00DD1A9E" w:rsidP="00FE600F">
            <w:pPr>
              <w:pStyle w:val="ListParagraph"/>
              <w:numPr>
                <w:ilvl w:val="0"/>
                <w:numId w:val="16"/>
              </w:numPr>
              <w:spacing w:after="120"/>
              <w:ind w:left="357" w:hanging="357"/>
            </w:pPr>
            <w:r w:rsidRPr="001B490F">
              <w:rPr>
                <w:sz w:val="20"/>
                <w:szCs w:val="20"/>
              </w:rPr>
              <w:t>The Commi</w:t>
            </w:r>
            <w:r w:rsidR="001B490F" w:rsidRPr="001B490F">
              <w:rPr>
                <w:sz w:val="20"/>
                <w:szCs w:val="20"/>
              </w:rPr>
              <w:t>ttee advises that there are significant</w:t>
            </w:r>
            <w:r w:rsidR="001B490F">
              <w:rPr>
                <w:sz w:val="20"/>
                <w:szCs w:val="20"/>
              </w:rPr>
              <w:t xml:space="preserve"> </w:t>
            </w:r>
            <w:r w:rsidRPr="001B490F">
              <w:rPr>
                <w:sz w:val="20"/>
                <w:szCs w:val="20"/>
              </w:rPr>
              <w:t>risks associated with the proposed projec</w:t>
            </w:r>
            <w:r w:rsidR="004409DB">
              <w:rPr>
                <w:sz w:val="20"/>
                <w:szCs w:val="20"/>
              </w:rPr>
              <w:t>t having a detrimental and long-</w:t>
            </w:r>
            <w:r w:rsidR="00D260DD">
              <w:rPr>
                <w:sz w:val="20"/>
                <w:szCs w:val="20"/>
              </w:rPr>
              <w:t>lasting effect on</w:t>
            </w:r>
            <w:r w:rsidRPr="001B490F">
              <w:rPr>
                <w:sz w:val="20"/>
                <w:szCs w:val="20"/>
              </w:rPr>
              <w:t xml:space="preserve"> an already stressed water supply catchment. </w:t>
            </w:r>
            <w:r w:rsidR="00A221DA" w:rsidRPr="001B490F">
              <w:rPr>
                <w:sz w:val="20"/>
                <w:szCs w:val="20"/>
              </w:rPr>
              <w:t>The proposal is located within the Jilliby Jilliby Creek Catchment, a major water source for the Gosford-Wyong Water Supply S</w:t>
            </w:r>
            <w:r w:rsidR="005D3233" w:rsidRPr="001B490F">
              <w:rPr>
                <w:sz w:val="20"/>
                <w:szCs w:val="20"/>
              </w:rPr>
              <w:t>cheme,</w:t>
            </w:r>
            <w:r w:rsidR="00870ECB">
              <w:rPr>
                <w:sz w:val="20"/>
                <w:szCs w:val="20"/>
              </w:rPr>
              <w:t xml:space="preserve"> which provide</w:t>
            </w:r>
            <w:r w:rsidR="007A4EEB">
              <w:rPr>
                <w:sz w:val="20"/>
                <w:szCs w:val="20"/>
              </w:rPr>
              <w:t>s</w:t>
            </w:r>
            <w:r w:rsidR="005D3233" w:rsidRPr="001B490F">
              <w:rPr>
                <w:sz w:val="20"/>
                <w:szCs w:val="20"/>
              </w:rPr>
              <w:t xml:space="preserve"> water to</w:t>
            </w:r>
            <w:r w:rsidR="00A221DA" w:rsidRPr="001B490F">
              <w:rPr>
                <w:sz w:val="20"/>
                <w:szCs w:val="20"/>
              </w:rPr>
              <w:t xml:space="preserve"> 285,000 people within the central coast of New South Wales. The proposal has the potential to significantly reduce surface runoff, with the project area covering 5% of the entire scheme’s catchment area.</w:t>
            </w:r>
          </w:p>
          <w:p w:rsidR="0077460A" w:rsidRPr="006B3ADA" w:rsidRDefault="0077460A" w:rsidP="00375032">
            <w:pPr>
              <w:pStyle w:val="ListParagraph"/>
              <w:numPr>
                <w:ilvl w:val="0"/>
                <w:numId w:val="16"/>
              </w:numPr>
              <w:spacing w:after="120"/>
            </w:pPr>
            <w:r w:rsidRPr="00C4529A">
              <w:rPr>
                <w:sz w:val="20"/>
                <w:szCs w:val="20"/>
              </w:rPr>
              <w:t xml:space="preserve">The proposal </w:t>
            </w:r>
            <w:r w:rsidR="006F563B">
              <w:rPr>
                <w:sz w:val="20"/>
                <w:szCs w:val="20"/>
              </w:rPr>
              <w:t>has the</w:t>
            </w:r>
            <w:r w:rsidRPr="00C4529A">
              <w:rPr>
                <w:sz w:val="20"/>
                <w:szCs w:val="20"/>
              </w:rPr>
              <w:t xml:space="preserve"> potential </w:t>
            </w:r>
            <w:r w:rsidR="006F563B">
              <w:rPr>
                <w:sz w:val="20"/>
                <w:szCs w:val="20"/>
              </w:rPr>
              <w:t xml:space="preserve">to </w:t>
            </w:r>
            <w:r w:rsidRPr="00C4529A">
              <w:rPr>
                <w:sz w:val="20"/>
                <w:szCs w:val="20"/>
              </w:rPr>
              <w:t>change</w:t>
            </w:r>
            <w:r>
              <w:rPr>
                <w:sz w:val="20"/>
                <w:szCs w:val="20"/>
              </w:rPr>
              <w:t xml:space="preserve"> surface and groundwater dynamics</w:t>
            </w:r>
            <w:r w:rsidRPr="00C4529A">
              <w:rPr>
                <w:sz w:val="20"/>
                <w:szCs w:val="20"/>
              </w:rPr>
              <w:t xml:space="preserve"> within the Jilliby Jilliby Cre</w:t>
            </w:r>
            <w:r w:rsidR="004409DB">
              <w:rPr>
                <w:sz w:val="20"/>
                <w:szCs w:val="20"/>
              </w:rPr>
              <w:t>ek Catchment through subsidence-</w:t>
            </w:r>
            <w:r>
              <w:rPr>
                <w:sz w:val="20"/>
                <w:szCs w:val="20"/>
              </w:rPr>
              <w:t xml:space="preserve">related </w:t>
            </w:r>
            <w:r w:rsidRPr="00C4529A">
              <w:rPr>
                <w:sz w:val="20"/>
                <w:szCs w:val="20"/>
              </w:rPr>
              <w:t>impacts</w:t>
            </w:r>
            <w:r w:rsidRPr="00FE1BC8">
              <w:rPr>
                <w:sz w:val="20"/>
                <w:szCs w:val="20"/>
              </w:rPr>
              <w:t>.</w:t>
            </w:r>
            <w:r w:rsidRPr="00FE1BC8">
              <w:rPr>
                <w:rFonts w:cs="Arial"/>
                <w:sz w:val="20"/>
                <w:szCs w:val="20"/>
                <w:lang w:eastAsia="en-AU"/>
              </w:rPr>
              <w:t xml:space="preserve"> </w:t>
            </w:r>
            <w:r w:rsidR="006F563B">
              <w:rPr>
                <w:rFonts w:cs="Arial"/>
                <w:sz w:val="20"/>
                <w:szCs w:val="20"/>
                <w:lang w:eastAsia="en-AU"/>
              </w:rPr>
              <w:t>This includes the following</w:t>
            </w:r>
            <w:r w:rsidRPr="00FE1BC8">
              <w:rPr>
                <w:rFonts w:cs="Arial"/>
                <w:sz w:val="20"/>
                <w:szCs w:val="20"/>
                <w:lang w:eastAsia="en-AU"/>
              </w:rPr>
              <w:t>:</w:t>
            </w:r>
          </w:p>
          <w:p w:rsidR="006F563B" w:rsidRPr="006F563B" w:rsidRDefault="007470B1" w:rsidP="00375032">
            <w:pPr>
              <w:pStyle w:val="ListParagraph"/>
              <w:numPr>
                <w:ilvl w:val="0"/>
                <w:numId w:val="21"/>
              </w:numPr>
              <w:spacing w:after="120"/>
              <w:ind w:left="1077" w:hanging="357"/>
            </w:pPr>
            <w:r>
              <w:rPr>
                <w:rFonts w:eastAsia="ArialMT" w:cs="Arial"/>
                <w:sz w:val="20"/>
                <w:szCs w:val="20"/>
                <w:lang w:eastAsia="en-AU"/>
              </w:rPr>
              <w:t>Subsidence can</w:t>
            </w:r>
            <w:r w:rsidRPr="00895087">
              <w:rPr>
                <w:rFonts w:eastAsia="ArialMT" w:cs="Arial"/>
                <w:sz w:val="20"/>
                <w:szCs w:val="20"/>
                <w:lang w:eastAsia="en-AU"/>
              </w:rPr>
              <w:t xml:space="preserve"> lead to increased drainage between aquifers</w:t>
            </w:r>
            <w:r>
              <w:rPr>
                <w:rFonts w:eastAsia="ArialMT" w:cs="Arial"/>
                <w:sz w:val="20"/>
                <w:szCs w:val="20"/>
                <w:lang w:eastAsia="en-AU"/>
              </w:rPr>
              <w:t>,</w:t>
            </w:r>
            <w:r w:rsidRPr="00895087">
              <w:rPr>
                <w:rFonts w:eastAsia="ArialMT" w:cs="Arial"/>
                <w:sz w:val="20"/>
                <w:szCs w:val="20"/>
                <w:lang w:eastAsia="en-AU"/>
              </w:rPr>
              <w:t xml:space="preserve"> </w:t>
            </w:r>
            <w:r>
              <w:rPr>
                <w:rFonts w:eastAsia="ArialMT" w:cs="Arial"/>
                <w:sz w:val="20"/>
                <w:szCs w:val="20"/>
                <w:lang w:eastAsia="en-AU"/>
              </w:rPr>
              <w:t>altering</w:t>
            </w:r>
            <w:r w:rsidRPr="00895087">
              <w:rPr>
                <w:rFonts w:eastAsia="ArialMT" w:cs="Arial"/>
                <w:sz w:val="20"/>
                <w:szCs w:val="20"/>
                <w:lang w:eastAsia="en-AU"/>
              </w:rPr>
              <w:t xml:space="preserve"> water table heights, flow rates and water quality.</w:t>
            </w:r>
            <w:r>
              <w:rPr>
                <w:rFonts w:eastAsia="ArialMT" w:cs="Arial"/>
                <w:sz w:val="20"/>
                <w:szCs w:val="20"/>
                <w:lang w:eastAsia="en-AU"/>
              </w:rPr>
              <w:t xml:space="preserve"> </w:t>
            </w:r>
            <w:r w:rsidRPr="003A2EF5">
              <w:rPr>
                <w:rFonts w:cs="Arial"/>
                <w:bCs/>
                <w:sz w:val="20"/>
                <w:szCs w:val="20"/>
                <w:lang w:eastAsia="en-AU"/>
              </w:rPr>
              <w:t>Groundwater dependent ecosystems</w:t>
            </w:r>
            <w:r>
              <w:rPr>
                <w:rFonts w:cs="Arial"/>
                <w:bCs/>
                <w:sz w:val="20"/>
                <w:szCs w:val="20"/>
                <w:lang w:eastAsia="en-AU"/>
              </w:rPr>
              <w:t>, which rely on shallow water tables,</w:t>
            </w:r>
            <w:r w:rsidRPr="003A2EF5">
              <w:rPr>
                <w:rFonts w:eastAsia="ArialMT" w:cs="Arial"/>
                <w:sz w:val="20"/>
                <w:szCs w:val="20"/>
                <w:lang w:eastAsia="en-AU"/>
              </w:rPr>
              <w:t xml:space="preserve"> have been identified along surfac</w:t>
            </w:r>
            <w:r>
              <w:rPr>
                <w:rFonts w:eastAsia="ArialMT" w:cs="Arial"/>
                <w:sz w:val="20"/>
                <w:szCs w:val="20"/>
                <w:lang w:eastAsia="en-AU"/>
              </w:rPr>
              <w:t>e drainage channels within the project b</w:t>
            </w:r>
            <w:r w:rsidRPr="003A2EF5">
              <w:rPr>
                <w:rFonts w:eastAsia="ArialMT" w:cs="Arial"/>
                <w:sz w:val="20"/>
                <w:szCs w:val="20"/>
                <w:lang w:eastAsia="en-AU"/>
              </w:rPr>
              <w:t>oundary</w:t>
            </w:r>
            <w:r>
              <w:rPr>
                <w:rFonts w:eastAsia="ArialMT" w:cs="Arial"/>
                <w:sz w:val="20"/>
                <w:szCs w:val="20"/>
                <w:lang w:eastAsia="en-AU"/>
              </w:rPr>
              <w:t xml:space="preserve">. Regular monitoring of the water table in these areas is needed to ensure that any variation in level can be resolved by </w:t>
            </w:r>
            <w:r w:rsidRPr="0085484F">
              <w:rPr>
                <w:rFonts w:eastAsia="ArialMT" w:cs="Arial"/>
                <w:sz w:val="20"/>
                <w:szCs w:val="20"/>
                <w:lang w:eastAsia="en-AU"/>
              </w:rPr>
              <w:t>remediation measures</w:t>
            </w:r>
            <w:r w:rsidR="00870ECB">
              <w:rPr>
                <w:rFonts w:eastAsia="ArialMT" w:cs="Arial"/>
                <w:sz w:val="20"/>
                <w:szCs w:val="20"/>
                <w:lang w:eastAsia="en-AU"/>
              </w:rPr>
              <w:t>;</w:t>
            </w:r>
          </w:p>
          <w:p w:rsidR="0077460A" w:rsidRPr="00C70D1B" w:rsidRDefault="0077460A" w:rsidP="00375032">
            <w:pPr>
              <w:pStyle w:val="ListParagraph"/>
              <w:numPr>
                <w:ilvl w:val="0"/>
                <w:numId w:val="21"/>
              </w:numPr>
              <w:spacing w:after="120"/>
              <w:ind w:left="1077" w:hanging="357"/>
            </w:pPr>
            <w:r>
              <w:rPr>
                <w:rFonts w:cs="Arial"/>
                <w:sz w:val="20"/>
                <w:szCs w:val="20"/>
                <w:lang w:eastAsia="en-AU"/>
              </w:rPr>
              <w:t>T</w:t>
            </w:r>
            <w:r w:rsidRPr="00C70D1B">
              <w:rPr>
                <w:rFonts w:cs="Arial"/>
                <w:sz w:val="20"/>
                <w:szCs w:val="20"/>
                <w:lang w:eastAsia="en-AU"/>
              </w:rPr>
              <w:t xml:space="preserve">he predicted subsidence has the potential to alter flooding regimes, causing localised ponding/damming of catchment runoff waters. </w:t>
            </w:r>
            <w:r w:rsidRPr="0018794B">
              <w:rPr>
                <w:rFonts w:cs="Arial"/>
                <w:sz w:val="20"/>
                <w:szCs w:val="20"/>
                <w:lang w:eastAsia="en-AU"/>
              </w:rPr>
              <w:t>This has the pot</w:t>
            </w:r>
            <w:r w:rsidR="00E6713C">
              <w:rPr>
                <w:rFonts w:cs="Arial"/>
                <w:sz w:val="20"/>
                <w:szCs w:val="20"/>
                <w:lang w:eastAsia="en-AU"/>
              </w:rPr>
              <w:t>ential to cause change</w:t>
            </w:r>
            <w:r w:rsidR="00587908">
              <w:rPr>
                <w:rFonts w:cs="Arial"/>
                <w:sz w:val="20"/>
                <w:szCs w:val="20"/>
                <w:lang w:eastAsia="en-AU"/>
              </w:rPr>
              <w:t xml:space="preserve"> in</w:t>
            </w:r>
            <w:r w:rsidR="00E6713C">
              <w:rPr>
                <w:rFonts w:cs="Arial"/>
                <w:sz w:val="20"/>
                <w:szCs w:val="20"/>
                <w:lang w:eastAsia="en-AU"/>
              </w:rPr>
              <w:t xml:space="preserve"> depth of</w:t>
            </w:r>
            <w:r w:rsidRPr="0018794B">
              <w:rPr>
                <w:rFonts w:cs="Arial"/>
                <w:sz w:val="20"/>
                <w:szCs w:val="20"/>
                <w:lang w:eastAsia="en-AU"/>
              </w:rPr>
              <w:t xml:space="preserve"> water bodies leading to inundation or water logging of emergent or marginal/riparian vegetation, and causing aquatic habitat alteration due to draining or additional deepening of existing ponds, wetlands or dams</w:t>
            </w:r>
            <w:r w:rsidR="00870ECB">
              <w:rPr>
                <w:rFonts w:cs="Arial"/>
                <w:sz w:val="20"/>
                <w:szCs w:val="20"/>
                <w:lang w:eastAsia="en-AU"/>
              </w:rPr>
              <w:t>;</w:t>
            </w:r>
          </w:p>
          <w:p w:rsidR="0077460A" w:rsidRPr="00DC1076" w:rsidRDefault="00936982" w:rsidP="00375032">
            <w:pPr>
              <w:pStyle w:val="ListParagraph"/>
              <w:numPr>
                <w:ilvl w:val="0"/>
                <w:numId w:val="21"/>
              </w:numPr>
              <w:spacing w:after="120"/>
              <w:ind w:left="1077" w:hanging="357"/>
              <w:rPr>
                <w:rFonts w:cs="Arial"/>
                <w:sz w:val="20"/>
                <w:szCs w:val="20"/>
                <w:lang w:val="en-US" w:eastAsia="en-AU"/>
              </w:rPr>
            </w:pPr>
            <w:r>
              <w:rPr>
                <w:rFonts w:eastAsia="ArialMT" w:cs="Arial"/>
                <w:sz w:val="20"/>
                <w:szCs w:val="20"/>
                <w:lang w:eastAsia="en-AU"/>
              </w:rPr>
              <w:t>The proponent has indicated that f</w:t>
            </w:r>
            <w:r w:rsidR="0077460A">
              <w:rPr>
                <w:rFonts w:eastAsia="ArialMT" w:cs="Arial"/>
                <w:sz w:val="20"/>
                <w:szCs w:val="20"/>
                <w:lang w:eastAsia="en-AU"/>
              </w:rPr>
              <w:t>racturing as a result of subsidence will</w:t>
            </w:r>
            <w:r w:rsidR="0077460A" w:rsidRPr="00DC1076">
              <w:rPr>
                <w:rFonts w:eastAsia="ArialMT" w:cs="Arial"/>
                <w:sz w:val="20"/>
                <w:szCs w:val="20"/>
                <w:lang w:eastAsia="en-AU"/>
              </w:rPr>
              <w:t xml:space="preserve"> extend </w:t>
            </w:r>
            <w:r w:rsidR="0077460A">
              <w:rPr>
                <w:rFonts w:eastAsia="ArialMT" w:cs="Arial"/>
                <w:sz w:val="20"/>
                <w:szCs w:val="20"/>
                <w:lang w:eastAsia="en-AU"/>
              </w:rPr>
              <w:t xml:space="preserve">upwards to a maximum of </w:t>
            </w:r>
            <w:r w:rsidR="0077460A" w:rsidRPr="00DC1076">
              <w:rPr>
                <w:rFonts w:eastAsia="ArialMT" w:cs="Arial"/>
                <w:sz w:val="20"/>
                <w:szCs w:val="20"/>
                <w:lang w:eastAsia="en-AU"/>
              </w:rPr>
              <w:t xml:space="preserve">200 m from the coal seam. </w:t>
            </w:r>
            <w:r w:rsidR="0077460A">
              <w:rPr>
                <w:rFonts w:eastAsia="ArialMT" w:cs="Arial"/>
                <w:sz w:val="20"/>
                <w:szCs w:val="20"/>
                <w:lang w:eastAsia="en-AU"/>
              </w:rPr>
              <w:t xml:space="preserve">The potential impact caused by fracturing through the entire strata would have detrimental </w:t>
            </w:r>
            <w:r w:rsidR="00444D52" w:rsidRPr="000A5E43">
              <w:rPr>
                <w:rFonts w:eastAsia="ArialMT" w:cs="Arial"/>
                <w:sz w:val="20"/>
                <w:szCs w:val="20"/>
                <w:lang w:eastAsia="en-AU"/>
              </w:rPr>
              <w:t>effects,</w:t>
            </w:r>
            <w:r w:rsidR="00444D52">
              <w:rPr>
                <w:rFonts w:eastAsia="ArialMT" w:cs="Arial"/>
                <w:sz w:val="20"/>
                <w:szCs w:val="20"/>
                <w:lang w:eastAsia="en-AU"/>
              </w:rPr>
              <w:t xml:space="preserve"> including the </w:t>
            </w:r>
            <w:r w:rsidR="000A5E43">
              <w:rPr>
                <w:rFonts w:eastAsia="ArialMT" w:cs="Arial"/>
                <w:sz w:val="20"/>
                <w:szCs w:val="20"/>
                <w:lang w:eastAsia="en-AU"/>
              </w:rPr>
              <w:t>reduction of surface flow and draining of shallow aquifers,</w:t>
            </w:r>
            <w:r w:rsidR="00AD2904">
              <w:rPr>
                <w:rFonts w:eastAsia="ArialMT" w:cs="Arial"/>
                <w:sz w:val="20"/>
                <w:szCs w:val="20"/>
                <w:lang w:eastAsia="en-AU"/>
              </w:rPr>
              <w:t xml:space="preserve"> on</w:t>
            </w:r>
            <w:r w:rsidR="000A5E43">
              <w:rPr>
                <w:rFonts w:eastAsia="ArialMT" w:cs="Arial"/>
                <w:sz w:val="20"/>
                <w:szCs w:val="20"/>
                <w:lang w:eastAsia="en-AU"/>
              </w:rPr>
              <w:t xml:space="preserve"> which groundwa</w:t>
            </w:r>
            <w:r w:rsidR="00AD2904">
              <w:rPr>
                <w:rFonts w:eastAsia="ArialMT" w:cs="Arial"/>
                <w:sz w:val="20"/>
                <w:szCs w:val="20"/>
                <w:lang w:eastAsia="en-AU"/>
              </w:rPr>
              <w:t xml:space="preserve">ter dependant ecosystems depend. </w:t>
            </w:r>
            <w:r w:rsidR="007470B1">
              <w:rPr>
                <w:rFonts w:eastAsia="ArialMT" w:cs="Arial"/>
                <w:sz w:val="20"/>
                <w:szCs w:val="20"/>
                <w:lang w:eastAsia="en-AU"/>
              </w:rPr>
              <w:t>F</w:t>
            </w:r>
            <w:r w:rsidR="0077460A">
              <w:rPr>
                <w:rFonts w:eastAsia="ArialMT" w:cs="Arial"/>
                <w:sz w:val="20"/>
                <w:szCs w:val="20"/>
                <w:lang w:eastAsia="en-AU"/>
              </w:rPr>
              <w:t>indings</w:t>
            </w:r>
            <w:r w:rsidR="007470B1">
              <w:rPr>
                <w:rFonts w:eastAsia="ArialMT" w:cs="Arial"/>
                <w:sz w:val="20"/>
                <w:szCs w:val="20"/>
                <w:lang w:eastAsia="en-AU"/>
              </w:rPr>
              <w:t xml:space="preserve"> need to be </w:t>
            </w:r>
            <w:r w:rsidR="0077460A">
              <w:rPr>
                <w:rFonts w:eastAsia="ArialMT" w:cs="Arial"/>
                <w:sz w:val="20"/>
                <w:szCs w:val="20"/>
                <w:lang w:eastAsia="en-AU"/>
              </w:rPr>
              <w:t>based on both localised modelling, and within a regional context through robust analysis of</w:t>
            </w:r>
            <w:r>
              <w:rPr>
                <w:rFonts w:eastAsia="ArialMT" w:cs="Arial"/>
                <w:sz w:val="20"/>
                <w:szCs w:val="20"/>
                <w:lang w:eastAsia="en-AU"/>
              </w:rPr>
              <w:t xml:space="preserve"> similar projects</w:t>
            </w:r>
            <w:r w:rsidR="00870ECB">
              <w:rPr>
                <w:rFonts w:eastAsia="ArialMT" w:cs="Arial"/>
                <w:sz w:val="20"/>
                <w:szCs w:val="20"/>
                <w:lang w:eastAsia="en-AU"/>
              </w:rPr>
              <w:t xml:space="preserve"> in the area, and;</w:t>
            </w:r>
          </w:p>
          <w:p w:rsidR="0077460A" w:rsidRPr="00771FE1" w:rsidRDefault="0077460A" w:rsidP="00375032">
            <w:pPr>
              <w:pStyle w:val="ListParagraph"/>
              <w:numPr>
                <w:ilvl w:val="0"/>
                <w:numId w:val="21"/>
              </w:numPr>
              <w:spacing w:after="120"/>
              <w:ind w:left="1077" w:hanging="357"/>
              <w:rPr>
                <w:sz w:val="20"/>
                <w:szCs w:val="20"/>
              </w:rPr>
            </w:pPr>
            <w:r>
              <w:rPr>
                <w:rFonts w:cs="Arial"/>
                <w:sz w:val="20"/>
                <w:szCs w:val="20"/>
                <w:lang w:eastAsia="en-AU"/>
              </w:rPr>
              <w:t>The forested hill areas of the proposed project are susceptible to</w:t>
            </w:r>
            <w:r w:rsidRPr="003A2EF5">
              <w:rPr>
                <w:rFonts w:cs="Arial"/>
                <w:sz w:val="20"/>
                <w:szCs w:val="20"/>
                <w:lang w:eastAsia="en-AU"/>
              </w:rPr>
              <w:t xml:space="preserve"> </w:t>
            </w:r>
            <w:r>
              <w:rPr>
                <w:rFonts w:cs="Arial"/>
                <w:sz w:val="20"/>
                <w:szCs w:val="20"/>
                <w:lang w:eastAsia="en-AU"/>
              </w:rPr>
              <w:t>s</w:t>
            </w:r>
            <w:r w:rsidRPr="003A2EF5">
              <w:rPr>
                <w:rFonts w:cs="Arial"/>
                <w:sz w:val="20"/>
                <w:szCs w:val="20"/>
                <w:lang w:eastAsia="en-AU"/>
              </w:rPr>
              <w:t>urface deformation and cracking</w:t>
            </w:r>
            <w:r>
              <w:rPr>
                <w:rFonts w:cs="Arial"/>
                <w:sz w:val="20"/>
                <w:szCs w:val="20"/>
                <w:lang w:eastAsia="en-AU"/>
              </w:rPr>
              <w:t xml:space="preserve"> due to subsidence. This</w:t>
            </w:r>
            <w:r w:rsidRPr="003A2EF5">
              <w:rPr>
                <w:rFonts w:cs="Arial"/>
                <w:sz w:val="20"/>
                <w:szCs w:val="20"/>
                <w:lang w:eastAsia="en-AU"/>
              </w:rPr>
              <w:t xml:space="preserve"> has the potential to destabilise soils and sediments and mobilise these into creeks and streams increasing sediment loads and nutrient loads. </w:t>
            </w:r>
            <w:r>
              <w:rPr>
                <w:rFonts w:cs="Arial"/>
                <w:sz w:val="20"/>
                <w:szCs w:val="20"/>
                <w:lang w:eastAsia="en-AU"/>
              </w:rPr>
              <w:t xml:space="preserve">It is noted that the proponent will prepare an Erosion and Sediment Control Plan. It is recommended that this plan address these issues, with specific attention </w:t>
            </w:r>
            <w:r w:rsidR="00D260DD">
              <w:rPr>
                <w:rFonts w:cs="Arial"/>
                <w:sz w:val="20"/>
                <w:szCs w:val="20"/>
                <w:lang w:eastAsia="en-AU"/>
              </w:rPr>
              <w:t>given to the potential impact on</w:t>
            </w:r>
            <w:r>
              <w:rPr>
                <w:rFonts w:cs="Arial"/>
                <w:sz w:val="20"/>
                <w:szCs w:val="20"/>
                <w:lang w:eastAsia="en-AU"/>
              </w:rPr>
              <w:t xml:space="preserve"> the Gosford-Wyong Water Supply Scheme.</w:t>
            </w:r>
          </w:p>
          <w:p w:rsidR="0077460A" w:rsidRPr="00A37E36" w:rsidRDefault="0077460A" w:rsidP="00375032">
            <w:pPr>
              <w:pStyle w:val="ListParagraph"/>
              <w:numPr>
                <w:ilvl w:val="0"/>
                <w:numId w:val="24"/>
              </w:numPr>
              <w:spacing w:after="120"/>
              <w:ind w:left="357" w:hanging="357"/>
            </w:pPr>
            <w:r>
              <w:rPr>
                <w:rFonts w:cs="Arial"/>
                <w:sz w:val="20"/>
                <w:szCs w:val="20"/>
              </w:rPr>
              <w:t>The proposal indicates that brine and salt concentrate could potentially be stored below ground within the extracted coal seam. M</w:t>
            </w:r>
            <w:r w:rsidRPr="00787AD5">
              <w:rPr>
                <w:rFonts w:cs="Arial"/>
                <w:sz w:val="20"/>
                <w:szCs w:val="20"/>
              </w:rPr>
              <w:t xml:space="preserve">onitoring of groundwater quality, particularly in relation to the </w:t>
            </w:r>
            <w:r w:rsidR="00870ECB">
              <w:rPr>
                <w:rFonts w:cs="Arial"/>
                <w:sz w:val="20"/>
                <w:szCs w:val="20"/>
              </w:rPr>
              <w:t>storage of salt concentrate, along with</w:t>
            </w:r>
            <w:r w:rsidRPr="00787AD5">
              <w:rPr>
                <w:rFonts w:cs="Arial"/>
                <w:sz w:val="20"/>
                <w:szCs w:val="20"/>
              </w:rPr>
              <w:t xml:space="preserve"> mitigation measures</w:t>
            </w:r>
            <w:r w:rsidR="00870ECB">
              <w:rPr>
                <w:rFonts w:cs="Arial"/>
                <w:sz w:val="20"/>
                <w:szCs w:val="20"/>
              </w:rPr>
              <w:t xml:space="preserve">, </w:t>
            </w:r>
            <w:r w:rsidR="00D23D36">
              <w:rPr>
                <w:rFonts w:cs="Arial"/>
                <w:sz w:val="20"/>
                <w:szCs w:val="20"/>
              </w:rPr>
              <w:t>would be required</w:t>
            </w:r>
            <w:r w:rsidRPr="00787AD5">
              <w:rPr>
                <w:rFonts w:cs="Arial"/>
                <w:sz w:val="20"/>
                <w:szCs w:val="20"/>
              </w:rPr>
              <w:t xml:space="preserve"> to ensure water quality is not degraded. </w:t>
            </w:r>
            <w:r>
              <w:rPr>
                <w:rFonts w:cs="Arial"/>
                <w:sz w:val="20"/>
                <w:szCs w:val="20"/>
              </w:rPr>
              <w:t>Contamination of the regional groundwater supply co</w:t>
            </w:r>
            <w:r w:rsidR="00D260DD">
              <w:rPr>
                <w:rFonts w:cs="Arial"/>
                <w:sz w:val="20"/>
                <w:szCs w:val="20"/>
              </w:rPr>
              <w:t xml:space="preserve">uld have severe ramifications </w:t>
            </w:r>
            <w:r w:rsidR="00AD2904">
              <w:rPr>
                <w:rFonts w:cs="Arial"/>
                <w:sz w:val="20"/>
                <w:szCs w:val="20"/>
              </w:rPr>
              <w:t>for</w:t>
            </w:r>
            <w:r>
              <w:rPr>
                <w:rFonts w:cs="Arial"/>
                <w:sz w:val="20"/>
                <w:szCs w:val="20"/>
              </w:rPr>
              <w:t xml:space="preserve"> the </w:t>
            </w:r>
            <w:r w:rsidR="00D260DD">
              <w:rPr>
                <w:rFonts w:cs="Arial"/>
                <w:sz w:val="20"/>
                <w:szCs w:val="20"/>
              </w:rPr>
              <w:t xml:space="preserve">water quality of the </w:t>
            </w:r>
            <w:r>
              <w:rPr>
                <w:rFonts w:cs="Arial"/>
                <w:sz w:val="20"/>
                <w:szCs w:val="20"/>
              </w:rPr>
              <w:t>Gosford-Wyong Water S</w:t>
            </w:r>
            <w:r w:rsidRPr="00787AD5">
              <w:rPr>
                <w:rFonts w:cs="Arial"/>
                <w:sz w:val="20"/>
                <w:szCs w:val="20"/>
              </w:rPr>
              <w:t xml:space="preserve">upply </w:t>
            </w:r>
            <w:r>
              <w:rPr>
                <w:rFonts w:cs="Arial"/>
                <w:sz w:val="20"/>
                <w:szCs w:val="20"/>
              </w:rPr>
              <w:t>S</w:t>
            </w:r>
            <w:r w:rsidRPr="00787AD5">
              <w:rPr>
                <w:rFonts w:cs="Arial"/>
                <w:sz w:val="20"/>
                <w:szCs w:val="20"/>
              </w:rPr>
              <w:t>cheme</w:t>
            </w:r>
            <w:r w:rsidRPr="00455DC0">
              <w:rPr>
                <w:rFonts w:cs="Arial"/>
                <w:sz w:val="20"/>
                <w:szCs w:val="20"/>
              </w:rPr>
              <w:t>.</w:t>
            </w:r>
            <w:r w:rsidR="00FF401D" w:rsidRPr="00455DC0">
              <w:rPr>
                <w:rFonts w:cs="Arial"/>
                <w:sz w:val="20"/>
                <w:szCs w:val="20"/>
              </w:rPr>
              <w:t xml:space="preserve"> Due to the potential risk involved, a rigorous groundwater monitoring system is needed to </w:t>
            </w:r>
            <w:r w:rsidR="00F82BC8">
              <w:rPr>
                <w:rFonts w:cs="Arial"/>
                <w:sz w:val="20"/>
                <w:szCs w:val="20"/>
              </w:rPr>
              <w:t xml:space="preserve">identify and then </w:t>
            </w:r>
            <w:r w:rsidR="00FF401D" w:rsidRPr="00455DC0">
              <w:rPr>
                <w:rFonts w:cs="Arial"/>
                <w:sz w:val="20"/>
                <w:szCs w:val="20"/>
              </w:rPr>
              <w:t xml:space="preserve">mitigate </w:t>
            </w:r>
            <w:r w:rsidR="00755B51" w:rsidRPr="00455DC0">
              <w:rPr>
                <w:rFonts w:cs="Arial"/>
                <w:sz w:val="20"/>
                <w:szCs w:val="20"/>
              </w:rPr>
              <w:t>any impacts.</w:t>
            </w:r>
          </w:p>
          <w:p w:rsidR="00A65588" w:rsidRPr="00A65588" w:rsidRDefault="007470B1" w:rsidP="000A5E43">
            <w:pPr>
              <w:pStyle w:val="ListParagraph"/>
              <w:numPr>
                <w:ilvl w:val="0"/>
                <w:numId w:val="24"/>
              </w:numPr>
              <w:spacing w:after="120"/>
              <w:ind w:left="357" w:hanging="357"/>
            </w:pPr>
            <w:r>
              <w:rPr>
                <w:rFonts w:cs="Arial"/>
                <w:sz w:val="20"/>
                <w:szCs w:val="20"/>
              </w:rPr>
              <w:t>It is recommended that the proponent</w:t>
            </w:r>
            <w:r w:rsidR="0077460A" w:rsidRPr="0085484F">
              <w:rPr>
                <w:rFonts w:cs="Arial"/>
                <w:sz w:val="20"/>
                <w:szCs w:val="20"/>
              </w:rPr>
              <w:t xml:space="preserve"> </w:t>
            </w:r>
            <w:r w:rsidR="0077460A">
              <w:rPr>
                <w:rFonts w:cs="Arial"/>
                <w:sz w:val="20"/>
                <w:szCs w:val="20"/>
              </w:rPr>
              <w:t>develop</w:t>
            </w:r>
            <w:r w:rsidR="0077460A" w:rsidRPr="0085484F">
              <w:rPr>
                <w:rFonts w:cs="Arial"/>
                <w:sz w:val="20"/>
                <w:szCs w:val="20"/>
              </w:rPr>
              <w:t xml:space="preserve"> </w:t>
            </w:r>
            <w:r>
              <w:rPr>
                <w:rFonts w:cs="Arial"/>
                <w:sz w:val="20"/>
                <w:szCs w:val="20"/>
              </w:rPr>
              <w:t>a</w:t>
            </w:r>
            <w:r w:rsidR="0077460A">
              <w:rPr>
                <w:rFonts w:cs="Arial"/>
                <w:sz w:val="20"/>
                <w:szCs w:val="20"/>
              </w:rPr>
              <w:t xml:space="preserve"> </w:t>
            </w:r>
            <w:r w:rsidR="004409DB">
              <w:rPr>
                <w:rFonts w:cs="Arial"/>
                <w:sz w:val="20"/>
                <w:szCs w:val="20"/>
              </w:rPr>
              <w:t>post-</w:t>
            </w:r>
            <w:r w:rsidR="0077460A">
              <w:rPr>
                <w:rFonts w:cs="Arial"/>
                <w:sz w:val="20"/>
                <w:szCs w:val="20"/>
              </w:rPr>
              <w:t xml:space="preserve">mine management plan </w:t>
            </w:r>
            <w:r w:rsidR="0077460A" w:rsidRPr="0085484F">
              <w:rPr>
                <w:rFonts w:cs="Arial"/>
                <w:sz w:val="20"/>
                <w:szCs w:val="20"/>
              </w:rPr>
              <w:t>to reduce the impacts on water resources from continued depressurisation after mining</w:t>
            </w:r>
            <w:r w:rsidR="0077460A">
              <w:rPr>
                <w:rFonts w:cs="Arial"/>
                <w:sz w:val="20"/>
                <w:szCs w:val="20"/>
              </w:rPr>
              <w:t>. T</w:t>
            </w:r>
            <w:r w:rsidR="0077460A" w:rsidRPr="0085484F">
              <w:rPr>
                <w:rFonts w:cs="Arial"/>
                <w:sz w:val="20"/>
                <w:szCs w:val="20"/>
              </w:rPr>
              <w:t xml:space="preserve">he </w:t>
            </w:r>
            <w:r w:rsidR="0077460A">
              <w:rPr>
                <w:rFonts w:cs="Arial"/>
                <w:sz w:val="20"/>
                <w:szCs w:val="20"/>
              </w:rPr>
              <w:t xml:space="preserve">predicted </w:t>
            </w:r>
            <w:r w:rsidR="0079421A">
              <w:rPr>
                <w:rFonts w:cs="Arial"/>
                <w:sz w:val="20"/>
                <w:szCs w:val="20"/>
              </w:rPr>
              <w:t xml:space="preserve">continued depressurisation </w:t>
            </w:r>
            <w:r w:rsidR="0077460A">
              <w:rPr>
                <w:rFonts w:cs="Arial"/>
                <w:sz w:val="20"/>
                <w:szCs w:val="20"/>
              </w:rPr>
              <w:t>500 years after cessation</w:t>
            </w:r>
            <w:r w:rsidR="0077460A" w:rsidRPr="0085484F">
              <w:rPr>
                <w:rFonts w:cs="Arial"/>
                <w:sz w:val="20"/>
                <w:szCs w:val="20"/>
              </w:rPr>
              <w:t xml:space="preserve"> is likely to impact the surrounding water extraction sources by c</w:t>
            </w:r>
            <w:r w:rsidR="0077460A">
              <w:rPr>
                <w:rFonts w:cs="Arial"/>
                <w:sz w:val="20"/>
                <w:szCs w:val="20"/>
              </w:rPr>
              <w:t>reating a groundwater sink, having the</w:t>
            </w:r>
            <w:r w:rsidR="0077460A" w:rsidRPr="0085484F">
              <w:rPr>
                <w:rFonts w:cs="Arial"/>
                <w:sz w:val="20"/>
                <w:szCs w:val="20"/>
              </w:rPr>
              <w:t xml:space="preserve"> potential </w:t>
            </w:r>
            <w:r w:rsidR="0077460A">
              <w:rPr>
                <w:rFonts w:cs="Arial"/>
                <w:sz w:val="20"/>
                <w:szCs w:val="20"/>
              </w:rPr>
              <w:t xml:space="preserve">to </w:t>
            </w:r>
            <w:r w:rsidR="0077460A" w:rsidRPr="0085484F">
              <w:rPr>
                <w:rFonts w:cs="Arial"/>
                <w:sz w:val="20"/>
                <w:szCs w:val="20"/>
              </w:rPr>
              <w:t>impact on existing groundwater bores and</w:t>
            </w:r>
            <w:r w:rsidR="004409DB">
              <w:rPr>
                <w:rFonts w:cs="Arial"/>
                <w:sz w:val="20"/>
                <w:szCs w:val="20"/>
              </w:rPr>
              <w:t xml:space="preserve"> to contribute to</w:t>
            </w:r>
            <w:r w:rsidR="0077460A" w:rsidRPr="0085484F">
              <w:rPr>
                <w:rFonts w:cs="Arial"/>
                <w:sz w:val="20"/>
                <w:szCs w:val="20"/>
              </w:rPr>
              <w:t xml:space="preserve"> cumulative impacts with surrounding mines.</w:t>
            </w:r>
          </w:p>
          <w:p w:rsidR="0077460A" w:rsidRPr="004977DF" w:rsidRDefault="0077460A" w:rsidP="00D1682C">
            <w:pPr>
              <w:pStyle w:val="ListParagraph"/>
              <w:numPr>
                <w:ilvl w:val="0"/>
                <w:numId w:val="24"/>
              </w:numPr>
              <w:ind w:left="357" w:hanging="357"/>
              <w:rPr>
                <w:rFonts w:cs="Arial"/>
                <w:sz w:val="20"/>
                <w:szCs w:val="20"/>
              </w:rPr>
            </w:pPr>
            <w:r>
              <w:rPr>
                <w:rFonts w:cs="Arial"/>
                <w:sz w:val="20"/>
                <w:szCs w:val="20"/>
              </w:rPr>
              <w:t>T</w:t>
            </w:r>
            <w:r w:rsidRPr="007A4864">
              <w:rPr>
                <w:rFonts w:cs="Arial"/>
                <w:sz w:val="20"/>
                <w:szCs w:val="20"/>
              </w:rPr>
              <w:t>he</w:t>
            </w:r>
            <w:r w:rsidR="00CA6403">
              <w:rPr>
                <w:rFonts w:cs="Arial"/>
                <w:sz w:val="20"/>
                <w:szCs w:val="20"/>
              </w:rPr>
              <w:t>re is insufficient evidence to support the</w:t>
            </w:r>
            <w:r w:rsidRPr="007A4864">
              <w:rPr>
                <w:rFonts w:cs="Arial"/>
                <w:sz w:val="20"/>
                <w:szCs w:val="20"/>
              </w:rPr>
              <w:t xml:space="preserve"> proponent’s conclusion of negli</w:t>
            </w:r>
            <w:r w:rsidR="00CA6403">
              <w:rPr>
                <w:rFonts w:cs="Arial"/>
                <w:sz w:val="20"/>
                <w:szCs w:val="20"/>
              </w:rPr>
              <w:t>gible cumulative impacts</w:t>
            </w:r>
            <w:r w:rsidRPr="007A4864">
              <w:rPr>
                <w:rFonts w:cs="Arial"/>
                <w:sz w:val="20"/>
                <w:szCs w:val="20"/>
              </w:rPr>
              <w:t xml:space="preserve">. In particular, the potential cumulative impacts brought about by the </w:t>
            </w:r>
            <w:r>
              <w:rPr>
                <w:rFonts w:cs="Arial"/>
                <w:sz w:val="20"/>
                <w:szCs w:val="20"/>
              </w:rPr>
              <w:t xml:space="preserve">potential </w:t>
            </w:r>
            <w:r w:rsidRPr="007A4864">
              <w:rPr>
                <w:rFonts w:cs="Arial"/>
                <w:sz w:val="20"/>
                <w:szCs w:val="20"/>
              </w:rPr>
              <w:t>Mandalong Southern Extension Project</w:t>
            </w:r>
            <w:r>
              <w:rPr>
                <w:rFonts w:cs="Arial"/>
                <w:sz w:val="20"/>
                <w:szCs w:val="20"/>
              </w:rPr>
              <w:t xml:space="preserve"> are likely to have impacts within the Jilliby Jilliby Creek Catchment</w:t>
            </w:r>
            <w:r w:rsidRPr="007A4864">
              <w:rPr>
                <w:rFonts w:cs="Arial"/>
                <w:sz w:val="20"/>
                <w:szCs w:val="20"/>
              </w:rPr>
              <w:t xml:space="preserve">. </w:t>
            </w:r>
            <w:r>
              <w:rPr>
                <w:rFonts w:cs="Arial"/>
                <w:sz w:val="20"/>
                <w:szCs w:val="20"/>
              </w:rPr>
              <w:t>It is recommend</w:t>
            </w:r>
            <w:r w:rsidR="004409DB">
              <w:rPr>
                <w:rFonts w:cs="Arial"/>
                <w:sz w:val="20"/>
                <w:szCs w:val="20"/>
              </w:rPr>
              <w:t>ed</w:t>
            </w:r>
            <w:r>
              <w:rPr>
                <w:rFonts w:cs="Arial"/>
                <w:sz w:val="20"/>
                <w:szCs w:val="20"/>
              </w:rPr>
              <w:t xml:space="preserve"> that an</w:t>
            </w:r>
            <w:r w:rsidRPr="007A4864">
              <w:rPr>
                <w:rFonts w:cs="Arial"/>
                <w:sz w:val="20"/>
                <w:szCs w:val="20"/>
              </w:rPr>
              <w:t xml:space="preserve"> assessment of cumulative groundwater and surface water impacts be undertaken, inc</w:t>
            </w:r>
            <w:r>
              <w:rPr>
                <w:rFonts w:cs="Arial"/>
                <w:sz w:val="20"/>
                <w:szCs w:val="20"/>
              </w:rPr>
              <w:t>orporating where possible current and future</w:t>
            </w:r>
            <w:r w:rsidRPr="007A4864">
              <w:rPr>
                <w:rFonts w:cs="Arial"/>
                <w:sz w:val="20"/>
                <w:szCs w:val="20"/>
              </w:rPr>
              <w:t xml:space="preserve"> mining </w:t>
            </w:r>
            <w:r>
              <w:rPr>
                <w:rFonts w:cs="Arial"/>
                <w:sz w:val="20"/>
                <w:szCs w:val="20"/>
              </w:rPr>
              <w:t>and other extractive industries.</w:t>
            </w:r>
          </w:p>
          <w:p w:rsidR="0077460A" w:rsidRPr="0002593E" w:rsidRDefault="004E23DF" w:rsidP="004E23DF">
            <w:pPr>
              <w:pStyle w:val="ListParagraph"/>
              <w:numPr>
                <w:ilvl w:val="0"/>
                <w:numId w:val="24"/>
              </w:numPr>
              <w:ind w:left="357" w:hanging="357"/>
              <w:rPr>
                <w:rFonts w:cs="Arial"/>
                <w:sz w:val="20"/>
                <w:szCs w:val="20"/>
              </w:rPr>
            </w:pPr>
            <w:r w:rsidRPr="0002593E">
              <w:rPr>
                <w:rFonts w:cs="Arial"/>
                <w:sz w:val="20"/>
                <w:szCs w:val="20"/>
              </w:rPr>
              <w:t xml:space="preserve">The proponent’s </w:t>
            </w:r>
            <w:r w:rsidR="00002185" w:rsidRPr="0002593E">
              <w:rPr>
                <w:rFonts w:cs="Arial"/>
                <w:sz w:val="20"/>
                <w:szCs w:val="20"/>
              </w:rPr>
              <w:t>assessments</w:t>
            </w:r>
            <w:r w:rsidRPr="0002593E">
              <w:rPr>
                <w:rFonts w:cs="Arial"/>
                <w:sz w:val="20"/>
                <w:szCs w:val="20"/>
              </w:rPr>
              <w:t xml:space="preserve"> regarding the extent of aquifer connectivity are not justified by the data </w:t>
            </w:r>
            <w:r w:rsidRPr="0002593E">
              <w:rPr>
                <w:rFonts w:cs="Arial"/>
                <w:sz w:val="20"/>
                <w:szCs w:val="20"/>
              </w:rPr>
              <w:lastRenderedPageBreak/>
              <w:t xml:space="preserve">provided in the </w:t>
            </w:r>
            <w:r w:rsidR="007A4EEB">
              <w:rPr>
                <w:rFonts w:cs="Arial"/>
                <w:sz w:val="20"/>
                <w:szCs w:val="20"/>
              </w:rPr>
              <w:t>project assessment documentation</w:t>
            </w:r>
            <w:r w:rsidRPr="0002593E">
              <w:rPr>
                <w:rFonts w:cs="Arial"/>
                <w:sz w:val="20"/>
                <w:szCs w:val="20"/>
              </w:rPr>
              <w:t>. To increase confidence in the proponent’s assessment of aquifer connectivity, further data collection or validation is needed, both from within the extraction area and at a regional level.</w:t>
            </w:r>
          </w:p>
          <w:p w:rsidR="001B490F" w:rsidRPr="001B490F" w:rsidRDefault="001B490F" w:rsidP="00E70590">
            <w:pPr>
              <w:pStyle w:val="ListParagraph"/>
              <w:numPr>
                <w:ilvl w:val="0"/>
                <w:numId w:val="24"/>
              </w:numPr>
              <w:spacing w:after="120"/>
              <w:ind w:left="357" w:hanging="357"/>
              <w:rPr>
                <w:sz w:val="20"/>
                <w:szCs w:val="20"/>
              </w:rPr>
            </w:pPr>
            <w:r w:rsidRPr="001B490F">
              <w:rPr>
                <w:sz w:val="20"/>
                <w:szCs w:val="20"/>
              </w:rPr>
              <w:t>The proposed</w:t>
            </w:r>
            <w:r w:rsidRPr="001B490F">
              <w:rPr>
                <w:i/>
                <w:iCs/>
                <w:sz w:val="20"/>
                <w:szCs w:val="20"/>
              </w:rPr>
              <w:t xml:space="preserve"> </w:t>
            </w:r>
            <w:r w:rsidRPr="001B490F">
              <w:rPr>
                <w:sz w:val="20"/>
                <w:szCs w:val="20"/>
                <w:lang w:val="en-US"/>
              </w:rPr>
              <w:t xml:space="preserve">project area includes both threatened and vulnerable flora and fauna species listed under the EPBC Act. </w:t>
            </w:r>
            <w:r w:rsidR="006F7355">
              <w:rPr>
                <w:sz w:val="20"/>
                <w:szCs w:val="20"/>
                <w:lang w:val="en-US"/>
              </w:rPr>
              <w:t>T</w:t>
            </w:r>
            <w:r w:rsidRPr="001B490F">
              <w:rPr>
                <w:sz w:val="20"/>
                <w:szCs w:val="20"/>
                <w:lang w:val="en-US"/>
              </w:rPr>
              <w:t>he</w:t>
            </w:r>
            <w:r w:rsidR="00587908">
              <w:rPr>
                <w:sz w:val="20"/>
                <w:szCs w:val="20"/>
                <w:lang w:val="en-US"/>
              </w:rPr>
              <w:t xml:space="preserve"> proposal could directly impact</w:t>
            </w:r>
            <w:r w:rsidRPr="001B490F">
              <w:rPr>
                <w:sz w:val="20"/>
                <w:szCs w:val="20"/>
                <w:lang w:val="en-US"/>
              </w:rPr>
              <w:t xml:space="preserve"> populations of EPBC </w:t>
            </w:r>
            <w:r w:rsidR="004E5DE8">
              <w:rPr>
                <w:sz w:val="20"/>
                <w:szCs w:val="20"/>
                <w:lang w:val="en-US"/>
              </w:rPr>
              <w:t xml:space="preserve">Act </w:t>
            </w:r>
            <w:r w:rsidRPr="001B490F">
              <w:rPr>
                <w:sz w:val="20"/>
                <w:szCs w:val="20"/>
                <w:lang w:val="en-US"/>
              </w:rPr>
              <w:t>listed water dependent species present or potentially present within the proposed project boundary, specifically:</w:t>
            </w:r>
          </w:p>
          <w:p w:rsidR="001B490F" w:rsidRDefault="001B490F" w:rsidP="00E70590">
            <w:pPr>
              <w:pStyle w:val="ListParagraph"/>
              <w:numPr>
                <w:ilvl w:val="0"/>
                <w:numId w:val="27"/>
              </w:numPr>
              <w:spacing w:after="120"/>
              <w:ind w:left="1111" w:hanging="357"/>
              <w:rPr>
                <w:sz w:val="20"/>
                <w:szCs w:val="20"/>
                <w:lang w:val="en-US"/>
              </w:rPr>
            </w:pPr>
            <w:r>
              <w:rPr>
                <w:sz w:val="20"/>
                <w:szCs w:val="20"/>
                <w:lang w:val="en-US"/>
              </w:rPr>
              <w:t xml:space="preserve">two fish species – </w:t>
            </w:r>
            <w:r>
              <w:rPr>
                <w:sz w:val="20"/>
                <w:szCs w:val="20"/>
              </w:rPr>
              <w:t>Australian Grayling (</w:t>
            </w:r>
            <w:r>
              <w:rPr>
                <w:i/>
                <w:iCs/>
                <w:sz w:val="20"/>
                <w:szCs w:val="20"/>
              </w:rPr>
              <w:t>Prototroctes maraena</w:t>
            </w:r>
            <w:r>
              <w:rPr>
                <w:sz w:val="20"/>
                <w:szCs w:val="20"/>
              </w:rPr>
              <w:t>)</w:t>
            </w:r>
            <w:r>
              <w:rPr>
                <w:i/>
                <w:iCs/>
                <w:sz w:val="20"/>
                <w:szCs w:val="20"/>
              </w:rPr>
              <w:t xml:space="preserve"> </w:t>
            </w:r>
            <w:r>
              <w:rPr>
                <w:sz w:val="20"/>
                <w:szCs w:val="20"/>
              </w:rPr>
              <w:t>and the Macquarie perch (</w:t>
            </w:r>
            <w:r>
              <w:rPr>
                <w:i/>
                <w:iCs/>
                <w:sz w:val="20"/>
                <w:szCs w:val="20"/>
              </w:rPr>
              <w:t>Macquaria australasica</w:t>
            </w:r>
            <w:r>
              <w:rPr>
                <w:sz w:val="20"/>
                <w:szCs w:val="20"/>
              </w:rPr>
              <w:t>)</w:t>
            </w:r>
            <w:r w:rsidR="00E6713C">
              <w:rPr>
                <w:sz w:val="20"/>
                <w:szCs w:val="20"/>
              </w:rPr>
              <w:t>;</w:t>
            </w:r>
          </w:p>
          <w:p w:rsidR="001B490F" w:rsidRDefault="001B490F" w:rsidP="00E70590">
            <w:pPr>
              <w:pStyle w:val="ListParagraph"/>
              <w:numPr>
                <w:ilvl w:val="0"/>
                <w:numId w:val="27"/>
              </w:numPr>
              <w:spacing w:after="120"/>
              <w:ind w:left="1111" w:hanging="357"/>
              <w:rPr>
                <w:sz w:val="20"/>
                <w:szCs w:val="20"/>
                <w:lang w:val="en-US"/>
              </w:rPr>
            </w:pPr>
            <w:r>
              <w:rPr>
                <w:sz w:val="20"/>
                <w:szCs w:val="20"/>
                <w:lang w:val="en-US"/>
              </w:rPr>
              <w:t>four frog species – Littlejohn’s Tree Frog (</w:t>
            </w:r>
            <w:r>
              <w:rPr>
                <w:i/>
                <w:iCs/>
                <w:sz w:val="20"/>
                <w:szCs w:val="20"/>
                <w:lang w:val="en-US"/>
              </w:rPr>
              <w:t>Litoria littlejohni</w:t>
            </w:r>
            <w:r>
              <w:rPr>
                <w:sz w:val="20"/>
                <w:szCs w:val="20"/>
                <w:lang w:val="en-US"/>
              </w:rPr>
              <w:t>), the Stuttering Frog (</w:t>
            </w:r>
            <w:r>
              <w:rPr>
                <w:i/>
                <w:iCs/>
                <w:sz w:val="20"/>
                <w:szCs w:val="20"/>
                <w:lang w:val="en-US"/>
              </w:rPr>
              <w:t>Mixophyes balbus</w:t>
            </w:r>
            <w:r>
              <w:rPr>
                <w:sz w:val="20"/>
                <w:szCs w:val="20"/>
                <w:lang w:val="en-US"/>
              </w:rPr>
              <w:t xml:space="preserve">), the </w:t>
            </w:r>
            <w:r>
              <w:rPr>
                <w:sz w:val="20"/>
                <w:szCs w:val="20"/>
              </w:rPr>
              <w:t>Giant Barred Frog (</w:t>
            </w:r>
            <w:r>
              <w:rPr>
                <w:i/>
                <w:iCs/>
                <w:sz w:val="20"/>
                <w:szCs w:val="20"/>
              </w:rPr>
              <w:t>Dasyurus maculates maculates</w:t>
            </w:r>
            <w:r>
              <w:rPr>
                <w:sz w:val="20"/>
                <w:szCs w:val="20"/>
              </w:rPr>
              <w:t>) and the Green and Golden Bell Frog (</w:t>
            </w:r>
            <w:r>
              <w:rPr>
                <w:i/>
                <w:iCs/>
                <w:sz w:val="20"/>
                <w:szCs w:val="20"/>
              </w:rPr>
              <w:t>Litoria aurea</w:t>
            </w:r>
            <w:r>
              <w:rPr>
                <w:sz w:val="20"/>
                <w:szCs w:val="20"/>
              </w:rPr>
              <w:t>)</w:t>
            </w:r>
            <w:r w:rsidR="004409DB">
              <w:rPr>
                <w:sz w:val="20"/>
                <w:szCs w:val="20"/>
              </w:rPr>
              <w:t>,</w:t>
            </w:r>
            <w:r w:rsidR="00E6713C">
              <w:rPr>
                <w:sz w:val="20"/>
                <w:szCs w:val="20"/>
              </w:rPr>
              <w:t xml:space="preserve"> and</w:t>
            </w:r>
            <w:r w:rsidR="004409DB">
              <w:rPr>
                <w:sz w:val="20"/>
                <w:szCs w:val="20"/>
              </w:rPr>
              <w:t>;</w:t>
            </w:r>
          </w:p>
          <w:p w:rsidR="001B490F" w:rsidRPr="001B490F" w:rsidRDefault="00301ACF" w:rsidP="00E70590">
            <w:pPr>
              <w:pStyle w:val="ListParagraph"/>
              <w:numPr>
                <w:ilvl w:val="0"/>
                <w:numId w:val="27"/>
              </w:numPr>
              <w:spacing w:after="120"/>
              <w:ind w:left="1111" w:hanging="357"/>
              <w:rPr>
                <w:sz w:val="20"/>
                <w:szCs w:val="20"/>
                <w:lang w:val="en-US"/>
              </w:rPr>
            </w:pPr>
            <w:r>
              <w:rPr>
                <w:sz w:val="20"/>
                <w:szCs w:val="20"/>
                <w:lang w:val="en-US"/>
              </w:rPr>
              <w:t xml:space="preserve">one </w:t>
            </w:r>
            <w:r w:rsidR="001B490F">
              <w:rPr>
                <w:sz w:val="20"/>
                <w:szCs w:val="20"/>
                <w:lang w:val="en-US"/>
              </w:rPr>
              <w:t>groundwater dependent ecosystem – Biconvex Paperbark [paperbark swamp] (</w:t>
            </w:r>
            <w:r w:rsidR="001B490F">
              <w:rPr>
                <w:i/>
                <w:iCs/>
                <w:sz w:val="20"/>
                <w:szCs w:val="20"/>
                <w:lang w:val="en-US"/>
              </w:rPr>
              <w:t>Melaleuca biconvex</w:t>
            </w:r>
            <w:r w:rsidR="001B490F">
              <w:rPr>
                <w:sz w:val="20"/>
                <w:szCs w:val="20"/>
                <w:lang w:val="en-US"/>
              </w:rPr>
              <w:t>)</w:t>
            </w:r>
            <w:r w:rsidR="00E6713C">
              <w:rPr>
                <w:sz w:val="20"/>
                <w:szCs w:val="20"/>
                <w:lang w:val="en-US"/>
              </w:rPr>
              <w:t>.</w:t>
            </w:r>
          </w:p>
          <w:p w:rsidR="001B490F" w:rsidRPr="001B490F" w:rsidRDefault="001B490F" w:rsidP="00E70590">
            <w:pPr>
              <w:pStyle w:val="ListParagraph"/>
              <w:numPr>
                <w:ilvl w:val="0"/>
                <w:numId w:val="0"/>
              </w:numPr>
              <w:spacing w:after="120"/>
              <w:ind w:left="391"/>
              <w:rPr>
                <w:sz w:val="20"/>
                <w:szCs w:val="20"/>
                <w:lang w:val="en-US"/>
              </w:rPr>
            </w:pPr>
            <w:r>
              <w:rPr>
                <w:sz w:val="20"/>
                <w:szCs w:val="20"/>
                <w:lang w:val="en-US"/>
              </w:rPr>
              <w:t xml:space="preserve">The proposal may also directly impact the existing populations of </w:t>
            </w:r>
            <w:r>
              <w:rPr>
                <w:sz w:val="20"/>
                <w:szCs w:val="20"/>
              </w:rPr>
              <w:t>N</w:t>
            </w:r>
            <w:r w:rsidR="004E5DE8">
              <w:rPr>
                <w:sz w:val="20"/>
                <w:szCs w:val="20"/>
              </w:rPr>
              <w:t xml:space="preserve">ew </w:t>
            </w:r>
            <w:r>
              <w:rPr>
                <w:sz w:val="20"/>
                <w:szCs w:val="20"/>
              </w:rPr>
              <w:t>S</w:t>
            </w:r>
            <w:r w:rsidR="004E5DE8">
              <w:rPr>
                <w:sz w:val="20"/>
                <w:szCs w:val="20"/>
              </w:rPr>
              <w:t xml:space="preserve">outh </w:t>
            </w:r>
            <w:r>
              <w:rPr>
                <w:sz w:val="20"/>
                <w:szCs w:val="20"/>
              </w:rPr>
              <w:t>W</w:t>
            </w:r>
            <w:r w:rsidR="004E5DE8">
              <w:rPr>
                <w:sz w:val="20"/>
                <w:szCs w:val="20"/>
              </w:rPr>
              <w:t>ales</w:t>
            </w:r>
            <w:r>
              <w:rPr>
                <w:sz w:val="20"/>
                <w:szCs w:val="20"/>
              </w:rPr>
              <w:t xml:space="preserve"> </w:t>
            </w:r>
            <w:r w:rsidR="005574FB" w:rsidRPr="005574FB">
              <w:rPr>
                <w:i/>
                <w:sz w:val="20"/>
                <w:szCs w:val="20"/>
              </w:rPr>
              <w:t>Threatened Species Conservation Act 1995</w:t>
            </w:r>
            <w:r>
              <w:rPr>
                <w:sz w:val="20"/>
                <w:szCs w:val="20"/>
                <w:lang w:val="en-US"/>
              </w:rPr>
              <w:t xml:space="preserve"> listed water dependent species present or potentially present within the proposed project boundary, specifically:</w:t>
            </w:r>
          </w:p>
          <w:p w:rsidR="001B490F" w:rsidRDefault="001B490F" w:rsidP="00E70590">
            <w:pPr>
              <w:pStyle w:val="ListParagraph"/>
              <w:numPr>
                <w:ilvl w:val="0"/>
                <w:numId w:val="27"/>
              </w:numPr>
              <w:spacing w:after="120"/>
              <w:ind w:left="1111" w:hanging="357"/>
              <w:rPr>
                <w:sz w:val="20"/>
                <w:szCs w:val="20"/>
                <w:lang w:val="en-US"/>
              </w:rPr>
            </w:pPr>
            <w:r>
              <w:rPr>
                <w:sz w:val="20"/>
                <w:szCs w:val="20"/>
                <w:lang w:val="en-US"/>
              </w:rPr>
              <w:t>the Wallum Froglet (</w:t>
            </w:r>
            <w:r>
              <w:rPr>
                <w:i/>
                <w:iCs/>
                <w:sz w:val="20"/>
                <w:szCs w:val="20"/>
                <w:lang w:val="en-US"/>
              </w:rPr>
              <w:t>Crinia tinnula</w:t>
            </w:r>
            <w:r w:rsidR="001D1A3A">
              <w:rPr>
                <w:sz w:val="20"/>
                <w:szCs w:val="20"/>
                <w:lang w:val="en-US"/>
              </w:rPr>
              <w:t>)</w:t>
            </w:r>
            <w:r w:rsidR="004409DB">
              <w:rPr>
                <w:sz w:val="20"/>
                <w:szCs w:val="20"/>
                <w:lang w:val="en-US"/>
              </w:rPr>
              <w:t xml:space="preserve">, </w:t>
            </w:r>
            <w:r w:rsidR="00E6713C">
              <w:rPr>
                <w:sz w:val="20"/>
                <w:szCs w:val="20"/>
                <w:lang w:val="en-US"/>
              </w:rPr>
              <w:t>and;</w:t>
            </w:r>
          </w:p>
          <w:p w:rsidR="001B490F" w:rsidRPr="001B490F" w:rsidRDefault="001B490F" w:rsidP="00E70590">
            <w:pPr>
              <w:pStyle w:val="ListParagraph"/>
              <w:numPr>
                <w:ilvl w:val="0"/>
                <w:numId w:val="27"/>
              </w:numPr>
              <w:spacing w:after="120"/>
              <w:ind w:left="1111" w:hanging="357"/>
              <w:rPr>
                <w:sz w:val="20"/>
                <w:szCs w:val="20"/>
                <w:lang w:val="en-US"/>
              </w:rPr>
            </w:pPr>
            <w:r>
              <w:rPr>
                <w:sz w:val="20"/>
                <w:szCs w:val="20"/>
                <w:lang w:val="en-US"/>
              </w:rPr>
              <w:t>two dragonfly species – the Adams emerald dragonfly (</w:t>
            </w:r>
            <w:r>
              <w:rPr>
                <w:i/>
                <w:iCs/>
                <w:sz w:val="20"/>
                <w:szCs w:val="20"/>
                <w:lang w:val="en-US"/>
              </w:rPr>
              <w:t>Archaeophya adamsi</w:t>
            </w:r>
            <w:r>
              <w:rPr>
                <w:sz w:val="20"/>
                <w:szCs w:val="20"/>
                <w:lang w:val="en-US"/>
              </w:rPr>
              <w:t>) and the Giant dragonfly (</w:t>
            </w:r>
            <w:r>
              <w:rPr>
                <w:i/>
                <w:iCs/>
                <w:sz w:val="20"/>
                <w:szCs w:val="20"/>
                <w:lang w:val="en-US"/>
              </w:rPr>
              <w:t>Petalura gigantean</w:t>
            </w:r>
            <w:r>
              <w:rPr>
                <w:sz w:val="20"/>
                <w:szCs w:val="20"/>
                <w:lang w:val="en-US"/>
              </w:rPr>
              <w:t>)</w:t>
            </w:r>
            <w:r w:rsidR="00E6713C">
              <w:rPr>
                <w:sz w:val="20"/>
                <w:szCs w:val="20"/>
                <w:lang w:val="en-US"/>
              </w:rPr>
              <w:t>.</w:t>
            </w:r>
          </w:p>
          <w:p w:rsidR="0077460A" w:rsidRPr="001B490F" w:rsidRDefault="001B490F" w:rsidP="00D1682C">
            <w:pPr>
              <w:pStyle w:val="ListParagraph"/>
              <w:numPr>
                <w:ilvl w:val="0"/>
                <w:numId w:val="0"/>
              </w:numPr>
              <w:ind w:left="391"/>
              <w:rPr>
                <w:sz w:val="20"/>
                <w:szCs w:val="20"/>
                <w:lang w:val="en-US"/>
              </w:rPr>
            </w:pPr>
            <w:r>
              <w:rPr>
                <w:sz w:val="20"/>
                <w:szCs w:val="20"/>
              </w:rPr>
              <w:t>It is noted that an ecological monitoring program will be established as a component of the Biodiversity Management Plan. This plan is designed to monitor the ongoing status and health of flora and fauna communities that will be retained within the project</w:t>
            </w:r>
            <w:r w:rsidR="007A4EEB">
              <w:rPr>
                <w:sz w:val="20"/>
                <w:szCs w:val="20"/>
              </w:rPr>
              <w:t xml:space="preserve"> boundary. </w:t>
            </w:r>
            <w:r>
              <w:rPr>
                <w:sz w:val="20"/>
                <w:szCs w:val="20"/>
                <w:lang w:val="en-US"/>
              </w:rPr>
              <w:t>It is recommended that the Biodiversity Management Plan specify what mitigation measures are in place for the protection of EPBC Act listed species.</w:t>
            </w:r>
          </w:p>
          <w:p w:rsidR="0077460A" w:rsidRPr="007E6ACC" w:rsidRDefault="0077460A" w:rsidP="00237592">
            <w:pPr>
              <w:pStyle w:val="ListNumber"/>
              <w:spacing w:after="200" w:line="276" w:lineRule="auto"/>
              <w:ind w:left="0" w:firstLine="0"/>
              <w:rPr>
                <w:rFonts w:ascii="Arial" w:hAnsi="Arial" w:cs="Arial"/>
                <w:i/>
                <w:sz w:val="20"/>
                <w:szCs w:val="20"/>
              </w:rPr>
            </w:pPr>
            <w:r>
              <w:rPr>
                <w:rFonts w:ascii="Arial" w:hAnsi="Arial" w:cs="Arial"/>
                <w:i/>
                <w:sz w:val="20"/>
                <w:szCs w:val="20"/>
              </w:rPr>
              <w:t>Question 3</w:t>
            </w:r>
            <w:r w:rsidRPr="00CC0E32">
              <w:rPr>
                <w:rFonts w:ascii="Arial" w:hAnsi="Arial" w:cs="Arial"/>
                <w:i/>
                <w:sz w:val="20"/>
                <w:szCs w:val="20"/>
              </w:rPr>
              <w:t>: Does the Committee find the water balance and conclusions relating to water management provided by the proponent and attached</w:t>
            </w:r>
            <w:r>
              <w:rPr>
                <w:rFonts w:ascii="Arial" w:hAnsi="Arial" w:cs="Arial"/>
                <w:i/>
                <w:sz w:val="20"/>
                <w:szCs w:val="20"/>
              </w:rPr>
              <w:t xml:space="preserve"> to this brief to be reasonable?</w:t>
            </w:r>
          </w:p>
          <w:p w:rsidR="0077460A" w:rsidRPr="008D4DC3" w:rsidRDefault="006F7355" w:rsidP="00375032">
            <w:pPr>
              <w:pStyle w:val="ColorfulList-Accent11"/>
              <w:numPr>
                <w:ilvl w:val="0"/>
                <w:numId w:val="24"/>
              </w:numPr>
              <w:spacing w:after="120" w:line="276" w:lineRule="auto"/>
              <w:ind w:left="357" w:hanging="357"/>
              <w:rPr>
                <w:rFonts w:ascii="Arial" w:hAnsi="Arial" w:cs="Arial"/>
                <w:sz w:val="20"/>
                <w:szCs w:val="20"/>
              </w:rPr>
            </w:pPr>
            <w:r>
              <w:rPr>
                <w:rFonts w:ascii="Arial" w:hAnsi="Arial" w:cs="Arial"/>
                <w:sz w:val="20"/>
                <w:szCs w:val="20"/>
              </w:rPr>
              <w:t>A</w:t>
            </w:r>
            <w:r w:rsidR="0077460A" w:rsidRPr="008D4DC3">
              <w:rPr>
                <w:rFonts w:ascii="Arial" w:hAnsi="Arial" w:cs="Arial"/>
                <w:sz w:val="20"/>
                <w:szCs w:val="20"/>
              </w:rPr>
              <w:t xml:space="preserve"> regional water balance</w:t>
            </w:r>
            <w:r w:rsidR="007B67E8">
              <w:rPr>
                <w:rFonts w:ascii="Arial" w:hAnsi="Arial" w:cs="Arial"/>
                <w:sz w:val="20"/>
                <w:szCs w:val="20"/>
              </w:rPr>
              <w:t>,</w:t>
            </w:r>
            <w:r w:rsidR="00044CBF">
              <w:rPr>
                <w:rFonts w:ascii="Arial" w:hAnsi="Arial" w:cs="Arial"/>
                <w:sz w:val="20"/>
                <w:szCs w:val="20"/>
              </w:rPr>
              <w:t xml:space="preserve"> </w:t>
            </w:r>
            <w:r w:rsidR="007B67E8">
              <w:rPr>
                <w:rFonts w:ascii="Arial" w:hAnsi="Arial" w:cs="Arial"/>
                <w:sz w:val="20"/>
                <w:szCs w:val="20"/>
              </w:rPr>
              <w:t xml:space="preserve">which </w:t>
            </w:r>
            <w:r w:rsidR="000948F4">
              <w:rPr>
                <w:rFonts w:ascii="Arial" w:hAnsi="Arial" w:cs="Arial"/>
                <w:sz w:val="20"/>
                <w:szCs w:val="20"/>
              </w:rPr>
              <w:t xml:space="preserve">is </w:t>
            </w:r>
            <w:r w:rsidR="00F82BC8">
              <w:rPr>
                <w:rFonts w:ascii="Arial" w:hAnsi="Arial" w:cs="Arial"/>
                <w:sz w:val="20"/>
                <w:szCs w:val="20"/>
              </w:rPr>
              <w:t>considered</w:t>
            </w:r>
            <w:r w:rsidR="0077460A" w:rsidRPr="008D4DC3">
              <w:rPr>
                <w:rFonts w:ascii="Arial" w:hAnsi="Arial" w:cs="Arial"/>
                <w:sz w:val="20"/>
                <w:szCs w:val="20"/>
              </w:rPr>
              <w:t xml:space="preserve"> </w:t>
            </w:r>
            <w:r w:rsidR="0077460A">
              <w:rPr>
                <w:rFonts w:ascii="Arial" w:hAnsi="Arial" w:cs="Arial"/>
                <w:sz w:val="20"/>
                <w:szCs w:val="20"/>
              </w:rPr>
              <w:t>essential</w:t>
            </w:r>
            <w:r w:rsidR="0077460A" w:rsidRPr="008D4DC3">
              <w:rPr>
                <w:rFonts w:ascii="Arial" w:hAnsi="Arial" w:cs="Arial"/>
                <w:sz w:val="20"/>
                <w:szCs w:val="20"/>
              </w:rPr>
              <w:t xml:space="preserve"> to appropriately assess the regional cumulative impacts</w:t>
            </w:r>
            <w:r w:rsidR="0077460A">
              <w:rPr>
                <w:rFonts w:ascii="Arial" w:hAnsi="Arial" w:cs="Arial"/>
                <w:sz w:val="20"/>
                <w:szCs w:val="20"/>
              </w:rPr>
              <w:t xml:space="preserve"> </w:t>
            </w:r>
            <w:r>
              <w:rPr>
                <w:rFonts w:ascii="Arial" w:hAnsi="Arial" w:cs="Arial"/>
                <w:sz w:val="20"/>
                <w:szCs w:val="20"/>
              </w:rPr>
              <w:t>and risks</w:t>
            </w:r>
            <w:r w:rsidR="0077460A">
              <w:rPr>
                <w:rFonts w:ascii="Arial" w:hAnsi="Arial" w:cs="Arial"/>
                <w:sz w:val="20"/>
                <w:szCs w:val="20"/>
              </w:rPr>
              <w:t xml:space="preserve"> to the Gosford-Wyong Water Supply </w:t>
            </w:r>
            <w:r w:rsidR="007B67E8">
              <w:rPr>
                <w:rFonts w:ascii="Arial" w:hAnsi="Arial" w:cs="Arial"/>
                <w:sz w:val="20"/>
                <w:szCs w:val="20"/>
              </w:rPr>
              <w:t>Scheme,</w:t>
            </w:r>
            <w:r w:rsidR="00DF7038">
              <w:rPr>
                <w:rFonts w:ascii="Arial" w:hAnsi="Arial" w:cs="Arial"/>
                <w:sz w:val="20"/>
                <w:szCs w:val="20"/>
              </w:rPr>
              <w:t xml:space="preserve"> </w:t>
            </w:r>
            <w:r w:rsidR="00044CBF">
              <w:rPr>
                <w:rFonts w:ascii="Arial" w:hAnsi="Arial" w:cs="Arial"/>
                <w:sz w:val="20"/>
                <w:szCs w:val="20"/>
              </w:rPr>
              <w:t>has not been provided.</w:t>
            </w:r>
          </w:p>
          <w:p w:rsidR="0077460A" w:rsidRPr="008D4DC3" w:rsidRDefault="0077460A" w:rsidP="00375032">
            <w:pPr>
              <w:pStyle w:val="ColorfulList-Accent11"/>
              <w:numPr>
                <w:ilvl w:val="0"/>
                <w:numId w:val="24"/>
              </w:numPr>
              <w:spacing w:after="120" w:line="276" w:lineRule="auto"/>
              <w:rPr>
                <w:rFonts w:ascii="Arial" w:hAnsi="Arial" w:cs="Arial"/>
                <w:sz w:val="20"/>
                <w:szCs w:val="20"/>
              </w:rPr>
            </w:pPr>
            <w:r w:rsidRPr="00A37E36">
              <w:rPr>
                <w:rFonts w:ascii="Arial" w:hAnsi="Arial" w:cs="Arial"/>
                <w:sz w:val="20"/>
                <w:szCs w:val="20"/>
              </w:rPr>
              <w:t xml:space="preserve">The proponent has not considered the potential impacts on the surrounding creeks and water quality as a result of uncontrolled discharge from the mine </w:t>
            </w:r>
            <w:r>
              <w:rPr>
                <w:rFonts w:ascii="Arial" w:hAnsi="Arial" w:cs="Arial"/>
                <w:sz w:val="20"/>
                <w:szCs w:val="20"/>
              </w:rPr>
              <w:t>operations</w:t>
            </w:r>
            <w:r w:rsidRPr="00A37E36">
              <w:rPr>
                <w:rFonts w:ascii="Arial" w:hAnsi="Arial" w:cs="Arial"/>
                <w:sz w:val="20"/>
                <w:szCs w:val="20"/>
              </w:rPr>
              <w:t xml:space="preserve"> dams. The </w:t>
            </w:r>
            <w:r>
              <w:rPr>
                <w:rFonts w:ascii="Arial" w:hAnsi="Arial" w:cs="Arial"/>
                <w:sz w:val="20"/>
                <w:szCs w:val="20"/>
              </w:rPr>
              <w:t>mine operation</w:t>
            </w:r>
            <w:r w:rsidRPr="00A37E36">
              <w:rPr>
                <w:rFonts w:ascii="Arial" w:hAnsi="Arial" w:cs="Arial"/>
                <w:sz w:val="20"/>
                <w:szCs w:val="20"/>
              </w:rPr>
              <w:t xml:space="preserve"> dams are currently designed to contain </w:t>
            </w:r>
            <w:r>
              <w:rPr>
                <w:rFonts w:ascii="Arial" w:hAnsi="Arial" w:cs="Arial"/>
                <w:sz w:val="20"/>
                <w:szCs w:val="20"/>
              </w:rPr>
              <w:t>a 100 year average recurrence interval 72 hour storm event</w:t>
            </w:r>
            <w:r w:rsidRPr="00A37E36">
              <w:rPr>
                <w:rFonts w:ascii="Arial" w:hAnsi="Arial" w:cs="Arial"/>
                <w:sz w:val="20"/>
                <w:szCs w:val="20"/>
              </w:rPr>
              <w:t xml:space="preserve">. Consideration </w:t>
            </w:r>
            <w:r w:rsidR="00044CBF">
              <w:rPr>
                <w:rFonts w:ascii="Arial" w:hAnsi="Arial" w:cs="Arial"/>
                <w:sz w:val="20"/>
                <w:szCs w:val="20"/>
              </w:rPr>
              <w:t>should</w:t>
            </w:r>
            <w:r w:rsidRPr="00A37E36">
              <w:rPr>
                <w:rFonts w:ascii="Arial" w:hAnsi="Arial" w:cs="Arial"/>
                <w:sz w:val="20"/>
                <w:szCs w:val="20"/>
              </w:rPr>
              <w:t xml:space="preserve"> be given to </w:t>
            </w:r>
            <w:r>
              <w:rPr>
                <w:rFonts w:ascii="Arial" w:hAnsi="Arial" w:cs="Arial"/>
                <w:sz w:val="20"/>
                <w:szCs w:val="20"/>
              </w:rPr>
              <w:t>mine operation</w:t>
            </w:r>
            <w:r w:rsidRPr="00A37E36">
              <w:rPr>
                <w:rFonts w:ascii="Arial" w:hAnsi="Arial" w:cs="Arial"/>
                <w:sz w:val="20"/>
                <w:szCs w:val="20"/>
              </w:rPr>
              <w:t xml:space="preserve"> dams being redesigned to contain a larger storm event (1 in 1000 year average recurrence interval) to minimise the potential for downstream water quality and ecological impacts.</w:t>
            </w:r>
          </w:p>
          <w:p w:rsidR="0002593E" w:rsidRPr="0002593E" w:rsidRDefault="00044CBF" w:rsidP="0002593E">
            <w:pPr>
              <w:pStyle w:val="ListBullet"/>
              <w:numPr>
                <w:ilvl w:val="0"/>
                <w:numId w:val="24"/>
              </w:numPr>
              <w:spacing w:after="220" w:line="276" w:lineRule="auto"/>
              <w:ind w:left="357" w:hanging="357"/>
              <w:rPr>
                <w:rFonts w:ascii="Arial" w:hAnsi="Arial" w:cs="Arial"/>
                <w:sz w:val="20"/>
                <w:szCs w:val="20"/>
                <w:lang w:eastAsia="en-AU"/>
              </w:rPr>
            </w:pPr>
            <w:r w:rsidRPr="00AE42AF">
              <w:rPr>
                <w:rFonts w:ascii="Arial" w:hAnsi="Arial" w:cs="Arial"/>
                <w:sz w:val="20"/>
                <w:szCs w:val="20"/>
                <w:lang w:eastAsia="en-AU"/>
              </w:rPr>
              <w:t xml:space="preserve">Further assessment is </w:t>
            </w:r>
            <w:r>
              <w:rPr>
                <w:rFonts w:ascii="Arial" w:hAnsi="Arial" w:cs="Arial"/>
                <w:sz w:val="20"/>
                <w:szCs w:val="20"/>
                <w:lang w:eastAsia="en-AU"/>
              </w:rPr>
              <w:t>recommended</w:t>
            </w:r>
            <w:r w:rsidRPr="00AE42AF">
              <w:rPr>
                <w:rFonts w:ascii="Arial" w:hAnsi="Arial" w:cs="Arial"/>
                <w:sz w:val="20"/>
                <w:szCs w:val="20"/>
                <w:lang w:eastAsia="en-AU"/>
              </w:rPr>
              <w:t xml:space="preserve"> to </w:t>
            </w:r>
            <w:r>
              <w:rPr>
                <w:rFonts w:ascii="Arial" w:hAnsi="Arial" w:cs="Arial"/>
                <w:sz w:val="20"/>
                <w:szCs w:val="20"/>
                <w:lang w:eastAsia="en-AU"/>
              </w:rPr>
              <w:t>gauge</w:t>
            </w:r>
            <w:r w:rsidRPr="00AE42AF">
              <w:rPr>
                <w:rFonts w:ascii="Arial" w:hAnsi="Arial" w:cs="Arial"/>
                <w:sz w:val="20"/>
                <w:szCs w:val="20"/>
                <w:lang w:eastAsia="en-AU"/>
              </w:rPr>
              <w:t xml:space="preserve"> the extent of water interaction within the extraction boundary.</w:t>
            </w:r>
            <w:r>
              <w:rPr>
                <w:rFonts w:ascii="Arial" w:hAnsi="Arial" w:cs="Arial"/>
                <w:sz w:val="20"/>
                <w:szCs w:val="20"/>
                <w:lang w:eastAsia="en-AU"/>
              </w:rPr>
              <w:t xml:space="preserve"> </w:t>
            </w:r>
            <w:r w:rsidR="0077460A" w:rsidRPr="00AE42AF">
              <w:rPr>
                <w:rFonts w:ascii="Arial" w:hAnsi="Arial" w:cs="Arial"/>
                <w:sz w:val="20"/>
                <w:szCs w:val="20"/>
                <w:lang w:eastAsia="en-AU"/>
              </w:rPr>
              <w:t>The proponent has assessed the calibration of the runoff model using a gauging station on the Wallarah Creek</w:t>
            </w:r>
            <w:r w:rsidR="0077460A">
              <w:rPr>
                <w:rFonts w:ascii="Arial" w:hAnsi="Arial" w:cs="Arial"/>
                <w:sz w:val="20"/>
                <w:szCs w:val="20"/>
                <w:lang w:eastAsia="en-AU"/>
              </w:rPr>
              <w:t>. It is noted that t</w:t>
            </w:r>
            <w:r w:rsidR="0077460A" w:rsidRPr="00AE42AF">
              <w:rPr>
                <w:rFonts w:ascii="Arial" w:hAnsi="Arial" w:cs="Arial"/>
                <w:sz w:val="20"/>
                <w:szCs w:val="20"/>
                <w:lang w:eastAsia="en-AU"/>
              </w:rPr>
              <w:t>he station only operated from 1965 to 1976</w:t>
            </w:r>
            <w:r w:rsidR="0077460A">
              <w:rPr>
                <w:rFonts w:ascii="Arial" w:hAnsi="Arial" w:cs="Arial"/>
                <w:sz w:val="20"/>
                <w:szCs w:val="20"/>
                <w:lang w:eastAsia="en-AU"/>
              </w:rPr>
              <w:t xml:space="preserve"> and</w:t>
            </w:r>
            <w:r w:rsidR="0077460A" w:rsidRPr="00AE42AF">
              <w:rPr>
                <w:rFonts w:ascii="Arial" w:hAnsi="Arial" w:cs="Arial"/>
                <w:sz w:val="20"/>
                <w:szCs w:val="20"/>
                <w:lang w:eastAsia="en-AU"/>
              </w:rPr>
              <w:t xml:space="preserve"> is not located within the main project area.</w:t>
            </w:r>
            <w:r w:rsidR="0077460A">
              <w:rPr>
                <w:rFonts w:ascii="Arial" w:hAnsi="Arial" w:cs="Arial"/>
                <w:sz w:val="20"/>
                <w:szCs w:val="20"/>
                <w:lang w:eastAsia="en-AU"/>
              </w:rPr>
              <w:t xml:space="preserve"> </w:t>
            </w:r>
            <w:r w:rsidR="0077460A" w:rsidRPr="00AE42AF">
              <w:rPr>
                <w:rFonts w:ascii="Arial" w:hAnsi="Arial" w:cs="Arial"/>
                <w:sz w:val="20"/>
                <w:szCs w:val="20"/>
                <w:lang w:eastAsia="en-AU"/>
              </w:rPr>
              <w:t xml:space="preserve">This dataset provides limited confidence in the calibration of the </w:t>
            </w:r>
            <w:r w:rsidR="000948F4">
              <w:rPr>
                <w:rFonts w:ascii="Arial" w:hAnsi="Arial" w:cs="Arial"/>
                <w:sz w:val="20"/>
                <w:szCs w:val="20"/>
                <w:lang w:eastAsia="en-AU"/>
              </w:rPr>
              <w:t xml:space="preserve">surface </w:t>
            </w:r>
            <w:r w:rsidR="0077460A" w:rsidRPr="00AE42AF">
              <w:rPr>
                <w:rFonts w:ascii="Arial" w:hAnsi="Arial" w:cs="Arial"/>
                <w:sz w:val="20"/>
                <w:szCs w:val="20"/>
                <w:lang w:eastAsia="en-AU"/>
              </w:rPr>
              <w:t xml:space="preserve">water balance. </w:t>
            </w:r>
          </w:p>
          <w:p w:rsidR="0077460A" w:rsidRPr="00705B67" w:rsidRDefault="0077460A" w:rsidP="00D1682C">
            <w:pPr>
              <w:pStyle w:val="ColorfulList-Accent11"/>
              <w:numPr>
                <w:ilvl w:val="0"/>
                <w:numId w:val="24"/>
              </w:numPr>
              <w:spacing w:after="200" w:line="276" w:lineRule="auto"/>
              <w:rPr>
                <w:rFonts w:ascii="Arial" w:hAnsi="Arial" w:cs="Arial"/>
                <w:sz w:val="20"/>
                <w:szCs w:val="20"/>
              </w:rPr>
            </w:pPr>
            <w:r>
              <w:rPr>
                <w:rFonts w:ascii="Arial" w:eastAsia="ArialMT" w:hAnsi="Arial" w:cs="Arial"/>
                <w:sz w:val="20"/>
                <w:szCs w:val="20"/>
                <w:lang w:eastAsia="en-AU"/>
              </w:rPr>
              <w:t>The proponent has stated that a water treatment p</w:t>
            </w:r>
            <w:r w:rsidRPr="0066393F">
              <w:rPr>
                <w:rFonts w:ascii="Arial" w:eastAsia="ArialMT" w:hAnsi="Arial" w:cs="Arial"/>
                <w:sz w:val="20"/>
                <w:szCs w:val="20"/>
                <w:lang w:eastAsia="en-AU"/>
              </w:rPr>
              <w:t>lant will treat mine water to a quality that is similar to the existing Wallarah Creek water quality</w:t>
            </w:r>
            <w:r>
              <w:rPr>
                <w:rFonts w:ascii="Arial" w:eastAsia="ArialMT" w:hAnsi="Arial" w:cs="Arial"/>
                <w:sz w:val="20"/>
                <w:szCs w:val="20"/>
                <w:lang w:eastAsia="en-AU"/>
              </w:rPr>
              <w:t xml:space="preserve"> values, before being discharge</w:t>
            </w:r>
            <w:r w:rsidR="00044CBF">
              <w:rPr>
                <w:rFonts w:ascii="Arial" w:eastAsia="ArialMT" w:hAnsi="Arial" w:cs="Arial"/>
                <w:sz w:val="20"/>
                <w:szCs w:val="20"/>
                <w:lang w:eastAsia="en-AU"/>
              </w:rPr>
              <w:t>d</w:t>
            </w:r>
            <w:r>
              <w:rPr>
                <w:rFonts w:ascii="Arial" w:eastAsia="ArialMT" w:hAnsi="Arial" w:cs="Arial"/>
                <w:sz w:val="20"/>
                <w:szCs w:val="20"/>
                <w:lang w:eastAsia="en-AU"/>
              </w:rPr>
              <w:t xml:space="preserve"> into the creek system</w:t>
            </w:r>
            <w:r w:rsidRPr="0066393F">
              <w:rPr>
                <w:rFonts w:ascii="Arial" w:eastAsia="ArialMT" w:hAnsi="Arial" w:cs="Arial"/>
                <w:sz w:val="20"/>
                <w:szCs w:val="20"/>
                <w:lang w:eastAsia="en-AU"/>
              </w:rPr>
              <w:t>.</w:t>
            </w:r>
            <w:r w:rsidRPr="003A2EF5">
              <w:rPr>
                <w:rFonts w:eastAsia="ArialMT" w:cs="Arial"/>
                <w:sz w:val="20"/>
                <w:szCs w:val="20"/>
                <w:lang w:eastAsia="en-AU"/>
              </w:rPr>
              <w:t xml:space="preserve"> </w:t>
            </w:r>
            <w:r>
              <w:rPr>
                <w:rFonts w:ascii="Arial" w:eastAsia="ArialMT" w:hAnsi="Arial" w:cs="Arial"/>
                <w:sz w:val="20"/>
                <w:szCs w:val="20"/>
                <w:lang w:eastAsia="en-AU"/>
              </w:rPr>
              <w:t>F</w:t>
            </w:r>
            <w:r w:rsidRPr="0066393F">
              <w:rPr>
                <w:rFonts w:ascii="Arial" w:eastAsia="ArialMT" w:hAnsi="Arial" w:cs="Arial"/>
                <w:sz w:val="20"/>
                <w:szCs w:val="20"/>
                <w:lang w:eastAsia="en-AU"/>
              </w:rPr>
              <w:t>urther clarification is needed on what the proponent specifies as ‘existin</w:t>
            </w:r>
            <w:r w:rsidR="00EB4969">
              <w:rPr>
                <w:rFonts w:ascii="Arial" w:eastAsia="ArialMT" w:hAnsi="Arial" w:cs="Arial"/>
                <w:sz w:val="20"/>
                <w:szCs w:val="20"/>
                <w:lang w:eastAsia="en-AU"/>
              </w:rPr>
              <w:t>g water quality values’ proposed</w:t>
            </w:r>
            <w:r w:rsidRPr="0066393F">
              <w:rPr>
                <w:rFonts w:ascii="Arial" w:eastAsia="ArialMT" w:hAnsi="Arial" w:cs="Arial"/>
                <w:sz w:val="20"/>
                <w:szCs w:val="20"/>
                <w:lang w:eastAsia="en-AU"/>
              </w:rPr>
              <w:t xml:space="preserve"> for treated water released into the Wallarah Creek</w:t>
            </w:r>
            <w:r>
              <w:rPr>
                <w:rFonts w:ascii="Arial" w:eastAsia="ArialMT" w:hAnsi="Arial" w:cs="Arial"/>
                <w:sz w:val="20"/>
                <w:szCs w:val="20"/>
                <w:lang w:eastAsia="en-AU"/>
              </w:rPr>
              <w:t>.</w:t>
            </w:r>
            <w:r w:rsidRPr="00651CB6">
              <w:rPr>
                <w:rFonts w:ascii="Arial" w:hAnsi="Arial" w:cs="Arial"/>
                <w:sz w:val="20"/>
                <w:szCs w:val="20"/>
              </w:rPr>
              <w:t xml:space="preserve"> All site and surface water plans should be constructed in accordance with the National Water Quality Management Strategy</w:t>
            </w:r>
            <w:r>
              <w:rPr>
                <w:rFonts w:ascii="Arial" w:hAnsi="Arial" w:cs="Arial"/>
                <w:sz w:val="20"/>
                <w:szCs w:val="20"/>
              </w:rPr>
              <w:t>²</w:t>
            </w:r>
            <w:r w:rsidRPr="00651CB6">
              <w:rPr>
                <w:rFonts w:ascii="Arial" w:hAnsi="Arial" w:cs="Arial"/>
                <w:sz w:val="20"/>
                <w:szCs w:val="20"/>
              </w:rPr>
              <w:t>.</w:t>
            </w:r>
          </w:p>
          <w:p w:rsidR="0077460A" w:rsidRPr="00237592" w:rsidRDefault="0077460A" w:rsidP="00D1682C">
            <w:pPr>
              <w:pStyle w:val="ColorfulList-Accent11"/>
              <w:numPr>
                <w:ilvl w:val="0"/>
                <w:numId w:val="24"/>
              </w:numPr>
              <w:spacing w:after="200" w:line="276" w:lineRule="auto"/>
              <w:ind w:left="391" w:hanging="357"/>
              <w:rPr>
                <w:rFonts w:ascii="Arial" w:hAnsi="Arial" w:cs="Arial"/>
                <w:sz w:val="20"/>
                <w:szCs w:val="20"/>
              </w:rPr>
            </w:pPr>
            <w:r>
              <w:rPr>
                <w:rFonts w:ascii="Arial" w:hAnsi="Arial" w:cs="Arial"/>
                <w:sz w:val="20"/>
                <w:szCs w:val="20"/>
              </w:rPr>
              <w:t xml:space="preserve">The </w:t>
            </w:r>
            <w:r>
              <w:rPr>
                <w:rFonts w:ascii="Arial" w:eastAsia="ArialMT" w:hAnsi="Arial" w:cs="Arial"/>
                <w:sz w:val="20"/>
                <w:szCs w:val="20"/>
                <w:lang w:eastAsia="en-AU"/>
              </w:rPr>
              <w:t>release of controlled treated mine water is</w:t>
            </w:r>
            <w:r w:rsidRPr="009E0619">
              <w:rPr>
                <w:rFonts w:ascii="Arial" w:eastAsia="ArialMT" w:hAnsi="Arial" w:cs="Arial"/>
                <w:sz w:val="20"/>
                <w:szCs w:val="20"/>
                <w:lang w:eastAsia="en-AU"/>
              </w:rPr>
              <w:t xml:space="preserve"> likely to occur when there is no natural flow in </w:t>
            </w:r>
            <w:r>
              <w:rPr>
                <w:rFonts w:ascii="Arial" w:eastAsia="ArialMT" w:hAnsi="Arial" w:cs="Arial"/>
                <w:sz w:val="20"/>
                <w:szCs w:val="20"/>
                <w:lang w:eastAsia="en-AU"/>
              </w:rPr>
              <w:t>Wallarah C</w:t>
            </w:r>
            <w:r w:rsidR="0002593E">
              <w:rPr>
                <w:rFonts w:ascii="Arial" w:eastAsia="ArialMT" w:hAnsi="Arial" w:cs="Arial"/>
                <w:sz w:val="20"/>
                <w:szCs w:val="20"/>
                <w:lang w:eastAsia="en-AU"/>
              </w:rPr>
              <w:t>reek, and t</w:t>
            </w:r>
            <w:r>
              <w:rPr>
                <w:rFonts w:ascii="Arial" w:hAnsi="Arial" w:cs="Arial"/>
                <w:sz w:val="20"/>
                <w:szCs w:val="20"/>
              </w:rPr>
              <w:t>hese releases have the p</w:t>
            </w:r>
            <w:r w:rsidRPr="00AE42AF">
              <w:rPr>
                <w:rFonts w:ascii="Arial" w:hAnsi="Arial" w:cs="Arial"/>
                <w:sz w:val="20"/>
                <w:szCs w:val="20"/>
              </w:rPr>
              <w:t xml:space="preserve">otential </w:t>
            </w:r>
            <w:r>
              <w:rPr>
                <w:rFonts w:ascii="Arial" w:hAnsi="Arial" w:cs="Arial"/>
                <w:sz w:val="20"/>
                <w:szCs w:val="20"/>
              </w:rPr>
              <w:t xml:space="preserve">to change </w:t>
            </w:r>
            <w:r w:rsidRPr="00602B9B">
              <w:rPr>
                <w:rFonts w:ascii="Arial" w:hAnsi="Arial" w:cs="Arial"/>
                <w:sz w:val="20"/>
                <w:szCs w:val="20"/>
              </w:rPr>
              <w:t>flow regime</w:t>
            </w:r>
            <w:r>
              <w:rPr>
                <w:rFonts w:ascii="Arial" w:hAnsi="Arial" w:cs="Arial"/>
                <w:sz w:val="20"/>
                <w:szCs w:val="20"/>
              </w:rPr>
              <w:t>s</w:t>
            </w:r>
            <w:r w:rsidRPr="00602B9B">
              <w:rPr>
                <w:rFonts w:ascii="Arial" w:hAnsi="Arial" w:cs="Arial"/>
                <w:sz w:val="20"/>
                <w:szCs w:val="20"/>
              </w:rPr>
              <w:t xml:space="preserve"> </w:t>
            </w:r>
            <w:r>
              <w:rPr>
                <w:rFonts w:ascii="Arial" w:hAnsi="Arial" w:cs="Arial"/>
                <w:sz w:val="20"/>
                <w:szCs w:val="20"/>
              </w:rPr>
              <w:t>of the c</w:t>
            </w:r>
            <w:r w:rsidRPr="00AE42AF">
              <w:rPr>
                <w:rFonts w:ascii="Arial" w:hAnsi="Arial" w:cs="Arial"/>
                <w:sz w:val="20"/>
                <w:szCs w:val="20"/>
              </w:rPr>
              <w:t>reek</w:t>
            </w:r>
            <w:r>
              <w:rPr>
                <w:rFonts w:ascii="Arial" w:hAnsi="Arial" w:cs="Arial"/>
                <w:sz w:val="20"/>
                <w:szCs w:val="20"/>
              </w:rPr>
              <w:t>.</w:t>
            </w:r>
            <w:r w:rsidRPr="00AE42AF">
              <w:rPr>
                <w:rFonts w:ascii="Arial" w:hAnsi="Arial" w:cs="Arial"/>
                <w:sz w:val="20"/>
                <w:szCs w:val="20"/>
              </w:rPr>
              <w:t xml:space="preserve"> </w:t>
            </w:r>
            <w:r>
              <w:rPr>
                <w:rFonts w:ascii="Arial" w:eastAsia="ArialMT" w:hAnsi="Arial" w:cs="Arial"/>
                <w:sz w:val="20"/>
                <w:szCs w:val="20"/>
                <w:lang w:eastAsia="en-AU"/>
              </w:rPr>
              <w:t>T</w:t>
            </w:r>
            <w:r w:rsidRPr="009E0619">
              <w:rPr>
                <w:rFonts w:ascii="Arial" w:eastAsia="ArialMT" w:hAnsi="Arial" w:cs="Arial"/>
                <w:sz w:val="20"/>
                <w:szCs w:val="20"/>
                <w:lang w:eastAsia="en-AU"/>
              </w:rPr>
              <w:t>he proponent has stated that Wallarah Creek will remain ephemeral in nature</w:t>
            </w:r>
            <w:r>
              <w:rPr>
                <w:rFonts w:ascii="Arial" w:eastAsia="ArialMT" w:hAnsi="Arial" w:cs="Arial"/>
                <w:sz w:val="20"/>
                <w:szCs w:val="20"/>
                <w:lang w:eastAsia="en-AU"/>
              </w:rPr>
              <w:t>, after water releases have been made</w:t>
            </w:r>
            <w:r w:rsidRPr="009E0619">
              <w:rPr>
                <w:rFonts w:ascii="Arial" w:eastAsia="ArialMT" w:hAnsi="Arial" w:cs="Arial"/>
                <w:sz w:val="20"/>
                <w:szCs w:val="20"/>
                <w:lang w:eastAsia="en-AU"/>
              </w:rPr>
              <w:t>.</w:t>
            </w:r>
            <w:r>
              <w:rPr>
                <w:rFonts w:ascii="Arial" w:eastAsia="ArialMT" w:hAnsi="Arial" w:cs="Arial"/>
                <w:sz w:val="20"/>
                <w:szCs w:val="20"/>
                <w:lang w:eastAsia="en-AU"/>
              </w:rPr>
              <w:t xml:space="preserve"> It is </w:t>
            </w:r>
            <w:r>
              <w:rPr>
                <w:rFonts w:ascii="Arial" w:eastAsia="ArialMT" w:hAnsi="Arial" w:cs="Arial"/>
                <w:sz w:val="20"/>
                <w:szCs w:val="20"/>
                <w:lang w:eastAsia="en-AU"/>
              </w:rPr>
              <w:lastRenderedPageBreak/>
              <w:t>recommended that mitigation measures are put in place to conserve the natural flow characteristics of the Wallarah Creek.</w:t>
            </w:r>
          </w:p>
          <w:p w:rsidR="0077460A" w:rsidRPr="00237592" w:rsidRDefault="0077460A" w:rsidP="00D1682C">
            <w:pPr>
              <w:pStyle w:val="ColorfulList-Accent11"/>
              <w:numPr>
                <w:ilvl w:val="0"/>
                <w:numId w:val="24"/>
              </w:numPr>
              <w:spacing w:after="200" w:line="276" w:lineRule="auto"/>
              <w:rPr>
                <w:rFonts w:ascii="Arial" w:hAnsi="Arial" w:cs="Arial"/>
                <w:sz w:val="20"/>
                <w:szCs w:val="20"/>
              </w:rPr>
            </w:pPr>
            <w:r w:rsidRPr="00237592">
              <w:rPr>
                <w:rFonts w:ascii="Arial" w:hAnsi="Arial" w:cs="Arial"/>
                <w:sz w:val="20"/>
                <w:szCs w:val="20"/>
              </w:rPr>
              <w:t>The proponent has entitlements to extract water from both surface and groundwater sources within the proposed extraction area. The proposed project requires external water to make up the deficit. The proponent has advised that this will be done through town water supplies</w:t>
            </w:r>
            <w:r>
              <w:rPr>
                <w:rFonts w:ascii="Arial" w:hAnsi="Arial" w:cs="Arial"/>
                <w:sz w:val="20"/>
                <w:szCs w:val="20"/>
              </w:rPr>
              <w:t xml:space="preserve"> with relevant licences still to be </w:t>
            </w:r>
            <w:r w:rsidRPr="00237592">
              <w:rPr>
                <w:rFonts w:ascii="Arial" w:hAnsi="Arial" w:cs="Arial"/>
                <w:sz w:val="20"/>
                <w:szCs w:val="20"/>
              </w:rPr>
              <w:t>obtained</w:t>
            </w:r>
            <w:r>
              <w:rPr>
                <w:rFonts w:ascii="Arial" w:hAnsi="Arial" w:cs="Arial"/>
                <w:sz w:val="20"/>
                <w:szCs w:val="20"/>
              </w:rPr>
              <w:t>.</w:t>
            </w:r>
            <w:r w:rsidRPr="00237592">
              <w:rPr>
                <w:rFonts w:ascii="Arial" w:hAnsi="Arial" w:cs="Arial"/>
                <w:sz w:val="20"/>
                <w:szCs w:val="20"/>
              </w:rPr>
              <w:t xml:space="preserve"> </w:t>
            </w:r>
            <w:r>
              <w:rPr>
                <w:rFonts w:ascii="Arial" w:hAnsi="Arial" w:cs="Arial"/>
                <w:sz w:val="20"/>
                <w:szCs w:val="20"/>
              </w:rPr>
              <w:t xml:space="preserve">It is suggested that an </w:t>
            </w:r>
            <w:r w:rsidRPr="00237592">
              <w:rPr>
                <w:rFonts w:ascii="Arial" w:hAnsi="Arial" w:cs="Arial"/>
                <w:sz w:val="20"/>
                <w:szCs w:val="20"/>
              </w:rPr>
              <w:t xml:space="preserve">assessment </w:t>
            </w:r>
            <w:r>
              <w:rPr>
                <w:rFonts w:ascii="Arial" w:hAnsi="Arial" w:cs="Arial"/>
                <w:sz w:val="20"/>
                <w:szCs w:val="20"/>
              </w:rPr>
              <w:t xml:space="preserve">be </w:t>
            </w:r>
            <w:r w:rsidRPr="00237592">
              <w:rPr>
                <w:rFonts w:ascii="Arial" w:hAnsi="Arial" w:cs="Arial"/>
                <w:sz w:val="20"/>
                <w:szCs w:val="20"/>
              </w:rPr>
              <w:t>made on the potential impacts of extracting water from town sources during extreme weather periods including drought conditions.</w:t>
            </w:r>
          </w:p>
          <w:p w:rsidR="0077460A" w:rsidRPr="004B3C14" w:rsidRDefault="0077460A" w:rsidP="00D1682C">
            <w:pPr>
              <w:pStyle w:val="ColorfulList-Accent11"/>
              <w:numPr>
                <w:ilvl w:val="0"/>
                <w:numId w:val="24"/>
              </w:numPr>
              <w:spacing w:after="200" w:line="276" w:lineRule="auto"/>
              <w:rPr>
                <w:rFonts w:ascii="Arial" w:hAnsi="Arial" w:cs="Arial"/>
                <w:sz w:val="20"/>
                <w:szCs w:val="20"/>
              </w:rPr>
            </w:pPr>
            <w:r w:rsidRPr="00253343">
              <w:rPr>
                <w:rFonts w:ascii="Arial" w:hAnsi="Arial" w:cs="Arial"/>
                <w:sz w:val="20"/>
                <w:szCs w:val="20"/>
              </w:rPr>
              <w:t>The Northern Sydney Basin</w:t>
            </w:r>
            <w:r>
              <w:rPr>
                <w:rFonts w:ascii="Arial" w:hAnsi="Arial" w:cs="Arial"/>
                <w:sz w:val="20"/>
                <w:szCs w:val="20"/>
              </w:rPr>
              <w:t xml:space="preserve"> </w:t>
            </w:r>
            <w:r w:rsidRPr="00253343">
              <w:rPr>
                <w:rFonts w:ascii="Arial" w:hAnsi="Arial" w:cs="Arial"/>
                <w:sz w:val="20"/>
                <w:szCs w:val="20"/>
              </w:rPr>
              <w:t xml:space="preserve">has been identified as a </w:t>
            </w:r>
            <w:r w:rsidR="00021B48">
              <w:rPr>
                <w:rFonts w:ascii="Arial" w:hAnsi="Arial" w:cs="Arial"/>
                <w:sz w:val="20"/>
                <w:szCs w:val="20"/>
              </w:rPr>
              <w:t>B</w:t>
            </w:r>
            <w:r w:rsidRPr="00253343">
              <w:rPr>
                <w:rFonts w:ascii="Arial" w:hAnsi="Arial" w:cs="Arial"/>
                <w:sz w:val="20"/>
                <w:szCs w:val="20"/>
              </w:rPr>
              <w:t xml:space="preserve">ioregional </w:t>
            </w:r>
            <w:r w:rsidR="00021B48">
              <w:rPr>
                <w:rFonts w:ascii="Arial" w:hAnsi="Arial" w:cs="Arial"/>
                <w:sz w:val="20"/>
                <w:szCs w:val="20"/>
              </w:rPr>
              <w:t>A</w:t>
            </w:r>
            <w:r w:rsidRPr="00253343">
              <w:rPr>
                <w:rFonts w:ascii="Arial" w:hAnsi="Arial" w:cs="Arial"/>
                <w:sz w:val="20"/>
                <w:szCs w:val="20"/>
              </w:rPr>
              <w:t xml:space="preserve">ssessment priority region. Data and relevant information from the proposed project should be made accessible for this </w:t>
            </w:r>
            <w:r w:rsidR="00021B48">
              <w:rPr>
                <w:rFonts w:ascii="Arial" w:hAnsi="Arial" w:cs="Arial"/>
                <w:sz w:val="20"/>
                <w:szCs w:val="20"/>
              </w:rPr>
              <w:t>B</w:t>
            </w:r>
            <w:r w:rsidRPr="00253343">
              <w:rPr>
                <w:rFonts w:ascii="Arial" w:hAnsi="Arial" w:cs="Arial"/>
                <w:sz w:val="20"/>
                <w:szCs w:val="20"/>
              </w:rPr>
              <w:t xml:space="preserve">ioregional </w:t>
            </w:r>
            <w:r w:rsidR="00021B48">
              <w:rPr>
                <w:rFonts w:ascii="Arial" w:hAnsi="Arial" w:cs="Arial"/>
                <w:sz w:val="20"/>
                <w:szCs w:val="20"/>
              </w:rPr>
              <w:t>A</w:t>
            </w:r>
            <w:r w:rsidRPr="00253343">
              <w:rPr>
                <w:rFonts w:ascii="Arial" w:hAnsi="Arial" w:cs="Arial"/>
                <w:sz w:val="20"/>
                <w:szCs w:val="20"/>
              </w:rPr>
              <w:t>ssessment to assist the knowledge base for regional scale assessments.</w:t>
            </w:r>
          </w:p>
        </w:tc>
      </w:tr>
      <w:tr w:rsidR="0077460A" w:rsidRPr="00B451D3" w:rsidTr="00DC325B">
        <w:trPr>
          <w:trHeight w:val="19"/>
        </w:trPr>
        <w:tc>
          <w:tcPr>
            <w:tcW w:w="1809" w:type="dxa"/>
          </w:tcPr>
          <w:p w:rsidR="0077460A" w:rsidRDefault="0077460A" w:rsidP="00062A46">
            <w:pPr>
              <w:pStyle w:val="tablelabel"/>
              <w:spacing w:line="276" w:lineRule="auto"/>
              <w:rPr>
                <w:rFonts w:cs="Arial"/>
                <w:sz w:val="20"/>
              </w:rPr>
            </w:pPr>
            <w:r>
              <w:rPr>
                <w:rFonts w:cs="Arial"/>
                <w:sz w:val="20"/>
              </w:rPr>
              <w:lastRenderedPageBreak/>
              <w:t>Date of advice</w:t>
            </w:r>
          </w:p>
        </w:tc>
        <w:tc>
          <w:tcPr>
            <w:tcW w:w="8159" w:type="dxa"/>
          </w:tcPr>
          <w:p w:rsidR="0077460A" w:rsidRPr="00B451D3" w:rsidRDefault="007152BB" w:rsidP="00084249">
            <w:pPr>
              <w:spacing w:line="276" w:lineRule="auto"/>
              <w:rPr>
                <w:rFonts w:ascii="Arial" w:hAnsi="Arial" w:cs="Arial"/>
                <w:sz w:val="20"/>
                <w:szCs w:val="20"/>
              </w:rPr>
            </w:pPr>
            <w:r>
              <w:rPr>
                <w:rFonts w:ascii="Arial" w:hAnsi="Arial" w:cs="Arial"/>
                <w:sz w:val="20"/>
                <w:szCs w:val="20"/>
              </w:rPr>
              <w:t>24</w:t>
            </w:r>
            <w:r w:rsidR="0077460A">
              <w:rPr>
                <w:rFonts w:ascii="Arial" w:hAnsi="Arial" w:cs="Arial"/>
                <w:sz w:val="20"/>
                <w:szCs w:val="20"/>
              </w:rPr>
              <w:t xml:space="preserve"> May 2013</w:t>
            </w:r>
          </w:p>
        </w:tc>
      </w:tr>
      <w:tr w:rsidR="0077460A" w:rsidRPr="00B451D3" w:rsidTr="00E70590">
        <w:trPr>
          <w:trHeight w:val="19"/>
        </w:trPr>
        <w:tc>
          <w:tcPr>
            <w:tcW w:w="1809" w:type="dxa"/>
            <w:tcBorders>
              <w:bottom w:val="single" w:sz="4" w:space="0" w:color="auto"/>
            </w:tcBorders>
          </w:tcPr>
          <w:p w:rsidR="0077460A" w:rsidRDefault="0077460A" w:rsidP="00DC325B">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bottom w:val="single" w:sz="4" w:space="0" w:color="auto"/>
            </w:tcBorders>
          </w:tcPr>
          <w:p w:rsidR="0077460A" w:rsidRDefault="0077460A" w:rsidP="007152BB">
            <w:pPr>
              <w:pStyle w:val="ListBullet"/>
              <w:spacing w:after="200" w:line="276" w:lineRule="auto"/>
              <w:rPr>
                <w:rFonts w:ascii="Arial" w:hAnsi="Arial" w:cs="Arial"/>
                <w:noProof/>
                <w:sz w:val="20"/>
                <w:szCs w:val="20"/>
              </w:rPr>
            </w:pPr>
            <w:r w:rsidRPr="007F0FAC">
              <w:rPr>
                <w:rFonts w:ascii="Arial" w:hAnsi="Arial" w:cs="Arial"/>
                <w:noProof/>
                <w:sz w:val="20"/>
                <w:szCs w:val="20"/>
              </w:rPr>
              <w:t>Hansen Bailey 2013. Wallarah 2 Coal Project, Environmental Impact Statement. Prepared for Wyong Areas Coal Joint Venture. February 2013</w:t>
            </w:r>
          </w:p>
        </w:tc>
      </w:tr>
      <w:tr w:rsidR="0077460A" w:rsidRPr="00085AB0" w:rsidTr="00E70590">
        <w:trPr>
          <w:trHeight w:val="1118"/>
        </w:trPr>
        <w:tc>
          <w:tcPr>
            <w:tcW w:w="1809" w:type="dxa"/>
            <w:tcBorders>
              <w:top w:val="single" w:sz="4" w:space="0" w:color="auto"/>
              <w:bottom w:val="single" w:sz="4" w:space="0" w:color="auto"/>
              <w:right w:val="nil"/>
            </w:tcBorders>
          </w:tcPr>
          <w:p w:rsidR="0077460A" w:rsidRDefault="0077460A" w:rsidP="006C4F46">
            <w:pPr>
              <w:pStyle w:val="tablelabel"/>
              <w:spacing w:line="276" w:lineRule="auto"/>
              <w:rPr>
                <w:rFonts w:cs="Arial"/>
                <w:sz w:val="20"/>
              </w:rPr>
            </w:pPr>
            <w:r>
              <w:rPr>
                <w:rFonts w:cs="Arial"/>
                <w:sz w:val="20"/>
              </w:rPr>
              <w:t>References cited within the Committee’s advice</w:t>
            </w:r>
          </w:p>
        </w:tc>
        <w:tc>
          <w:tcPr>
            <w:tcW w:w="8159" w:type="dxa"/>
            <w:tcBorders>
              <w:top w:val="single" w:sz="4" w:space="0" w:color="auto"/>
              <w:left w:val="nil"/>
              <w:bottom w:val="single" w:sz="4" w:space="0" w:color="auto"/>
            </w:tcBorders>
          </w:tcPr>
          <w:p w:rsidR="0077460A" w:rsidRDefault="0077460A">
            <w:pPr>
              <w:pStyle w:val="ListBullet"/>
            </w:pPr>
            <w:r w:rsidRPr="00F73813">
              <w:rPr>
                <w:rFonts w:ascii="Arial" w:hAnsi="Arial" w:cs="Arial"/>
                <w:sz w:val="20"/>
                <w:szCs w:val="20"/>
                <w:vertAlign w:val="superscript"/>
              </w:rPr>
              <w:t xml:space="preserve">1 </w:t>
            </w:r>
            <w:r w:rsidRPr="00F73813">
              <w:rPr>
                <w:rFonts w:ascii="Arial" w:hAnsi="Arial" w:cs="Arial"/>
                <w:sz w:val="20"/>
                <w:szCs w:val="20"/>
              </w:rPr>
              <w:t xml:space="preserve">Information Guidelines for Proposals Relating to the Development of Coal Seam Gas and Large Coal Mines where there is a Significant Impact on Water Resources available at: </w:t>
            </w:r>
            <w:hyperlink r:id="rId8" w:history="1">
              <w:r w:rsidRPr="006C4F46">
                <w:rPr>
                  <w:rStyle w:val="Hyperlink"/>
                  <w:rFonts w:ascii="Arial" w:hAnsi="Arial" w:cs="Arial"/>
                  <w:sz w:val="20"/>
                  <w:szCs w:val="20"/>
                </w:rPr>
                <w:t>http://www.environment.gov.au/coal-seam-gas-mining/project-advice/pubs/iesc-information-guidelines.pdf</w:t>
              </w:r>
            </w:hyperlink>
          </w:p>
          <w:p w:rsidR="0077460A" w:rsidRDefault="0077460A">
            <w:pPr>
              <w:pStyle w:val="ListBullet"/>
            </w:pPr>
          </w:p>
          <w:p w:rsidR="0077460A" w:rsidRDefault="0077460A" w:rsidP="00041337">
            <w:pPr>
              <w:pStyle w:val="ListBullet"/>
              <w:spacing w:after="200" w:line="276" w:lineRule="auto"/>
              <w:rPr>
                <w:rFonts w:ascii="Arial" w:hAnsi="Arial" w:cs="Arial"/>
                <w:noProof/>
                <w:sz w:val="20"/>
                <w:szCs w:val="20"/>
              </w:rPr>
            </w:pPr>
            <w:bookmarkStart w:id="2" w:name="_ENREF_2"/>
            <w:r>
              <w:rPr>
                <w:rFonts w:ascii="Arial" w:hAnsi="Arial" w:cs="Arial"/>
                <w:noProof/>
                <w:sz w:val="20"/>
                <w:szCs w:val="20"/>
              </w:rPr>
              <w:t>²</w:t>
            </w:r>
            <w:r w:rsidRPr="005A3DBB">
              <w:rPr>
                <w:rFonts w:ascii="Arial" w:hAnsi="Arial" w:cs="Arial"/>
                <w:noProof/>
                <w:sz w:val="20"/>
                <w:szCs w:val="20"/>
              </w:rPr>
              <w:t xml:space="preserve"> Australian and New Zealand Guidelines for Fresh and Marine Water Quality. National Water Quality Management Strategy (NWQMS). Volume 4. Australian and New Zealand Environment and Conservation Council &amp; Agriculture and Resource Management Council for Australia and New Zealand. Canberra.</w:t>
            </w:r>
            <w:bookmarkEnd w:id="2"/>
          </w:p>
        </w:tc>
      </w:tr>
    </w:tbl>
    <w:p w:rsidR="0077460A" w:rsidRPr="000366B8" w:rsidRDefault="0077460A" w:rsidP="000366B8"/>
    <w:sectPr w:rsidR="0077460A" w:rsidRPr="000366B8" w:rsidSect="007152BB">
      <w:headerReference w:type="even" r:id="rId9"/>
      <w:footerReference w:type="default" r:id="rId10"/>
      <w:headerReference w:type="first" r:id="rId11"/>
      <w:footerReference w:type="first" r:id="rId12"/>
      <w:pgSz w:w="11906" w:h="16838"/>
      <w:pgMar w:top="1418" w:right="1276" w:bottom="567" w:left="1418"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2BB" w:rsidRDefault="007152BB" w:rsidP="00A60185">
      <w:r>
        <w:separator/>
      </w:r>
    </w:p>
  </w:endnote>
  <w:endnote w:type="continuationSeparator" w:id="0">
    <w:p w:rsidR="007152BB" w:rsidRDefault="007152BB"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BB" w:rsidRPr="00D15280" w:rsidRDefault="007152BB" w:rsidP="007152BB">
    <w:pPr>
      <w:pStyle w:val="Footer"/>
      <w:tabs>
        <w:tab w:val="clear" w:pos="4513"/>
        <w:tab w:val="clear" w:pos="9026"/>
        <w:tab w:val="right" w:pos="9212"/>
      </w:tabs>
      <w:rPr>
        <w:rFonts w:ascii="Arial" w:hAnsi="Arial" w:cs="Arial"/>
        <w:sz w:val="20"/>
        <w:szCs w:val="20"/>
      </w:rPr>
    </w:pPr>
    <w:r>
      <w:rPr>
        <w:rFonts w:ascii="Arial" w:hAnsi="Arial" w:cs="Arial"/>
        <w:sz w:val="20"/>
        <w:szCs w:val="20"/>
      </w:rPr>
      <w:t>Final Advice</w:t>
    </w:r>
    <w:r>
      <w:rPr>
        <w:rFonts w:ascii="Arial" w:hAnsi="Arial" w:cs="Arial"/>
        <w:sz w:val="20"/>
        <w:szCs w:val="20"/>
      </w:rPr>
      <w:tab/>
      <w:t>24 May</w:t>
    </w:r>
    <w:r w:rsidRPr="001733E9">
      <w:rPr>
        <w:rFonts w:ascii="Arial" w:hAnsi="Arial" w:cs="Arial"/>
        <w:sz w:val="20"/>
        <w:szCs w:val="20"/>
      </w:rPr>
      <w:t xml:space="preserve"> 2013</w:t>
    </w:r>
  </w:p>
  <w:p w:rsidR="007152BB" w:rsidRPr="00185039" w:rsidRDefault="0068259A">
    <w:pPr>
      <w:pStyle w:val="Footer"/>
      <w:jc w:val="center"/>
      <w:rPr>
        <w:rFonts w:ascii="Arial" w:hAnsi="Arial" w:cs="Arial"/>
        <w:sz w:val="20"/>
        <w:szCs w:val="20"/>
      </w:rPr>
    </w:pPr>
    <w:r w:rsidRPr="00185039">
      <w:rPr>
        <w:rFonts w:ascii="Arial" w:hAnsi="Arial" w:cs="Arial"/>
        <w:sz w:val="20"/>
        <w:szCs w:val="20"/>
      </w:rPr>
      <w:fldChar w:fldCharType="begin"/>
    </w:r>
    <w:r w:rsidR="007152BB"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996869">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BB" w:rsidRPr="00D15280" w:rsidRDefault="007152BB" w:rsidP="00E70590">
    <w:pPr>
      <w:pStyle w:val="Footer"/>
      <w:tabs>
        <w:tab w:val="clear" w:pos="4513"/>
        <w:tab w:val="clear" w:pos="9026"/>
        <w:tab w:val="right" w:pos="9212"/>
      </w:tabs>
      <w:rPr>
        <w:rFonts w:ascii="Arial" w:hAnsi="Arial" w:cs="Arial"/>
        <w:sz w:val="20"/>
        <w:szCs w:val="20"/>
      </w:rPr>
    </w:pPr>
    <w:r>
      <w:rPr>
        <w:rFonts w:ascii="Arial" w:hAnsi="Arial" w:cs="Arial"/>
        <w:sz w:val="20"/>
        <w:szCs w:val="20"/>
      </w:rPr>
      <w:t>Final Advice</w:t>
    </w:r>
    <w:r>
      <w:rPr>
        <w:rFonts w:ascii="Arial" w:hAnsi="Arial" w:cs="Arial"/>
        <w:sz w:val="20"/>
        <w:szCs w:val="20"/>
      </w:rPr>
      <w:tab/>
      <w:t>24 May</w:t>
    </w:r>
    <w:r w:rsidRPr="001733E9">
      <w:rPr>
        <w:rFonts w:ascii="Arial" w:hAnsi="Arial" w:cs="Arial"/>
        <w:sz w:val="20"/>
        <w:szCs w:val="20"/>
      </w:rPr>
      <w:t xml:space="preserve"> 2013</w:t>
    </w:r>
  </w:p>
  <w:p w:rsidR="007152BB" w:rsidRPr="00062A46" w:rsidRDefault="0068259A" w:rsidP="00062A46">
    <w:pPr>
      <w:pStyle w:val="Footer"/>
      <w:tabs>
        <w:tab w:val="clear" w:pos="4513"/>
        <w:tab w:val="clear" w:pos="9026"/>
        <w:tab w:val="left" w:pos="639"/>
      </w:tabs>
      <w:jc w:val="center"/>
      <w:rPr>
        <w:rFonts w:ascii="Arial" w:hAnsi="Arial" w:cs="Arial"/>
        <w:sz w:val="20"/>
        <w:szCs w:val="20"/>
      </w:rPr>
    </w:pPr>
    <w:r w:rsidRPr="00D15280">
      <w:rPr>
        <w:rFonts w:ascii="Arial" w:hAnsi="Arial" w:cs="Arial"/>
        <w:sz w:val="20"/>
        <w:szCs w:val="20"/>
      </w:rPr>
      <w:fldChar w:fldCharType="begin"/>
    </w:r>
    <w:r w:rsidR="007152BB"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7152BB">
      <w:rPr>
        <w:rFonts w:ascii="Arial" w:hAnsi="Arial" w:cs="Arial"/>
        <w:noProof/>
        <w:sz w:val="20"/>
        <w:szCs w:val="20"/>
      </w:rPr>
      <w:t>1</w:t>
    </w:r>
    <w:r w:rsidRPr="00D15280">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2BB" w:rsidRDefault="007152BB" w:rsidP="00A60185">
      <w:r>
        <w:separator/>
      </w:r>
    </w:p>
  </w:footnote>
  <w:footnote w:type="continuationSeparator" w:id="0">
    <w:p w:rsidR="007152BB" w:rsidRDefault="007152BB"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BB" w:rsidRDefault="007152BB"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2BB" w:rsidRDefault="007152BB"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663AB8"/>
    <w:lvl w:ilvl="0">
      <w:start w:val="1"/>
      <w:numFmt w:val="decimal"/>
      <w:lvlText w:val="%1."/>
      <w:lvlJc w:val="left"/>
      <w:pPr>
        <w:tabs>
          <w:tab w:val="num" w:pos="1492"/>
        </w:tabs>
        <w:ind w:left="1492" w:hanging="360"/>
      </w:pPr>
    </w:lvl>
  </w:abstractNum>
  <w:abstractNum w:abstractNumId="1">
    <w:nsid w:val="FFFFFF7D"/>
    <w:multiLevelType w:val="singleLevel"/>
    <w:tmpl w:val="96C472A0"/>
    <w:lvl w:ilvl="0">
      <w:start w:val="1"/>
      <w:numFmt w:val="decimal"/>
      <w:lvlText w:val="%1."/>
      <w:lvlJc w:val="left"/>
      <w:pPr>
        <w:tabs>
          <w:tab w:val="num" w:pos="1209"/>
        </w:tabs>
        <w:ind w:left="1209" w:hanging="360"/>
      </w:pPr>
    </w:lvl>
  </w:abstractNum>
  <w:abstractNum w:abstractNumId="2">
    <w:nsid w:val="FFFFFF7E"/>
    <w:multiLevelType w:val="singleLevel"/>
    <w:tmpl w:val="128CD914"/>
    <w:lvl w:ilvl="0">
      <w:start w:val="1"/>
      <w:numFmt w:val="decimal"/>
      <w:lvlText w:val="%1."/>
      <w:lvlJc w:val="left"/>
      <w:pPr>
        <w:tabs>
          <w:tab w:val="num" w:pos="926"/>
        </w:tabs>
        <w:ind w:left="926" w:hanging="360"/>
      </w:pPr>
    </w:lvl>
  </w:abstractNum>
  <w:abstractNum w:abstractNumId="3">
    <w:nsid w:val="FFFFFF7F"/>
    <w:multiLevelType w:val="singleLevel"/>
    <w:tmpl w:val="1C8CAD34"/>
    <w:lvl w:ilvl="0">
      <w:start w:val="1"/>
      <w:numFmt w:val="decimal"/>
      <w:lvlText w:val="%1."/>
      <w:lvlJc w:val="left"/>
      <w:pPr>
        <w:tabs>
          <w:tab w:val="num" w:pos="643"/>
        </w:tabs>
        <w:ind w:left="643" w:hanging="360"/>
      </w:pPr>
    </w:lvl>
  </w:abstractNum>
  <w:abstractNum w:abstractNumId="4">
    <w:nsid w:val="FFFFFF80"/>
    <w:multiLevelType w:val="singleLevel"/>
    <w:tmpl w:val="7996D8FA"/>
    <w:lvl w:ilvl="0">
      <w:start w:val="1"/>
      <w:numFmt w:val="bullet"/>
      <w:pStyle w:val="ListNumber5"/>
      <w:lvlText w:val=""/>
      <w:lvlJc w:val="left"/>
      <w:pPr>
        <w:tabs>
          <w:tab w:val="num" w:pos="1492"/>
        </w:tabs>
        <w:ind w:left="1492" w:hanging="360"/>
      </w:pPr>
      <w:rPr>
        <w:rFonts w:ascii="Symbol" w:hAnsi="Symbol" w:hint="default"/>
      </w:rPr>
    </w:lvl>
  </w:abstractNum>
  <w:abstractNum w:abstractNumId="5">
    <w:nsid w:val="FFFFFF81"/>
    <w:multiLevelType w:val="singleLevel"/>
    <w:tmpl w:val="E00E051C"/>
    <w:lvl w:ilvl="0">
      <w:start w:val="1"/>
      <w:numFmt w:val="bullet"/>
      <w:pStyle w:val="ColorfulList-Accent11"/>
      <w:lvlText w:val=""/>
      <w:lvlJc w:val="left"/>
      <w:pPr>
        <w:tabs>
          <w:tab w:val="num" w:pos="1209"/>
        </w:tabs>
        <w:ind w:left="1209" w:hanging="360"/>
      </w:pPr>
      <w:rPr>
        <w:rFonts w:ascii="Symbol" w:hAnsi="Symbol" w:hint="default"/>
      </w:rPr>
    </w:lvl>
  </w:abstractNum>
  <w:abstractNum w:abstractNumId="6">
    <w:nsid w:val="FFFFFF82"/>
    <w:multiLevelType w:val="singleLevel"/>
    <w:tmpl w:val="4A1C7A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FCF0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DC3A90"/>
    <w:lvl w:ilvl="0">
      <w:start w:val="1"/>
      <w:numFmt w:val="decimal"/>
      <w:lvlText w:val="%1."/>
      <w:lvlJc w:val="left"/>
      <w:pPr>
        <w:tabs>
          <w:tab w:val="num" w:pos="360"/>
        </w:tabs>
        <w:ind w:left="360" w:hanging="360"/>
      </w:pPr>
    </w:lvl>
  </w:abstractNum>
  <w:abstractNum w:abstractNumId="9">
    <w:nsid w:val="FFFFFF89"/>
    <w:multiLevelType w:val="singleLevel"/>
    <w:tmpl w:val="52FE36AE"/>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184B1A2E"/>
    <w:multiLevelType w:val="hybridMultilevel"/>
    <w:tmpl w:val="0C1E3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5C33F0"/>
    <w:multiLevelType w:val="hybridMultilevel"/>
    <w:tmpl w:val="83329E48"/>
    <w:lvl w:ilvl="0" w:tplc="2BE44ED4">
      <w:start w:val="3"/>
      <w:numFmt w:val="decimal"/>
      <w:lvlText w:val="%1."/>
      <w:lvlJc w:val="left"/>
      <w:pPr>
        <w:ind w:left="394" w:hanging="360"/>
      </w:pPr>
      <w:rPr>
        <w:rFonts w:cs="Times New Roman" w:hint="default"/>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21306416"/>
    <w:multiLevelType w:val="hybridMultilevel"/>
    <w:tmpl w:val="034CCAA6"/>
    <w:lvl w:ilvl="0" w:tplc="0448B27E">
      <w:start w:val="1"/>
      <w:numFmt w:val="decimal"/>
      <w:lvlText w:val="%1."/>
      <w:lvlJc w:val="left"/>
      <w:pPr>
        <w:ind w:left="360" w:hanging="360"/>
      </w:pPr>
      <w:rPr>
        <w:rFonts w:ascii="Arial" w:hAnsi="Arial" w:cs="Arial" w:hint="default"/>
        <w:sz w:val="20"/>
        <w:szCs w:val="20"/>
      </w:rPr>
    </w:lvl>
    <w:lvl w:ilvl="1" w:tplc="0C090019">
      <w:start w:val="1"/>
      <w:numFmt w:val="lowerLetter"/>
      <w:lvlText w:val="%2."/>
      <w:lvlJc w:val="left"/>
      <w:pPr>
        <w:ind w:left="786"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3098052F"/>
    <w:multiLevelType w:val="multilevel"/>
    <w:tmpl w:val="473EA67C"/>
    <w:lvl w:ilvl="0">
      <w:start w:val="1"/>
      <w:numFmt w:val="decimal"/>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1B80CED"/>
    <w:multiLevelType w:val="hybridMultilevel"/>
    <w:tmpl w:val="2B92E3C8"/>
    <w:lvl w:ilvl="0" w:tplc="0C090001">
      <w:start w:val="1"/>
      <w:numFmt w:val="bullet"/>
      <w:lvlText w:val=""/>
      <w:lvlJc w:val="left"/>
      <w:pPr>
        <w:ind w:left="111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F6A7B1F"/>
    <w:multiLevelType w:val="hybridMultilevel"/>
    <w:tmpl w:val="9B22F0C2"/>
    <w:lvl w:ilvl="0" w:tplc="0C09000F">
      <w:start w:val="1"/>
      <w:numFmt w:val="decimal"/>
      <w:lvlText w:val="%1."/>
      <w:lvlJc w:val="left"/>
      <w:pPr>
        <w:ind w:left="394" w:hanging="360"/>
      </w:pPr>
      <w:rPr>
        <w:rFonts w:cs="Times New Roman"/>
      </w:rPr>
    </w:lvl>
    <w:lvl w:ilvl="1" w:tplc="0C090019" w:tentative="1">
      <w:start w:val="1"/>
      <w:numFmt w:val="lowerLetter"/>
      <w:lvlText w:val="%2."/>
      <w:lvlJc w:val="left"/>
      <w:pPr>
        <w:ind w:left="1114" w:hanging="360"/>
      </w:pPr>
      <w:rPr>
        <w:rFonts w:cs="Times New Roman"/>
      </w:rPr>
    </w:lvl>
    <w:lvl w:ilvl="2" w:tplc="0C09001B" w:tentative="1">
      <w:start w:val="1"/>
      <w:numFmt w:val="lowerRoman"/>
      <w:lvlText w:val="%3."/>
      <w:lvlJc w:val="right"/>
      <w:pPr>
        <w:ind w:left="1834" w:hanging="180"/>
      </w:pPr>
      <w:rPr>
        <w:rFonts w:cs="Times New Roman"/>
      </w:rPr>
    </w:lvl>
    <w:lvl w:ilvl="3" w:tplc="0C09000F" w:tentative="1">
      <w:start w:val="1"/>
      <w:numFmt w:val="decimal"/>
      <w:lvlText w:val="%4."/>
      <w:lvlJc w:val="left"/>
      <w:pPr>
        <w:ind w:left="2554" w:hanging="360"/>
      </w:pPr>
      <w:rPr>
        <w:rFonts w:cs="Times New Roman"/>
      </w:rPr>
    </w:lvl>
    <w:lvl w:ilvl="4" w:tplc="0C090019" w:tentative="1">
      <w:start w:val="1"/>
      <w:numFmt w:val="lowerLetter"/>
      <w:lvlText w:val="%5."/>
      <w:lvlJc w:val="left"/>
      <w:pPr>
        <w:ind w:left="3274" w:hanging="360"/>
      </w:pPr>
      <w:rPr>
        <w:rFonts w:cs="Times New Roman"/>
      </w:rPr>
    </w:lvl>
    <w:lvl w:ilvl="5" w:tplc="0C09001B" w:tentative="1">
      <w:start w:val="1"/>
      <w:numFmt w:val="lowerRoman"/>
      <w:lvlText w:val="%6."/>
      <w:lvlJc w:val="right"/>
      <w:pPr>
        <w:ind w:left="3994" w:hanging="180"/>
      </w:pPr>
      <w:rPr>
        <w:rFonts w:cs="Times New Roman"/>
      </w:rPr>
    </w:lvl>
    <w:lvl w:ilvl="6" w:tplc="0C09000F" w:tentative="1">
      <w:start w:val="1"/>
      <w:numFmt w:val="decimal"/>
      <w:lvlText w:val="%7."/>
      <w:lvlJc w:val="left"/>
      <w:pPr>
        <w:ind w:left="4714" w:hanging="360"/>
      </w:pPr>
      <w:rPr>
        <w:rFonts w:cs="Times New Roman"/>
      </w:rPr>
    </w:lvl>
    <w:lvl w:ilvl="7" w:tplc="0C090019" w:tentative="1">
      <w:start w:val="1"/>
      <w:numFmt w:val="lowerLetter"/>
      <w:lvlText w:val="%8."/>
      <w:lvlJc w:val="left"/>
      <w:pPr>
        <w:ind w:left="5434" w:hanging="360"/>
      </w:pPr>
      <w:rPr>
        <w:rFonts w:cs="Times New Roman"/>
      </w:rPr>
    </w:lvl>
    <w:lvl w:ilvl="8" w:tplc="0C09001B" w:tentative="1">
      <w:start w:val="1"/>
      <w:numFmt w:val="lowerRoman"/>
      <w:lvlText w:val="%9."/>
      <w:lvlJc w:val="right"/>
      <w:pPr>
        <w:ind w:left="6154" w:hanging="180"/>
      </w:pPr>
      <w:rPr>
        <w:rFonts w:cs="Times New Roman"/>
      </w:rPr>
    </w:lvl>
  </w:abstractNum>
  <w:abstractNum w:abstractNumId="18">
    <w:nsid w:val="418711BC"/>
    <w:multiLevelType w:val="hybridMultilevel"/>
    <w:tmpl w:val="D3AC0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901EC4"/>
    <w:multiLevelType w:val="multilevel"/>
    <w:tmpl w:val="90F6AB4A"/>
    <w:lvl w:ilvl="0">
      <w:start w:val="1"/>
      <w:numFmt w:val="upperLetter"/>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52BA7254"/>
    <w:multiLevelType w:val="hybridMultilevel"/>
    <w:tmpl w:val="A96E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476AB0"/>
    <w:multiLevelType w:val="hybridMultilevel"/>
    <w:tmpl w:val="19FE7702"/>
    <w:lvl w:ilvl="0" w:tplc="FE7A2928">
      <w:start w:val="1"/>
      <w:numFmt w:val="lowerLetter"/>
      <w:lvlText w:val="%1."/>
      <w:lvlJc w:val="left"/>
      <w:pPr>
        <w:ind w:left="1080" w:hanging="360"/>
      </w:pPr>
      <w:rPr>
        <w:rFonts w:cs="Times New Roman"/>
        <w:sz w:val="20"/>
        <w:szCs w:val="2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2">
    <w:nsid w:val="73E90EAC"/>
    <w:multiLevelType w:val="multilevel"/>
    <w:tmpl w:val="2FC879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57F5432"/>
    <w:multiLevelType w:val="hybridMultilevel"/>
    <w:tmpl w:val="6B1A3CD0"/>
    <w:lvl w:ilvl="0" w:tplc="AAAC1938">
      <w:start w:val="4"/>
      <w:numFmt w:val="decimal"/>
      <w:lvlText w:val="%1."/>
      <w:lvlJc w:val="left"/>
      <w:pPr>
        <w:ind w:left="360" w:hanging="360"/>
      </w:pPr>
      <w:rPr>
        <w:rFonts w:cs="Times New Roman" w:hint="default"/>
        <w:sz w:val="20"/>
        <w:szCs w:val="2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4">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0"/>
  </w:num>
  <w:num w:numId="13">
    <w:abstractNumId w:val="16"/>
  </w:num>
  <w:num w:numId="14">
    <w:abstractNumId w:val="14"/>
  </w:num>
  <w:num w:numId="15">
    <w:abstractNumId w:val="18"/>
  </w:num>
  <w:num w:numId="16">
    <w:abstractNumId w:val="13"/>
  </w:num>
  <w:num w:numId="17">
    <w:abstractNumId w:val="20"/>
  </w:num>
  <w:num w:numId="18">
    <w:abstractNumId w:val="17"/>
  </w:num>
  <w:num w:numId="19">
    <w:abstractNumId w:val="19"/>
  </w:num>
  <w:num w:numId="20">
    <w:abstractNumId w:val="11"/>
  </w:num>
  <w:num w:numId="21">
    <w:abstractNumId w:val="21"/>
  </w:num>
  <w:num w:numId="22">
    <w:abstractNumId w:val="12"/>
  </w:num>
  <w:num w:numId="23">
    <w:abstractNumId w:val="22"/>
  </w:num>
  <w:num w:numId="24">
    <w:abstractNumId w:val="2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41275D"/>
    <w:rsid w:val="00000D8C"/>
    <w:rsid w:val="00002185"/>
    <w:rsid w:val="000039ED"/>
    <w:rsid w:val="00004AEE"/>
    <w:rsid w:val="00005CAA"/>
    <w:rsid w:val="00010210"/>
    <w:rsid w:val="00012D66"/>
    <w:rsid w:val="00013250"/>
    <w:rsid w:val="0001445F"/>
    <w:rsid w:val="00015ADA"/>
    <w:rsid w:val="00020C99"/>
    <w:rsid w:val="00021444"/>
    <w:rsid w:val="00021B48"/>
    <w:rsid w:val="000224E3"/>
    <w:rsid w:val="0002593E"/>
    <w:rsid w:val="00026036"/>
    <w:rsid w:val="0002707B"/>
    <w:rsid w:val="0002758A"/>
    <w:rsid w:val="0002791A"/>
    <w:rsid w:val="00031B32"/>
    <w:rsid w:val="0003379C"/>
    <w:rsid w:val="00034DD7"/>
    <w:rsid w:val="000366B8"/>
    <w:rsid w:val="00040C17"/>
    <w:rsid w:val="00041337"/>
    <w:rsid w:val="00044CBF"/>
    <w:rsid w:val="00046207"/>
    <w:rsid w:val="00050BB6"/>
    <w:rsid w:val="0005148E"/>
    <w:rsid w:val="00051D13"/>
    <w:rsid w:val="00053F0C"/>
    <w:rsid w:val="000547F0"/>
    <w:rsid w:val="000555D4"/>
    <w:rsid w:val="00061534"/>
    <w:rsid w:val="000623E8"/>
    <w:rsid w:val="00062A18"/>
    <w:rsid w:val="00062A46"/>
    <w:rsid w:val="00064550"/>
    <w:rsid w:val="00070326"/>
    <w:rsid w:val="00075240"/>
    <w:rsid w:val="000759E5"/>
    <w:rsid w:val="0007601C"/>
    <w:rsid w:val="00076A71"/>
    <w:rsid w:val="00076F95"/>
    <w:rsid w:val="00077EA0"/>
    <w:rsid w:val="000812C3"/>
    <w:rsid w:val="00081DD2"/>
    <w:rsid w:val="0008306C"/>
    <w:rsid w:val="00084249"/>
    <w:rsid w:val="00084AC6"/>
    <w:rsid w:val="00085AB0"/>
    <w:rsid w:val="0009140A"/>
    <w:rsid w:val="00091608"/>
    <w:rsid w:val="0009196E"/>
    <w:rsid w:val="00092F92"/>
    <w:rsid w:val="0009333C"/>
    <w:rsid w:val="000948E5"/>
    <w:rsid w:val="000948F4"/>
    <w:rsid w:val="000949D4"/>
    <w:rsid w:val="0009704F"/>
    <w:rsid w:val="000A0F11"/>
    <w:rsid w:val="000A125A"/>
    <w:rsid w:val="000A1CF4"/>
    <w:rsid w:val="000A228F"/>
    <w:rsid w:val="000A57CD"/>
    <w:rsid w:val="000A5E43"/>
    <w:rsid w:val="000A5FA9"/>
    <w:rsid w:val="000B3758"/>
    <w:rsid w:val="000B7681"/>
    <w:rsid w:val="000B7B42"/>
    <w:rsid w:val="000C02B7"/>
    <w:rsid w:val="000C2814"/>
    <w:rsid w:val="000C451B"/>
    <w:rsid w:val="000C45C2"/>
    <w:rsid w:val="000C5342"/>
    <w:rsid w:val="000C706A"/>
    <w:rsid w:val="000D0201"/>
    <w:rsid w:val="000D2887"/>
    <w:rsid w:val="000D4698"/>
    <w:rsid w:val="000D6D63"/>
    <w:rsid w:val="000D706B"/>
    <w:rsid w:val="000D7810"/>
    <w:rsid w:val="000E0081"/>
    <w:rsid w:val="000E07CF"/>
    <w:rsid w:val="000E194E"/>
    <w:rsid w:val="000E19BE"/>
    <w:rsid w:val="000E1E4D"/>
    <w:rsid w:val="000E42DE"/>
    <w:rsid w:val="000E48A4"/>
    <w:rsid w:val="000E6E6D"/>
    <w:rsid w:val="000F6EB1"/>
    <w:rsid w:val="00100BEF"/>
    <w:rsid w:val="00101056"/>
    <w:rsid w:val="00102E17"/>
    <w:rsid w:val="00111B9E"/>
    <w:rsid w:val="0011498E"/>
    <w:rsid w:val="00117850"/>
    <w:rsid w:val="00117A45"/>
    <w:rsid w:val="00120B3B"/>
    <w:rsid w:val="001224AE"/>
    <w:rsid w:val="00123035"/>
    <w:rsid w:val="001232A4"/>
    <w:rsid w:val="001337D4"/>
    <w:rsid w:val="001340EA"/>
    <w:rsid w:val="00141BEA"/>
    <w:rsid w:val="00146A3D"/>
    <w:rsid w:val="00147C12"/>
    <w:rsid w:val="001527A1"/>
    <w:rsid w:val="001530DC"/>
    <w:rsid w:val="00154989"/>
    <w:rsid w:val="00155301"/>
    <w:rsid w:val="00155A9F"/>
    <w:rsid w:val="0015684F"/>
    <w:rsid w:val="00160262"/>
    <w:rsid w:val="0016186F"/>
    <w:rsid w:val="001625BD"/>
    <w:rsid w:val="0016281C"/>
    <w:rsid w:val="0016433A"/>
    <w:rsid w:val="0016780A"/>
    <w:rsid w:val="001713FA"/>
    <w:rsid w:val="001733E9"/>
    <w:rsid w:val="00173EBF"/>
    <w:rsid w:val="0017493B"/>
    <w:rsid w:val="001765DA"/>
    <w:rsid w:val="001836C2"/>
    <w:rsid w:val="001842A2"/>
    <w:rsid w:val="00185039"/>
    <w:rsid w:val="0018794B"/>
    <w:rsid w:val="00187FA8"/>
    <w:rsid w:val="001922D0"/>
    <w:rsid w:val="00192F5E"/>
    <w:rsid w:val="00194972"/>
    <w:rsid w:val="00197772"/>
    <w:rsid w:val="00197D59"/>
    <w:rsid w:val="001A51C8"/>
    <w:rsid w:val="001B064A"/>
    <w:rsid w:val="001B472B"/>
    <w:rsid w:val="001B48C6"/>
    <w:rsid w:val="001B490F"/>
    <w:rsid w:val="001B4CA8"/>
    <w:rsid w:val="001C0DCB"/>
    <w:rsid w:val="001C4F3D"/>
    <w:rsid w:val="001C7199"/>
    <w:rsid w:val="001D0CDC"/>
    <w:rsid w:val="001D1A3A"/>
    <w:rsid w:val="001D1D82"/>
    <w:rsid w:val="001D3970"/>
    <w:rsid w:val="001E1182"/>
    <w:rsid w:val="001E1216"/>
    <w:rsid w:val="001E2B2C"/>
    <w:rsid w:val="001E3C83"/>
    <w:rsid w:val="001E5913"/>
    <w:rsid w:val="001F0E8B"/>
    <w:rsid w:val="001F2719"/>
    <w:rsid w:val="001F33F5"/>
    <w:rsid w:val="001F6957"/>
    <w:rsid w:val="001F6ECA"/>
    <w:rsid w:val="002002A4"/>
    <w:rsid w:val="00200944"/>
    <w:rsid w:val="00200E0E"/>
    <w:rsid w:val="00201E77"/>
    <w:rsid w:val="00202C90"/>
    <w:rsid w:val="00205373"/>
    <w:rsid w:val="00213DE8"/>
    <w:rsid w:val="00214FD1"/>
    <w:rsid w:val="002155DB"/>
    <w:rsid w:val="00215618"/>
    <w:rsid w:val="00216118"/>
    <w:rsid w:val="00216884"/>
    <w:rsid w:val="002209AB"/>
    <w:rsid w:val="00224879"/>
    <w:rsid w:val="002251E3"/>
    <w:rsid w:val="00227A95"/>
    <w:rsid w:val="002310A3"/>
    <w:rsid w:val="002316BD"/>
    <w:rsid w:val="00233065"/>
    <w:rsid w:val="002334F2"/>
    <w:rsid w:val="002336F3"/>
    <w:rsid w:val="00237592"/>
    <w:rsid w:val="0024276E"/>
    <w:rsid w:val="002473FC"/>
    <w:rsid w:val="00252E3C"/>
    <w:rsid w:val="00253343"/>
    <w:rsid w:val="00254C9E"/>
    <w:rsid w:val="00262198"/>
    <w:rsid w:val="002648BE"/>
    <w:rsid w:val="00280B99"/>
    <w:rsid w:val="00285F1B"/>
    <w:rsid w:val="00287DA5"/>
    <w:rsid w:val="00292B81"/>
    <w:rsid w:val="0029322E"/>
    <w:rsid w:val="00293A42"/>
    <w:rsid w:val="00296477"/>
    <w:rsid w:val="002974BC"/>
    <w:rsid w:val="0029775C"/>
    <w:rsid w:val="002A512E"/>
    <w:rsid w:val="002A5EC3"/>
    <w:rsid w:val="002A7836"/>
    <w:rsid w:val="002B18AE"/>
    <w:rsid w:val="002B2D7B"/>
    <w:rsid w:val="002B3471"/>
    <w:rsid w:val="002B67D3"/>
    <w:rsid w:val="002B70B5"/>
    <w:rsid w:val="002C1C93"/>
    <w:rsid w:val="002C5066"/>
    <w:rsid w:val="002C654A"/>
    <w:rsid w:val="002C6B86"/>
    <w:rsid w:val="002D4AAC"/>
    <w:rsid w:val="002D6C33"/>
    <w:rsid w:val="002E0BD9"/>
    <w:rsid w:val="002E339A"/>
    <w:rsid w:val="002E5154"/>
    <w:rsid w:val="002F045A"/>
    <w:rsid w:val="002F6D41"/>
    <w:rsid w:val="0030039D"/>
    <w:rsid w:val="00300715"/>
    <w:rsid w:val="003019B1"/>
    <w:rsid w:val="00301ACF"/>
    <w:rsid w:val="00302602"/>
    <w:rsid w:val="0030326F"/>
    <w:rsid w:val="00305435"/>
    <w:rsid w:val="00307305"/>
    <w:rsid w:val="00310701"/>
    <w:rsid w:val="00311510"/>
    <w:rsid w:val="00311C88"/>
    <w:rsid w:val="00315980"/>
    <w:rsid w:val="003160EC"/>
    <w:rsid w:val="00316F7F"/>
    <w:rsid w:val="00320162"/>
    <w:rsid w:val="0032087E"/>
    <w:rsid w:val="0032118F"/>
    <w:rsid w:val="003218E8"/>
    <w:rsid w:val="003247B9"/>
    <w:rsid w:val="00325820"/>
    <w:rsid w:val="00330945"/>
    <w:rsid w:val="00330DCE"/>
    <w:rsid w:val="00331E11"/>
    <w:rsid w:val="00334761"/>
    <w:rsid w:val="00337EBC"/>
    <w:rsid w:val="00341DCD"/>
    <w:rsid w:val="0034504D"/>
    <w:rsid w:val="0034563E"/>
    <w:rsid w:val="003470C9"/>
    <w:rsid w:val="003504CC"/>
    <w:rsid w:val="003518D6"/>
    <w:rsid w:val="00352EC0"/>
    <w:rsid w:val="00353149"/>
    <w:rsid w:val="003535F7"/>
    <w:rsid w:val="0035460C"/>
    <w:rsid w:val="003556BD"/>
    <w:rsid w:val="00360FE7"/>
    <w:rsid w:val="00365147"/>
    <w:rsid w:val="00365202"/>
    <w:rsid w:val="00365F5B"/>
    <w:rsid w:val="0037016E"/>
    <w:rsid w:val="00370E55"/>
    <w:rsid w:val="00371284"/>
    <w:rsid w:val="00371EDE"/>
    <w:rsid w:val="003720FC"/>
    <w:rsid w:val="00372772"/>
    <w:rsid w:val="00372908"/>
    <w:rsid w:val="00372A5D"/>
    <w:rsid w:val="00373A01"/>
    <w:rsid w:val="00375032"/>
    <w:rsid w:val="00375843"/>
    <w:rsid w:val="00376457"/>
    <w:rsid w:val="003810C2"/>
    <w:rsid w:val="00381917"/>
    <w:rsid w:val="00383020"/>
    <w:rsid w:val="003836C6"/>
    <w:rsid w:val="003872BE"/>
    <w:rsid w:val="003975FD"/>
    <w:rsid w:val="003A0593"/>
    <w:rsid w:val="003A13D7"/>
    <w:rsid w:val="003A2EF5"/>
    <w:rsid w:val="003A44F6"/>
    <w:rsid w:val="003A483F"/>
    <w:rsid w:val="003B0B6A"/>
    <w:rsid w:val="003B60CC"/>
    <w:rsid w:val="003C1AFC"/>
    <w:rsid w:val="003C1B25"/>
    <w:rsid w:val="003C2443"/>
    <w:rsid w:val="003C312A"/>
    <w:rsid w:val="003C31E0"/>
    <w:rsid w:val="003C5DA3"/>
    <w:rsid w:val="003C6246"/>
    <w:rsid w:val="003D4BCD"/>
    <w:rsid w:val="003E01D8"/>
    <w:rsid w:val="003E2100"/>
    <w:rsid w:val="003E3060"/>
    <w:rsid w:val="003E53CA"/>
    <w:rsid w:val="003F0CB7"/>
    <w:rsid w:val="003F197A"/>
    <w:rsid w:val="003F460F"/>
    <w:rsid w:val="003F59B0"/>
    <w:rsid w:val="003F69E6"/>
    <w:rsid w:val="003F6F5B"/>
    <w:rsid w:val="003F7F84"/>
    <w:rsid w:val="0040342D"/>
    <w:rsid w:val="00403FB9"/>
    <w:rsid w:val="00410C26"/>
    <w:rsid w:val="0041192D"/>
    <w:rsid w:val="00411F2D"/>
    <w:rsid w:val="0041275D"/>
    <w:rsid w:val="00413EE1"/>
    <w:rsid w:val="0042128E"/>
    <w:rsid w:val="00423B6F"/>
    <w:rsid w:val="0042465A"/>
    <w:rsid w:val="004250F7"/>
    <w:rsid w:val="0042526C"/>
    <w:rsid w:val="00432B60"/>
    <w:rsid w:val="004337D3"/>
    <w:rsid w:val="00436106"/>
    <w:rsid w:val="00440698"/>
    <w:rsid w:val="004409DB"/>
    <w:rsid w:val="0044376B"/>
    <w:rsid w:val="00444D52"/>
    <w:rsid w:val="0044611B"/>
    <w:rsid w:val="004540E2"/>
    <w:rsid w:val="00454454"/>
    <w:rsid w:val="00455DC0"/>
    <w:rsid w:val="00463250"/>
    <w:rsid w:val="0046520F"/>
    <w:rsid w:val="00467924"/>
    <w:rsid w:val="004712A5"/>
    <w:rsid w:val="00471F14"/>
    <w:rsid w:val="0047266F"/>
    <w:rsid w:val="00476D6B"/>
    <w:rsid w:val="004821C1"/>
    <w:rsid w:val="00482246"/>
    <w:rsid w:val="00487792"/>
    <w:rsid w:val="0049013A"/>
    <w:rsid w:val="00492C16"/>
    <w:rsid w:val="00495FE7"/>
    <w:rsid w:val="004977DF"/>
    <w:rsid w:val="004A0678"/>
    <w:rsid w:val="004A48A3"/>
    <w:rsid w:val="004B0D92"/>
    <w:rsid w:val="004B0EC0"/>
    <w:rsid w:val="004B2504"/>
    <w:rsid w:val="004B2783"/>
    <w:rsid w:val="004B3C14"/>
    <w:rsid w:val="004B4A03"/>
    <w:rsid w:val="004B66F1"/>
    <w:rsid w:val="004C0D82"/>
    <w:rsid w:val="004C3B7B"/>
    <w:rsid w:val="004C3EA0"/>
    <w:rsid w:val="004D65D2"/>
    <w:rsid w:val="004E08F1"/>
    <w:rsid w:val="004E23DF"/>
    <w:rsid w:val="004E3196"/>
    <w:rsid w:val="004E58FA"/>
    <w:rsid w:val="004E5DE8"/>
    <w:rsid w:val="004F7169"/>
    <w:rsid w:val="00500D66"/>
    <w:rsid w:val="00502B0C"/>
    <w:rsid w:val="005036A6"/>
    <w:rsid w:val="00506B46"/>
    <w:rsid w:val="00506D2C"/>
    <w:rsid w:val="005133EE"/>
    <w:rsid w:val="00514C8E"/>
    <w:rsid w:val="00517F35"/>
    <w:rsid w:val="00523A57"/>
    <w:rsid w:val="00523ED3"/>
    <w:rsid w:val="00527174"/>
    <w:rsid w:val="00530926"/>
    <w:rsid w:val="00531DBF"/>
    <w:rsid w:val="005337FC"/>
    <w:rsid w:val="0053597C"/>
    <w:rsid w:val="00535FA1"/>
    <w:rsid w:val="005371BB"/>
    <w:rsid w:val="005427F4"/>
    <w:rsid w:val="00545759"/>
    <w:rsid w:val="00545BE0"/>
    <w:rsid w:val="0055101F"/>
    <w:rsid w:val="00552021"/>
    <w:rsid w:val="00554C6A"/>
    <w:rsid w:val="00556D89"/>
    <w:rsid w:val="005574FB"/>
    <w:rsid w:val="00561F35"/>
    <w:rsid w:val="00562E85"/>
    <w:rsid w:val="0056332F"/>
    <w:rsid w:val="00563D37"/>
    <w:rsid w:val="0056629C"/>
    <w:rsid w:val="0057117C"/>
    <w:rsid w:val="00577369"/>
    <w:rsid w:val="005800B7"/>
    <w:rsid w:val="00580893"/>
    <w:rsid w:val="00581C39"/>
    <w:rsid w:val="00584444"/>
    <w:rsid w:val="00584F6B"/>
    <w:rsid w:val="00587908"/>
    <w:rsid w:val="005903B6"/>
    <w:rsid w:val="00591C3A"/>
    <w:rsid w:val="00592B20"/>
    <w:rsid w:val="005A0247"/>
    <w:rsid w:val="005A126E"/>
    <w:rsid w:val="005A21CA"/>
    <w:rsid w:val="005A285A"/>
    <w:rsid w:val="005A3DBB"/>
    <w:rsid w:val="005A452F"/>
    <w:rsid w:val="005A703F"/>
    <w:rsid w:val="005B140D"/>
    <w:rsid w:val="005B398D"/>
    <w:rsid w:val="005C0CC1"/>
    <w:rsid w:val="005C1A51"/>
    <w:rsid w:val="005C1A94"/>
    <w:rsid w:val="005C1FEA"/>
    <w:rsid w:val="005C3495"/>
    <w:rsid w:val="005C442A"/>
    <w:rsid w:val="005C48AA"/>
    <w:rsid w:val="005C50F4"/>
    <w:rsid w:val="005C72D1"/>
    <w:rsid w:val="005D3233"/>
    <w:rsid w:val="005D6ADE"/>
    <w:rsid w:val="005E13EA"/>
    <w:rsid w:val="005E3889"/>
    <w:rsid w:val="005E3DFC"/>
    <w:rsid w:val="005E60AF"/>
    <w:rsid w:val="005E7B4E"/>
    <w:rsid w:val="005F1DEA"/>
    <w:rsid w:val="005F34F8"/>
    <w:rsid w:val="005F3849"/>
    <w:rsid w:val="005F5B13"/>
    <w:rsid w:val="005F75DB"/>
    <w:rsid w:val="00602B9B"/>
    <w:rsid w:val="00602FCB"/>
    <w:rsid w:val="00603143"/>
    <w:rsid w:val="00603B21"/>
    <w:rsid w:val="006042FA"/>
    <w:rsid w:val="00606021"/>
    <w:rsid w:val="00607FC9"/>
    <w:rsid w:val="00610955"/>
    <w:rsid w:val="00612A57"/>
    <w:rsid w:val="0061490C"/>
    <w:rsid w:val="006220AB"/>
    <w:rsid w:val="00622FE1"/>
    <w:rsid w:val="00623C20"/>
    <w:rsid w:val="00623DC0"/>
    <w:rsid w:val="0062521C"/>
    <w:rsid w:val="00627AB2"/>
    <w:rsid w:val="00630A2B"/>
    <w:rsid w:val="0063283F"/>
    <w:rsid w:val="00632DC7"/>
    <w:rsid w:val="00633896"/>
    <w:rsid w:val="006357FB"/>
    <w:rsid w:val="006406FC"/>
    <w:rsid w:val="0064407B"/>
    <w:rsid w:val="00644DFD"/>
    <w:rsid w:val="00646122"/>
    <w:rsid w:val="00647C73"/>
    <w:rsid w:val="00651CB6"/>
    <w:rsid w:val="00652B09"/>
    <w:rsid w:val="00653C98"/>
    <w:rsid w:val="00653E16"/>
    <w:rsid w:val="00656928"/>
    <w:rsid w:val="00657220"/>
    <w:rsid w:val="0066104B"/>
    <w:rsid w:val="00661419"/>
    <w:rsid w:val="00662A18"/>
    <w:rsid w:val="0066393F"/>
    <w:rsid w:val="006652C6"/>
    <w:rsid w:val="006655EE"/>
    <w:rsid w:val="00666836"/>
    <w:rsid w:val="006669AA"/>
    <w:rsid w:val="00666ABD"/>
    <w:rsid w:val="00667C10"/>
    <w:rsid w:val="00667EF4"/>
    <w:rsid w:val="00672B85"/>
    <w:rsid w:val="00674E59"/>
    <w:rsid w:val="00675F89"/>
    <w:rsid w:val="00676FCA"/>
    <w:rsid w:val="00677177"/>
    <w:rsid w:val="006819D0"/>
    <w:rsid w:val="0068216F"/>
    <w:rsid w:val="0068259A"/>
    <w:rsid w:val="006855E4"/>
    <w:rsid w:val="0068612E"/>
    <w:rsid w:val="00687085"/>
    <w:rsid w:val="00687858"/>
    <w:rsid w:val="00687C92"/>
    <w:rsid w:val="00687D9B"/>
    <w:rsid w:val="006903B7"/>
    <w:rsid w:val="006926D4"/>
    <w:rsid w:val="00694C6F"/>
    <w:rsid w:val="0069534E"/>
    <w:rsid w:val="0069579D"/>
    <w:rsid w:val="00695A81"/>
    <w:rsid w:val="00695CC6"/>
    <w:rsid w:val="00696365"/>
    <w:rsid w:val="0069669C"/>
    <w:rsid w:val="006A1200"/>
    <w:rsid w:val="006A2C5A"/>
    <w:rsid w:val="006A4F4E"/>
    <w:rsid w:val="006A5736"/>
    <w:rsid w:val="006A692C"/>
    <w:rsid w:val="006B14DB"/>
    <w:rsid w:val="006B21C4"/>
    <w:rsid w:val="006B3ADA"/>
    <w:rsid w:val="006B4717"/>
    <w:rsid w:val="006C03B8"/>
    <w:rsid w:val="006C046D"/>
    <w:rsid w:val="006C2118"/>
    <w:rsid w:val="006C2D69"/>
    <w:rsid w:val="006C43B8"/>
    <w:rsid w:val="006C4A1A"/>
    <w:rsid w:val="006C4F46"/>
    <w:rsid w:val="006C661F"/>
    <w:rsid w:val="006C6BA9"/>
    <w:rsid w:val="006C7DAD"/>
    <w:rsid w:val="006D0393"/>
    <w:rsid w:val="006D0464"/>
    <w:rsid w:val="006D1A83"/>
    <w:rsid w:val="006D5AF1"/>
    <w:rsid w:val="006D5D1E"/>
    <w:rsid w:val="006E1CFE"/>
    <w:rsid w:val="006E31A2"/>
    <w:rsid w:val="006F10C4"/>
    <w:rsid w:val="006F40E9"/>
    <w:rsid w:val="006F424F"/>
    <w:rsid w:val="006F526F"/>
    <w:rsid w:val="006F5603"/>
    <w:rsid w:val="006F563B"/>
    <w:rsid w:val="006F7355"/>
    <w:rsid w:val="006F7AA2"/>
    <w:rsid w:val="00701400"/>
    <w:rsid w:val="0070316B"/>
    <w:rsid w:val="007037CF"/>
    <w:rsid w:val="00703BB8"/>
    <w:rsid w:val="0070472E"/>
    <w:rsid w:val="00704DDA"/>
    <w:rsid w:val="00705B67"/>
    <w:rsid w:val="00707AD8"/>
    <w:rsid w:val="007133FA"/>
    <w:rsid w:val="007152BB"/>
    <w:rsid w:val="00716583"/>
    <w:rsid w:val="007167C0"/>
    <w:rsid w:val="0071732F"/>
    <w:rsid w:val="00720481"/>
    <w:rsid w:val="00721558"/>
    <w:rsid w:val="00727C18"/>
    <w:rsid w:val="00727E2F"/>
    <w:rsid w:val="00733193"/>
    <w:rsid w:val="00735CCD"/>
    <w:rsid w:val="00737CBA"/>
    <w:rsid w:val="007470B1"/>
    <w:rsid w:val="00747E7B"/>
    <w:rsid w:val="00752FF8"/>
    <w:rsid w:val="0075468E"/>
    <w:rsid w:val="00754C17"/>
    <w:rsid w:val="007557C4"/>
    <w:rsid w:val="00755B51"/>
    <w:rsid w:val="0075732A"/>
    <w:rsid w:val="00760262"/>
    <w:rsid w:val="0076310C"/>
    <w:rsid w:val="0076744F"/>
    <w:rsid w:val="00767BCE"/>
    <w:rsid w:val="00767EFC"/>
    <w:rsid w:val="007707DE"/>
    <w:rsid w:val="00770B5D"/>
    <w:rsid w:val="007718F8"/>
    <w:rsid w:val="00771FE1"/>
    <w:rsid w:val="0077460A"/>
    <w:rsid w:val="00774DE1"/>
    <w:rsid w:val="007752F1"/>
    <w:rsid w:val="0077536C"/>
    <w:rsid w:val="00776768"/>
    <w:rsid w:val="0078153D"/>
    <w:rsid w:val="00782D61"/>
    <w:rsid w:val="00787AD5"/>
    <w:rsid w:val="00790AAF"/>
    <w:rsid w:val="00791024"/>
    <w:rsid w:val="0079189D"/>
    <w:rsid w:val="007921C6"/>
    <w:rsid w:val="00793477"/>
    <w:rsid w:val="0079421A"/>
    <w:rsid w:val="00794818"/>
    <w:rsid w:val="00794C7A"/>
    <w:rsid w:val="00797FD8"/>
    <w:rsid w:val="007A116E"/>
    <w:rsid w:val="007A2573"/>
    <w:rsid w:val="007A3B9C"/>
    <w:rsid w:val="007A4864"/>
    <w:rsid w:val="007A4EEB"/>
    <w:rsid w:val="007A50C5"/>
    <w:rsid w:val="007A5C30"/>
    <w:rsid w:val="007A63AE"/>
    <w:rsid w:val="007B106C"/>
    <w:rsid w:val="007B1A4E"/>
    <w:rsid w:val="007B2149"/>
    <w:rsid w:val="007B3C8F"/>
    <w:rsid w:val="007B3D05"/>
    <w:rsid w:val="007B5503"/>
    <w:rsid w:val="007B5A16"/>
    <w:rsid w:val="007B67E8"/>
    <w:rsid w:val="007B76BA"/>
    <w:rsid w:val="007C1962"/>
    <w:rsid w:val="007C6BB3"/>
    <w:rsid w:val="007D112C"/>
    <w:rsid w:val="007D14B4"/>
    <w:rsid w:val="007D3AD7"/>
    <w:rsid w:val="007D67BE"/>
    <w:rsid w:val="007D7FAF"/>
    <w:rsid w:val="007E24F6"/>
    <w:rsid w:val="007E5329"/>
    <w:rsid w:val="007E63A5"/>
    <w:rsid w:val="007E691C"/>
    <w:rsid w:val="007E6ACC"/>
    <w:rsid w:val="007F0B73"/>
    <w:rsid w:val="007F0FAC"/>
    <w:rsid w:val="007F21BB"/>
    <w:rsid w:val="007F4A6F"/>
    <w:rsid w:val="007F590B"/>
    <w:rsid w:val="007F6800"/>
    <w:rsid w:val="00800F64"/>
    <w:rsid w:val="00802F0B"/>
    <w:rsid w:val="00802F59"/>
    <w:rsid w:val="00807E62"/>
    <w:rsid w:val="00810A67"/>
    <w:rsid w:val="00815621"/>
    <w:rsid w:val="008211FF"/>
    <w:rsid w:val="00821D5D"/>
    <w:rsid w:val="00822B90"/>
    <w:rsid w:val="00832DCC"/>
    <w:rsid w:val="00833CF7"/>
    <w:rsid w:val="00835F63"/>
    <w:rsid w:val="00845601"/>
    <w:rsid w:val="008524B9"/>
    <w:rsid w:val="0085484F"/>
    <w:rsid w:val="00855C5C"/>
    <w:rsid w:val="00857801"/>
    <w:rsid w:val="00862195"/>
    <w:rsid w:val="0086233C"/>
    <w:rsid w:val="00865CFA"/>
    <w:rsid w:val="00870ECB"/>
    <w:rsid w:val="008726C4"/>
    <w:rsid w:val="0088045D"/>
    <w:rsid w:val="0088129A"/>
    <w:rsid w:val="00883821"/>
    <w:rsid w:val="00883CE7"/>
    <w:rsid w:val="00890D88"/>
    <w:rsid w:val="008916B0"/>
    <w:rsid w:val="008943BB"/>
    <w:rsid w:val="00894570"/>
    <w:rsid w:val="00895040"/>
    <w:rsid w:val="00895087"/>
    <w:rsid w:val="00896280"/>
    <w:rsid w:val="008A187F"/>
    <w:rsid w:val="008A3C96"/>
    <w:rsid w:val="008A4105"/>
    <w:rsid w:val="008B0BBA"/>
    <w:rsid w:val="008B0C4F"/>
    <w:rsid w:val="008B1627"/>
    <w:rsid w:val="008B4019"/>
    <w:rsid w:val="008B505F"/>
    <w:rsid w:val="008B65C9"/>
    <w:rsid w:val="008C2D4A"/>
    <w:rsid w:val="008C3FAC"/>
    <w:rsid w:val="008C5308"/>
    <w:rsid w:val="008C6A05"/>
    <w:rsid w:val="008C7DBB"/>
    <w:rsid w:val="008D3900"/>
    <w:rsid w:val="008D4DC3"/>
    <w:rsid w:val="008D6E1D"/>
    <w:rsid w:val="008D6EDB"/>
    <w:rsid w:val="008E36FE"/>
    <w:rsid w:val="008E475B"/>
    <w:rsid w:val="008E4B33"/>
    <w:rsid w:val="008F39B4"/>
    <w:rsid w:val="008F4162"/>
    <w:rsid w:val="008F4C47"/>
    <w:rsid w:val="00902130"/>
    <w:rsid w:val="00903E02"/>
    <w:rsid w:val="00912A54"/>
    <w:rsid w:val="00913175"/>
    <w:rsid w:val="00914008"/>
    <w:rsid w:val="00916EDB"/>
    <w:rsid w:val="00920861"/>
    <w:rsid w:val="00922B13"/>
    <w:rsid w:val="009242EF"/>
    <w:rsid w:val="00932291"/>
    <w:rsid w:val="00933314"/>
    <w:rsid w:val="0093408E"/>
    <w:rsid w:val="00936982"/>
    <w:rsid w:val="00937B07"/>
    <w:rsid w:val="0094560A"/>
    <w:rsid w:val="0094739F"/>
    <w:rsid w:val="00947507"/>
    <w:rsid w:val="00952DDF"/>
    <w:rsid w:val="00952EC4"/>
    <w:rsid w:val="00955C10"/>
    <w:rsid w:val="00956AF8"/>
    <w:rsid w:val="009601F5"/>
    <w:rsid w:val="009638E6"/>
    <w:rsid w:val="009644FF"/>
    <w:rsid w:val="009804D9"/>
    <w:rsid w:val="009812D4"/>
    <w:rsid w:val="00982653"/>
    <w:rsid w:val="0098413A"/>
    <w:rsid w:val="00986CDF"/>
    <w:rsid w:val="009873F4"/>
    <w:rsid w:val="00987F25"/>
    <w:rsid w:val="0099063D"/>
    <w:rsid w:val="009911BE"/>
    <w:rsid w:val="009920D8"/>
    <w:rsid w:val="00993764"/>
    <w:rsid w:val="00996869"/>
    <w:rsid w:val="009A127D"/>
    <w:rsid w:val="009A239C"/>
    <w:rsid w:val="009A371F"/>
    <w:rsid w:val="009A380F"/>
    <w:rsid w:val="009A62FD"/>
    <w:rsid w:val="009B36F9"/>
    <w:rsid w:val="009B38BE"/>
    <w:rsid w:val="009B4556"/>
    <w:rsid w:val="009B65EE"/>
    <w:rsid w:val="009B682F"/>
    <w:rsid w:val="009C0171"/>
    <w:rsid w:val="009C3D0F"/>
    <w:rsid w:val="009C4067"/>
    <w:rsid w:val="009C58A9"/>
    <w:rsid w:val="009C6B8B"/>
    <w:rsid w:val="009D6232"/>
    <w:rsid w:val="009E0619"/>
    <w:rsid w:val="009E0D9D"/>
    <w:rsid w:val="009E1B19"/>
    <w:rsid w:val="009E5637"/>
    <w:rsid w:val="009E633C"/>
    <w:rsid w:val="009F1BF9"/>
    <w:rsid w:val="009F35E2"/>
    <w:rsid w:val="009F65F9"/>
    <w:rsid w:val="009F68BA"/>
    <w:rsid w:val="00A01739"/>
    <w:rsid w:val="00A03E09"/>
    <w:rsid w:val="00A06277"/>
    <w:rsid w:val="00A079DC"/>
    <w:rsid w:val="00A07FEA"/>
    <w:rsid w:val="00A10BAB"/>
    <w:rsid w:val="00A111C2"/>
    <w:rsid w:val="00A17C39"/>
    <w:rsid w:val="00A21B34"/>
    <w:rsid w:val="00A221DA"/>
    <w:rsid w:val="00A238AA"/>
    <w:rsid w:val="00A338E7"/>
    <w:rsid w:val="00A34DDD"/>
    <w:rsid w:val="00A35CAA"/>
    <w:rsid w:val="00A36E7F"/>
    <w:rsid w:val="00A37E36"/>
    <w:rsid w:val="00A41E65"/>
    <w:rsid w:val="00A43E0A"/>
    <w:rsid w:val="00A44867"/>
    <w:rsid w:val="00A45892"/>
    <w:rsid w:val="00A46247"/>
    <w:rsid w:val="00A47D23"/>
    <w:rsid w:val="00A5028D"/>
    <w:rsid w:val="00A52569"/>
    <w:rsid w:val="00A525CF"/>
    <w:rsid w:val="00A530C7"/>
    <w:rsid w:val="00A55F5B"/>
    <w:rsid w:val="00A60185"/>
    <w:rsid w:val="00A65588"/>
    <w:rsid w:val="00A661EA"/>
    <w:rsid w:val="00A66DFF"/>
    <w:rsid w:val="00A70A6C"/>
    <w:rsid w:val="00A71E54"/>
    <w:rsid w:val="00A722CE"/>
    <w:rsid w:val="00A7567C"/>
    <w:rsid w:val="00A830E5"/>
    <w:rsid w:val="00A84885"/>
    <w:rsid w:val="00A85ECE"/>
    <w:rsid w:val="00A87135"/>
    <w:rsid w:val="00A915F8"/>
    <w:rsid w:val="00A93280"/>
    <w:rsid w:val="00A943C7"/>
    <w:rsid w:val="00A951EA"/>
    <w:rsid w:val="00A957CD"/>
    <w:rsid w:val="00A95A35"/>
    <w:rsid w:val="00A961A6"/>
    <w:rsid w:val="00A96B04"/>
    <w:rsid w:val="00A96D5D"/>
    <w:rsid w:val="00A973E1"/>
    <w:rsid w:val="00A97424"/>
    <w:rsid w:val="00AA1C65"/>
    <w:rsid w:val="00AA2548"/>
    <w:rsid w:val="00AA3B6E"/>
    <w:rsid w:val="00AA3E4C"/>
    <w:rsid w:val="00AA58C4"/>
    <w:rsid w:val="00AB11C8"/>
    <w:rsid w:val="00AB1A99"/>
    <w:rsid w:val="00AB1AA4"/>
    <w:rsid w:val="00AB6BFB"/>
    <w:rsid w:val="00AC08A8"/>
    <w:rsid w:val="00AC1046"/>
    <w:rsid w:val="00AC12AD"/>
    <w:rsid w:val="00AC1E21"/>
    <w:rsid w:val="00AC7AFF"/>
    <w:rsid w:val="00AD08A7"/>
    <w:rsid w:val="00AD20DC"/>
    <w:rsid w:val="00AD2904"/>
    <w:rsid w:val="00AD56C8"/>
    <w:rsid w:val="00AD58F2"/>
    <w:rsid w:val="00AD6D47"/>
    <w:rsid w:val="00AE1914"/>
    <w:rsid w:val="00AE1AB4"/>
    <w:rsid w:val="00AE42AF"/>
    <w:rsid w:val="00AF1655"/>
    <w:rsid w:val="00AF4936"/>
    <w:rsid w:val="00AF57B5"/>
    <w:rsid w:val="00AF5EA3"/>
    <w:rsid w:val="00AF6573"/>
    <w:rsid w:val="00AF7690"/>
    <w:rsid w:val="00AF7DBA"/>
    <w:rsid w:val="00B04BBD"/>
    <w:rsid w:val="00B0512A"/>
    <w:rsid w:val="00B0529F"/>
    <w:rsid w:val="00B05D52"/>
    <w:rsid w:val="00B05E1C"/>
    <w:rsid w:val="00B13632"/>
    <w:rsid w:val="00B1418B"/>
    <w:rsid w:val="00B14D26"/>
    <w:rsid w:val="00B151A0"/>
    <w:rsid w:val="00B1560E"/>
    <w:rsid w:val="00B20363"/>
    <w:rsid w:val="00B21195"/>
    <w:rsid w:val="00B22B3D"/>
    <w:rsid w:val="00B22B69"/>
    <w:rsid w:val="00B24B22"/>
    <w:rsid w:val="00B25310"/>
    <w:rsid w:val="00B30F35"/>
    <w:rsid w:val="00B32F8F"/>
    <w:rsid w:val="00B43A51"/>
    <w:rsid w:val="00B451D3"/>
    <w:rsid w:val="00B46C37"/>
    <w:rsid w:val="00B47C42"/>
    <w:rsid w:val="00B510B1"/>
    <w:rsid w:val="00B52CEE"/>
    <w:rsid w:val="00B5452D"/>
    <w:rsid w:val="00B54DE9"/>
    <w:rsid w:val="00B553EC"/>
    <w:rsid w:val="00B55870"/>
    <w:rsid w:val="00B6080C"/>
    <w:rsid w:val="00B66931"/>
    <w:rsid w:val="00B66AE2"/>
    <w:rsid w:val="00B706C5"/>
    <w:rsid w:val="00B77732"/>
    <w:rsid w:val="00B80C2E"/>
    <w:rsid w:val="00B80D6D"/>
    <w:rsid w:val="00B80E74"/>
    <w:rsid w:val="00B8639B"/>
    <w:rsid w:val="00B9154F"/>
    <w:rsid w:val="00B938D0"/>
    <w:rsid w:val="00B93DD0"/>
    <w:rsid w:val="00B959F3"/>
    <w:rsid w:val="00B96269"/>
    <w:rsid w:val="00B97732"/>
    <w:rsid w:val="00BA2A98"/>
    <w:rsid w:val="00BA47EA"/>
    <w:rsid w:val="00BA5E80"/>
    <w:rsid w:val="00BA65A8"/>
    <w:rsid w:val="00BA6D19"/>
    <w:rsid w:val="00BA7461"/>
    <w:rsid w:val="00BA7DA9"/>
    <w:rsid w:val="00BB105C"/>
    <w:rsid w:val="00BB7D4F"/>
    <w:rsid w:val="00BC221F"/>
    <w:rsid w:val="00BC4215"/>
    <w:rsid w:val="00BC7A2C"/>
    <w:rsid w:val="00BD0396"/>
    <w:rsid w:val="00BD0DE3"/>
    <w:rsid w:val="00BD1A6F"/>
    <w:rsid w:val="00BD1AE6"/>
    <w:rsid w:val="00BD5B71"/>
    <w:rsid w:val="00BE5971"/>
    <w:rsid w:val="00BE61B5"/>
    <w:rsid w:val="00BE6D3C"/>
    <w:rsid w:val="00BE7852"/>
    <w:rsid w:val="00BF71FE"/>
    <w:rsid w:val="00BF72C3"/>
    <w:rsid w:val="00BF7CEE"/>
    <w:rsid w:val="00C0071E"/>
    <w:rsid w:val="00C03880"/>
    <w:rsid w:val="00C039CE"/>
    <w:rsid w:val="00C12121"/>
    <w:rsid w:val="00C122AD"/>
    <w:rsid w:val="00C135CF"/>
    <w:rsid w:val="00C1393D"/>
    <w:rsid w:val="00C13C89"/>
    <w:rsid w:val="00C16CE9"/>
    <w:rsid w:val="00C21074"/>
    <w:rsid w:val="00C2126D"/>
    <w:rsid w:val="00C213BC"/>
    <w:rsid w:val="00C2683F"/>
    <w:rsid w:val="00C2725D"/>
    <w:rsid w:val="00C30FCC"/>
    <w:rsid w:val="00C3184D"/>
    <w:rsid w:val="00C3371D"/>
    <w:rsid w:val="00C40593"/>
    <w:rsid w:val="00C44714"/>
    <w:rsid w:val="00C4529A"/>
    <w:rsid w:val="00C4714E"/>
    <w:rsid w:val="00C47A77"/>
    <w:rsid w:val="00C50941"/>
    <w:rsid w:val="00C531C8"/>
    <w:rsid w:val="00C54202"/>
    <w:rsid w:val="00C54C5F"/>
    <w:rsid w:val="00C5504F"/>
    <w:rsid w:val="00C55991"/>
    <w:rsid w:val="00C55B91"/>
    <w:rsid w:val="00C63376"/>
    <w:rsid w:val="00C63C63"/>
    <w:rsid w:val="00C65569"/>
    <w:rsid w:val="00C66CB4"/>
    <w:rsid w:val="00C67994"/>
    <w:rsid w:val="00C70D1B"/>
    <w:rsid w:val="00C73E14"/>
    <w:rsid w:val="00C7442A"/>
    <w:rsid w:val="00C74F97"/>
    <w:rsid w:val="00C76A08"/>
    <w:rsid w:val="00C77A83"/>
    <w:rsid w:val="00C803D7"/>
    <w:rsid w:val="00C819A5"/>
    <w:rsid w:val="00C8276E"/>
    <w:rsid w:val="00C82A4C"/>
    <w:rsid w:val="00C83AD1"/>
    <w:rsid w:val="00C842AC"/>
    <w:rsid w:val="00C86D61"/>
    <w:rsid w:val="00C87FCF"/>
    <w:rsid w:val="00C92AD5"/>
    <w:rsid w:val="00C92FC7"/>
    <w:rsid w:val="00C93FD9"/>
    <w:rsid w:val="00C94254"/>
    <w:rsid w:val="00C950FD"/>
    <w:rsid w:val="00C96688"/>
    <w:rsid w:val="00CA0723"/>
    <w:rsid w:val="00CA088F"/>
    <w:rsid w:val="00CA4542"/>
    <w:rsid w:val="00CA6403"/>
    <w:rsid w:val="00CA74A9"/>
    <w:rsid w:val="00CA7D4E"/>
    <w:rsid w:val="00CB1690"/>
    <w:rsid w:val="00CB585F"/>
    <w:rsid w:val="00CC0357"/>
    <w:rsid w:val="00CC0E32"/>
    <w:rsid w:val="00CC1DCC"/>
    <w:rsid w:val="00CC4365"/>
    <w:rsid w:val="00CC5F02"/>
    <w:rsid w:val="00CD11B0"/>
    <w:rsid w:val="00CD5E0E"/>
    <w:rsid w:val="00CE1805"/>
    <w:rsid w:val="00CE5733"/>
    <w:rsid w:val="00CE71C2"/>
    <w:rsid w:val="00CE7A61"/>
    <w:rsid w:val="00CF2586"/>
    <w:rsid w:val="00CF2E62"/>
    <w:rsid w:val="00CF42D5"/>
    <w:rsid w:val="00CF4EDA"/>
    <w:rsid w:val="00CF56BF"/>
    <w:rsid w:val="00CF65BC"/>
    <w:rsid w:val="00D01E11"/>
    <w:rsid w:val="00D021CB"/>
    <w:rsid w:val="00D10F1A"/>
    <w:rsid w:val="00D116F8"/>
    <w:rsid w:val="00D12820"/>
    <w:rsid w:val="00D15236"/>
    <w:rsid w:val="00D15280"/>
    <w:rsid w:val="00D15F67"/>
    <w:rsid w:val="00D1682C"/>
    <w:rsid w:val="00D17596"/>
    <w:rsid w:val="00D22640"/>
    <w:rsid w:val="00D23D36"/>
    <w:rsid w:val="00D24BF5"/>
    <w:rsid w:val="00D260DD"/>
    <w:rsid w:val="00D26D3A"/>
    <w:rsid w:val="00D34419"/>
    <w:rsid w:val="00D35801"/>
    <w:rsid w:val="00D37ACE"/>
    <w:rsid w:val="00D41140"/>
    <w:rsid w:val="00D45C91"/>
    <w:rsid w:val="00D45EE3"/>
    <w:rsid w:val="00D46C95"/>
    <w:rsid w:val="00D478EF"/>
    <w:rsid w:val="00D50618"/>
    <w:rsid w:val="00D509E9"/>
    <w:rsid w:val="00D53B1C"/>
    <w:rsid w:val="00D53BC4"/>
    <w:rsid w:val="00D56C72"/>
    <w:rsid w:val="00D5717F"/>
    <w:rsid w:val="00D5754E"/>
    <w:rsid w:val="00D615C1"/>
    <w:rsid w:val="00D652C8"/>
    <w:rsid w:val="00D656FF"/>
    <w:rsid w:val="00D712D3"/>
    <w:rsid w:val="00D757A1"/>
    <w:rsid w:val="00D82448"/>
    <w:rsid w:val="00D83615"/>
    <w:rsid w:val="00D903E3"/>
    <w:rsid w:val="00D92EF3"/>
    <w:rsid w:val="00D97037"/>
    <w:rsid w:val="00DA0008"/>
    <w:rsid w:val="00DA12C3"/>
    <w:rsid w:val="00DA1B12"/>
    <w:rsid w:val="00DA4F90"/>
    <w:rsid w:val="00DA54C9"/>
    <w:rsid w:val="00DA5D9C"/>
    <w:rsid w:val="00DA6739"/>
    <w:rsid w:val="00DA6CAE"/>
    <w:rsid w:val="00DA71CE"/>
    <w:rsid w:val="00DB1A9E"/>
    <w:rsid w:val="00DB31D6"/>
    <w:rsid w:val="00DB3296"/>
    <w:rsid w:val="00DB4005"/>
    <w:rsid w:val="00DB61F1"/>
    <w:rsid w:val="00DC1076"/>
    <w:rsid w:val="00DC27DD"/>
    <w:rsid w:val="00DC325B"/>
    <w:rsid w:val="00DC34EB"/>
    <w:rsid w:val="00DC6076"/>
    <w:rsid w:val="00DC63CC"/>
    <w:rsid w:val="00DC6836"/>
    <w:rsid w:val="00DC78C0"/>
    <w:rsid w:val="00DC7F19"/>
    <w:rsid w:val="00DD1A9E"/>
    <w:rsid w:val="00DD41F7"/>
    <w:rsid w:val="00DE00B3"/>
    <w:rsid w:val="00DE0625"/>
    <w:rsid w:val="00DE2C10"/>
    <w:rsid w:val="00DE35FC"/>
    <w:rsid w:val="00DF14C9"/>
    <w:rsid w:val="00DF1E5B"/>
    <w:rsid w:val="00DF2275"/>
    <w:rsid w:val="00DF231F"/>
    <w:rsid w:val="00DF3F5E"/>
    <w:rsid w:val="00DF5653"/>
    <w:rsid w:val="00DF57E6"/>
    <w:rsid w:val="00DF6124"/>
    <w:rsid w:val="00DF7038"/>
    <w:rsid w:val="00E00941"/>
    <w:rsid w:val="00E01763"/>
    <w:rsid w:val="00E0596E"/>
    <w:rsid w:val="00E06129"/>
    <w:rsid w:val="00E06F66"/>
    <w:rsid w:val="00E10AFE"/>
    <w:rsid w:val="00E11602"/>
    <w:rsid w:val="00E12F33"/>
    <w:rsid w:val="00E137E0"/>
    <w:rsid w:val="00E13BB7"/>
    <w:rsid w:val="00E142AF"/>
    <w:rsid w:val="00E14ED9"/>
    <w:rsid w:val="00E15F29"/>
    <w:rsid w:val="00E204C8"/>
    <w:rsid w:val="00E2111A"/>
    <w:rsid w:val="00E21678"/>
    <w:rsid w:val="00E25293"/>
    <w:rsid w:val="00E253C1"/>
    <w:rsid w:val="00E30528"/>
    <w:rsid w:val="00E356E5"/>
    <w:rsid w:val="00E36F81"/>
    <w:rsid w:val="00E3759E"/>
    <w:rsid w:val="00E378A8"/>
    <w:rsid w:val="00E40B9B"/>
    <w:rsid w:val="00E41255"/>
    <w:rsid w:val="00E45765"/>
    <w:rsid w:val="00E46DA8"/>
    <w:rsid w:val="00E5098C"/>
    <w:rsid w:val="00E5665C"/>
    <w:rsid w:val="00E5727D"/>
    <w:rsid w:val="00E57946"/>
    <w:rsid w:val="00E57E07"/>
    <w:rsid w:val="00E60213"/>
    <w:rsid w:val="00E65DF8"/>
    <w:rsid w:val="00E661B2"/>
    <w:rsid w:val="00E6713C"/>
    <w:rsid w:val="00E70590"/>
    <w:rsid w:val="00E708FC"/>
    <w:rsid w:val="00E74D29"/>
    <w:rsid w:val="00E74FFA"/>
    <w:rsid w:val="00E76299"/>
    <w:rsid w:val="00E806FF"/>
    <w:rsid w:val="00E833E9"/>
    <w:rsid w:val="00E83C74"/>
    <w:rsid w:val="00E83CEE"/>
    <w:rsid w:val="00E91F18"/>
    <w:rsid w:val="00E9226D"/>
    <w:rsid w:val="00E92711"/>
    <w:rsid w:val="00E95488"/>
    <w:rsid w:val="00E9692C"/>
    <w:rsid w:val="00EA0394"/>
    <w:rsid w:val="00EA1414"/>
    <w:rsid w:val="00EA1A01"/>
    <w:rsid w:val="00EA327B"/>
    <w:rsid w:val="00EA416C"/>
    <w:rsid w:val="00EA41D2"/>
    <w:rsid w:val="00EA46C0"/>
    <w:rsid w:val="00EA5941"/>
    <w:rsid w:val="00EA5F18"/>
    <w:rsid w:val="00EA6487"/>
    <w:rsid w:val="00EA7A7C"/>
    <w:rsid w:val="00EB4969"/>
    <w:rsid w:val="00EB4E63"/>
    <w:rsid w:val="00EB60CE"/>
    <w:rsid w:val="00EB6BA9"/>
    <w:rsid w:val="00EB7CBB"/>
    <w:rsid w:val="00EB7D53"/>
    <w:rsid w:val="00EC16F5"/>
    <w:rsid w:val="00EC1BBB"/>
    <w:rsid w:val="00EC27B0"/>
    <w:rsid w:val="00EC596B"/>
    <w:rsid w:val="00EE13C5"/>
    <w:rsid w:val="00EE2819"/>
    <w:rsid w:val="00EE2CF3"/>
    <w:rsid w:val="00EE3146"/>
    <w:rsid w:val="00EE7E52"/>
    <w:rsid w:val="00EF35CE"/>
    <w:rsid w:val="00EF45C7"/>
    <w:rsid w:val="00EF50BB"/>
    <w:rsid w:val="00EF71E4"/>
    <w:rsid w:val="00F000FF"/>
    <w:rsid w:val="00F00192"/>
    <w:rsid w:val="00F01DF6"/>
    <w:rsid w:val="00F027B8"/>
    <w:rsid w:val="00F0340D"/>
    <w:rsid w:val="00F059A6"/>
    <w:rsid w:val="00F0714A"/>
    <w:rsid w:val="00F11989"/>
    <w:rsid w:val="00F13E4B"/>
    <w:rsid w:val="00F1576F"/>
    <w:rsid w:val="00F23756"/>
    <w:rsid w:val="00F2523A"/>
    <w:rsid w:val="00F257D5"/>
    <w:rsid w:val="00F25FFA"/>
    <w:rsid w:val="00F261FB"/>
    <w:rsid w:val="00F27AE9"/>
    <w:rsid w:val="00F310D2"/>
    <w:rsid w:val="00F35EAF"/>
    <w:rsid w:val="00F36F3D"/>
    <w:rsid w:val="00F37C48"/>
    <w:rsid w:val="00F405DA"/>
    <w:rsid w:val="00F41BA3"/>
    <w:rsid w:val="00F43A9F"/>
    <w:rsid w:val="00F477BD"/>
    <w:rsid w:val="00F50333"/>
    <w:rsid w:val="00F52271"/>
    <w:rsid w:val="00F53491"/>
    <w:rsid w:val="00F54656"/>
    <w:rsid w:val="00F55386"/>
    <w:rsid w:val="00F56411"/>
    <w:rsid w:val="00F60181"/>
    <w:rsid w:val="00F6219D"/>
    <w:rsid w:val="00F64D3E"/>
    <w:rsid w:val="00F65A1C"/>
    <w:rsid w:val="00F66F50"/>
    <w:rsid w:val="00F67ECE"/>
    <w:rsid w:val="00F70F59"/>
    <w:rsid w:val="00F73813"/>
    <w:rsid w:val="00F756C1"/>
    <w:rsid w:val="00F771D6"/>
    <w:rsid w:val="00F77432"/>
    <w:rsid w:val="00F81162"/>
    <w:rsid w:val="00F8207F"/>
    <w:rsid w:val="00F82BC8"/>
    <w:rsid w:val="00F82FF8"/>
    <w:rsid w:val="00F8330D"/>
    <w:rsid w:val="00F84305"/>
    <w:rsid w:val="00F8485C"/>
    <w:rsid w:val="00F87149"/>
    <w:rsid w:val="00F87FFE"/>
    <w:rsid w:val="00F954C9"/>
    <w:rsid w:val="00F97FC9"/>
    <w:rsid w:val="00FA1D4B"/>
    <w:rsid w:val="00FA2847"/>
    <w:rsid w:val="00FA4CF0"/>
    <w:rsid w:val="00FA58B8"/>
    <w:rsid w:val="00FA61AA"/>
    <w:rsid w:val="00FA69A4"/>
    <w:rsid w:val="00FA6BAB"/>
    <w:rsid w:val="00FB1279"/>
    <w:rsid w:val="00FB1495"/>
    <w:rsid w:val="00FB1BC1"/>
    <w:rsid w:val="00FB32DB"/>
    <w:rsid w:val="00FB6315"/>
    <w:rsid w:val="00FB711D"/>
    <w:rsid w:val="00FC20F8"/>
    <w:rsid w:val="00FD1694"/>
    <w:rsid w:val="00FD1A81"/>
    <w:rsid w:val="00FD7268"/>
    <w:rsid w:val="00FD7636"/>
    <w:rsid w:val="00FE0360"/>
    <w:rsid w:val="00FE0BF7"/>
    <w:rsid w:val="00FE1BC8"/>
    <w:rsid w:val="00FE2F99"/>
    <w:rsid w:val="00FE3229"/>
    <w:rsid w:val="00FE4A83"/>
    <w:rsid w:val="00FE600F"/>
    <w:rsid w:val="00FE74C3"/>
    <w:rsid w:val="00FE7554"/>
    <w:rsid w:val="00FE79A0"/>
    <w:rsid w:val="00FF215C"/>
    <w:rsid w:val="00FF3606"/>
    <w:rsid w:val="00FF401D"/>
    <w:rsid w:val="00FF49E8"/>
    <w:rsid w:val="00FF672F"/>
    <w:rsid w:val="00FF70E1"/>
    <w:rsid w:val="00FF7D88"/>
    <w:rsid w:val="00FF7FD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F25FFA"/>
    <w:pPr>
      <w:outlineLvl w:val="0"/>
    </w:pPr>
    <w:rPr>
      <w:rFonts w:ascii="Arial" w:eastAsia="Calibri" w:hAnsi="Arial"/>
      <w:b/>
      <w:caps/>
      <w:sz w:val="20"/>
      <w:szCs w:val="20"/>
      <w:lang w:eastAsia="en-AU"/>
    </w:rPr>
  </w:style>
  <w:style w:type="paragraph" w:styleId="Heading2">
    <w:name w:val="heading 2"/>
    <w:basedOn w:val="Normal"/>
    <w:next w:val="Normal"/>
    <w:link w:val="Heading2Char"/>
    <w:uiPriority w:val="99"/>
    <w:qFormat/>
    <w:rsid w:val="00A55F5B"/>
    <w:pPr>
      <w:outlineLvl w:val="1"/>
    </w:pPr>
    <w:rPr>
      <w:rFonts w:ascii="Arial" w:eastAsia="Calibri" w:hAnsi="Arial"/>
      <w:b/>
      <w:sz w:val="22"/>
      <w:szCs w:val="22"/>
    </w:rPr>
  </w:style>
  <w:style w:type="paragraph" w:styleId="Heading3">
    <w:name w:val="heading 3"/>
    <w:basedOn w:val="Normal"/>
    <w:next w:val="Normal"/>
    <w:link w:val="Heading3Char"/>
    <w:uiPriority w:val="99"/>
    <w:qFormat/>
    <w:rsid w:val="000759E5"/>
    <w:pPr>
      <w:outlineLvl w:val="2"/>
    </w:pPr>
    <w:rPr>
      <w:rFonts w:ascii="Arial" w:eastAsia="Calibri" w:hAnsi="Arial"/>
      <w:b/>
      <w:i/>
      <w:sz w:val="22"/>
      <w:szCs w:val="22"/>
    </w:rPr>
  </w:style>
  <w:style w:type="paragraph" w:styleId="Heading4">
    <w:name w:val="heading 4"/>
    <w:basedOn w:val="Normal"/>
    <w:next w:val="Normal"/>
    <w:link w:val="Heading4Char"/>
    <w:uiPriority w:val="99"/>
    <w:qFormat/>
    <w:rsid w:val="000759E5"/>
    <w:pPr>
      <w:outlineLvl w:val="3"/>
    </w:pPr>
    <w:rPr>
      <w:rFonts w:ascii="Arial" w:eastAsia="Calibri" w:hAnsi="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FA"/>
    <w:rPr>
      <w:rFonts w:ascii="Arial" w:hAnsi="Arial"/>
      <w:b/>
      <w:caps/>
    </w:rPr>
  </w:style>
  <w:style w:type="character" w:customStyle="1" w:styleId="Heading2Char">
    <w:name w:val="Heading 2 Char"/>
    <w:basedOn w:val="DefaultParagraphFont"/>
    <w:link w:val="Heading2"/>
    <w:uiPriority w:val="99"/>
    <w:locked/>
    <w:rsid w:val="00A55F5B"/>
    <w:rPr>
      <w:b/>
      <w:sz w:val="22"/>
      <w:lang w:eastAsia="en-US"/>
    </w:rPr>
  </w:style>
  <w:style w:type="character" w:customStyle="1" w:styleId="Heading3Char">
    <w:name w:val="Heading 3 Char"/>
    <w:basedOn w:val="DefaultParagraphFont"/>
    <w:link w:val="Heading3"/>
    <w:uiPriority w:val="99"/>
    <w:locked/>
    <w:rsid w:val="00154989"/>
    <w:rPr>
      <w:b/>
      <w:i/>
      <w:sz w:val="22"/>
      <w:lang w:eastAsia="en-US"/>
    </w:rPr>
  </w:style>
  <w:style w:type="character" w:customStyle="1" w:styleId="Heading4Char">
    <w:name w:val="Heading 4 Char"/>
    <w:basedOn w:val="DefaultParagraphFont"/>
    <w:link w:val="Heading4"/>
    <w:uiPriority w:val="99"/>
    <w:locked/>
    <w:rsid w:val="00154989"/>
    <w:rPr>
      <w:i/>
      <w:sz w:val="22"/>
      <w:lang w:eastAsia="en-US"/>
    </w:rPr>
  </w:style>
  <w:style w:type="paragraph" w:styleId="Header">
    <w:name w:val="header"/>
    <w:basedOn w:val="Normal"/>
    <w:link w:val="HeaderChar"/>
    <w:uiPriority w:val="99"/>
    <w:rsid w:val="00A60185"/>
    <w:pPr>
      <w:tabs>
        <w:tab w:val="center" w:pos="4513"/>
        <w:tab w:val="right" w:pos="9026"/>
      </w:tabs>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rPr>
      <w:rFonts w:ascii="Tahoma" w:eastAsia="Calibri" w:hAnsi="Tahoma"/>
      <w:sz w:val="16"/>
      <w:szCs w:val="16"/>
      <w:lang w:eastAsia="en-AU"/>
    </w:rPr>
  </w:style>
  <w:style w:type="character" w:customStyle="1" w:styleId="BalloonTextChar">
    <w:name w:val="Balloon Text Char"/>
    <w:basedOn w:val="DefaultParagraphFont"/>
    <w:link w:val="BalloonText"/>
    <w:uiPriority w:val="99"/>
    <w:semiHidden/>
    <w:locked/>
    <w:rsid w:val="00A60185"/>
    <w:rPr>
      <w:rFonts w:ascii="Tahoma" w:hAnsi="Tahoma"/>
      <w:sz w:val="16"/>
    </w:rPr>
  </w:style>
  <w:style w:type="paragraph" w:customStyle="1" w:styleId="1NumberedPointsStyle">
    <w:name w:val="1. Numbered Points Style"/>
    <w:basedOn w:val="ColorfulList-Accent11"/>
    <w:uiPriority w:val="99"/>
    <w:rsid w:val="00BD1A6F"/>
    <w:pPr>
      <w:numPr>
        <w:numId w:val="0"/>
      </w:numPr>
    </w:pPr>
  </w:style>
  <w:style w:type="paragraph" w:customStyle="1" w:styleId="1BulletStyleList">
    <w:name w:val="1. Bullet Style List"/>
    <w:basedOn w:val="Normal"/>
    <w:uiPriority w:val="99"/>
    <w:rsid w:val="00CE71C2"/>
    <w:rPr>
      <w:szCs w:val="20"/>
      <w:lang w:eastAsia="en-AU"/>
    </w:rPr>
  </w:style>
  <w:style w:type="paragraph" w:styleId="ListBullet">
    <w:name w:val="List Bullet"/>
    <w:basedOn w:val="Normal"/>
    <w:uiPriority w:val="99"/>
    <w:rsid w:val="00091608"/>
  </w:style>
  <w:style w:type="paragraph" w:styleId="ListBullet2">
    <w:name w:val="List Bullet 2"/>
    <w:basedOn w:val="Normal"/>
    <w:uiPriority w:val="99"/>
    <w:rsid w:val="00091608"/>
  </w:style>
  <w:style w:type="paragraph" w:styleId="ListBullet3">
    <w:name w:val="List Bullet 3"/>
    <w:basedOn w:val="Normal"/>
    <w:uiPriority w:val="99"/>
    <w:rsid w:val="00091608"/>
  </w:style>
  <w:style w:type="paragraph" w:styleId="ListBullet4">
    <w:name w:val="List Bullet 4"/>
    <w:basedOn w:val="Normal"/>
    <w:uiPriority w:val="99"/>
    <w:rsid w:val="00091608"/>
  </w:style>
  <w:style w:type="paragraph" w:styleId="ListBullet5">
    <w:name w:val="List Bullet 5"/>
    <w:basedOn w:val="Normal"/>
    <w:uiPriority w:val="99"/>
    <w:rsid w:val="00091608"/>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cs="Arial"/>
      <w:color w:val="FF0000"/>
      <w:sz w:val="28"/>
      <w:szCs w:val="28"/>
      <w:lang w:eastAsia="en-AU"/>
    </w:rPr>
  </w:style>
  <w:style w:type="paragraph" w:customStyle="1" w:styleId="ColorfulList-Accent11">
    <w:name w:val="Colorful List - Accent 11"/>
    <w:basedOn w:val="Normal"/>
    <w:uiPriority w:val="99"/>
    <w:rsid w:val="003556BD"/>
    <w:pPr>
      <w:numPr>
        <w:numId w:val="4"/>
      </w:numPr>
      <w:tabs>
        <w:tab w:val="clear" w:pos="1209"/>
      </w:tabs>
      <w:ind w:left="369" w:hanging="369"/>
    </w:pPr>
  </w:style>
  <w:style w:type="character" w:customStyle="1" w:styleId="BookTitle1">
    <w:name w:val="Book Title1"/>
    <w:uiPriority w:val="99"/>
    <w:rsid w:val="00383020"/>
    <w:rPr>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numPr>
        <w:ilvl w:val="1"/>
        <w:numId w:val="5"/>
      </w:numPr>
      <w:tabs>
        <w:tab w:val="clear" w:pos="1492"/>
      </w:tabs>
      <w:ind w:left="738" w:hanging="369"/>
    </w:pPr>
  </w:style>
  <w:style w:type="paragraph" w:styleId="ListNumber3">
    <w:name w:val="List Number 3"/>
    <w:basedOn w:val="Normal"/>
    <w:uiPriority w:val="99"/>
    <w:rsid w:val="00005CAA"/>
    <w:pPr>
      <w:numPr>
        <w:ilvl w:val="2"/>
        <w:numId w:val="5"/>
      </w:numPr>
      <w:tabs>
        <w:tab w:val="clear" w:pos="1492"/>
      </w:tabs>
      <w:ind w:left="1107" w:hanging="369"/>
    </w:pPr>
  </w:style>
  <w:style w:type="paragraph" w:styleId="ListNumber4">
    <w:name w:val="List Number 4"/>
    <w:basedOn w:val="Normal"/>
    <w:uiPriority w:val="99"/>
    <w:rsid w:val="00005CAA"/>
    <w:pPr>
      <w:numPr>
        <w:ilvl w:val="3"/>
        <w:numId w:val="5"/>
      </w:numPr>
      <w:tabs>
        <w:tab w:val="clear" w:pos="1492"/>
      </w:tabs>
      <w:ind w:left="1476" w:hanging="369"/>
    </w:pPr>
  </w:style>
  <w:style w:type="paragraph" w:styleId="ListNumber5">
    <w:name w:val="List Number 5"/>
    <w:basedOn w:val="Normal"/>
    <w:uiPriority w:val="99"/>
    <w:rsid w:val="00005CAA"/>
    <w:pPr>
      <w:numPr>
        <w:ilvl w:val="4"/>
        <w:numId w:val="5"/>
      </w:numPr>
      <w:tabs>
        <w:tab w:val="clear" w:pos="1492"/>
      </w:tabs>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Courier New" w:hAnsi="Courier New" w:cs="Times New Roman"/>
        <w:sz w:val="20"/>
      </w:rPr>
    </w:tblStylePr>
    <w:tblStylePr w:type="lastRow">
      <w:pPr>
        <w:spacing w:beforeLines="0" w:beforeAutospacing="0" w:afterLines="0" w:afterAutospacing="0"/>
      </w:pPr>
      <w:rPr>
        <w:rFonts w:ascii="Courier New" w:hAnsi="Courier New" w:cs="Times New Roman"/>
        <w:sz w:val="20"/>
      </w:rPr>
    </w:tblStylePr>
    <w:tblStylePr w:type="band1Horz">
      <w:pPr>
        <w:spacing w:beforeLines="0" w:beforeAutospacing="0" w:afterLines="0" w:afterAutospacing="0"/>
      </w:pPr>
      <w:rPr>
        <w:rFonts w:ascii="Courier New" w:hAnsi="Courier New" w:cs="Times New Roman"/>
        <w:sz w:val="20"/>
      </w:rPr>
    </w:tblStylePr>
    <w:tblStylePr w:type="band2Horz">
      <w:pPr>
        <w:spacing w:beforeLines="0" w:beforeAutospacing="0" w:afterLines="0" w:afterAutospacing="0"/>
      </w:pPr>
      <w:rPr>
        <w:rFonts w:ascii="Courier New" w:hAnsi="Courier New" w:cs="Times New Roman"/>
        <w:sz w:val="20"/>
      </w:rPr>
    </w:tblStylePr>
  </w:style>
  <w:style w:type="paragraph" w:customStyle="1" w:styleId="Tabletext">
    <w:name w:val="Table text"/>
    <w:basedOn w:val="Normal"/>
    <w:uiPriority w:val="99"/>
    <w:rsid w:val="005A126E"/>
  </w:style>
  <w:style w:type="paragraph" w:customStyle="1" w:styleId="tablelabel">
    <w:name w:val="table label"/>
    <w:basedOn w:val="Normal"/>
    <w:uiPriority w:val="99"/>
    <w:rsid w:val="001765DA"/>
    <w:rPr>
      <w:rFonts w:ascii="Arial" w:hAnsi="Arial"/>
      <w:b/>
      <w:sz w:val="16"/>
      <w:szCs w:val="20"/>
    </w:rPr>
  </w:style>
  <w:style w:type="paragraph" w:customStyle="1" w:styleId="Default">
    <w:name w:val="Default"/>
    <w:uiPriority w:val="99"/>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2A5EC3"/>
    <w:rPr>
      <w:rFonts w:cs="Times New Roman"/>
      <w:color w:val="0000FF"/>
      <w:u w:val="single"/>
    </w:rPr>
  </w:style>
  <w:style w:type="paragraph" w:customStyle="1" w:styleId="ColorfulShading-Accent11">
    <w:name w:val="Colorful Shading - Accent 11"/>
    <w:hidden/>
    <w:uiPriority w:val="99"/>
    <w:semiHidden/>
    <w:rsid w:val="008B1627"/>
    <w:rPr>
      <w:rFonts w:ascii="Times New Roman" w:eastAsia="Times New Roman" w:hAnsi="Times New Roman"/>
      <w:sz w:val="24"/>
      <w:szCs w:val="24"/>
      <w:lang w:eastAsia="en-US"/>
    </w:rPr>
  </w:style>
  <w:style w:type="character" w:styleId="Emphasis">
    <w:name w:val="Emphasis"/>
    <w:basedOn w:val="DefaultParagraphFont"/>
    <w:uiPriority w:val="99"/>
    <w:qFormat/>
    <w:rsid w:val="00FF7FD6"/>
    <w:rPr>
      <w:rFonts w:cs="Times New Roman"/>
      <w:i/>
    </w:rPr>
  </w:style>
  <w:style w:type="paragraph" w:styleId="PlainText">
    <w:name w:val="Plain Text"/>
    <w:basedOn w:val="Normal"/>
    <w:link w:val="PlainTextChar"/>
    <w:uiPriority w:val="99"/>
    <w:semiHidden/>
    <w:rsid w:val="000366B8"/>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0366B8"/>
    <w:rPr>
      <w:rFonts w:ascii="Consolas" w:eastAsia="Times New Roman" w:hAnsi="Consolas"/>
      <w:sz w:val="21"/>
      <w:lang w:eastAsia="en-US"/>
    </w:rPr>
  </w:style>
  <w:style w:type="character" w:styleId="CommentReference">
    <w:name w:val="annotation reference"/>
    <w:basedOn w:val="DefaultParagraphFont"/>
    <w:uiPriority w:val="99"/>
    <w:semiHidden/>
    <w:rsid w:val="001B064A"/>
    <w:rPr>
      <w:rFonts w:cs="Times New Roman"/>
      <w:sz w:val="16"/>
    </w:rPr>
  </w:style>
  <w:style w:type="paragraph" w:styleId="CommentText">
    <w:name w:val="annotation text"/>
    <w:basedOn w:val="Normal"/>
    <w:link w:val="CommentTextChar"/>
    <w:uiPriority w:val="99"/>
    <w:semiHidden/>
    <w:rsid w:val="001B064A"/>
    <w:rPr>
      <w:sz w:val="20"/>
      <w:szCs w:val="20"/>
    </w:rPr>
  </w:style>
  <w:style w:type="character" w:customStyle="1" w:styleId="CommentTextChar">
    <w:name w:val="Comment Text Char"/>
    <w:basedOn w:val="DefaultParagraphFont"/>
    <w:link w:val="CommentText"/>
    <w:uiPriority w:val="99"/>
    <w:semiHidden/>
    <w:locked/>
    <w:rsid w:val="001B064A"/>
    <w:rPr>
      <w:rFonts w:ascii="Times New Roman" w:hAnsi="Times New Roman"/>
      <w:lang w:eastAsia="en-US"/>
    </w:rPr>
  </w:style>
  <w:style w:type="paragraph" w:styleId="CommentSubject">
    <w:name w:val="annotation subject"/>
    <w:basedOn w:val="CommentText"/>
    <w:next w:val="CommentText"/>
    <w:link w:val="CommentSubjectChar"/>
    <w:uiPriority w:val="99"/>
    <w:semiHidden/>
    <w:rsid w:val="001B064A"/>
    <w:rPr>
      <w:b/>
      <w:bCs/>
    </w:rPr>
  </w:style>
  <w:style w:type="character" w:customStyle="1" w:styleId="CommentSubjectChar">
    <w:name w:val="Comment Subject Char"/>
    <w:basedOn w:val="CommentTextChar"/>
    <w:link w:val="CommentSubject"/>
    <w:uiPriority w:val="99"/>
    <w:semiHidden/>
    <w:locked/>
    <w:rsid w:val="001B064A"/>
    <w:rPr>
      <w:b/>
    </w:rPr>
  </w:style>
  <w:style w:type="paragraph" w:styleId="ListParagraph">
    <w:name w:val="List Paragraph"/>
    <w:basedOn w:val="Normal"/>
    <w:uiPriority w:val="99"/>
    <w:qFormat/>
    <w:rsid w:val="00F97FC9"/>
    <w:pPr>
      <w:numPr>
        <w:numId w:val="19"/>
      </w:numPr>
      <w:spacing w:after="200" w:line="276" w:lineRule="auto"/>
    </w:pPr>
    <w:rPr>
      <w:rFonts w:ascii="Arial" w:eastAsia="Calibri" w:hAnsi="Arial"/>
      <w:sz w:val="22"/>
      <w:szCs w:val="22"/>
    </w:rPr>
  </w:style>
  <w:style w:type="numbering" w:customStyle="1" w:styleId="BulletList">
    <w:name w:val="Bullet List"/>
    <w:rsid w:val="00002DCC"/>
    <w:pPr>
      <w:numPr>
        <w:numId w:val="12"/>
      </w:numPr>
    </w:pPr>
  </w:style>
  <w:style w:type="numbering" w:customStyle="1" w:styleId="Attach">
    <w:name w:val="Attach"/>
    <w:rsid w:val="00002DCC"/>
    <w:pPr>
      <w:numPr>
        <w:numId w:val="13"/>
      </w:numPr>
    </w:pPr>
  </w:style>
  <w:style w:type="numbering" w:customStyle="1" w:styleId="KeyPoints">
    <w:name w:val="Key Points"/>
    <w:rsid w:val="00002DCC"/>
    <w:pPr>
      <w:numPr>
        <w:numId w:val="11"/>
      </w:numPr>
    </w:pPr>
  </w:style>
</w:styles>
</file>

<file path=word/webSettings.xml><?xml version="1.0" encoding="utf-8"?>
<w:webSettings xmlns:r="http://schemas.openxmlformats.org/officeDocument/2006/relationships" xmlns:w="http://schemas.openxmlformats.org/wordprocessingml/2006/main">
  <w:divs>
    <w:div w:id="189076924">
      <w:marLeft w:val="0"/>
      <w:marRight w:val="0"/>
      <w:marTop w:val="0"/>
      <w:marBottom w:val="0"/>
      <w:divBdr>
        <w:top w:val="none" w:sz="0" w:space="0" w:color="auto"/>
        <w:left w:val="none" w:sz="0" w:space="0" w:color="auto"/>
        <w:bottom w:val="none" w:sz="0" w:space="0" w:color="auto"/>
        <w:right w:val="none" w:sz="0" w:space="0" w:color="auto"/>
      </w:divBdr>
      <w:divsChild>
        <w:div w:id="189076929">
          <w:marLeft w:val="0"/>
          <w:marRight w:val="0"/>
          <w:marTop w:val="0"/>
          <w:marBottom w:val="0"/>
          <w:divBdr>
            <w:top w:val="none" w:sz="0" w:space="0" w:color="auto"/>
            <w:left w:val="none" w:sz="0" w:space="0" w:color="auto"/>
            <w:bottom w:val="none" w:sz="0" w:space="0" w:color="auto"/>
            <w:right w:val="none" w:sz="0" w:space="0" w:color="auto"/>
          </w:divBdr>
          <w:divsChild>
            <w:div w:id="189076935">
              <w:marLeft w:val="0"/>
              <w:marRight w:val="0"/>
              <w:marTop w:val="0"/>
              <w:marBottom w:val="0"/>
              <w:divBdr>
                <w:top w:val="none" w:sz="0" w:space="0" w:color="auto"/>
                <w:left w:val="none" w:sz="0" w:space="0" w:color="auto"/>
                <w:bottom w:val="none" w:sz="0" w:space="0" w:color="auto"/>
                <w:right w:val="none" w:sz="0" w:space="0" w:color="auto"/>
              </w:divBdr>
              <w:divsChild>
                <w:div w:id="189076931">
                  <w:marLeft w:val="0"/>
                  <w:marRight w:val="0"/>
                  <w:marTop w:val="0"/>
                  <w:marBottom w:val="0"/>
                  <w:divBdr>
                    <w:top w:val="none" w:sz="0" w:space="0" w:color="auto"/>
                    <w:left w:val="none" w:sz="0" w:space="0" w:color="auto"/>
                    <w:bottom w:val="none" w:sz="0" w:space="0" w:color="auto"/>
                    <w:right w:val="none" w:sz="0" w:space="0" w:color="auto"/>
                  </w:divBdr>
                  <w:divsChild>
                    <w:div w:id="189076927">
                      <w:marLeft w:val="0"/>
                      <w:marRight w:val="0"/>
                      <w:marTop w:val="0"/>
                      <w:marBottom w:val="0"/>
                      <w:divBdr>
                        <w:top w:val="none" w:sz="0" w:space="0" w:color="auto"/>
                        <w:left w:val="none" w:sz="0" w:space="0" w:color="auto"/>
                        <w:bottom w:val="none" w:sz="0" w:space="0" w:color="auto"/>
                        <w:right w:val="none" w:sz="0" w:space="0" w:color="auto"/>
                      </w:divBdr>
                      <w:divsChild>
                        <w:div w:id="189076933">
                          <w:marLeft w:val="0"/>
                          <w:marRight w:val="0"/>
                          <w:marTop w:val="0"/>
                          <w:marBottom w:val="0"/>
                          <w:divBdr>
                            <w:top w:val="none" w:sz="0" w:space="0" w:color="auto"/>
                            <w:left w:val="none" w:sz="0" w:space="0" w:color="auto"/>
                            <w:bottom w:val="none" w:sz="0" w:space="0" w:color="auto"/>
                            <w:right w:val="none" w:sz="0" w:space="0" w:color="auto"/>
                          </w:divBdr>
                          <w:divsChild>
                            <w:div w:id="189076925">
                              <w:marLeft w:val="0"/>
                              <w:marRight w:val="0"/>
                              <w:marTop w:val="0"/>
                              <w:marBottom w:val="0"/>
                              <w:divBdr>
                                <w:top w:val="none" w:sz="0" w:space="0" w:color="auto"/>
                                <w:left w:val="none" w:sz="0" w:space="0" w:color="auto"/>
                                <w:bottom w:val="none" w:sz="0" w:space="0" w:color="auto"/>
                                <w:right w:val="none" w:sz="0" w:space="0" w:color="auto"/>
                              </w:divBdr>
                              <w:divsChild>
                                <w:div w:id="189076932">
                                  <w:marLeft w:val="0"/>
                                  <w:marRight w:val="0"/>
                                  <w:marTop w:val="0"/>
                                  <w:marBottom w:val="0"/>
                                  <w:divBdr>
                                    <w:top w:val="none" w:sz="0" w:space="0" w:color="auto"/>
                                    <w:left w:val="none" w:sz="0" w:space="0" w:color="auto"/>
                                    <w:bottom w:val="none" w:sz="0" w:space="0" w:color="auto"/>
                                    <w:right w:val="none" w:sz="0" w:space="0" w:color="auto"/>
                                  </w:divBdr>
                                  <w:divsChild>
                                    <w:div w:id="1890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76926">
      <w:marLeft w:val="0"/>
      <w:marRight w:val="0"/>
      <w:marTop w:val="0"/>
      <w:marBottom w:val="0"/>
      <w:divBdr>
        <w:top w:val="none" w:sz="0" w:space="0" w:color="auto"/>
        <w:left w:val="none" w:sz="0" w:space="0" w:color="auto"/>
        <w:bottom w:val="none" w:sz="0" w:space="0" w:color="auto"/>
        <w:right w:val="none" w:sz="0" w:space="0" w:color="auto"/>
      </w:divBdr>
    </w:div>
    <w:div w:id="189076928">
      <w:marLeft w:val="0"/>
      <w:marRight w:val="0"/>
      <w:marTop w:val="0"/>
      <w:marBottom w:val="0"/>
      <w:divBdr>
        <w:top w:val="none" w:sz="0" w:space="0" w:color="auto"/>
        <w:left w:val="none" w:sz="0" w:space="0" w:color="auto"/>
        <w:bottom w:val="none" w:sz="0" w:space="0" w:color="auto"/>
        <w:right w:val="none" w:sz="0" w:space="0" w:color="auto"/>
      </w:divBdr>
    </w:div>
    <w:div w:id="189076930">
      <w:marLeft w:val="0"/>
      <w:marRight w:val="0"/>
      <w:marTop w:val="0"/>
      <w:marBottom w:val="0"/>
      <w:divBdr>
        <w:top w:val="none" w:sz="0" w:space="0" w:color="auto"/>
        <w:left w:val="none" w:sz="0" w:space="0" w:color="auto"/>
        <w:bottom w:val="none" w:sz="0" w:space="0" w:color="auto"/>
        <w:right w:val="none" w:sz="0" w:space="0" w:color="auto"/>
      </w:divBdr>
    </w:div>
    <w:div w:id="189076934">
      <w:marLeft w:val="0"/>
      <w:marRight w:val="0"/>
      <w:marTop w:val="0"/>
      <w:marBottom w:val="0"/>
      <w:divBdr>
        <w:top w:val="none" w:sz="0" w:space="0" w:color="auto"/>
        <w:left w:val="none" w:sz="0" w:space="0" w:color="auto"/>
        <w:bottom w:val="none" w:sz="0" w:space="0" w:color="auto"/>
        <w:right w:val="none" w:sz="0" w:space="0" w:color="auto"/>
      </w:divBdr>
    </w:div>
    <w:div w:id="2219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coal-seam-gas-mining/project-advice/pubs/iesc-information-guidelin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2325</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Wallarah 2 Coal Project (EPBC 2012/6388) – New Development</dc:title>
  <dc:creator/>
  <cp:lastModifiedBy/>
  <cp:revision>1</cp:revision>
  <dcterms:created xsi:type="dcterms:W3CDTF">2014-08-22T04:54:00Z</dcterms:created>
  <dcterms:modified xsi:type="dcterms:W3CDTF">2014-08-22T04:54:00Z</dcterms:modified>
</cp:coreProperties>
</file>