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 </w:t>
      </w:r>
    </w:p>
    <w:bookmarkEnd w:id="0"/>
    <w:bookmarkEnd w:id="1"/>
    <w:p w:rsidR="004861E6" w:rsidRPr="00586AC1" w:rsidRDefault="00D10C4C" w:rsidP="00A21440">
      <w:pPr>
        <w:pStyle w:val="Header"/>
        <w:keepLines/>
        <w:tabs>
          <w:tab w:val="left" w:pos="2835"/>
        </w:tabs>
        <w:spacing w:after="200" w:line="276" w:lineRule="auto"/>
        <w:jc w:val="center"/>
        <w:rPr>
          <w:rFonts w:ascii="Arial" w:hAnsi="Arial" w:cs="Arial"/>
          <w:b/>
          <w:sz w:val="20"/>
          <w:lang w:eastAsia="en-AU"/>
        </w:rPr>
      </w:pPr>
      <w:r w:rsidRPr="00586AC1">
        <w:rPr>
          <w:rFonts w:ascii="Arial" w:hAnsi="Arial" w:cs="Arial"/>
          <w:b/>
          <w:sz w:val="20"/>
          <w:lang w:eastAsia="en-AU"/>
        </w:rPr>
        <w:t xml:space="preserve">IESC </w:t>
      </w:r>
      <w:r w:rsidR="00586AC1" w:rsidRPr="00586AC1">
        <w:rPr>
          <w:rFonts w:ascii="Arial" w:hAnsi="Arial" w:cs="Arial"/>
          <w:b/>
          <w:sz w:val="20"/>
          <w:lang w:eastAsia="en-AU"/>
        </w:rPr>
        <w:t>2014</w:t>
      </w:r>
      <w:r w:rsidRPr="00586AC1">
        <w:rPr>
          <w:rFonts w:ascii="Arial" w:hAnsi="Arial" w:cs="Arial"/>
          <w:b/>
          <w:sz w:val="20"/>
          <w:lang w:eastAsia="en-AU"/>
        </w:rPr>
        <w:t>/0</w:t>
      </w:r>
      <w:r w:rsidR="00586AC1" w:rsidRPr="00586AC1">
        <w:rPr>
          <w:rFonts w:ascii="Arial" w:hAnsi="Arial" w:cs="Arial"/>
          <w:b/>
          <w:sz w:val="20"/>
          <w:lang w:eastAsia="en-AU"/>
        </w:rPr>
        <w:t>41</w:t>
      </w:r>
      <w:r w:rsidR="001765DA" w:rsidRPr="00586AC1">
        <w:rPr>
          <w:rFonts w:ascii="Arial" w:hAnsi="Arial" w:cs="Arial"/>
          <w:b/>
          <w:sz w:val="20"/>
          <w:lang w:eastAsia="en-AU"/>
        </w:rPr>
        <w:t>:</w:t>
      </w:r>
      <w:r w:rsidR="002974BC" w:rsidRPr="00586AC1">
        <w:rPr>
          <w:rFonts w:ascii="Arial" w:hAnsi="Arial" w:cs="Arial"/>
          <w:b/>
          <w:sz w:val="20"/>
          <w:lang w:eastAsia="en-AU"/>
        </w:rPr>
        <w:t xml:space="preserve"> </w:t>
      </w:r>
      <w:r w:rsidR="00586AC1" w:rsidRPr="00586AC1">
        <w:rPr>
          <w:rFonts w:ascii="Arial Bold" w:hAnsi="Arial Bold" w:cs="Arial"/>
          <w:b/>
          <w:sz w:val="20"/>
          <w:lang w:eastAsia="en-AU"/>
        </w:rPr>
        <w:t>Teresa Coal Mine</w:t>
      </w:r>
      <w:r w:rsidR="00C803D7" w:rsidRPr="00586AC1">
        <w:rPr>
          <w:rFonts w:ascii="Arial" w:hAnsi="Arial" w:cs="Arial"/>
          <w:b/>
          <w:sz w:val="20"/>
          <w:lang w:eastAsia="en-AU"/>
        </w:rPr>
        <w:t xml:space="preserve"> </w:t>
      </w:r>
      <w:r w:rsidR="002F7BD4">
        <w:rPr>
          <w:rFonts w:ascii="Arial" w:hAnsi="Arial" w:cs="Arial"/>
          <w:b/>
          <w:sz w:val="20"/>
          <w:lang w:eastAsia="en-AU"/>
        </w:rPr>
        <w:t xml:space="preserve">(EPBC 2011/6094) </w:t>
      </w:r>
      <w:r w:rsidR="00C803D7" w:rsidRPr="00586AC1">
        <w:rPr>
          <w:rFonts w:ascii="Arial" w:hAnsi="Arial" w:cs="Arial"/>
          <w:b/>
          <w:sz w:val="20"/>
          <w:lang w:eastAsia="en-AU"/>
        </w:rPr>
        <w:t>–</w:t>
      </w:r>
      <w:r w:rsidR="00586AC1" w:rsidRPr="00586AC1">
        <w:rPr>
          <w:rFonts w:ascii="Arial" w:hAnsi="Arial" w:cs="Arial"/>
          <w:b/>
          <w:sz w:val="20"/>
          <w:lang w:eastAsia="en-AU"/>
        </w:rPr>
        <w:t xml:space="preserve"> </w:t>
      </w:r>
      <w:r w:rsidR="00C803D7" w:rsidRPr="00586AC1">
        <w:rPr>
          <w:rFonts w:ascii="Arial" w:hAnsi="Arial" w:cs="Arial"/>
          <w:b/>
          <w:sz w:val="20"/>
          <w:lang w:eastAsia="en-AU"/>
        </w:rPr>
        <w:t xml:space="preserve">New Development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C43084">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 xml:space="preserve">Department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p w:rsidR="003E2BDB" w:rsidRPr="00C43084" w:rsidRDefault="0009196E" w:rsidP="005E48CF">
            <w:pPr>
              <w:spacing w:line="276" w:lineRule="auto"/>
              <w:ind w:left="369" w:hanging="369"/>
              <w:rPr>
                <w:rFonts w:ascii="Arial" w:hAnsi="Arial" w:cs="Arial"/>
                <w:sz w:val="20"/>
                <w:szCs w:val="20"/>
              </w:rPr>
            </w:pPr>
            <w:r w:rsidRPr="00C43084">
              <w:rPr>
                <w:rFonts w:ascii="Arial" w:hAnsi="Arial" w:cs="Arial"/>
                <w:sz w:val="20"/>
                <w:szCs w:val="20"/>
              </w:rPr>
              <w:t>The</w:t>
            </w:r>
            <w:r w:rsidR="00C43084" w:rsidRPr="00C43084">
              <w:rPr>
                <w:rFonts w:ascii="Arial" w:hAnsi="Arial" w:cs="Arial"/>
                <w:sz w:val="20"/>
                <w:szCs w:val="20"/>
              </w:rPr>
              <w:t xml:space="preserve"> Queensland</w:t>
            </w:r>
            <w:r w:rsidRPr="00C43084">
              <w:rPr>
                <w:rFonts w:ascii="Arial" w:hAnsi="Arial" w:cs="Arial"/>
                <w:sz w:val="20"/>
                <w:szCs w:val="20"/>
              </w:rPr>
              <w:t xml:space="preserve"> Department of Environment and </w:t>
            </w:r>
            <w:r w:rsidR="00062A46" w:rsidRPr="00C43084">
              <w:rPr>
                <w:rFonts w:ascii="Arial" w:hAnsi="Arial" w:cs="Arial"/>
                <w:sz w:val="20"/>
                <w:szCs w:val="20"/>
              </w:rPr>
              <w:t>Heritage Protection</w:t>
            </w:r>
            <w:r w:rsidR="00B1520C" w:rsidRPr="00C43084">
              <w:rPr>
                <w:rFonts w:ascii="Arial" w:hAnsi="Arial" w:cs="Arial"/>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5E48CF" w:rsidP="005E48CF">
            <w:pPr>
              <w:spacing w:line="276" w:lineRule="auto"/>
              <w:rPr>
                <w:rFonts w:ascii="Arial" w:hAnsi="Arial" w:cs="Arial"/>
                <w:sz w:val="20"/>
                <w:szCs w:val="20"/>
              </w:rPr>
            </w:pPr>
            <w:r>
              <w:rPr>
                <w:rFonts w:ascii="Arial" w:hAnsi="Arial" w:cs="Arial"/>
                <w:sz w:val="20"/>
                <w:szCs w:val="20"/>
              </w:rPr>
              <w:t xml:space="preserve">05 February </w:t>
            </w:r>
            <w:r w:rsidR="00716583" w:rsidRPr="002A5EC3">
              <w:rPr>
                <w:rFonts w:ascii="Arial" w:hAnsi="Arial" w:cs="Arial"/>
                <w:sz w:val="20"/>
                <w:szCs w:val="20"/>
              </w:rPr>
              <w:t>201</w:t>
            </w:r>
            <w:r>
              <w:rPr>
                <w:rFonts w:ascii="Arial" w:hAnsi="Arial" w:cs="Arial"/>
                <w:sz w:val="20"/>
                <w:szCs w:val="20"/>
              </w:rPr>
              <w:t>4</w:t>
            </w:r>
            <w:r w:rsidR="00E21678" w:rsidRPr="002A5EC3">
              <w:rPr>
                <w:rFonts w:ascii="Arial" w:hAnsi="Arial" w:cs="Arial"/>
                <w:b/>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5E48CF" w:rsidP="005E48CF">
            <w:pPr>
              <w:spacing w:line="276" w:lineRule="auto"/>
              <w:rPr>
                <w:rFonts w:ascii="Arial" w:hAnsi="Arial" w:cs="Arial"/>
                <w:color w:val="FF0000"/>
                <w:sz w:val="20"/>
                <w:szCs w:val="20"/>
              </w:rPr>
            </w:pPr>
            <w:r>
              <w:rPr>
                <w:rFonts w:ascii="Arial" w:hAnsi="Arial" w:cs="Arial"/>
                <w:sz w:val="20"/>
                <w:szCs w:val="20"/>
              </w:rPr>
              <w:t xml:space="preserve">05 February </w:t>
            </w:r>
            <w:r w:rsidRPr="002A5EC3">
              <w:rPr>
                <w:rFonts w:ascii="Arial" w:hAnsi="Arial" w:cs="Arial"/>
                <w:sz w:val="20"/>
                <w:szCs w:val="20"/>
              </w:rPr>
              <w:t>201</w:t>
            </w:r>
            <w:r>
              <w:rPr>
                <w:rFonts w:ascii="Arial" w:hAnsi="Arial" w:cs="Arial"/>
                <w:sz w:val="20"/>
                <w:szCs w:val="20"/>
              </w:rPr>
              <w:t>4</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Default="00062A46" w:rsidP="006B1E35">
            <w:pPr>
              <w:autoSpaceDE w:val="0"/>
              <w:autoSpaceDN w:val="0"/>
              <w:adjustRightInd w:val="0"/>
              <w:spacing w:line="276" w:lineRule="auto"/>
              <w:rPr>
                <w:rFonts w:ascii="Arial" w:hAnsi="Arial" w:cs="Arial"/>
                <w:sz w:val="20"/>
                <w:lang w:eastAsia="en-AU"/>
              </w:rPr>
            </w:pPr>
          </w:p>
          <w:p w:rsidR="006B1E35" w:rsidRPr="00B451D3" w:rsidRDefault="006B1E35" w:rsidP="006B1E35">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p w:rsidR="00062A46" w:rsidRPr="00B451D3" w:rsidRDefault="00062A46" w:rsidP="00B4690F">
            <w:pPr>
              <w:autoSpaceDE w:val="0"/>
              <w:autoSpaceDN w:val="0"/>
              <w:adjustRightInd w:val="0"/>
              <w:spacing w:line="276" w:lineRule="auto"/>
              <w:rPr>
                <w:rFonts w:ascii="Arial" w:hAnsi="Arial" w:cs="Arial"/>
                <w:sz w:val="20"/>
                <w:szCs w:val="20"/>
                <w:lang w:eastAsia="en-AU"/>
              </w:rPr>
            </w:pP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Default="007203C3" w:rsidP="00D10C4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w:t>
      </w:r>
      <w:r w:rsidR="00997A7C">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sidR="00D10C4C">
        <w:rPr>
          <w:rFonts w:ascii="Arial" w:hAnsi="Arial" w:cs="Arial"/>
          <w:sz w:val="20"/>
          <w:szCs w:val="20"/>
        </w:rPr>
        <w:t xml:space="preserve">by </w:t>
      </w:r>
      <w:r w:rsidR="00D10C4C" w:rsidRPr="00D10C4C">
        <w:rPr>
          <w:rFonts w:ascii="Arial" w:hAnsi="Arial" w:cs="Arial"/>
          <w:sz w:val="20"/>
          <w:szCs w:val="20"/>
        </w:rPr>
        <w:t>the</w:t>
      </w:r>
      <w:r w:rsidR="00C43084">
        <w:rPr>
          <w:rFonts w:ascii="Arial" w:hAnsi="Arial" w:cs="Arial"/>
          <w:sz w:val="20"/>
          <w:szCs w:val="20"/>
        </w:rPr>
        <w:t xml:space="preserve"> Australian Government</w:t>
      </w:r>
      <w:r w:rsidR="00D10C4C" w:rsidRPr="00D10C4C">
        <w:rPr>
          <w:rFonts w:ascii="Arial" w:hAnsi="Arial" w:cs="Arial"/>
          <w:sz w:val="20"/>
          <w:szCs w:val="20"/>
        </w:rPr>
        <w:t xml:space="preserve"> Department of </w:t>
      </w:r>
      <w:r w:rsidR="00D10C4C">
        <w:rPr>
          <w:rFonts w:ascii="Arial" w:hAnsi="Arial" w:cs="Arial"/>
          <w:sz w:val="20"/>
          <w:szCs w:val="20"/>
        </w:rPr>
        <w:t xml:space="preserve">the </w:t>
      </w:r>
      <w:r w:rsidR="00DE03E5" w:rsidRPr="00D10C4C">
        <w:rPr>
          <w:rFonts w:ascii="Arial" w:hAnsi="Arial" w:cs="Arial"/>
          <w:sz w:val="20"/>
          <w:szCs w:val="20"/>
        </w:rPr>
        <w:t xml:space="preserve">Environment </w:t>
      </w:r>
      <w:r w:rsidR="00DE03E5">
        <w:rPr>
          <w:rFonts w:ascii="Arial" w:hAnsi="Arial" w:cs="Arial"/>
          <w:sz w:val="20"/>
          <w:szCs w:val="20"/>
        </w:rPr>
        <w:t>and</w:t>
      </w:r>
      <w:r w:rsidR="00997A7C">
        <w:rPr>
          <w:rFonts w:ascii="Arial" w:hAnsi="Arial" w:cs="Arial"/>
          <w:sz w:val="20"/>
          <w:szCs w:val="20"/>
        </w:rPr>
        <w:t xml:space="preserve"> </w:t>
      </w:r>
      <w:r w:rsidR="004206AD">
        <w:rPr>
          <w:rFonts w:ascii="Arial" w:hAnsi="Arial" w:cs="Arial"/>
          <w:sz w:val="20"/>
          <w:szCs w:val="20"/>
        </w:rPr>
        <w:t>t</w:t>
      </w:r>
      <w:r w:rsidR="00D10C4C" w:rsidRPr="00B1520C">
        <w:rPr>
          <w:rFonts w:ascii="Arial" w:hAnsi="Arial" w:cs="Arial"/>
          <w:sz w:val="20"/>
          <w:szCs w:val="20"/>
        </w:rPr>
        <w:t xml:space="preserve">he </w:t>
      </w:r>
      <w:r w:rsidR="00C43084">
        <w:rPr>
          <w:rFonts w:ascii="Arial" w:hAnsi="Arial" w:cs="Arial"/>
          <w:sz w:val="20"/>
          <w:szCs w:val="20"/>
        </w:rPr>
        <w:t xml:space="preserve">Queensland </w:t>
      </w:r>
      <w:r w:rsidR="00D10C4C" w:rsidRPr="00B1520C">
        <w:rPr>
          <w:rFonts w:ascii="Arial" w:hAnsi="Arial" w:cs="Arial"/>
          <w:sz w:val="20"/>
          <w:szCs w:val="20"/>
        </w:rPr>
        <w:t>Department of Environment and Heritage Protection</w:t>
      </w:r>
      <w:r w:rsidR="00D10C4C">
        <w:rPr>
          <w:rFonts w:ascii="Arial" w:hAnsi="Arial" w:cs="Arial"/>
          <w:sz w:val="20"/>
          <w:szCs w:val="20"/>
        </w:rPr>
        <w:t xml:space="preserve"> </w:t>
      </w:r>
      <w:r w:rsidR="00997A7C">
        <w:rPr>
          <w:rFonts w:ascii="Arial" w:hAnsi="Arial" w:cs="Arial"/>
          <w:sz w:val="20"/>
          <w:szCs w:val="20"/>
        </w:rPr>
        <w:t>to provide advice on the Teresa Coal Project</w:t>
      </w:r>
      <w:r w:rsidRPr="00CC2B33">
        <w:rPr>
          <w:rFonts w:ascii="Arial" w:hAnsi="Arial" w:cs="Arial"/>
          <w:sz w:val="20"/>
          <w:szCs w:val="20"/>
        </w:rPr>
        <w:t xml:space="preserve"> in </w:t>
      </w:r>
      <w:r w:rsidR="00997A7C" w:rsidRPr="00997A7C">
        <w:rPr>
          <w:rFonts w:ascii="Arial" w:hAnsi="Arial" w:cs="Arial"/>
          <w:sz w:val="20"/>
          <w:szCs w:val="20"/>
        </w:rPr>
        <w:t>Queensland</w:t>
      </w:r>
      <w:r w:rsidR="00D10C4C" w:rsidRPr="00D10C4C">
        <w:rPr>
          <w:rFonts w:ascii="Arial" w:hAnsi="Arial" w:cs="Arial"/>
          <w:sz w:val="20"/>
          <w:szCs w:val="20"/>
        </w:rPr>
        <w:t>.</w:t>
      </w:r>
    </w:p>
    <w:p w:rsidR="006B1E35" w:rsidRDefault="007203C3" w:rsidP="006B1E35">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Pr>
          <w:rFonts w:ascii="Arial" w:hAnsi="Arial" w:cs="Arial"/>
          <w:sz w:val="20"/>
          <w:szCs w:val="20"/>
        </w:rPr>
        <w:t>Draft Environmental Impact Statement</w:t>
      </w:r>
      <w:r w:rsidR="00743DF0">
        <w:rPr>
          <w:rFonts w:ascii="Arial" w:hAnsi="Arial" w:cs="Arial"/>
          <w:sz w:val="20"/>
          <w:szCs w:val="20"/>
        </w:rPr>
        <w:t xml:space="preserve"> (EIS)</w:t>
      </w:r>
      <w:r w:rsidRPr="00CC2B33">
        <w:rPr>
          <w:rFonts w:ascii="Arial" w:hAnsi="Arial" w:cs="Arial"/>
          <w:sz w:val="20"/>
          <w:szCs w:val="20"/>
        </w:rPr>
        <w:t xml:space="preserve">, together with the expert deliberations of the </w:t>
      </w:r>
      <w:r w:rsidR="00997A7C">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sidR="00997A7C">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6B1E35" w:rsidRPr="006B1E35" w:rsidRDefault="006B1E35" w:rsidP="006B1E35">
      <w:pPr>
        <w:autoSpaceDE w:val="0"/>
        <w:autoSpaceDN w:val="0"/>
        <w:adjustRightInd w:val="0"/>
        <w:spacing w:after="200" w:line="276" w:lineRule="auto"/>
        <w:rPr>
          <w:rFonts w:ascii="Arial" w:hAnsi="Arial" w:cs="Arial"/>
          <w:sz w:val="20"/>
          <w:szCs w:val="20"/>
        </w:rPr>
      </w:pPr>
      <w:r w:rsidRPr="006B1E35">
        <w:rPr>
          <w:rFonts w:ascii="Arial" w:hAnsi="Arial" w:cs="Arial"/>
          <w:sz w:val="20"/>
          <w:szCs w:val="20"/>
        </w:rPr>
        <w:t>The proposed project is located approximately 17km north of Emeral</w:t>
      </w:r>
      <w:r w:rsidR="005748E7">
        <w:rPr>
          <w:rFonts w:ascii="Arial" w:hAnsi="Arial" w:cs="Arial"/>
          <w:sz w:val="20"/>
          <w:szCs w:val="20"/>
        </w:rPr>
        <w:t>d and 70</w:t>
      </w:r>
      <w:r w:rsidR="0099226F">
        <w:rPr>
          <w:rFonts w:ascii="Arial" w:hAnsi="Arial" w:cs="Arial"/>
          <w:sz w:val="20"/>
          <w:szCs w:val="20"/>
        </w:rPr>
        <w:t>k</w:t>
      </w:r>
      <w:r w:rsidR="005748E7">
        <w:rPr>
          <w:rFonts w:ascii="Arial" w:hAnsi="Arial" w:cs="Arial"/>
          <w:sz w:val="20"/>
          <w:szCs w:val="20"/>
        </w:rPr>
        <w:t xml:space="preserve">m south of Clermont in </w:t>
      </w:r>
      <w:r w:rsidRPr="006B1E35">
        <w:rPr>
          <w:rFonts w:ascii="Arial" w:hAnsi="Arial" w:cs="Arial"/>
          <w:sz w:val="20"/>
          <w:szCs w:val="20"/>
        </w:rPr>
        <w:t xml:space="preserve">the Bowen Basin, Central Queensland. The project area is defined by two Mining Lease Application areas (MLA). MLA 70405 is approximately 7,000 hectares and covers the southern part of the project area while MLA 70442 is approximately 3,000 hectares and covers the northern part of the project area. </w:t>
      </w:r>
    </w:p>
    <w:p w:rsidR="006B1E35" w:rsidRPr="006B1E35" w:rsidRDefault="006B1E35" w:rsidP="006B1E35">
      <w:pPr>
        <w:autoSpaceDE w:val="0"/>
        <w:autoSpaceDN w:val="0"/>
        <w:adjustRightInd w:val="0"/>
        <w:spacing w:after="200" w:line="276" w:lineRule="auto"/>
        <w:rPr>
          <w:rFonts w:ascii="Arial" w:hAnsi="Arial" w:cs="Arial"/>
          <w:sz w:val="20"/>
          <w:szCs w:val="20"/>
        </w:rPr>
      </w:pPr>
      <w:r w:rsidRPr="006B1E35">
        <w:rPr>
          <w:rFonts w:ascii="Arial" w:hAnsi="Arial" w:cs="Arial"/>
          <w:sz w:val="20"/>
          <w:szCs w:val="20"/>
        </w:rPr>
        <w:t>The proposed project is targeting the Corvus II coal seam within the German Creek Coal Formation of the Blackwater Group in the Bowen Basin. The proposed new underground coal mine and associated above ground infra</w:t>
      </w:r>
      <w:r w:rsidR="004206AD">
        <w:rPr>
          <w:rFonts w:ascii="Arial" w:hAnsi="Arial" w:cs="Arial"/>
          <w:sz w:val="20"/>
          <w:szCs w:val="20"/>
        </w:rPr>
        <w:t xml:space="preserve">structure would produce up to eight million </w:t>
      </w:r>
      <w:r w:rsidR="0044404A">
        <w:rPr>
          <w:rFonts w:ascii="Arial" w:hAnsi="Arial" w:cs="Arial"/>
          <w:sz w:val="20"/>
          <w:szCs w:val="20"/>
        </w:rPr>
        <w:t>tonnes</w:t>
      </w:r>
      <w:r w:rsidR="004206AD">
        <w:rPr>
          <w:rFonts w:ascii="Arial" w:hAnsi="Arial" w:cs="Arial"/>
          <w:sz w:val="20"/>
          <w:szCs w:val="20"/>
        </w:rPr>
        <w:t xml:space="preserve"> </w:t>
      </w:r>
      <w:r w:rsidRPr="006B1E35">
        <w:rPr>
          <w:rFonts w:ascii="Arial" w:hAnsi="Arial" w:cs="Arial"/>
          <w:sz w:val="20"/>
          <w:szCs w:val="20"/>
        </w:rPr>
        <w:t xml:space="preserve">of run-of-mine (ROM) coal per year. The principal method of mining would be retreat longwall extraction, with a small section by partial block extraction. The life of the mine is anticipated to be up to 30 years. The current coal resource within the Corvus II coal seam is estimated at 310 million tonnes. The MLA is bound to the south and west by Theresa Creek and Gordonstone Creek to the northeast; tributaries of the Nogoa River, located to the south. Construction of the proposed project is anticipated to commence in late 2014 subject to mining lease and environmental approvals. The majority of construction works </w:t>
      </w:r>
      <w:r w:rsidR="00970AC5">
        <w:rPr>
          <w:rFonts w:ascii="Arial" w:hAnsi="Arial" w:cs="Arial"/>
          <w:sz w:val="20"/>
          <w:szCs w:val="20"/>
        </w:rPr>
        <w:t xml:space="preserve">are anticipated to </w:t>
      </w:r>
      <w:r w:rsidRPr="006B1E35">
        <w:rPr>
          <w:rFonts w:ascii="Arial" w:hAnsi="Arial" w:cs="Arial"/>
          <w:sz w:val="20"/>
          <w:szCs w:val="20"/>
        </w:rPr>
        <w:t>be completed by 2017</w:t>
      </w:r>
      <w:r w:rsidR="00970AC5">
        <w:rPr>
          <w:rFonts w:ascii="Arial" w:hAnsi="Arial" w:cs="Arial"/>
          <w:sz w:val="20"/>
          <w:szCs w:val="20"/>
        </w:rPr>
        <w:t xml:space="preserve">, with full operation </w:t>
      </w:r>
      <w:r w:rsidRPr="006B1E35">
        <w:rPr>
          <w:rFonts w:ascii="Arial" w:hAnsi="Arial" w:cs="Arial"/>
          <w:sz w:val="20"/>
          <w:szCs w:val="20"/>
        </w:rPr>
        <w:t xml:space="preserve">to commence in 2019. </w:t>
      </w:r>
    </w:p>
    <w:p w:rsidR="00290BA9" w:rsidRDefault="00290BA9" w:rsidP="00290BA9">
      <w:pPr>
        <w:pStyle w:val="Default"/>
        <w:spacing w:after="200" w:line="276" w:lineRule="auto"/>
        <w:rPr>
          <w:rFonts w:ascii="Arial" w:eastAsia="Times New Roman" w:hAnsi="Arial" w:cs="Arial"/>
          <w:sz w:val="20"/>
          <w:szCs w:val="20"/>
        </w:rPr>
      </w:pPr>
      <w:r>
        <w:rPr>
          <w:rFonts w:ascii="Arial" w:eastAsia="Times New Roman" w:hAnsi="Arial" w:cs="Arial"/>
          <w:sz w:val="20"/>
          <w:szCs w:val="20"/>
        </w:rPr>
        <w:lastRenderedPageBreak/>
        <w:t>The IESC would like</w:t>
      </w:r>
      <w:r w:rsidRPr="007E0DA9">
        <w:rPr>
          <w:rFonts w:ascii="Arial" w:eastAsia="Times New Roman" w:hAnsi="Arial" w:cs="Arial"/>
          <w:sz w:val="20"/>
          <w:szCs w:val="20"/>
        </w:rPr>
        <w:t xml:space="preserve"> to highlight</w:t>
      </w:r>
      <w:r>
        <w:rPr>
          <w:rFonts w:ascii="Arial" w:eastAsia="Times New Roman" w:hAnsi="Arial" w:cs="Arial"/>
          <w:sz w:val="20"/>
          <w:szCs w:val="20"/>
        </w:rPr>
        <w:t xml:space="preserve"> that</w:t>
      </w:r>
      <w:r w:rsidRPr="007E0DA9">
        <w:rPr>
          <w:rFonts w:ascii="Arial" w:eastAsia="Times New Roman" w:hAnsi="Arial" w:cs="Arial"/>
          <w:sz w:val="20"/>
          <w:szCs w:val="20"/>
        </w:rPr>
        <w:t xml:space="preserve"> </w:t>
      </w:r>
      <w:r>
        <w:rPr>
          <w:rFonts w:ascii="Arial" w:eastAsia="Times New Roman" w:hAnsi="Arial" w:cs="Arial"/>
          <w:sz w:val="20"/>
          <w:szCs w:val="20"/>
        </w:rPr>
        <w:t>t</w:t>
      </w:r>
      <w:r w:rsidRPr="007E0DA9">
        <w:rPr>
          <w:rFonts w:ascii="Arial" w:eastAsia="Times New Roman" w:hAnsi="Arial" w:cs="Arial"/>
          <w:sz w:val="20"/>
          <w:szCs w:val="20"/>
        </w:rPr>
        <w:t>here are factual inconsistencies and key findings within chapters</w:t>
      </w:r>
      <w:r>
        <w:rPr>
          <w:rFonts w:ascii="Arial" w:eastAsia="Times New Roman" w:hAnsi="Arial" w:cs="Arial"/>
          <w:sz w:val="20"/>
          <w:szCs w:val="20"/>
        </w:rPr>
        <w:t xml:space="preserve"> of this EIS</w:t>
      </w:r>
      <w:r w:rsidRPr="007E0DA9">
        <w:rPr>
          <w:rFonts w:ascii="Arial" w:eastAsia="Times New Roman" w:hAnsi="Arial" w:cs="Arial"/>
          <w:sz w:val="20"/>
          <w:szCs w:val="20"/>
        </w:rPr>
        <w:t xml:space="preserve"> that are not consolidated or considered</w:t>
      </w:r>
      <w:r>
        <w:rPr>
          <w:rFonts w:ascii="Arial" w:eastAsia="Times New Roman" w:hAnsi="Arial" w:cs="Arial"/>
          <w:sz w:val="20"/>
          <w:szCs w:val="20"/>
        </w:rPr>
        <w:t xml:space="preserve"> within other chapters. For example </w:t>
      </w:r>
      <w:r w:rsidRPr="007E0DA9">
        <w:rPr>
          <w:rFonts w:ascii="Arial" w:eastAsia="Times New Roman" w:hAnsi="Arial" w:cs="Arial"/>
          <w:sz w:val="20"/>
          <w:szCs w:val="20"/>
        </w:rPr>
        <w:t>conclusions and scenarios from one report (e.g. geotechnical findings</w:t>
      </w:r>
      <w:r>
        <w:rPr>
          <w:rFonts w:ascii="Arial" w:eastAsia="Times New Roman" w:hAnsi="Arial" w:cs="Arial"/>
          <w:sz w:val="20"/>
          <w:szCs w:val="20"/>
        </w:rPr>
        <w:t xml:space="preserve"> of subsidence fracturing into the Tertiary formations</w:t>
      </w:r>
      <w:r w:rsidRPr="007E0DA9">
        <w:rPr>
          <w:rFonts w:ascii="Arial" w:eastAsia="Times New Roman" w:hAnsi="Arial" w:cs="Arial"/>
          <w:sz w:val="20"/>
          <w:szCs w:val="20"/>
        </w:rPr>
        <w:t>) have not been considered in</w:t>
      </w:r>
      <w:r>
        <w:rPr>
          <w:rFonts w:ascii="Arial" w:eastAsia="Times New Roman" w:hAnsi="Arial" w:cs="Arial"/>
          <w:sz w:val="20"/>
          <w:szCs w:val="20"/>
        </w:rPr>
        <w:t xml:space="preserve"> other</w:t>
      </w:r>
      <w:r w:rsidRPr="007E0DA9">
        <w:rPr>
          <w:rFonts w:ascii="Arial" w:eastAsia="Times New Roman" w:hAnsi="Arial" w:cs="Arial"/>
          <w:sz w:val="20"/>
          <w:szCs w:val="20"/>
        </w:rPr>
        <w:t xml:space="preserve"> </w:t>
      </w:r>
      <w:r>
        <w:rPr>
          <w:rFonts w:ascii="Arial" w:eastAsia="Times New Roman" w:hAnsi="Arial" w:cs="Arial"/>
          <w:sz w:val="20"/>
          <w:szCs w:val="20"/>
        </w:rPr>
        <w:t xml:space="preserve">reports (e.g. the </w:t>
      </w:r>
      <w:r w:rsidRPr="007E0DA9">
        <w:rPr>
          <w:rFonts w:ascii="Arial" w:eastAsia="Times New Roman" w:hAnsi="Arial" w:cs="Arial"/>
          <w:sz w:val="20"/>
          <w:szCs w:val="20"/>
        </w:rPr>
        <w:t xml:space="preserve">hydrogeological </w:t>
      </w:r>
      <w:r>
        <w:rPr>
          <w:rFonts w:ascii="Arial" w:eastAsia="Times New Roman" w:hAnsi="Arial" w:cs="Arial"/>
          <w:sz w:val="20"/>
          <w:szCs w:val="20"/>
        </w:rPr>
        <w:t>model</w:t>
      </w:r>
      <w:r w:rsidRPr="007E0DA9">
        <w:rPr>
          <w:rFonts w:ascii="Arial" w:eastAsia="Times New Roman" w:hAnsi="Arial" w:cs="Arial"/>
          <w:sz w:val="20"/>
          <w:szCs w:val="20"/>
        </w:rPr>
        <w:t>).</w:t>
      </w:r>
      <w:r>
        <w:rPr>
          <w:rFonts w:ascii="Arial" w:eastAsia="Times New Roman" w:hAnsi="Arial" w:cs="Arial"/>
          <w:sz w:val="20"/>
          <w:szCs w:val="20"/>
        </w:rPr>
        <w:t xml:space="preserve"> This </w:t>
      </w:r>
      <w:r w:rsidR="00FD1001">
        <w:rPr>
          <w:rFonts w:ascii="Arial" w:eastAsia="Times New Roman" w:hAnsi="Arial" w:cs="Arial"/>
          <w:sz w:val="20"/>
          <w:szCs w:val="20"/>
        </w:rPr>
        <w:t>l</w:t>
      </w:r>
      <w:r w:rsidR="00847B67">
        <w:rPr>
          <w:rFonts w:ascii="Arial" w:eastAsia="Times New Roman" w:hAnsi="Arial" w:cs="Arial"/>
          <w:sz w:val="20"/>
          <w:szCs w:val="20"/>
        </w:rPr>
        <w:t xml:space="preserve">eads to </w:t>
      </w:r>
      <w:r>
        <w:rPr>
          <w:rFonts w:ascii="Arial" w:eastAsia="Times New Roman" w:hAnsi="Arial" w:cs="Arial"/>
          <w:sz w:val="20"/>
          <w:szCs w:val="20"/>
        </w:rPr>
        <w:t xml:space="preserve">uncertainty regarding the impacts </w:t>
      </w:r>
      <w:r w:rsidR="00847B67">
        <w:rPr>
          <w:rFonts w:ascii="Arial" w:eastAsia="Times New Roman" w:hAnsi="Arial" w:cs="Arial"/>
          <w:sz w:val="20"/>
          <w:szCs w:val="20"/>
        </w:rPr>
        <w:t>as</w:t>
      </w:r>
      <w:r>
        <w:rPr>
          <w:rFonts w:ascii="Arial" w:eastAsia="Times New Roman" w:hAnsi="Arial" w:cs="Arial"/>
          <w:sz w:val="20"/>
          <w:szCs w:val="20"/>
        </w:rPr>
        <w:t xml:space="preserve"> predicted by the proponent. Notably the IESC consider</w:t>
      </w:r>
      <w:r w:rsidR="00847B67">
        <w:rPr>
          <w:rFonts w:ascii="Arial" w:eastAsia="Times New Roman" w:hAnsi="Arial" w:cs="Arial"/>
          <w:sz w:val="20"/>
          <w:szCs w:val="20"/>
        </w:rPr>
        <w:t>s</w:t>
      </w:r>
      <w:r>
        <w:rPr>
          <w:rFonts w:ascii="Arial" w:eastAsia="Times New Roman" w:hAnsi="Arial" w:cs="Arial"/>
          <w:sz w:val="20"/>
          <w:szCs w:val="20"/>
        </w:rPr>
        <w:t xml:space="preserve"> the following to be key impacts of concern for the proposal:</w:t>
      </w:r>
    </w:p>
    <w:p w:rsidR="002320F1" w:rsidRDefault="002320F1" w:rsidP="00290BA9">
      <w:pPr>
        <w:pStyle w:val="ListParagraph"/>
        <w:numPr>
          <w:ilvl w:val="0"/>
          <w:numId w:val="38"/>
        </w:numPr>
        <w:autoSpaceDE w:val="0"/>
        <w:autoSpaceDN w:val="0"/>
        <w:adjustRightInd w:val="0"/>
        <w:spacing w:after="200" w:line="276" w:lineRule="auto"/>
        <w:rPr>
          <w:rFonts w:ascii="Arial" w:hAnsi="Arial" w:cs="Arial"/>
          <w:sz w:val="20"/>
          <w:szCs w:val="20"/>
        </w:rPr>
      </w:pPr>
      <w:r w:rsidRPr="002320F1">
        <w:rPr>
          <w:rFonts w:ascii="Arial" w:hAnsi="Arial" w:cs="Arial"/>
          <w:sz w:val="20"/>
          <w:szCs w:val="20"/>
        </w:rPr>
        <w:t>Exclusion of s</w:t>
      </w:r>
      <w:r w:rsidR="00290BA9" w:rsidRPr="002320F1">
        <w:rPr>
          <w:rFonts w:ascii="Arial" w:hAnsi="Arial" w:cs="Arial"/>
          <w:sz w:val="20"/>
          <w:szCs w:val="20"/>
        </w:rPr>
        <w:t>ubsidence induced fracturing into the Tertiary sands</w:t>
      </w:r>
      <w:r w:rsidRPr="002320F1">
        <w:rPr>
          <w:rFonts w:ascii="Arial" w:hAnsi="Arial" w:cs="Arial"/>
          <w:sz w:val="20"/>
          <w:szCs w:val="20"/>
        </w:rPr>
        <w:t xml:space="preserve"> in the numerical groundwater model</w:t>
      </w:r>
      <w:r w:rsidR="00290BA9" w:rsidRPr="002320F1">
        <w:rPr>
          <w:rFonts w:ascii="Arial" w:hAnsi="Arial" w:cs="Arial"/>
          <w:sz w:val="20"/>
          <w:szCs w:val="20"/>
        </w:rPr>
        <w:t xml:space="preserve"> may </w:t>
      </w:r>
      <w:r w:rsidRPr="002320F1">
        <w:rPr>
          <w:rFonts w:ascii="Arial" w:hAnsi="Arial" w:cs="Arial"/>
          <w:sz w:val="20"/>
          <w:szCs w:val="20"/>
        </w:rPr>
        <w:t>under-predict mine water inflows and groundwater drawdown in this important regional aquifer.</w:t>
      </w:r>
      <w:r>
        <w:rPr>
          <w:rFonts w:ascii="Arial" w:hAnsi="Arial" w:cs="Arial"/>
          <w:sz w:val="20"/>
          <w:szCs w:val="20"/>
        </w:rPr>
        <w:t xml:space="preserve"> </w:t>
      </w:r>
    </w:p>
    <w:p w:rsidR="00290BA9" w:rsidRPr="002320F1" w:rsidRDefault="002320F1" w:rsidP="00290BA9">
      <w:pPr>
        <w:pStyle w:val="ListParagraph"/>
        <w:numPr>
          <w:ilvl w:val="0"/>
          <w:numId w:val="38"/>
        </w:numPr>
        <w:autoSpaceDE w:val="0"/>
        <w:autoSpaceDN w:val="0"/>
        <w:adjustRightInd w:val="0"/>
        <w:spacing w:after="200" w:line="276" w:lineRule="auto"/>
        <w:rPr>
          <w:rFonts w:ascii="Arial" w:hAnsi="Arial" w:cs="Arial"/>
          <w:sz w:val="20"/>
          <w:szCs w:val="20"/>
        </w:rPr>
      </w:pPr>
      <w:r w:rsidRPr="002320F1">
        <w:rPr>
          <w:rFonts w:ascii="Arial" w:hAnsi="Arial" w:cs="Arial"/>
          <w:sz w:val="20"/>
          <w:szCs w:val="20"/>
        </w:rPr>
        <w:t xml:space="preserve">Given there may be an underestimate of mine water inflows, </w:t>
      </w:r>
      <w:r w:rsidR="00290BA9" w:rsidRPr="002320F1">
        <w:rPr>
          <w:rFonts w:ascii="Arial" w:hAnsi="Arial" w:cs="Arial"/>
          <w:sz w:val="20"/>
          <w:szCs w:val="20"/>
        </w:rPr>
        <w:t>discharge volumes</w:t>
      </w:r>
      <w:r w:rsidRPr="002320F1">
        <w:rPr>
          <w:rFonts w:ascii="Arial" w:hAnsi="Arial" w:cs="Arial"/>
          <w:sz w:val="20"/>
          <w:szCs w:val="20"/>
        </w:rPr>
        <w:t xml:space="preserve"> would also</w:t>
      </w:r>
      <w:r w:rsidR="00B82E96">
        <w:rPr>
          <w:rFonts w:ascii="Arial" w:hAnsi="Arial" w:cs="Arial"/>
          <w:sz w:val="20"/>
          <w:szCs w:val="20"/>
        </w:rPr>
        <w:t xml:space="preserve"> be</w:t>
      </w:r>
      <w:r w:rsidRPr="002320F1">
        <w:rPr>
          <w:rFonts w:ascii="Arial" w:hAnsi="Arial" w:cs="Arial"/>
          <w:sz w:val="20"/>
          <w:szCs w:val="20"/>
        </w:rPr>
        <w:t xml:space="preserve"> underestimate</w:t>
      </w:r>
      <w:r w:rsidR="00CF6A1C">
        <w:rPr>
          <w:rFonts w:ascii="Arial" w:hAnsi="Arial" w:cs="Arial"/>
          <w:sz w:val="20"/>
          <w:szCs w:val="20"/>
        </w:rPr>
        <w:t xml:space="preserve">d.  A potential </w:t>
      </w:r>
      <w:r w:rsidR="00253258">
        <w:rPr>
          <w:rFonts w:ascii="Arial" w:hAnsi="Arial" w:cs="Arial"/>
          <w:sz w:val="20"/>
          <w:szCs w:val="20"/>
        </w:rPr>
        <w:t>increase in this</w:t>
      </w:r>
      <w:r>
        <w:rPr>
          <w:rFonts w:ascii="Arial" w:hAnsi="Arial" w:cs="Arial"/>
          <w:sz w:val="20"/>
          <w:szCs w:val="20"/>
        </w:rPr>
        <w:t xml:space="preserve"> volume of water </w:t>
      </w:r>
      <w:r w:rsidR="00CF6A1C">
        <w:rPr>
          <w:rFonts w:ascii="Arial" w:hAnsi="Arial" w:cs="Arial"/>
          <w:sz w:val="20"/>
          <w:szCs w:val="20"/>
        </w:rPr>
        <w:t>has not been assessed for impacts to flow regimes, geomorphology</w:t>
      </w:r>
      <w:r w:rsidR="00804820">
        <w:rPr>
          <w:rFonts w:ascii="Arial" w:hAnsi="Arial" w:cs="Arial"/>
          <w:sz w:val="20"/>
          <w:szCs w:val="20"/>
        </w:rPr>
        <w:t>, water quality</w:t>
      </w:r>
      <w:r w:rsidR="00CF6A1C">
        <w:rPr>
          <w:rFonts w:ascii="Arial" w:hAnsi="Arial" w:cs="Arial"/>
          <w:sz w:val="20"/>
          <w:szCs w:val="20"/>
        </w:rPr>
        <w:t xml:space="preserve"> and consequential impacts on water related assets.</w:t>
      </w:r>
    </w:p>
    <w:p w:rsidR="00290BA9" w:rsidRPr="00804820" w:rsidRDefault="00253258" w:rsidP="00804820">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The i</w:t>
      </w:r>
      <w:r w:rsidR="00FD1001">
        <w:rPr>
          <w:rFonts w:ascii="Arial" w:hAnsi="Arial" w:cs="Arial"/>
          <w:sz w:val="20"/>
          <w:szCs w:val="20"/>
        </w:rPr>
        <w:t xml:space="preserve">mpact </w:t>
      </w:r>
      <w:r w:rsidR="00804820">
        <w:rPr>
          <w:rFonts w:ascii="Arial" w:hAnsi="Arial" w:cs="Arial"/>
          <w:sz w:val="20"/>
          <w:szCs w:val="20"/>
        </w:rPr>
        <w:t>of fracturing on water quality from the mixing of surface water and water drained from overlying aquifers has not been assessed nor has potential generation of acidic water from water percolation through potentially acid forming material above the goaf.</w:t>
      </w:r>
      <w:r w:rsidR="0005735C">
        <w:rPr>
          <w:rFonts w:ascii="Arial" w:hAnsi="Arial" w:cs="Arial"/>
          <w:sz w:val="20"/>
          <w:szCs w:val="20"/>
        </w:rPr>
        <w:t xml:space="preserve"> This water will need to be </w:t>
      </w:r>
      <w:r>
        <w:rPr>
          <w:rFonts w:ascii="Arial" w:hAnsi="Arial" w:cs="Arial"/>
          <w:sz w:val="20"/>
          <w:szCs w:val="20"/>
        </w:rPr>
        <w:t>removed</w:t>
      </w:r>
      <w:r w:rsidR="0005735C">
        <w:rPr>
          <w:rFonts w:ascii="Arial" w:hAnsi="Arial" w:cs="Arial"/>
          <w:sz w:val="20"/>
          <w:szCs w:val="20"/>
        </w:rPr>
        <w:t xml:space="preserve"> from the mine and discharged to surface watercourses.</w:t>
      </w:r>
    </w:p>
    <w:p w:rsidR="007203C3" w:rsidRPr="00CC2B33" w:rsidRDefault="007203C3" w:rsidP="007203C3">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008C2329">
        <w:rPr>
          <w:rFonts w:ascii="Arial" w:hAnsi="Arial" w:cs="Arial"/>
          <w:sz w:val="20"/>
          <w:szCs w:val="20"/>
        </w:rPr>
        <w:t>IESC</w:t>
      </w:r>
      <w:r w:rsidRPr="00CC2B33">
        <w:rPr>
          <w:rFonts w:ascii="Arial" w:hAnsi="Arial" w:cs="Arial"/>
          <w:sz w:val="20"/>
          <w:szCs w:val="20"/>
        </w:rPr>
        <w:t>,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3744B0" w:rsidRPr="003744B0" w:rsidRDefault="003744B0" w:rsidP="003744B0">
      <w:pPr>
        <w:autoSpaceDE w:val="0"/>
        <w:autoSpaceDN w:val="0"/>
        <w:adjustRightInd w:val="0"/>
        <w:spacing w:after="200" w:line="276" w:lineRule="auto"/>
        <w:rPr>
          <w:rFonts w:ascii="Arial" w:hAnsi="Arial" w:cs="Arial"/>
          <w:sz w:val="20"/>
          <w:szCs w:val="20"/>
        </w:rPr>
      </w:pPr>
      <w:r w:rsidRPr="003744B0">
        <w:rPr>
          <w:rFonts w:ascii="Arial" w:hAnsi="Arial" w:cs="Arial"/>
          <w:sz w:val="20"/>
          <w:szCs w:val="20"/>
          <w:u w:val="single"/>
        </w:rPr>
        <w:t>Relevant data and information</w:t>
      </w:r>
      <w:r w:rsidR="000C6FE1" w:rsidRPr="000C6FE1">
        <w:rPr>
          <w:rFonts w:ascii="Arial" w:hAnsi="Arial" w:cs="Arial"/>
          <w:sz w:val="20"/>
          <w:szCs w:val="20"/>
        </w:rPr>
        <w:t>:</w:t>
      </w:r>
      <w:r w:rsidR="006F34A5" w:rsidRPr="006F34A5" w:rsidDel="006F34A5">
        <w:rPr>
          <w:rFonts w:ascii="Arial" w:hAnsi="Arial" w:cs="Arial"/>
          <w:sz w:val="20"/>
          <w:szCs w:val="20"/>
        </w:rPr>
        <w:t xml:space="preserve"> </w:t>
      </w:r>
      <w:r w:rsidRPr="003744B0">
        <w:rPr>
          <w:rFonts w:ascii="Arial" w:hAnsi="Arial" w:cs="Arial"/>
          <w:sz w:val="20"/>
          <w:szCs w:val="20"/>
        </w:rPr>
        <w:t xml:space="preserve">The following pieces of relevant data and information </w:t>
      </w:r>
      <w:r w:rsidR="00847B67">
        <w:rPr>
          <w:rFonts w:ascii="Arial" w:hAnsi="Arial" w:cs="Arial"/>
          <w:sz w:val="20"/>
          <w:szCs w:val="20"/>
        </w:rPr>
        <w:t>are needed</w:t>
      </w:r>
      <w:r w:rsidR="00BE4C2C">
        <w:rPr>
          <w:rFonts w:ascii="Arial" w:hAnsi="Arial" w:cs="Arial"/>
          <w:sz w:val="20"/>
          <w:szCs w:val="20"/>
        </w:rPr>
        <w:t xml:space="preserve"> for</w:t>
      </w:r>
      <w:r w:rsidRPr="003744B0">
        <w:rPr>
          <w:rFonts w:ascii="Arial" w:hAnsi="Arial" w:cs="Arial"/>
          <w:sz w:val="20"/>
          <w:szCs w:val="20"/>
        </w:rPr>
        <w:t xml:space="preserve"> potential impacts arising from proposal to be assessed:</w:t>
      </w:r>
    </w:p>
    <w:p w:rsidR="00DE03E5" w:rsidRPr="006E7B5D" w:rsidRDefault="003744B0" w:rsidP="006E7B5D">
      <w:pPr>
        <w:pStyle w:val="ListParagraph"/>
        <w:numPr>
          <w:ilvl w:val="0"/>
          <w:numId w:val="38"/>
        </w:numPr>
        <w:autoSpaceDE w:val="0"/>
        <w:autoSpaceDN w:val="0"/>
        <w:adjustRightInd w:val="0"/>
        <w:spacing w:after="200" w:line="276" w:lineRule="auto"/>
        <w:rPr>
          <w:rFonts w:ascii="Arial" w:hAnsi="Arial" w:cs="Arial"/>
          <w:sz w:val="20"/>
          <w:szCs w:val="20"/>
        </w:rPr>
      </w:pPr>
      <w:r w:rsidRPr="00DE03E5">
        <w:rPr>
          <w:rFonts w:ascii="Arial" w:hAnsi="Arial" w:cs="Arial"/>
          <w:sz w:val="20"/>
          <w:szCs w:val="20"/>
        </w:rPr>
        <w:t xml:space="preserve">Expanded spatial and temporal groundwater monitoring data </w:t>
      </w:r>
      <w:r w:rsidR="00B82E96">
        <w:rPr>
          <w:rFonts w:ascii="Arial" w:hAnsi="Arial" w:cs="Arial"/>
          <w:sz w:val="20"/>
          <w:szCs w:val="20"/>
        </w:rPr>
        <w:t>to determine the behaviour of</w:t>
      </w:r>
      <w:r w:rsidR="00887087">
        <w:rPr>
          <w:rFonts w:ascii="Arial" w:hAnsi="Arial" w:cs="Arial"/>
          <w:sz w:val="20"/>
          <w:szCs w:val="20"/>
        </w:rPr>
        <w:t xml:space="preserve"> groundwater levels</w:t>
      </w:r>
      <w:r w:rsidR="006E7B5D">
        <w:rPr>
          <w:rFonts w:ascii="Arial" w:hAnsi="Arial" w:cs="Arial"/>
          <w:sz w:val="20"/>
          <w:szCs w:val="20"/>
        </w:rPr>
        <w:t>;</w:t>
      </w:r>
    </w:p>
    <w:p w:rsidR="003744B0" w:rsidRPr="00DE03E5" w:rsidRDefault="00BE4C2C" w:rsidP="00DE03E5">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Analysis</w:t>
      </w:r>
      <w:r w:rsidR="006E7B5D">
        <w:rPr>
          <w:rFonts w:ascii="Arial" w:hAnsi="Arial" w:cs="Arial"/>
          <w:sz w:val="20"/>
          <w:szCs w:val="20"/>
        </w:rPr>
        <w:t xml:space="preserve"> of s</w:t>
      </w:r>
      <w:r w:rsidR="00DE03E5" w:rsidRPr="00DE03E5">
        <w:rPr>
          <w:rFonts w:ascii="Arial" w:hAnsi="Arial" w:cs="Arial"/>
          <w:sz w:val="20"/>
          <w:szCs w:val="20"/>
        </w:rPr>
        <w:t>ubsidence fracturing impacts to surface watercourses</w:t>
      </w:r>
      <w:r w:rsidR="000A6BF7">
        <w:rPr>
          <w:rFonts w:ascii="Arial" w:hAnsi="Arial" w:cs="Arial"/>
          <w:sz w:val="20"/>
          <w:szCs w:val="20"/>
        </w:rPr>
        <w:t xml:space="preserve">, </w:t>
      </w:r>
      <w:r w:rsidR="006E7B5D">
        <w:rPr>
          <w:rFonts w:ascii="Arial" w:hAnsi="Arial" w:cs="Arial"/>
          <w:sz w:val="20"/>
          <w:szCs w:val="20"/>
        </w:rPr>
        <w:t xml:space="preserve">groundwater drawdown and </w:t>
      </w:r>
      <w:r w:rsidR="00DE03E5">
        <w:rPr>
          <w:rFonts w:ascii="Arial" w:hAnsi="Arial" w:cs="Arial"/>
          <w:sz w:val="20"/>
          <w:szCs w:val="20"/>
        </w:rPr>
        <w:t>mine inflows</w:t>
      </w:r>
      <w:r w:rsidR="00DE03E5" w:rsidRPr="00DE03E5">
        <w:rPr>
          <w:rFonts w:ascii="Arial" w:hAnsi="Arial" w:cs="Arial"/>
          <w:sz w:val="20"/>
          <w:szCs w:val="20"/>
        </w:rPr>
        <w:t xml:space="preserve">; </w:t>
      </w:r>
    </w:p>
    <w:p w:rsidR="000A6BF7" w:rsidRDefault="00D9295B" w:rsidP="00DE03E5">
      <w:pPr>
        <w:pStyle w:val="ListParagraph"/>
        <w:numPr>
          <w:ilvl w:val="0"/>
          <w:numId w:val="38"/>
        </w:numPr>
        <w:autoSpaceDE w:val="0"/>
        <w:autoSpaceDN w:val="0"/>
        <w:adjustRightInd w:val="0"/>
        <w:spacing w:after="200" w:line="276" w:lineRule="auto"/>
        <w:rPr>
          <w:rFonts w:ascii="Arial" w:hAnsi="Arial" w:cs="Arial"/>
          <w:sz w:val="20"/>
          <w:szCs w:val="20"/>
        </w:rPr>
      </w:pPr>
      <w:r w:rsidRPr="00DE03E5">
        <w:rPr>
          <w:rFonts w:ascii="Arial" w:hAnsi="Arial" w:cs="Arial"/>
          <w:sz w:val="20"/>
          <w:szCs w:val="20"/>
        </w:rPr>
        <w:t>Data characterising the geomor</w:t>
      </w:r>
      <w:r>
        <w:rPr>
          <w:rFonts w:ascii="Arial" w:hAnsi="Arial" w:cs="Arial"/>
          <w:sz w:val="20"/>
          <w:szCs w:val="20"/>
        </w:rPr>
        <w:t>phology of surface watercourses</w:t>
      </w:r>
      <w:r w:rsidR="006E7B5D">
        <w:rPr>
          <w:rFonts w:ascii="Arial" w:hAnsi="Arial" w:cs="Arial"/>
          <w:sz w:val="20"/>
          <w:szCs w:val="20"/>
        </w:rPr>
        <w:t xml:space="preserve"> and </w:t>
      </w:r>
      <w:r w:rsidR="000A6BF7">
        <w:rPr>
          <w:rFonts w:ascii="Arial" w:hAnsi="Arial" w:cs="Arial"/>
          <w:sz w:val="20"/>
          <w:szCs w:val="20"/>
        </w:rPr>
        <w:t>surface water</w:t>
      </w:r>
      <w:r w:rsidR="00E0073E">
        <w:rPr>
          <w:rFonts w:ascii="Arial" w:hAnsi="Arial" w:cs="Arial"/>
          <w:sz w:val="20"/>
          <w:szCs w:val="20"/>
        </w:rPr>
        <w:t>-</w:t>
      </w:r>
      <w:r w:rsidR="000A6BF7">
        <w:rPr>
          <w:rFonts w:ascii="Arial" w:hAnsi="Arial" w:cs="Arial"/>
          <w:sz w:val="20"/>
          <w:szCs w:val="20"/>
        </w:rPr>
        <w:t xml:space="preserve">groundwater </w:t>
      </w:r>
      <w:r w:rsidR="006E7B5D">
        <w:rPr>
          <w:rFonts w:ascii="Arial" w:hAnsi="Arial" w:cs="Arial"/>
          <w:sz w:val="20"/>
          <w:szCs w:val="20"/>
        </w:rPr>
        <w:t>interaction</w:t>
      </w:r>
      <w:r w:rsidR="000A6BF7">
        <w:rPr>
          <w:rFonts w:ascii="Arial" w:hAnsi="Arial" w:cs="Arial"/>
          <w:sz w:val="20"/>
          <w:szCs w:val="20"/>
        </w:rPr>
        <w:t>;</w:t>
      </w:r>
      <w:r>
        <w:rPr>
          <w:rFonts w:ascii="Arial" w:hAnsi="Arial" w:cs="Arial"/>
          <w:sz w:val="20"/>
          <w:szCs w:val="20"/>
        </w:rPr>
        <w:t xml:space="preserve"> </w:t>
      </w:r>
    </w:p>
    <w:p w:rsidR="003744B0" w:rsidRPr="00DE03E5" w:rsidRDefault="000A6BF7" w:rsidP="00DE03E5">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D</w:t>
      </w:r>
      <w:r w:rsidR="003744B0" w:rsidRPr="00DE03E5">
        <w:rPr>
          <w:rFonts w:ascii="Arial" w:hAnsi="Arial" w:cs="Arial"/>
          <w:sz w:val="20"/>
          <w:szCs w:val="20"/>
        </w:rPr>
        <w:t xml:space="preserve">ata </w:t>
      </w:r>
      <w:r w:rsidR="00253258">
        <w:rPr>
          <w:rFonts w:ascii="Arial" w:hAnsi="Arial" w:cs="Arial"/>
          <w:sz w:val="20"/>
          <w:szCs w:val="20"/>
        </w:rPr>
        <w:t>on</w:t>
      </w:r>
      <w:r w:rsidR="003744B0" w:rsidRPr="00DE03E5">
        <w:rPr>
          <w:rFonts w:ascii="Arial" w:hAnsi="Arial" w:cs="Arial"/>
          <w:sz w:val="20"/>
          <w:szCs w:val="20"/>
        </w:rPr>
        <w:t xml:space="preserve"> the timing, location and water quality </w:t>
      </w:r>
      <w:r w:rsidR="00E0073E">
        <w:rPr>
          <w:rFonts w:ascii="Arial" w:hAnsi="Arial" w:cs="Arial"/>
          <w:sz w:val="20"/>
          <w:szCs w:val="20"/>
        </w:rPr>
        <w:t>of</w:t>
      </w:r>
      <w:r w:rsidR="003744B0" w:rsidRPr="00DE03E5">
        <w:rPr>
          <w:rFonts w:ascii="Arial" w:hAnsi="Arial" w:cs="Arial"/>
          <w:sz w:val="20"/>
          <w:szCs w:val="20"/>
        </w:rPr>
        <w:t xml:space="preserve"> surface water discharges;</w:t>
      </w:r>
    </w:p>
    <w:p w:rsidR="003744B0" w:rsidRPr="00DE03E5" w:rsidRDefault="006E7B5D" w:rsidP="00DE03E5">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Information related to </w:t>
      </w:r>
      <w:r w:rsidR="003744B0" w:rsidRPr="00DE03E5">
        <w:rPr>
          <w:rFonts w:ascii="Arial" w:hAnsi="Arial" w:cs="Arial"/>
          <w:sz w:val="20"/>
          <w:szCs w:val="20"/>
        </w:rPr>
        <w:t>water-related ecological values;</w:t>
      </w:r>
      <w:r w:rsidR="00D9295B">
        <w:rPr>
          <w:rFonts w:ascii="Arial" w:hAnsi="Arial" w:cs="Arial"/>
          <w:sz w:val="20"/>
          <w:szCs w:val="20"/>
        </w:rPr>
        <w:t xml:space="preserve"> and</w:t>
      </w:r>
    </w:p>
    <w:p w:rsidR="003744B0" w:rsidRPr="00D9295B" w:rsidRDefault="003744B0" w:rsidP="00DE03E5">
      <w:pPr>
        <w:pStyle w:val="ListParagraph"/>
        <w:numPr>
          <w:ilvl w:val="0"/>
          <w:numId w:val="38"/>
        </w:numPr>
        <w:autoSpaceDE w:val="0"/>
        <w:autoSpaceDN w:val="0"/>
        <w:adjustRightInd w:val="0"/>
        <w:spacing w:after="200" w:line="276" w:lineRule="auto"/>
        <w:rPr>
          <w:rFonts w:ascii="Arial" w:hAnsi="Arial" w:cs="Arial"/>
          <w:sz w:val="20"/>
          <w:szCs w:val="20"/>
        </w:rPr>
      </w:pPr>
      <w:r w:rsidRPr="00D9295B">
        <w:rPr>
          <w:rFonts w:ascii="Arial" w:hAnsi="Arial" w:cs="Arial"/>
          <w:sz w:val="20"/>
          <w:szCs w:val="20"/>
        </w:rPr>
        <w:t xml:space="preserve">A </w:t>
      </w:r>
      <w:r w:rsidR="00361B53">
        <w:rPr>
          <w:rFonts w:ascii="Arial" w:hAnsi="Arial" w:cs="Arial"/>
          <w:sz w:val="20"/>
          <w:szCs w:val="20"/>
        </w:rPr>
        <w:t>quantitative</w:t>
      </w:r>
      <w:r w:rsidRPr="00D9295B">
        <w:rPr>
          <w:rFonts w:ascii="Arial" w:hAnsi="Arial" w:cs="Arial"/>
          <w:sz w:val="20"/>
          <w:szCs w:val="20"/>
        </w:rPr>
        <w:t xml:space="preserve"> assessment of </w:t>
      </w:r>
      <w:r w:rsidR="00E0073E">
        <w:rPr>
          <w:rFonts w:ascii="Arial" w:hAnsi="Arial" w:cs="Arial"/>
          <w:sz w:val="20"/>
          <w:szCs w:val="20"/>
        </w:rPr>
        <w:t xml:space="preserve">the </w:t>
      </w:r>
      <w:r w:rsidR="00DE03E5" w:rsidRPr="00D9295B">
        <w:rPr>
          <w:rFonts w:ascii="Arial" w:hAnsi="Arial" w:cs="Arial"/>
          <w:sz w:val="20"/>
          <w:szCs w:val="20"/>
        </w:rPr>
        <w:t>proposal's</w:t>
      </w:r>
      <w:r w:rsidR="00117999">
        <w:rPr>
          <w:rFonts w:ascii="Arial" w:hAnsi="Arial" w:cs="Arial"/>
          <w:sz w:val="20"/>
          <w:szCs w:val="20"/>
        </w:rPr>
        <w:t xml:space="preserve"> contribution to cumulative impacts within the region. </w:t>
      </w:r>
    </w:p>
    <w:p w:rsidR="003744B0" w:rsidRPr="00246F46" w:rsidRDefault="00117999" w:rsidP="003744B0">
      <w:pPr>
        <w:autoSpaceDE w:val="0"/>
        <w:autoSpaceDN w:val="0"/>
        <w:adjustRightInd w:val="0"/>
        <w:spacing w:after="200" w:line="276" w:lineRule="auto"/>
        <w:rPr>
          <w:rFonts w:ascii="Arial" w:hAnsi="Arial" w:cs="Arial"/>
          <w:sz w:val="20"/>
          <w:szCs w:val="20"/>
        </w:rPr>
      </w:pPr>
      <w:r>
        <w:rPr>
          <w:rFonts w:ascii="Arial" w:hAnsi="Arial" w:cs="Arial"/>
          <w:sz w:val="20"/>
          <w:szCs w:val="20"/>
          <w:u w:val="single"/>
        </w:rPr>
        <w:t>Appropriate methodologies which have been applied correctly</w:t>
      </w:r>
      <w:r w:rsidR="000C6FE1" w:rsidRPr="000C6FE1">
        <w:rPr>
          <w:rFonts w:ascii="Arial" w:hAnsi="Arial" w:cs="Arial"/>
          <w:sz w:val="20"/>
          <w:szCs w:val="20"/>
        </w:rPr>
        <w:t xml:space="preserve">: </w:t>
      </w:r>
      <w:r w:rsidR="00253258">
        <w:rPr>
          <w:rFonts w:ascii="Arial" w:hAnsi="Arial" w:cs="Arial"/>
          <w:sz w:val="20"/>
          <w:szCs w:val="20"/>
        </w:rPr>
        <w:t>C</w:t>
      </w:r>
      <w:r w:rsidR="00C8124D" w:rsidRPr="00246F46">
        <w:rPr>
          <w:rFonts w:ascii="Arial" w:hAnsi="Arial" w:cs="Arial"/>
          <w:sz w:val="20"/>
          <w:szCs w:val="20"/>
        </w:rPr>
        <w:t>larification and</w:t>
      </w:r>
      <w:r w:rsidR="003744B0" w:rsidRPr="00246F46">
        <w:rPr>
          <w:rFonts w:ascii="Arial" w:hAnsi="Arial" w:cs="Arial"/>
          <w:sz w:val="20"/>
          <w:szCs w:val="20"/>
        </w:rPr>
        <w:t xml:space="preserve"> justification of the methods and approaches used to predi</w:t>
      </w:r>
      <w:r w:rsidR="00FD1001">
        <w:rPr>
          <w:rFonts w:ascii="Arial" w:hAnsi="Arial" w:cs="Arial"/>
          <w:sz w:val="20"/>
          <w:szCs w:val="20"/>
        </w:rPr>
        <w:t>ct potential impacts are needed,</w:t>
      </w:r>
      <w:r w:rsidR="003744B0" w:rsidRPr="00246F46">
        <w:rPr>
          <w:rFonts w:ascii="Arial" w:hAnsi="Arial" w:cs="Arial"/>
          <w:sz w:val="20"/>
          <w:szCs w:val="20"/>
        </w:rPr>
        <w:t xml:space="preserve"> particularly in relation to:</w:t>
      </w:r>
    </w:p>
    <w:p w:rsidR="006434CF" w:rsidRPr="00246F46" w:rsidRDefault="00246F46" w:rsidP="006A6FB0">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T</w:t>
      </w:r>
      <w:r w:rsidR="00961617" w:rsidRPr="00246F46">
        <w:rPr>
          <w:rFonts w:ascii="Arial" w:hAnsi="Arial" w:cs="Arial"/>
          <w:sz w:val="20"/>
          <w:szCs w:val="20"/>
        </w:rPr>
        <w:t>he conceptual and numerical groundwater models</w:t>
      </w:r>
      <w:r w:rsidR="006434CF" w:rsidRPr="00246F46">
        <w:rPr>
          <w:rFonts w:ascii="Arial" w:hAnsi="Arial" w:cs="Arial"/>
          <w:sz w:val="20"/>
          <w:szCs w:val="20"/>
        </w:rPr>
        <w:t xml:space="preserve"> not</w:t>
      </w:r>
      <w:r w:rsidR="00253258">
        <w:rPr>
          <w:rFonts w:ascii="Arial" w:hAnsi="Arial" w:cs="Arial"/>
          <w:sz w:val="20"/>
          <w:szCs w:val="20"/>
        </w:rPr>
        <w:t xml:space="preserve"> sufficiently </w:t>
      </w:r>
      <w:r w:rsidR="00790E79">
        <w:rPr>
          <w:rFonts w:ascii="Arial" w:hAnsi="Arial" w:cs="Arial"/>
          <w:sz w:val="20"/>
          <w:szCs w:val="20"/>
        </w:rPr>
        <w:t>identifying</w:t>
      </w:r>
      <w:r w:rsidR="00961617" w:rsidRPr="00246F46">
        <w:rPr>
          <w:rFonts w:ascii="Arial" w:hAnsi="Arial" w:cs="Arial"/>
          <w:sz w:val="20"/>
          <w:szCs w:val="20"/>
        </w:rPr>
        <w:t xml:space="preserve"> impacts on water resources or other matters of national environmental significance. </w:t>
      </w:r>
      <w:r w:rsidR="006434CF" w:rsidRPr="00246F46">
        <w:rPr>
          <w:rFonts w:ascii="Arial" w:hAnsi="Arial" w:cs="Arial"/>
          <w:sz w:val="20"/>
          <w:szCs w:val="20"/>
        </w:rPr>
        <w:t>Not</w:t>
      </w:r>
      <w:r>
        <w:rPr>
          <w:rFonts w:ascii="Arial" w:hAnsi="Arial" w:cs="Arial"/>
          <w:sz w:val="20"/>
          <w:szCs w:val="20"/>
        </w:rPr>
        <w:t>ably</w:t>
      </w:r>
      <w:r w:rsidR="00790E79">
        <w:rPr>
          <w:rFonts w:ascii="Arial" w:hAnsi="Arial" w:cs="Arial"/>
          <w:sz w:val="20"/>
          <w:szCs w:val="20"/>
        </w:rPr>
        <w:t xml:space="preserve"> this includes</w:t>
      </w:r>
      <w:r>
        <w:rPr>
          <w:rFonts w:ascii="Arial" w:hAnsi="Arial" w:cs="Arial"/>
          <w:sz w:val="20"/>
          <w:szCs w:val="20"/>
        </w:rPr>
        <w:t xml:space="preserve"> the exclusion of a model</w:t>
      </w:r>
      <w:r w:rsidR="006434CF" w:rsidRPr="00246F46">
        <w:rPr>
          <w:rFonts w:ascii="Arial" w:hAnsi="Arial" w:cs="Arial"/>
          <w:sz w:val="20"/>
          <w:szCs w:val="20"/>
        </w:rPr>
        <w:t xml:space="preserve"> scenario where subsidence fracturing </w:t>
      </w:r>
      <w:r w:rsidRPr="00246F46">
        <w:rPr>
          <w:rFonts w:ascii="Arial" w:hAnsi="Arial" w:cs="Arial"/>
          <w:sz w:val="20"/>
          <w:szCs w:val="20"/>
        </w:rPr>
        <w:t>i</w:t>
      </w:r>
      <w:r>
        <w:rPr>
          <w:rFonts w:ascii="Arial" w:hAnsi="Arial" w:cs="Arial"/>
          <w:sz w:val="20"/>
          <w:szCs w:val="20"/>
        </w:rPr>
        <w:t>s present in the Tertiary units;</w:t>
      </w:r>
    </w:p>
    <w:p w:rsidR="006A6FB0" w:rsidRPr="00246F46" w:rsidRDefault="00DE03E5" w:rsidP="006434CF">
      <w:pPr>
        <w:pStyle w:val="ListParagraph"/>
        <w:numPr>
          <w:ilvl w:val="0"/>
          <w:numId w:val="38"/>
        </w:numPr>
        <w:autoSpaceDE w:val="0"/>
        <w:autoSpaceDN w:val="0"/>
        <w:adjustRightInd w:val="0"/>
        <w:spacing w:after="200" w:line="276" w:lineRule="auto"/>
        <w:rPr>
          <w:rFonts w:ascii="Arial" w:hAnsi="Arial" w:cs="Arial"/>
          <w:sz w:val="20"/>
          <w:szCs w:val="20"/>
        </w:rPr>
      </w:pPr>
      <w:r w:rsidRPr="00246F46">
        <w:rPr>
          <w:rFonts w:ascii="Arial" w:hAnsi="Arial" w:cs="Arial"/>
          <w:sz w:val="20"/>
          <w:szCs w:val="20"/>
        </w:rPr>
        <w:t xml:space="preserve">Incorporation of Tertiary </w:t>
      </w:r>
      <w:r w:rsidR="008B1C47" w:rsidRPr="00246F46">
        <w:rPr>
          <w:rFonts w:ascii="Arial" w:hAnsi="Arial" w:cs="Arial"/>
          <w:sz w:val="20"/>
          <w:szCs w:val="20"/>
        </w:rPr>
        <w:t>sands</w:t>
      </w:r>
      <w:r w:rsidRPr="00246F46">
        <w:rPr>
          <w:rFonts w:ascii="Arial" w:hAnsi="Arial" w:cs="Arial"/>
          <w:sz w:val="20"/>
          <w:szCs w:val="20"/>
        </w:rPr>
        <w:t xml:space="preserve"> into the subsidence modelling;</w:t>
      </w:r>
      <w:bookmarkStart w:id="2" w:name="_____replySeparator"/>
      <w:bookmarkEnd w:id="2"/>
      <w:r w:rsidR="006434CF" w:rsidRPr="00246F46">
        <w:rPr>
          <w:rFonts w:ascii="Arial" w:hAnsi="Arial" w:cs="Arial"/>
          <w:sz w:val="20"/>
          <w:szCs w:val="20"/>
        </w:rPr>
        <w:t xml:space="preserve"> </w:t>
      </w:r>
    </w:p>
    <w:p w:rsidR="006A6FB0" w:rsidRDefault="006A6FB0" w:rsidP="006A6FB0">
      <w:pPr>
        <w:pStyle w:val="ListParagraph"/>
        <w:numPr>
          <w:ilvl w:val="0"/>
          <w:numId w:val="38"/>
        </w:numPr>
        <w:autoSpaceDE w:val="0"/>
        <w:autoSpaceDN w:val="0"/>
        <w:adjustRightInd w:val="0"/>
        <w:spacing w:after="200" w:line="276" w:lineRule="auto"/>
        <w:rPr>
          <w:rFonts w:ascii="Arial" w:hAnsi="Arial" w:cs="Arial"/>
          <w:sz w:val="20"/>
          <w:szCs w:val="20"/>
        </w:rPr>
      </w:pPr>
      <w:r w:rsidRPr="006A6FB0">
        <w:rPr>
          <w:rFonts w:ascii="Arial" w:hAnsi="Arial" w:cs="Arial"/>
          <w:sz w:val="20"/>
          <w:szCs w:val="20"/>
        </w:rPr>
        <w:t>While flood modelling techniques are sound, accuracy and confidence in the model would be improved by adopting more recent analytical methods and providing further information to clarify and justify model inputs and results. The flood model, as compiled, is not suitable for assessing water quality impacts</w:t>
      </w:r>
      <w:r w:rsidR="00F03507">
        <w:t>;</w:t>
      </w:r>
    </w:p>
    <w:p w:rsidR="003744B0" w:rsidRPr="006A6FB0" w:rsidRDefault="006A6FB0" w:rsidP="006A6FB0">
      <w:pPr>
        <w:pStyle w:val="ListParagraph"/>
        <w:numPr>
          <w:ilvl w:val="0"/>
          <w:numId w:val="38"/>
        </w:numPr>
        <w:autoSpaceDE w:val="0"/>
        <w:autoSpaceDN w:val="0"/>
        <w:adjustRightInd w:val="0"/>
        <w:spacing w:after="200" w:line="276" w:lineRule="auto"/>
        <w:rPr>
          <w:rFonts w:ascii="Arial" w:hAnsi="Arial" w:cs="Arial"/>
          <w:sz w:val="20"/>
          <w:szCs w:val="20"/>
        </w:rPr>
      </w:pPr>
      <w:r w:rsidRPr="006A6FB0">
        <w:rPr>
          <w:rFonts w:ascii="Arial" w:hAnsi="Arial" w:cs="Arial"/>
          <w:sz w:val="20"/>
          <w:szCs w:val="20"/>
        </w:rPr>
        <w:lastRenderedPageBreak/>
        <w:t>Inclusion of changes to floodplain flow distributions and velocities, and consequential impacts, on the rising and falling limbs of flood events</w:t>
      </w:r>
      <w:r w:rsidR="003744B0" w:rsidRPr="006A6FB0">
        <w:rPr>
          <w:rFonts w:ascii="Arial" w:hAnsi="Arial" w:cs="Arial"/>
          <w:sz w:val="20"/>
          <w:szCs w:val="20"/>
        </w:rPr>
        <w:t>; and</w:t>
      </w:r>
    </w:p>
    <w:p w:rsidR="003744B0" w:rsidRPr="003744B0" w:rsidRDefault="003744B0" w:rsidP="00DE03E5">
      <w:pPr>
        <w:pStyle w:val="ListParagraph"/>
        <w:numPr>
          <w:ilvl w:val="0"/>
          <w:numId w:val="38"/>
        </w:numPr>
        <w:autoSpaceDE w:val="0"/>
        <w:autoSpaceDN w:val="0"/>
        <w:adjustRightInd w:val="0"/>
        <w:spacing w:after="200" w:line="276" w:lineRule="auto"/>
        <w:rPr>
          <w:rFonts w:ascii="Arial" w:hAnsi="Arial" w:cs="Arial"/>
          <w:sz w:val="20"/>
          <w:szCs w:val="20"/>
        </w:rPr>
      </w:pPr>
      <w:r w:rsidRPr="00B13E5E">
        <w:rPr>
          <w:rFonts w:ascii="Arial" w:hAnsi="Arial" w:cs="Arial"/>
          <w:sz w:val="20"/>
          <w:szCs w:val="20"/>
        </w:rPr>
        <w:t>T</w:t>
      </w:r>
      <w:r w:rsidR="00B13E5E" w:rsidRPr="00B13E5E">
        <w:rPr>
          <w:rFonts w:ascii="Arial" w:hAnsi="Arial" w:cs="Arial"/>
          <w:sz w:val="20"/>
          <w:szCs w:val="20"/>
        </w:rPr>
        <w:t>he use of mean monthly discharges to as</w:t>
      </w:r>
      <w:r w:rsidR="00FD1001">
        <w:rPr>
          <w:rFonts w:ascii="Arial" w:hAnsi="Arial" w:cs="Arial"/>
          <w:sz w:val="20"/>
          <w:szCs w:val="20"/>
        </w:rPr>
        <w:t>sess allowable water discharges</w:t>
      </w:r>
      <w:r w:rsidR="00B13E5E" w:rsidRPr="00B13E5E">
        <w:rPr>
          <w:rFonts w:ascii="Arial" w:hAnsi="Arial" w:cs="Arial"/>
          <w:sz w:val="20"/>
          <w:szCs w:val="20"/>
        </w:rPr>
        <w:t xml:space="preserve"> implies that Theresa Creek is a perennial rather than ephemeral watercourse</w:t>
      </w:r>
      <w:r w:rsidR="00B13E5E">
        <w:rPr>
          <w:rFonts w:ascii="Arial" w:hAnsi="Arial" w:cs="Arial"/>
          <w:sz w:val="20"/>
          <w:szCs w:val="20"/>
        </w:rPr>
        <w:t>.</w:t>
      </w:r>
    </w:p>
    <w:p w:rsidR="003744B0" w:rsidRPr="003744B0" w:rsidRDefault="003744B0" w:rsidP="003744B0">
      <w:pPr>
        <w:autoSpaceDE w:val="0"/>
        <w:autoSpaceDN w:val="0"/>
        <w:adjustRightInd w:val="0"/>
        <w:spacing w:after="200" w:line="276" w:lineRule="auto"/>
        <w:rPr>
          <w:rFonts w:ascii="Arial" w:hAnsi="Arial" w:cs="Arial"/>
          <w:sz w:val="20"/>
          <w:szCs w:val="20"/>
        </w:rPr>
      </w:pPr>
      <w:r w:rsidRPr="003744B0">
        <w:rPr>
          <w:rFonts w:ascii="Arial" w:hAnsi="Arial" w:cs="Arial"/>
          <w:sz w:val="20"/>
          <w:szCs w:val="20"/>
          <w:u w:val="single"/>
        </w:rPr>
        <w:t>Reasonable values and parameters in calculations</w:t>
      </w:r>
      <w:r w:rsidR="006F34A5">
        <w:rPr>
          <w:rFonts w:ascii="Arial" w:hAnsi="Arial" w:cs="Arial"/>
          <w:sz w:val="20"/>
          <w:szCs w:val="20"/>
        </w:rPr>
        <w:t>:</w:t>
      </w:r>
      <w:r w:rsidR="001305DC">
        <w:rPr>
          <w:rFonts w:ascii="Arial" w:hAnsi="Arial" w:cs="Arial"/>
          <w:sz w:val="20"/>
          <w:szCs w:val="20"/>
        </w:rPr>
        <w:t xml:space="preserve"> J</w:t>
      </w:r>
      <w:r w:rsidRPr="003744B0">
        <w:rPr>
          <w:rFonts w:ascii="Arial" w:hAnsi="Arial" w:cs="Arial"/>
          <w:sz w:val="20"/>
          <w:szCs w:val="20"/>
        </w:rPr>
        <w:t xml:space="preserve">ustification and/or further information </w:t>
      </w:r>
      <w:proofErr w:type="gramStart"/>
      <w:r w:rsidR="001305DC">
        <w:rPr>
          <w:rFonts w:ascii="Arial" w:hAnsi="Arial" w:cs="Arial"/>
          <w:sz w:val="20"/>
          <w:szCs w:val="20"/>
        </w:rPr>
        <w:t>is</w:t>
      </w:r>
      <w:proofErr w:type="gramEnd"/>
      <w:r w:rsidRPr="003744B0">
        <w:rPr>
          <w:rFonts w:ascii="Arial" w:hAnsi="Arial" w:cs="Arial"/>
          <w:sz w:val="20"/>
          <w:szCs w:val="20"/>
        </w:rPr>
        <w:t xml:space="preserve"> needed to support the proponent’s approach or conclusions in relation to:</w:t>
      </w:r>
    </w:p>
    <w:p w:rsidR="000A6BF7" w:rsidRPr="003744B0" w:rsidRDefault="00BF0391" w:rsidP="00DE03E5">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extent of </w:t>
      </w:r>
      <w:r w:rsidR="000A6BF7">
        <w:rPr>
          <w:rFonts w:ascii="Arial" w:hAnsi="Arial" w:cs="Arial"/>
          <w:sz w:val="20"/>
          <w:szCs w:val="20"/>
        </w:rPr>
        <w:t>subsidence</w:t>
      </w:r>
      <w:r>
        <w:rPr>
          <w:rFonts w:ascii="Arial" w:hAnsi="Arial" w:cs="Arial"/>
          <w:sz w:val="20"/>
          <w:szCs w:val="20"/>
        </w:rPr>
        <w:t xml:space="preserve"> fracture height and enhanced permeability causing an underestimation of ground and surface water impacts;  </w:t>
      </w:r>
      <w:r w:rsidR="000A6BF7">
        <w:rPr>
          <w:rFonts w:ascii="Arial" w:hAnsi="Arial" w:cs="Arial"/>
          <w:sz w:val="20"/>
          <w:szCs w:val="20"/>
        </w:rPr>
        <w:t xml:space="preserve"> </w:t>
      </w:r>
    </w:p>
    <w:p w:rsidR="003744B0" w:rsidRPr="003744B0" w:rsidRDefault="00463EC8" w:rsidP="00DE03E5">
      <w:pPr>
        <w:pStyle w:val="ListParagraph"/>
        <w:numPr>
          <w:ilvl w:val="0"/>
          <w:numId w:val="38"/>
        </w:numPr>
        <w:autoSpaceDE w:val="0"/>
        <w:autoSpaceDN w:val="0"/>
        <w:adjustRightInd w:val="0"/>
        <w:spacing w:after="200" w:line="276" w:lineRule="auto"/>
        <w:rPr>
          <w:rFonts w:ascii="Arial" w:hAnsi="Arial" w:cs="Arial"/>
          <w:sz w:val="20"/>
          <w:szCs w:val="20"/>
        </w:rPr>
      </w:pPr>
      <w:r>
        <w:rPr>
          <w:rFonts w:ascii="Arial" w:hAnsi="Arial" w:cs="Arial"/>
          <w:sz w:val="20"/>
          <w:szCs w:val="20"/>
        </w:rPr>
        <w:t>The s</w:t>
      </w:r>
      <w:r w:rsidR="00B82E96">
        <w:rPr>
          <w:rFonts w:ascii="Arial" w:hAnsi="Arial" w:cs="Arial"/>
          <w:sz w:val="20"/>
          <w:szCs w:val="20"/>
        </w:rPr>
        <w:t>election of water</w:t>
      </w:r>
      <w:r>
        <w:rPr>
          <w:rFonts w:ascii="Arial" w:hAnsi="Arial" w:cs="Arial"/>
          <w:sz w:val="20"/>
          <w:szCs w:val="20"/>
        </w:rPr>
        <w:t>course</w:t>
      </w:r>
      <w:r w:rsidR="00B82E96">
        <w:rPr>
          <w:rFonts w:ascii="Arial" w:hAnsi="Arial" w:cs="Arial"/>
          <w:sz w:val="20"/>
          <w:szCs w:val="20"/>
        </w:rPr>
        <w:t xml:space="preserve"> model</w:t>
      </w:r>
      <w:r>
        <w:rPr>
          <w:rFonts w:ascii="Arial" w:hAnsi="Arial" w:cs="Arial"/>
          <w:sz w:val="20"/>
          <w:szCs w:val="20"/>
        </w:rPr>
        <w:t xml:space="preserve"> boundaries in the groundwater model used to represent s</w:t>
      </w:r>
      <w:r w:rsidR="003744B0" w:rsidRPr="003744B0">
        <w:rPr>
          <w:rFonts w:ascii="Arial" w:hAnsi="Arial" w:cs="Arial"/>
          <w:sz w:val="20"/>
          <w:szCs w:val="20"/>
        </w:rPr>
        <w:t>urface water-groundwater connectivity in the proposal;</w:t>
      </w:r>
    </w:p>
    <w:p w:rsidR="003744B0" w:rsidRPr="003744B0" w:rsidRDefault="003744B0" w:rsidP="00DE03E5">
      <w:pPr>
        <w:pStyle w:val="ListParagraph"/>
        <w:numPr>
          <w:ilvl w:val="0"/>
          <w:numId w:val="38"/>
        </w:numPr>
        <w:autoSpaceDE w:val="0"/>
        <w:autoSpaceDN w:val="0"/>
        <w:adjustRightInd w:val="0"/>
        <w:spacing w:after="200" w:line="276" w:lineRule="auto"/>
        <w:rPr>
          <w:rFonts w:ascii="Arial" w:hAnsi="Arial" w:cs="Arial"/>
          <w:sz w:val="20"/>
          <w:szCs w:val="20"/>
        </w:rPr>
      </w:pPr>
      <w:r w:rsidRPr="003744B0">
        <w:rPr>
          <w:rFonts w:ascii="Arial" w:hAnsi="Arial" w:cs="Arial"/>
          <w:sz w:val="20"/>
          <w:szCs w:val="20"/>
        </w:rPr>
        <w:t>The absence of formations in the subsidence model; and</w:t>
      </w:r>
    </w:p>
    <w:p w:rsidR="003744B0" w:rsidRDefault="003744B0" w:rsidP="00DE03E5">
      <w:pPr>
        <w:pStyle w:val="ListParagraph"/>
        <w:numPr>
          <w:ilvl w:val="0"/>
          <w:numId w:val="38"/>
        </w:numPr>
        <w:autoSpaceDE w:val="0"/>
        <w:autoSpaceDN w:val="0"/>
        <w:adjustRightInd w:val="0"/>
        <w:spacing w:after="200" w:line="276" w:lineRule="auto"/>
        <w:rPr>
          <w:rFonts w:ascii="Arial" w:hAnsi="Arial" w:cs="Arial"/>
          <w:sz w:val="20"/>
          <w:szCs w:val="20"/>
        </w:rPr>
      </w:pPr>
      <w:r w:rsidRPr="003744B0">
        <w:rPr>
          <w:rFonts w:ascii="Arial" w:hAnsi="Arial" w:cs="Arial"/>
          <w:sz w:val="20"/>
          <w:szCs w:val="20"/>
        </w:rPr>
        <w:t>Exclusion of faulting from the groundwater model.</w:t>
      </w:r>
      <w:r w:rsidRPr="00DE03E5">
        <w:rPr>
          <w:rFonts w:ascii="Arial" w:hAnsi="Arial" w:cs="Arial"/>
          <w:sz w:val="20"/>
          <w:szCs w:val="20"/>
        </w:rPr>
        <w:t xml:space="preserve"> </w:t>
      </w:r>
    </w:p>
    <w:p w:rsidR="007203C3" w:rsidRDefault="007203C3" w:rsidP="007E0DA9">
      <w:pPr>
        <w:pStyle w:val="Default"/>
        <w:spacing w:after="200" w:line="276" w:lineRule="auto"/>
        <w:rPr>
          <w:rFonts w:ascii="Arial" w:eastAsia="Times New Roman" w:hAnsi="Arial" w:cs="Arial"/>
          <w:color w:val="auto"/>
          <w:sz w:val="20"/>
          <w:szCs w:val="20"/>
          <w:lang w:eastAsia="en-US"/>
        </w:rPr>
      </w:pPr>
      <w:r w:rsidRPr="007E0DA9">
        <w:rPr>
          <w:rFonts w:ascii="Arial" w:eastAsia="Times New Roman" w:hAnsi="Arial" w:cs="Arial"/>
          <w:color w:val="auto"/>
          <w:sz w:val="20"/>
          <w:szCs w:val="20"/>
          <w:lang w:eastAsia="en-US"/>
        </w:rPr>
        <w:t>The</w:t>
      </w:r>
      <w:r>
        <w:rPr>
          <w:rFonts w:ascii="Arial" w:eastAsia="Times New Roman" w:hAnsi="Arial" w:cs="Arial"/>
          <w:color w:val="auto"/>
          <w:sz w:val="20"/>
          <w:szCs w:val="20"/>
          <w:lang w:eastAsia="en-US"/>
        </w:rPr>
        <w:t xml:space="preserve"> </w:t>
      </w:r>
      <w:r w:rsidR="008C2329">
        <w:rPr>
          <w:rFonts w:ascii="Arial" w:eastAsia="Times New Roman" w:hAnsi="Arial" w:cs="Arial"/>
          <w:color w:val="auto"/>
          <w:sz w:val="20"/>
          <w:szCs w:val="20"/>
          <w:lang w:eastAsia="en-US"/>
        </w:rPr>
        <w:t>IESC's</w:t>
      </w:r>
      <w:r>
        <w:rPr>
          <w:rFonts w:ascii="Arial" w:eastAsia="Times New Roman" w:hAnsi="Arial" w:cs="Arial"/>
          <w:color w:val="auto"/>
          <w:sz w:val="20"/>
          <w:szCs w:val="20"/>
          <w:lang w:eastAsia="en-US"/>
        </w:rPr>
        <w:t xml:space="preserve"> advice, in response to the </w:t>
      </w:r>
      <w:r w:rsidR="00E57CD8">
        <w:rPr>
          <w:rFonts w:ascii="Arial" w:eastAsia="Times New Roman" w:hAnsi="Arial" w:cs="Arial"/>
          <w:color w:val="auto"/>
          <w:sz w:val="20"/>
          <w:szCs w:val="20"/>
          <w:lang w:eastAsia="en-US"/>
        </w:rPr>
        <w:t xml:space="preserve">requesting </w:t>
      </w:r>
      <w:r w:rsidR="00760F34">
        <w:rPr>
          <w:rFonts w:ascii="Arial" w:eastAsia="Times New Roman" w:hAnsi="Arial" w:cs="Arial"/>
          <w:color w:val="auto"/>
          <w:sz w:val="20"/>
          <w:szCs w:val="20"/>
          <w:lang w:eastAsia="en-US"/>
        </w:rPr>
        <w:t>agencies'</w:t>
      </w:r>
      <w:r>
        <w:rPr>
          <w:rFonts w:ascii="Arial" w:eastAsia="Times New Roman" w:hAnsi="Arial" w:cs="Arial"/>
          <w:color w:val="auto"/>
          <w:sz w:val="20"/>
          <w:szCs w:val="20"/>
          <w:lang w:eastAsia="en-US"/>
        </w:rPr>
        <w:t xml:space="preserve"> specific questions is provided below. </w:t>
      </w:r>
    </w:p>
    <w:p w:rsidR="00982E9B" w:rsidRPr="00252DE0" w:rsidRDefault="000C6FE1" w:rsidP="00760F34">
      <w:pPr>
        <w:spacing w:line="276" w:lineRule="auto"/>
        <w:rPr>
          <w:rFonts w:ascii="Arial" w:hAnsi="Arial" w:cs="Arial"/>
          <w:i/>
          <w:sz w:val="20"/>
          <w:szCs w:val="20"/>
          <w:lang w:val="en-US"/>
        </w:rPr>
      </w:pPr>
      <w:r w:rsidRPr="000C6FE1">
        <w:rPr>
          <w:rFonts w:ascii="Arial" w:hAnsi="Arial" w:cs="Arial"/>
          <w:i/>
          <w:sz w:val="20"/>
          <w:szCs w:val="20"/>
        </w:rPr>
        <w:t xml:space="preserve">Question 1: </w:t>
      </w:r>
      <w:r w:rsidRPr="000C6FE1">
        <w:rPr>
          <w:rFonts w:ascii="Arial" w:hAnsi="Arial" w:cs="Arial"/>
          <w:i/>
          <w:sz w:val="20"/>
          <w:szCs w:val="20"/>
          <w:lang w:val="en-US"/>
        </w:rPr>
        <w:t>The proponent states in Volume 1; Chapter 13 of the EIS (Attachment A), that given the dista</w:t>
      </w:r>
      <w:bookmarkStart w:id="3" w:name="_GoBack"/>
      <w:bookmarkEnd w:id="3"/>
      <w:r w:rsidRPr="000C6FE1">
        <w:rPr>
          <w:rFonts w:ascii="Arial" w:hAnsi="Arial" w:cs="Arial"/>
          <w:i/>
          <w:sz w:val="20"/>
          <w:szCs w:val="20"/>
          <w:lang w:val="en-US"/>
        </w:rPr>
        <w:t>nce from mines in the region and relative geological isolation from these mines (except via the basalt strata), significant cumulative impacts are unlikely. Taking into account the information provided in the EIS regarding other groundwater users in the area, does the Committee agree that significant cumulative impacts are unlikely? If not, what information is needed from the proponent to support their claim?</w:t>
      </w:r>
    </w:p>
    <w:p w:rsidR="00BE4C2C" w:rsidRPr="00361B53" w:rsidRDefault="00361B53" w:rsidP="003555D1">
      <w:pPr>
        <w:pStyle w:val="ListNumber"/>
        <w:numPr>
          <w:ilvl w:val="0"/>
          <w:numId w:val="23"/>
        </w:numPr>
        <w:spacing w:before="120" w:line="276" w:lineRule="auto"/>
        <w:ind w:left="357" w:hanging="357"/>
        <w:rPr>
          <w:rFonts w:ascii="Arial" w:hAnsi="Arial" w:cs="Arial"/>
          <w:sz w:val="20"/>
          <w:szCs w:val="20"/>
        </w:rPr>
      </w:pPr>
      <w:r w:rsidRPr="00361B53">
        <w:rPr>
          <w:rFonts w:ascii="Arial" w:hAnsi="Arial" w:cs="Arial"/>
          <w:sz w:val="20"/>
          <w:szCs w:val="20"/>
        </w:rPr>
        <w:t>The IESC note</w:t>
      </w:r>
      <w:r w:rsidR="00790E79">
        <w:rPr>
          <w:rFonts w:ascii="Arial" w:hAnsi="Arial" w:cs="Arial"/>
          <w:sz w:val="20"/>
          <w:szCs w:val="20"/>
        </w:rPr>
        <w:t>s</w:t>
      </w:r>
      <w:r w:rsidRPr="00361B53">
        <w:rPr>
          <w:rFonts w:ascii="Arial" w:hAnsi="Arial" w:cs="Arial"/>
          <w:sz w:val="20"/>
          <w:szCs w:val="20"/>
        </w:rPr>
        <w:t xml:space="preserve"> the absence of data </w:t>
      </w:r>
      <w:r>
        <w:rPr>
          <w:rFonts w:ascii="Arial" w:hAnsi="Arial" w:cs="Arial"/>
          <w:sz w:val="20"/>
          <w:szCs w:val="20"/>
        </w:rPr>
        <w:t xml:space="preserve">presented in the EIS </w:t>
      </w:r>
      <w:r w:rsidRPr="00361B53">
        <w:rPr>
          <w:rFonts w:ascii="Arial" w:hAnsi="Arial" w:cs="Arial"/>
          <w:sz w:val="20"/>
          <w:szCs w:val="20"/>
        </w:rPr>
        <w:t>to</w:t>
      </w:r>
      <w:r w:rsidR="00790E79">
        <w:rPr>
          <w:rFonts w:ascii="Arial" w:hAnsi="Arial" w:cs="Arial"/>
          <w:sz w:val="20"/>
          <w:szCs w:val="20"/>
        </w:rPr>
        <w:t xml:space="preserve"> enable an</w:t>
      </w:r>
      <w:r w:rsidRPr="00361B53">
        <w:rPr>
          <w:rFonts w:ascii="Arial" w:hAnsi="Arial" w:cs="Arial"/>
          <w:sz w:val="20"/>
          <w:szCs w:val="20"/>
        </w:rPr>
        <w:t xml:space="preserve"> </w:t>
      </w:r>
      <w:r>
        <w:rPr>
          <w:rFonts w:ascii="Arial" w:hAnsi="Arial" w:cs="Arial"/>
          <w:sz w:val="20"/>
          <w:szCs w:val="20"/>
        </w:rPr>
        <w:t>assess</w:t>
      </w:r>
      <w:r w:rsidR="00790E79">
        <w:rPr>
          <w:rFonts w:ascii="Arial" w:hAnsi="Arial" w:cs="Arial"/>
          <w:sz w:val="20"/>
          <w:szCs w:val="20"/>
        </w:rPr>
        <w:t>ment of</w:t>
      </w:r>
      <w:r>
        <w:rPr>
          <w:rFonts w:ascii="Arial" w:hAnsi="Arial" w:cs="Arial"/>
          <w:sz w:val="20"/>
          <w:szCs w:val="20"/>
        </w:rPr>
        <w:t xml:space="preserve"> the likelihood of </w:t>
      </w:r>
      <w:r w:rsidR="00790E79">
        <w:rPr>
          <w:rFonts w:ascii="Arial" w:hAnsi="Arial" w:cs="Arial"/>
          <w:sz w:val="20"/>
          <w:szCs w:val="20"/>
        </w:rPr>
        <w:t xml:space="preserve">significant </w:t>
      </w:r>
      <w:r>
        <w:rPr>
          <w:rFonts w:ascii="Arial" w:hAnsi="Arial" w:cs="Arial"/>
          <w:sz w:val="20"/>
          <w:szCs w:val="20"/>
        </w:rPr>
        <w:t>cumulative impacts</w:t>
      </w:r>
      <w:r w:rsidR="00A23D07">
        <w:rPr>
          <w:rFonts w:ascii="Arial" w:hAnsi="Arial" w:cs="Arial"/>
          <w:sz w:val="20"/>
          <w:szCs w:val="20"/>
        </w:rPr>
        <w:t xml:space="preserve"> to ground and surface water resources </w:t>
      </w:r>
      <w:r w:rsidR="00790E79">
        <w:rPr>
          <w:rFonts w:ascii="Arial" w:hAnsi="Arial" w:cs="Arial"/>
          <w:sz w:val="20"/>
          <w:szCs w:val="20"/>
        </w:rPr>
        <w:t>including</w:t>
      </w:r>
      <w:r w:rsidRPr="00361B53">
        <w:rPr>
          <w:rFonts w:ascii="Arial" w:hAnsi="Arial" w:cs="Arial"/>
          <w:sz w:val="20"/>
          <w:szCs w:val="20"/>
        </w:rPr>
        <w:t xml:space="preserve"> the following</w:t>
      </w:r>
      <w:r>
        <w:rPr>
          <w:rFonts w:ascii="Arial" w:hAnsi="Arial" w:cs="Arial"/>
          <w:sz w:val="20"/>
          <w:szCs w:val="20"/>
        </w:rPr>
        <w:t>:</w:t>
      </w:r>
    </w:p>
    <w:p w:rsidR="003555D1" w:rsidRPr="003555D1" w:rsidRDefault="003555D1" w:rsidP="00361B53">
      <w:pPr>
        <w:pStyle w:val="ListNumber"/>
        <w:numPr>
          <w:ilvl w:val="1"/>
          <w:numId w:val="23"/>
        </w:numPr>
        <w:spacing w:before="120" w:line="276" w:lineRule="auto"/>
        <w:ind w:left="709"/>
        <w:rPr>
          <w:rFonts w:ascii="Arial" w:hAnsi="Arial" w:cs="Arial"/>
          <w:sz w:val="20"/>
          <w:szCs w:val="20"/>
        </w:rPr>
      </w:pPr>
      <w:r w:rsidRPr="003555D1">
        <w:rPr>
          <w:rFonts w:ascii="Arial" w:hAnsi="Arial" w:cs="Arial"/>
          <w:sz w:val="20"/>
          <w:szCs w:val="20"/>
        </w:rPr>
        <w:t>There are three mines located 30-50km east of the proposed project</w:t>
      </w:r>
      <w:r>
        <w:rPr>
          <w:rFonts w:ascii="Arial" w:hAnsi="Arial" w:cs="Arial"/>
          <w:sz w:val="20"/>
          <w:szCs w:val="20"/>
        </w:rPr>
        <w:t>.</w:t>
      </w:r>
      <w:r w:rsidRPr="003555D1">
        <w:rPr>
          <w:rFonts w:ascii="Arial" w:hAnsi="Arial" w:cs="Arial"/>
          <w:sz w:val="20"/>
          <w:szCs w:val="20"/>
          <w:lang w:eastAsia="en-AU"/>
        </w:rPr>
        <w:t xml:space="preserve">  A qualitative approach was adopted to assess cumulative gr</w:t>
      </w:r>
      <w:r w:rsidR="00F25442">
        <w:rPr>
          <w:rFonts w:ascii="Arial" w:hAnsi="Arial" w:cs="Arial"/>
          <w:sz w:val="20"/>
          <w:szCs w:val="20"/>
          <w:lang w:eastAsia="en-AU"/>
        </w:rPr>
        <w:t>oundwater impacts in the region.</w:t>
      </w:r>
      <w:r w:rsidRPr="003555D1">
        <w:rPr>
          <w:rFonts w:ascii="Arial" w:hAnsi="Arial" w:cs="Arial"/>
          <w:sz w:val="20"/>
          <w:szCs w:val="20"/>
        </w:rPr>
        <w:t xml:space="preserve"> The </w:t>
      </w:r>
      <w:r>
        <w:rPr>
          <w:rFonts w:ascii="Arial" w:hAnsi="Arial" w:cs="Arial"/>
          <w:sz w:val="20"/>
          <w:szCs w:val="20"/>
        </w:rPr>
        <w:t>IESC</w:t>
      </w:r>
      <w:r w:rsidRPr="003555D1">
        <w:rPr>
          <w:rFonts w:ascii="Arial" w:hAnsi="Arial" w:cs="Arial"/>
          <w:sz w:val="20"/>
          <w:szCs w:val="20"/>
        </w:rPr>
        <w:t xml:space="preserve"> considers that this qualitative approach contains assumptions</w:t>
      </w:r>
      <w:r w:rsidR="00C92CE0">
        <w:rPr>
          <w:rFonts w:ascii="Arial" w:hAnsi="Arial" w:cs="Arial"/>
          <w:sz w:val="20"/>
          <w:szCs w:val="20"/>
        </w:rPr>
        <w:t>, regarding the</w:t>
      </w:r>
      <w:r w:rsidR="00C92CE0" w:rsidRPr="00C92CE0">
        <w:rPr>
          <w:rFonts w:ascii="Arial" w:hAnsi="Arial" w:cs="Arial"/>
          <w:sz w:val="20"/>
          <w:szCs w:val="20"/>
        </w:rPr>
        <w:t xml:space="preserve"> size of the projects, drawdown impacts, timing of mining and </w:t>
      </w:r>
      <w:proofErr w:type="gramStart"/>
      <w:r w:rsidR="00C92CE0" w:rsidRPr="00C92CE0">
        <w:rPr>
          <w:rFonts w:ascii="Arial" w:hAnsi="Arial" w:cs="Arial"/>
          <w:sz w:val="20"/>
          <w:szCs w:val="20"/>
        </w:rPr>
        <w:t>drawdown,</w:t>
      </w:r>
      <w:r w:rsidR="00F25442">
        <w:rPr>
          <w:rFonts w:ascii="Arial" w:hAnsi="Arial" w:cs="Arial"/>
          <w:sz w:val="20"/>
          <w:szCs w:val="20"/>
        </w:rPr>
        <w:t xml:space="preserve"> </w:t>
      </w:r>
      <w:r w:rsidRPr="003555D1">
        <w:rPr>
          <w:rFonts w:ascii="Arial" w:hAnsi="Arial" w:cs="Arial"/>
          <w:sz w:val="20"/>
          <w:szCs w:val="20"/>
        </w:rPr>
        <w:t>that</w:t>
      </w:r>
      <w:proofErr w:type="gramEnd"/>
      <w:r w:rsidRPr="003555D1">
        <w:rPr>
          <w:rFonts w:ascii="Arial" w:hAnsi="Arial" w:cs="Arial"/>
          <w:sz w:val="20"/>
          <w:szCs w:val="20"/>
        </w:rPr>
        <w:t xml:space="preserve"> may result in an underestimation of the impacts. The </w:t>
      </w:r>
      <w:r>
        <w:rPr>
          <w:rFonts w:ascii="Arial" w:hAnsi="Arial" w:cs="Arial"/>
          <w:sz w:val="20"/>
          <w:szCs w:val="20"/>
        </w:rPr>
        <w:t>IESC</w:t>
      </w:r>
      <w:r w:rsidRPr="003555D1">
        <w:rPr>
          <w:rFonts w:ascii="Arial" w:hAnsi="Arial" w:cs="Arial"/>
          <w:sz w:val="20"/>
          <w:szCs w:val="20"/>
        </w:rPr>
        <w:t xml:space="preserve"> recommends that the numerical groundwater model </w:t>
      </w:r>
      <w:r w:rsidR="00D9295B">
        <w:rPr>
          <w:rFonts w:ascii="Arial" w:hAnsi="Arial" w:cs="Arial"/>
          <w:sz w:val="20"/>
          <w:szCs w:val="20"/>
        </w:rPr>
        <w:t xml:space="preserve">be </w:t>
      </w:r>
      <w:r w:rsidRPr="003555D1">
        <w:rPr>
          <w:rFonts w:ascii="Arial" w:hAnsi="Arial" w:cs="Arial"/>
          <w:sz w:val="20"/>
          <w:szCs w:val="20"/>
        </w:rPr>
        <w:t xml:space="preserve">updated to address the matters discussed in question 2 and that the results </w:t>
      </w:r>
      <w:proofErr w:type="gramStart"/>
      <w:r w:rsidR="007C72B4">
        <w:rPr>
          <w:rFonts w:ascii="Arial" w:hAnsi="Arial" w:cs="Arial"/>
          <w:sz w:val="20"/>
          <w:szCs w:val="20"/>
        </w:rPr>
        <w:t>be</w:t>
      </w:r>
      <w:proofErr w:type="gramEnd"/>
      <w:r w:rsidR="00032993">
        <w:rPr>
          <w:rFonts w:ascii="Arial" w:hAnsi="Arial" w:cs="Arial"/>
          <w:sz w:val="20"/>
          <w:szCs w:val="20"/>
        </w:rPr>
        <w:t xml:space="preserve"> </w:t>
      </w:r>
      <w:r w:rsidR="00790E79">
        <w:rPr>
          <w:rFonts w:ascii="Arial" w:hAnsi="Arial" w:cs="Arial"/>
          <w:sz w:val="20"/>
          <w:szCs w:val="20"/>
        </w:rPr>
        <w:t>used in the</w:t>
      </w:r>
      <w:r w:rsidRPr="003555D1">
        <w:rPr>
          <w:rFonts w:ascii="Arial" w:hAnsi="Arial" w:cs="Arial"/>
          <w:sz w:val="20"/>
          <w:szCs w:val="20"/>
        </w:rPr>
        <w:t xml:space="preserve"> cumulative impact assessment.</w:t>
      </w:r>
    </w:p>
    <w:p w:rsidR="00E703D1" w:rsidRPr="00A0118E" w:rsidRDefault="00BD774A" w:rsidP="00361B53">
      <w:pPr>
        <w:pStyle w:val="ListNumber"/>
        <w:numPr>
          <w:ilvl w:val="1"/>
          <w:numId w:val="23"/>
        </w:numPr>
        <w:spacing w:before="120" w:after="120" w:line="276" w:lineRule="auto"/>
        <w:ind w:left="709"/>
        <w:rPr>
          <w:rFonts w:ascii="Arial" w:hAnsi="Arial" w:cs="Arial"/>
          <w:sz w:val="20"/>
          <w:szCs w:val="20"/>
        </w:rPr>
      </w:pPr>
      <w:r>
        <w:rPr>
          <w:rFonts w:ascii="Arial" w:hAnsi="Arial" w:cs="Arial"/>
          <w:sz w:val="20"/>
          <w:szCs w:val="20"/>
        </w:rPr>
        <w:t xml:space="preserve">For </w:t>
      </w:r>
      <w:r w:rsidR="00E703D1" w:rsidRPr="009A47A8">
        <w:rPr>
          <w:rFonts w:ascii="Arial" w:hAnsi="Arial" w:cs="Arial"/>
          <w:sz w:val="20"/>
          <w:szCs w:val="20"/>
        </w:rPr>
        <w:t xml:space="preserve">groundwater users, the numerical model estimates extraction for irrigation as 2 ML/year for </w:t>
      </w:r>
      <w:r w:rsidR="00D9295B">
        <w:rPr>
          <w:rFonts w:ascii="Arial" w:hAnsi="Arial" w:cs="Arial"/>
          <w:sz w:val="20"/>
          <w:szCs w:val="20"/>
        </w:rPr>
        <w:t xml:space="preserve">both </w:t>
      </w:r>
      <w:r w:rsidR="00E703D1" w:rsidRPr="009A47A8">
        <w:rPr>
          <w:rFonts w:ascii="Arial" w:hAnsi="Arial" w:cs="Arial"/>
          <w:sz w:val="20"/>
          <w:szCs w:val="20"/>
        </w:rPr>
        <w:t>stock and domestic bores and apportions all licensed extraction volumes equally across all bores associa</w:t>
      </w:r>
      <w:r w:rsidR="00545255">
        <w:rPr>
          <w:rFonts w:ascii="Arial" w:hAnsi="Arial" w:cs="Arial"/>
          <w:sz w:val="20"/>
          <w:szCs w:val="20"/>
        </w:rPr>
        <w:t>ted with any given licence. I</w:t>
      </w:r>
      <w:r w:rsidR="00E703D1" w:rsidRPr="009A47A8">
        <w:rPr>
          <w:rFonts w:ascii="Arial" w:hAnsi="Arial" w:cs="Arial"/>
          <w:sz w:val="20"/>
          <w:szCs w:val="20"/>
        </w:rPr>
        <w:t>f the</w:t>
      </w:r>
      <w:r w:rsidR="004206AD">
        <w:rPr>
          <w:rFonts w:ascii="Arial" w:hAnsi="Arial" w:cs="Arial"/>
          <w:sz w:val="20"/>
          <w:szCs w:val="20"/>
        </w:rPr>
        <w:t xml:space="preserve"> actual</w:t>
      </w:r>
      <w:r w:rsidR="00E703D1" w:rsidRPr="009A47A8">
        <w:rPr>
          <w:rFonts w:ascii="Arial" w:hAnsi="Arial" w:cs="Arial"/>
          <w:sz w:val="20"/>
          <w:szCs w:val="20"/>
        </w:rPr>
        <w:t xml:space="preserve"> extraction volumes </w:t>
      </w:r>
      <w:r w:rsidR="004206AD">
        <w:rPr>
          <w:rFonts w:ascii="Arial" w:hAnsi="Arial" w:cs="Arial"/>
          <w:sz w:val="20"/>
          <w:szCs w:val="20"/>
        </w:rPr>
        <w:t xml:space="preserve">vary across </w:t>
      </w:r>
      <w:r w:rsidR="00545255">
        <w:rPr>
          <w:rFonts w:ascii="Arial" w:hAnsi="Arial" w:cs="Arial"/>
          <w:sz w:val="20"/>
          <w:szCs w:val="20"/>
        </w:rPr>
        <w:t xml:space="preserve">the </w:t>
      </w:r>
      <w:r w:rsidR="00015946">
        <w:rPr>
          <w:rFonts w:ascii="Arial" w:hAnsi="Arial" w:cs="Arial"/>
          <w:sz w:val="20"/>
          <w:szCs w:val="20"/>
        </w:rPr>
        <w:t xml:space="preserve">model </w:t>
      </w:r>
      <w:r w:rsidR="00545255">
        <w:rPr>
          <w:rFonts w:ascii="Arial" w:hAnsi="Arial" w:cs="Arial"/>
          <w:sz w:val="20"/>
          <w:szCs w:val="20"/>
        </w:rPr>
        <w:t>areas</w:t>
      </w:r>
      <w:r w:rsidR="007C72B4">
        <w:rPr>
          <w:rFonts w:ascii="Arial" w:hAnsi="Arial" w:cs="Arial"/>
          <w:sz w:val="20"/>
          <w:szCs w:val="20"/>
        </w:rPr>
        <w:t>,</w:t>
      </w:r>
      <w:r w:rsidR="00E703D1" w:rsidRPr="009A47A8">
        <w:rPr>
          <w:rFonts w:ascii="Arial" w:hAnsi="Arial" w:cs="Arial"/>
          <w:sz w:val="20"/>
          <w:szCs w:val="20"/>
        </w:rPr>
        <w:t xml:space="preserve"> </w:t>
      </w:r>
      <w:r w:rsidR="004206AD">
        <w:rPr>
          <w:rFonts w:ascii="Arial" w:hAnsi="Arial" w:cs="Arial"/>
          <w:sz w:val="20"/>
          <w:szCs w:val="20"/>
        </w:rPr>
        <w:t>then this assumption</w:t>
      </w:r>
      <w:r w:rsidR="00B862C5">
        <w:rPr>
          <w:rFonts w:ascii="Arial" w:hAnsi="Arial" w:cs="Arial"/>
          <w:sz w:val="20"/>
          <w:szCs w:val="20"/>
        </w:rPr>
        <w:t xml:space="preserve"> </w:t>
      </w:r>
      <w:r w:rsidR="00E703D1" w:rsidRPr="009A47A8">
        <w:rPr>
          <w:rFonts w:ascii="Arial" w:hAnsi="Arial" w:cs="Arial"/>
          <w:sz w:val="20"/>
          <w:szCs w:val="20"/>
        </w:rPr>
        <w:t>may underestimat</w:t>
      </w:r>
      <w:r w:rsidR="00B862C5">
        <w:rPr>
          <w:rFonts w:ascii="Arial" w:hAnsi="Arial" w:cs="Arial"/>
          <w:sz w:val="20"/>
          <w:szCs w:val="20"/>
        </w:rPr>
        <w:t>e</w:t>
      </w:r>
      <w:r w:rsidR="00E703D1" w:rsidRPr="009A47A8">
        <w:rPr>
          <w:rFonts w:ascii="Arial" w:hAnsi="Arial" w:cs="Arial"/>
          <w:sz w:val="20"/>
          <w:szCs w:val="20"/>
        </w:rPr>
        <w:t xml:space="preserve"> drawdown associated with groundwater user bores and </w:t>
      </w:r>
      <w:r>
        <w:rPr>
          <w:rFonts w:ascii="Arial" w:hAnsi="Arial" w:cs="Arial"/>
          <w:sz w:val="20"/>
          <w:szCs w:val="20"/>
        </w:rPr>
        <w:t>G</w:t>
      </w:r>
      <w:r w:rsidR="00E703D1" w:rsidRPr="009A47A8">
        <w:rPr>
          <w:rFonts w:ascii="Arial" w:hAnsi="Arial" w:cs="Arial"/>
          <w:sz w:val="20"/>
          <w:szCs w:val="20"/>
        </w:rPr>
        <w:t>roundwater</w:t>
      </w:r>
      <w:r>
        <w:rPr>
          <w:rFonts w:ascii="Arial" w:hAnsi="Arial" w:cs="Arial"/>
          <w:sz w:val="20"/>
          <w:szCs w:val="20"/>
        </w:rPr>
        <w:t xml:space="preserve"> D</w:t>
      </w:r>
      <w:r w:rsidR="00E703D1" w:rsidRPr="009A47A8">
        <w:rPr>
          <w:rFonts w:ascii="Arial" w:hAnsi="Arial" w:cs="Arial"/>
          <w:sz w:val="20"/>
          <w:szCs w:val="20"/>
        </w:rPr>
        <w:t xml:space="preserve">ependent </w:t>
      </w:r>
      <w:r>
        <w:rPr>
          <w:rFonts w:ascii="Arial" w:hAnsi="Arial" w:cs="Arial"/>
          <w:sz w:val="20"/>
          <w:szCs w:val="20"/>
        </w:rPr>
        <w:t>E</w:t>
      </w:r>
      <w:r w:rsidR="00E703D1" w:rsidRPr="009A47A8">
        <w:rPr>
          <w:rFonts w:ascii="Arial" w:hAnsi="Arial" w:cs="Arial"/>
          <w:sz w:val="20"/>
          <w:szCs w:val="20"/>
        </w:rPr>
        <w:t xml:space="preserve">cosystems </w:t>
      </w:r>
      <w:r>
        <w:rPr>
          <w:rFonts w:ascii="Arial" w:hAnsi="Arial" w:cs="Arial"/>
          <w:sz w:val="20"/>
          <w:szCs w:val="20"/>
        </w:rPr>
        <w:t xml:space="preserve">(GDEs) </w:t>
      </w:r>
      <w:r w:rsidR="00E703D1" w:rsidRPr="009A47A8">
        <w:rPr>
          <w:rFonts w:ascii="Arial" w:hAnsi="Arial" w:cs="Arial"/>
          <w:sz w:val="20"/>
          <w:szCs w:val="20"/>
        </w:rPr>
        <w:t xml:space="preserve">mapped in those </w:t>
      </w:r>
      <w:r w:rsidR="00E703D1" w:rsidRPr="00A0118E">
        <w:rPr>
          <w:rFonts w:ascii="Arial" w:hAnsi="Arial" w:cs="Arial"/>
          <w:sz w:val="20"/>
          <w:szCs w:val="20"/>
        </w:rPr>
        <w:t>specific areas.</w:t>
      </w:r>
    </w:p>
    <w:p w:rsidR="003555D1" w:rsidRPr="007D539E" w:rsidRDefault="005A2637" w:rsidP="00361B53">
      <w:pPr>
        <w:pStyle w:val="ListNumber"/>
        <w:numPr>
          <w:ilvl w:val="1"/>
          <w:numId w:val="23"/>
        </w:numPr>
        <w:spacing w:before="120" w:line="276" w:lineRule="auto"/>
        <w:ind w:left="709"/>
        <w:rPr>
          <w:rFonts w:ascii="Arial" w:hAnsi="Arial" w:cs="Arial"/>
          <w:sz w:val="20"/>
          <w:szCs w:val="20"/>
        </w:rPr>
      </w:pPr>
      <w:r w:rsidRPr="00A0118E">
        <w:rPr>
          <w:rFonts w:ascii="Arial" w:hAnsi="Arial" w:cs="Arial"/>
          <w:sz w:val="20"/>
          <w:szCs w:val="20"/>
        </w:rPr>
        <w:t>P</w:t>
      </w:r>
      <w:r w:rsidR="00E703D1" w:rsidRPr="00A0118E">
        <w:rPr>
          <w:rFonts w:ascii="Arial" w:hAnsi="Arial" w:cs="Arial"/>
          <w:sz w:val="20"/>
          <w:szCs w:val="20"/>
        </w:rPr>
        <w:t xml:space="preserve">rior to construction, </w:t>
      </w:r>
      <w:r w:rsidR="00790E79">
        <w:rPr>
          <w:rFonts w:ascii="Arial" w:hAnsi="Arial" w:cs="Arial"/>
          <w:sz w:val="20"/>
          <w:szCs w:val="20"/>
        </w:rPr>
        <w:t>properties</w:t>
      </w:r>
      <w:r w:rsidR="00E703D1" w:rsidRPr="00A0118E">
        <w:rPr>
          <w:rFonts w:ascii="Arial" w:hAnsi="Arial" w:cs="Arial"/>
          <w:sz w:val="20"/>
          <w:szCs w:val="20"/>
        </w:rPr>
        <w:t xml:space="preserve"> </w:t>
      </w:r>
      <w:r w:rsidR="00786723" w:rsidRPr="00A0118E">
        <w:rPr>
          <w:rFonts w:ascii="Arial" w:hAnsi="Arial" w:cs="Arial"/>
          <w:sz w:val="20"/>
          <w:szCs w:val="20"/>
        </w:rPr>
        <w:t>with</w:t>
      </w:r>
      <w:r w:rsidR="00E703D1" w:rsidRPr="00A0118E">
        <w:rPr>
          <w:rFonts w:ascii="Arial" w:hAnsi="Arial" w:cs="Arial"/>
          <w:sz w:val="20"/>
          <w:szCs w:val="20"/>
        </w:rPr>
        <w:t xml:space="preserve"> potent</w:t>
      </w:r>
      <w:r w:rsidR="007759C3" w:rsidRPr="00A0118E">
        <w:rPr>
          <w:rFonts w:ascii="Arial" w:hAnsi="Arial" w:cs="Arial"/>
          <w:sz w:val="20"/>
          <w:szCs w:val="20"/>
        </w:rPr>
        <w:t>ial</w:t>
      </w:r>
      <w:r w:rsidR="00E703D1" w:rsidRPr="00A0118E">
        <w:rPr>
          <w:rFonts w:ascii="Arial" w:hAnsi="Arial" w:cs="Arial"/>
          <w:sz w:val="20"/>
          <w:szCs w:val="20"/>
        </w:rPr>
        <w:t xml:space="preserve"> draw</w:t>
      </w:r>
      <w:r w:rsidR="00786723" w:rsidRPr="00A0118E">
        <w:rPr>
          <w:rFonts w:ascii="Arial" w:hAnsi="Arial" w:cs="Arial"/>
          <w:sz w:val="20"/>
          <w:szCs w:val="20"/>
        </w:rPr>
        <w:t>down of greater than 1m</w:t>
      </w:r>
      <w:r w:rsidR="00194065" w:rsidRPr="00A0118E">
        <w:rPr>
          <w:rFonts w:ascii="Arial" w:hAnsi="Arial" w:cs="Arial"/>
          <w:sz w:val="20"/>
          <w:szCs w:val="20"/>
        </w:rPr>
        <w:t xml:space="preserve"> w</w:t>
      </w:r>
      <w:r w:rsidRPr="00A0118E">
        <w:rPr>
          <w:rFonts w:ascii="Arial" w:hAnsi="Arial" w:cs="Arial"/>
          <w:sz w:val="20"/>
          <w:szCs w:val="20"/>
        </w:rPr>
        <w:t>ill</w:t>
      </w:r>
      <w:r w:rsidR="00194065" w:rsidRPr="00A0118E">
        <w:rPr>
          <w:rFonts w:ascii="Arial" w:hAnsi="Arial" w:cs="Arial"/>
          <w:sz w:val="20"/>
          <w:szCs w:val="20"/>
        </w:rPr>
        <w:t xml:space="preserve"> have </w:t>
      </w:r>
      <w:r w:rsidR="00E703D1" w:rsidRPr="00A0118E">
        <w:rPr>
          <w:rFonts w:ascii="Arial" w:hAnsi="Arial" w:cs="Arial"/>
          <w:sz w:val="20"/>
          <w:szCs w:val="20"/>
        </w:rPr>
        <w:t xml:space="preserve">a baseline assessment undertaken at each of the active bores to establish </w:t>
      </w:r>
      <w:r w:rsidR="007759C3" w:rsidRPr="00A0118E">
        <w:rPr>
          <w:rFonts w:ascii="Arial" w:hAnsi="Arial" w:cs="Arial"/>
          <w:sz w:val="20"/>
          <w:szCs w:val="20"/>
        </w:rPr>
        <w:t>pre-operational condition</w:t>
      </w:r>
      <w:r w:rsidR="00E703D1" w:rsidRPr="00A0118E">
        <w:rPr>
          <w:rFonts w:ascii="Arial" w:hAnsi="Arial" w:cs="Arial"/>
          <w:sz w:val="20"/>
          <w:szCs w:val="20"/>
        </w:rPr>
        <w:t xml:space="preserve">. </w:t>
      </w:r>
      <w:r w:rsidR="007C72B4">
        <w:rPr>
          <w:rFonts w:ascii="Arial" w:hAnsi="Arial" w:cs="Arial"/>
          <w:sz w:val="20"/>
          <w:szCs w:val="20"/>
        </w:rPr>
        <w:t>As t</w:t>
      </w:r>
      <w:r w:rsidRPr="00A0118E">
        <w:rPr>
          <w:rFonts w:ascii="Arial" w:hAnsi="Arial" w:cs="Arial"/>
          <w:sz w:val="20"/>
          <w:szCs w:val="20"/>
        </w:rPr>
        <w:t xml:space="preserve">he </w:t>
      </w:r>
      <w:r w:rsidR="00786723" w:rsidRPr="00A0118E">
        <w:rPr>
          <w:rFonts w:ascii="Arial" w:hAnsi="Arial" w:cs="Arial"/>
          <w:sz w:val="20"/>
          <w:szCs w:val="20"/>
        </w:rPr>
        <w:t>current model may be</w:t>
      </w:r>
      <w:r w:rsidRPr="00A0118E">
        <w:rPr>
          <w:rFonts w:ascii="Arial" w:hAnsi="Arial" w:cs="Arial"/>
          <w:sz w:val="20"/>
          <w:szCs w:val="20"/>
        </w:rPr>
        <w:t xml:space="preserve"> </w:t>
      </w:r>
      <w:r w:rsidR="00786723" w:rsidRPr="00A0118E">
        <w:rPr>
          <w:rFonts w:ascii="Arial" w:hAnsi="Arial" w:cs="Arial"/>
          <w:sz w:val="20"/>
          <w:szCs w:val="20"/>
        </w:rPr>
        <w:t>underestimating groundwater drawdown</w:t>
      </w:r>
      <w:r w:rsidR="00790E79">
        <w:rPr>
          <w:rFonts w:ascii="Arial" w:hAnsi="Arial" w:cs="Arial"/>
          <w:sz w:val="20"/>
          <w:szCs w:val="20"/>
        </w:rPr>
        <w:t xml:space="preserve"> and </w:t>
      </w:r>
      <w:r w:rsidR="005664EA" w:rsidRPr="007D539E">
        <w:rPr>
          <w:rFonts w:ascii="Arial" w:hAnsi="Arial" w:cs="Arial"/>
          <w:sz w:val="20"/>
          <w:szCs w:val="20"/>
        </w:rPr>
        <w:t>groundwater impacts</w:t>
      </w:r>
      <w:r w:rsidR="00790E79">
        <w:rPr>
          <w:rFonts w:ascii="Arial" w:hAnsi="Arial" w:cs="Arial"/>
          <w:sz w:val="20"/>
          <w:szCs w:val="20"/>
        </w:rPr>
        <w:t xml:space="preserve"> may</w:t>
      </w:r>
      <w:r w:rsidR="005664EA" w:rsidRPr="007D539E">
        <w:rPr>
          <w:rFonts w:ascii="Arial" w:hAnsi="Arial" w:cs="Arial"/>
          <w:sz w:val="20"/>
          <w:szCs w:val="20"/>
        </w:rPr>
        <w:t xml:space="preserve"> be greater than those currently predicted, </w:t>
      </w:r>
      <w:r w:rsidR="00A0118E" w:rsidRPr="007D539E">
        <w:rPr>
          <w:rFonts w:ascii="Arial" w:hAnsi="Arial" w:cs="Arial"/>
          <w:sz w:val="20"/>
          <w:szCs w:val="20"/>
        </w:rPr>
        <w:t>b</w:t>
      </w:r>
      <w:r w:rsidR="00E703D1" w:rsidRPr="007D539E">
        <w:rPr>
          <w:rFonts w:ascii="Arial" w:hAnsi="Arial" w:cs="Arial"/>
          <w:sz w:val="20"/>
          <w:szCs w:val="20"/>
        </w:rPr>
        <w:t xml:space="preserve">aseline monitoring </w:t>
      </w:r>
      <w:r w:rsidR="00D9295B" w:rsidRPr="007D539E">
        <w:rPr>
          <w:rFonts w:ascii="Arial" w:hAnsi="Arial" w:cs="Arial"/>
          <w:sz w:val="20"/>
          <w:szCs w:val="20"/>
        </w:rPr>
        <w:t xml:space="preserve">should </w:t>
      </w:r>
      <w:r w:rsidR="00E703D1" w:rsidRPr="007D539E">
        <w:rPr>
          <w:rFonts w:ascii="Arial" w:hAnsi="Arial" w:cs="Arial"/>
          <w:sz w:val="20"/>
          <w:szCs w:val="20"/>
        </w:rPr>
        <w:t xml:space="preserve">be extended </w:t>
      </w:r>
      <w:r w:rsidR="00790E79">
        <w:rPr>
          <w:rFonts w:ascii="Arial" w:hAnsi="Arial" w:cs="Arial"/>
          <w:sz w:val="20"/>
          <w:szCs w:val="20"/>
        </w:rPr>
        <w:t>to include</w:t>
      </w:r>
      <w:r w:rsidR="00E703D1" w:rsidRPr="007D539E">
        <w:rPr>
          <w:rFonts w:ascii="Arial" w:hAnsi="Arial" w:cs="Arial"/>
          <w:sz w:val="20"/>
          <w:szCs w:val="20"/>
        </w:rPr>
        <w:t xml:space="preserve"> those groundwater bores</w:t>
      </w:r>
      <w:r w:rsidR="00A0118E" w:rsidRPr="007D539E">
        <w:rPr>
          <w:rFonts w:ascii="Arial" w:hAnsi="Arial" w:cs="Arial"/>
          <w:sz w:val="20"/>
          <w:szCs w:val="20"/>
        </w:rPr>
        <w:t xml:space="preserve"> affected</w:t>
      </w:r>
      <w:r w:rsidR="00E703D1" w:rsidRPr="007D539E">
        <w:rPr>
          <w:rFonts w:ascii="Arial" w:hAnsi="Arial" w:cs="Arial"/>
          <w:sz w:val="20"/>
          <w:szCs w:val="20"/>
        </w:rPr>
        <w:t xml:space="preserve">. </w:t>
      </w:r>
    </w:p>
    <w:p w:rsidR="007D539E" w:rsidRPr="007D539E" w:rsidRDefault="00790E79" w:rsidP="007D539E">
      <w:pPr>
        <w:pStyle w:val="ListNumber"/>
        <w:numPr>
          <w:ilvl w:val="1"/>
          <w:numId w:val="23"/>
        </w:numPr>
        <w:spacing w:before="120" w:line="276" w:lineRule="auto"/>
        <w:ind w:left="709"/>
        <w:rPr>
          <w:rFonts w:ascii="Arial" w:hAnsi="Arial" w:cs="Arial"/>
          <w:sz w:val="20"/>
          <w:szCs w:val="20"/>
        </w:rPr>
      </w:pPr>
      <w:r>
        <w:rPr>
          <w:rFonts w:ascii="Arial" w:hAnsi="Arial" w:cs="Arial"/>
          <w:sz w:val="20"/>
          <w:szCs w:val="20"/>
        </w:rPr>
        <w:t>The following features</w:t>
      </w:r>
      <w:r w:rsidR="007D539E" w:rsidRPr="007D539E">
        <w:rPr>
          <w:rFonts w:ascii="Arial" w:hAnsi="Arial" w:cs="Arial"/>
          <w:sz w:val="20"/>
          <w:szCs w:val="20"/>
        </w:rPr>
        <w:t xml:space="preserve"> would enable a comprehensive assessment of the cumulative impacts on surface water resources in the Nogoa River catchment:  </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t>Identification and sensitivity of potentially impacted ecological and human assets;</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lastRenderedPageBreak/>
        <w:t>The quality, timing and volume of water discharges for the proposal, and other mines operating in the Nogoa River catchment;</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t xml:space="preserve">Effect of cumulative water discharges on watercourse flow regimes and volumetric discharges, water quality, </w:t>
      </w:r>
      <w:proofErr w:type="spellStart"/>
      <w:r w:rsidRPr="007D539E">
        <w:rPr>
          <w:rFonts w:ascii="Arial" w:hAnsi="Arial" w:cs="Arial"/>
          <w:sz w:val="20"/>
          <w:szCs w:val="20"/>
        </w:rPr>
        <w:t>geormorphology</w:t>
      </w:r>
      <w:proofErr w:type="spellEnd"/>
      <w:r w:rsidRPr="007D539E">
        <w:rPr>
          <w:rFonts w:ascii="Arial" w:hAnsi="Arial" w:cs="Arial"/>
          <w:sz w:val="20"/>
          <w:szCs w:val="20"/>
        </w:rPr>
        <w:t xml:space="preserve">, aquatic biota and ecosystems; </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t xml:space="preserve">Effects of cumulative groundwater drawdown on surface water hydrology and water quality; </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t>I</w:t>
      </w:r>
      <w:r w:rsidR="00790E79">
        <w:rPr>
          <w:rFonts w:ascii="Arial" w:hAnsi="Arial" w:cs="Arial"/>
          <w:sz w:val="20"/>
          <w:szCs w:val="20"/>
        </w:rPr>
        <w:t>nformation on i</w:t>
      </w:r>
      <w:r w:rsidRPr="007D539E">
        <w:rPr>
          <w:rFonts w:ascii="Arial" w:hAnsi="Arial" w:cs="Arial"/>
          <w:sz w:val="20"/>
          <w:szCs w:val="20"/>
        </w:rPr>
        <w:t>ncreased surface water-groundwater connectivity as a result of subsidence-induced fracturing and cracking, and the consequential effect on regional surface water hydrology;</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t>Regional changes to floodplain storage and/or flood behaviour, and;</w:t>
      </w:r>
    </w:p>
    <w:p w:rsidR="007D539E" w:rsidRPr="007D539E" w:rsidRDefault="007D539E" w:rsidP="007D539E">
      <w:pPr>
        <w:pStyle w:val="ListNumber"/>
        <w:numPr>
          <w:ilvl w:val="0"/>
          <w:numId w:val="47"/>
        </w:numPr>
        <w:spacing w:before="120" w:line="276" w:lineRule="auto"/>
        <w:rPr>
          <w:rFonts w:ascii="Arial" w:hAnsi="Arial" w:cs="Arial"/>
          <w:sz w:val="20"/>
          <w:szCs w:val="20"/>
        </w:rPr>
      </w:pPr>
      <w:r w:rsidRPr="007D539E">
        <w:rPr>
          <w:rFonts w:ascii="Arial" w:hAnsi="Arial" w:cs="Arial"/>
          <w:sz w:val="20"/>
          <w:szCs w:val="20"/>
        </w:rPr>
        <w:t>Impacts of the proposed haul roads on overland flow paths, flood behaviour and water quality.</w:t>
      </w:r>
    </w:p>
    <w:p w:rsidR="00C21629" w:rsidRDefault="000C6FE1">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t>Question 2:</w:t>
      </w:r>
      <w:r w:rsidRPr="000C6FE1">
        <w:rPr>
          <w:rFonts w:ascii="Arial" w:hAnsi="Arial" w:cs="Arial"/>
          <w:i/>
          <w:sz w:val="20"/>
          <w:szCs w:val="20"/>
          <w:lang w:val="en-US"/>
        </w:rPr>
        <w:t xml:space="preserve"> The EIS (Attachment A), Volume 1; Chapter 13 and Appendix I presents information regarding groundwater impacts, studies and mitigations. Please </w:t>
      </w:r>
      <w:proofErr w:type="gramStart"/>
      <w:r w:rsidRPr="000C6FE1">
        <w:rPr>
          <w:rFonts w:ascii="Arial" w:hAnsi="Arial" w:cs="Arial"/>
          <w:i/>
          <w:sz w:val="20"/>
          <w:szCs w:val="20"/>
          <w:lang w:val="en-US"/>
        </w:rPr>
        <w:t>advise</w:t>
      </w:r>
      <w:proofErr w:type="gramEnd"/>
      <w:r w:rsidRPr="000C6FE1">
        <w:rPr>
          <w:rFonts w:ascii="Arial" w:hAnsi="Arial" w:cs="Arial"/>
          <w:i/>
          <w:sz w:val="20"/>
          <w:szCs w:val="20"/>
          <w:lang w:val="en-US"/>
        </w:rPr>
        <w:t xml:space="preserve"> if:</w:t>
      </w:r>
      <w:r w:rsidR="00252DE0" w:rsidRPr="00252DE0" w:rsidDel="00252DE0">
        <w:rPr>
          <w:rFonts w:ascii="Arial" w:hAnsi="Arial" w:cs="Arial"/>
          <w:i/>
          <w:sz w:val="20"/>
          <w:szCs w:val="20"/>
          <w:lang w:val="en-US"/>
        </w:rPr>
        <w:t xml:space="preserve"> </w:t>
      </w:r>
      <w:r w:rsidR="00252DE0">
        <w:rPr>
          <w:rFonts w:ascii="Arial" w:hAnsi="Arial" w:cs="Arial"/>
          <w:i/>
          <w:sz w:val="20"/>
          <w:szCs w:val="20"/>
          <w:lang w:val="en-US"/>
        </w:rPr>
        <w:t xml:space="preserve">a. </w:t>
      </w:r>
      <w:r w:rsidRPr="000C6FE1">
        <w:rPr>
          <w:rFonts w:ascii="Arial" w:hAnsi="Arial" w:cs="Arial"/>
          <w:i/>
          <w:sz w:val="20"/>
          <w:szCs w:val="20"/>
          <w:lang w:val="en-US"/>
        </w:rPr>
        <w:t>The numerical and conceptual groundwater models presented are adequate to predict the impacts on groundwater. If not discuss what information would address this</w:t>
      </w:r>
      <w:r w:rsidR="00252DE0">
        <w:rPr>
          <w:rFonts w:ascii="Arial" w:hAnsi="Arial" w:cs="Arial"/>
          <w:i/>
          <w:sz w:val="20"/>
          <w:szCs w:val="20"/>
          <w:lang w:val="en-US"/>
        </w:rPr>
        <w:t xml:space="preserve">. b. </w:t>
      </w:r>
      <w:r w:rsidRPr="000C6FE1">
        <w:rPr>
          <w:rFonts w:ascii="Arial" w:hAnsi="Arial" w:cs="Arial"/>
          <w:i/>
          <w:sz w:val="20"/>
          <w:szCs w:val="20"/>
          <w:lang w:val="en-US"/>
        </w:rPr>
        <w:t>The numerical and conceptual groundwater models are adequate or do they present any concerns that may impact upon water resources or any other matters of national environmental significance?</w:t>
      </w:r>
      <w:r w:rsidR="00252DE0" w:rsidRPr="00252DE0" w:rsidDel="00252DE0">
        <w:rPr>
          <w:rFonts w:ascii="Arial" w:hAnsi="Arial" w:cs="Arial"/>
          <w:i/>
          <w:sz w:val="20"/>
          <w:szCs w:val="20"/>
          <w:lang w:val="en-US"/>
        </w:rPr>
        <w:t xml:space="preserve"> </w:t>
      </w:r>
      <w:proofErr w:type="gramStart"/>
      <w:r w:rsidR="00252DE0">
        <w:rPr>
          <w:rFonts w:ascii="Arial" w:hAnsi="Arial" w:cs="Arial"/>
          <w:i/>
          <w:sz w:val="20"/>
          <w:szCs w:val="20"/>
          <w:lang w:val="en-US"/>
        </w:rPr>
        <w:t>c.</w:t>
      </w:r>
      <w:r w:rsidRPr="000C6FE1">
        <w:rPr>
          <w:rFonts w:ascii="Arial" w:hAnsi="Arial" w:cs="Arial"/>
          <w:i/>
          <w:sz w:val="20"/>
          <w:szCs w:val="20"/>
          <w:lang w:val="en-US"/>
        </w:rPr>
        <w:t>The</w:t>
      </w:r>
      <w:proofErr w:type="gramEnd"/>
      <w:r w:rsidRPr="000C6FE1">
        <w:rPr>
          <w:rFonts w:ascii="Arial" w:hAnsi="Arial" w:cs="Arial"/>
          <w:i/>
          <w:sz w:val="20"/>
          <w:szCs w:val="20"/>
          <w:lang w:val="en-US"/>
        </w:rPr>
        <w:t xml:space="preserve"> Committee agrees with the groundwater level recovery time predicted by the proponent? </w:t>
      </w:r>
    </w:p>
    <w:p w:rsidR="00A61639" w:rsidRPr="00A61639" w:rsidRDefault="00790E79" w:rsidP="00A61639">
      <w:pPr>
        <w:pStyle w:val="ListNumber"/>
        <w:numPr>
          <w:ilvl w:val="0"/>
          <w:numId w:val="23"/>
        </w:numPr>
        <w:spacing w:before="240" w:after="200" w:line="276" w:lineRule="auto"/>
        <w:rPr>
          <w:rFonts w:ascii="Arial" w:hAnsi="Arial" w:cs="Arial"/>
          <w:sz w:val="20"/>
          <w:szCs w:val="20"/>
        </w:rPr>
      </w:pPr>
      <w:r>
        <w:rPr>
          <w:rFonts w:ascii="Arial" w:hAnsi="Arial" w:cs="Arial"/>
          <w:sz w:val="20"/>
          <w:szCs w:val="20"/>
        </w:rPr>
        <w:t>T</w:t>
      </w:r>
      <w:r w:rsidR="007C72B4" w:rsidRPr="0054360B">
        <w:rPr>
          <w:rFonts w:ascii="Arial" w:hAnsi="Arial" w:cs="Arial"/>
          <w:sz w:val="20"/>
          <w:szCs w:val="20"/>
        </w:rPr>
        <w:t xml:space="preserve">he conceptual and numerical groundwater models </w:t>
      </w:r>
      <w:r>
        <w:rPr>
          <w:rFonts w:ascii="Arial" w:hAnsi="Arial" w:cs="Arial"/>
          <w:sz w:val="20"/>
          <w:szCs w:val="20"/>
        </w:rPr>
        <w:t xml:space="preserve">do not </w:t>
      </w:r>
      <w:r w:rsidR="007C72B4" w:rsidRPr="0054360B">
        <w:rPr>
          <w:rFonts w:ascii="Arial" w:hAnsi="Arial" w:cs="Arial"/>
          <w:sz w:val="20"/>
          <w:szCs w:val="20"/>
        </w:rPr>
        <w:t xml:space="preserve">sufficiently identify impacts on water resources or other matters of national environmental significance. </w:t>
      </w:r>
      <w:r w:rsidR="00A61639" w:rsidRPr="00A61639">
        <w:rPr>
          <w:rFonts w:ascii="Arial" w:hAnsi="Arial" w:cs="Arial"/>
          <w:sz w:val="20"/>
          <w:szCs w:val="20"/>
        </w:rPr>
        <w:t xml:space="preserve">There are a number of inconsistencies noted in the numerical and conceptual groundwater model </w:t>
      </w:r>
      <w:r w:rsidR="005664EA">
        <w:rPr>
          <w:rFonts w:ascii="Arial" w:hAnsi="Arial" w:cs="Arial"/>
          <w:sz w:val="20"/>
          <w:szCs w:val="20"/>
        </w:rPr>
        <w:t xml:space="preserve">which </w:t>
      </w:r>
      <w:r w:rsidR="00E0073E">
        <w:rPr>
          <w:rFonts w:ascii="Arial" w:hAnsi="Arial" w:cs="Arial"/>
          <w:sz w:val="20"/>
          <w:szCs w:val="20"/>
        </w:rPr>
        <w:t>reduce</w:t>
      </w:r>
      <w:r w:rsidR="005664EA">
        <w:rPr>
          <w:rFonts w:ascii="Arial" w:hAnsi="Arial" w:cs="Arial"/>
          <w:sz w:val="20"/>
          <w:szCs w:val="20"/>
        </w:rPr>
        <w:t xml:space="preserve"> confidence in the</w:t>
      </w:r>
      <w:r w:rsidR="00A61639" w:rsidRPr="00A61639">
        <w:rPr>
          <w:rFonts w:ascii="Arial" w:hAnsi="Arial" w:cs="Arial"/>
          <w:sz w:val="20"/>
          <w:szCs w:val="20"/>
        </w:rPr>
        <w:t xml:space="preserve"> predict</w:t>
      </w:r>
      <w:r w:rsidR="005664EA">
        <w:rPr>
          <w:rFonts w:ascii="Arial" w:hAnsi="Arial" w:cs="Arial"/>
          <w:sz w:val="20"/>
          <w:szCs w:val="20"/>
        </w:rPr>
        <w:t>ed</w:t>
      </w:r>
      <w:r w:rsidR="00A61639" w:rsidRPr="00A61639">
        <w:rPr>
          <w:rFonts w:ascii="Arial" w:hAnsi="Arial" w:cs="Arial"/>
          <w:sz w:val="20"/>
          <w:szCs w:val="20"/>
        </w:rPr>
        <w:t xml:space="preserve"> impacts on groundwater. These include:</w:t>
      </w:r>
    </w:p>
    <w:p w:rsidR="00541918" w:rsidRDefault="000C6FE1" w:rsidP="00541918">
      <w:pPr>
        <w:pStyle w:val="ListNumber"/>
        <w:numPr>
          <w:ilvl w:val="0"/>
          <w:numId w:val="29"/>
        </w:numPr>
        <w:spacing w:before="240" w:after="200" w:line="276" w:lineRule="auto"/>
        <w:ind w:left="709"/>
        <w:rPr>
          <w:rFonts w:ascii="Arial" w:hAnsi="Arial" w:cs="Arial"/>
          <w:sz w:val="20"/>
          <w:szCs w:val="20"/>
        </w:rPr>
      </w:pPr>
      <w:r w:rsidRPr="000C6FE1">
        <w:rPr>
          <w:rFonts w:ascii="Arial" w:hAnsi="Arial" w:cs="Arial"/>
          <w:sz w:val="20"/>
          <w:szCs w:val="20"/>
          <w:u w:val="single"/>
        </w:rPr>
        <w:t>Modelled scenarios and rationale</w:t>
      </w:r>
      <w:r w:rsidR="00800333">
        <w:rPr>
          <w:rFonts w:ascii="Arial" w:hAnsi="Arial" w:cs="Arial"/>
          <w:sz w:val="20"/>
          <w:szCs w:val="20"/>
        </w:rPr>
        <w:t xml:space="preserve">: </w:t>
      </w:r>
      <w:r w:rsidR="00990761">
        <w:rPr>
          <w:rFonts w:ascii="Arial" w:hAnsi="Arial" w:cs="Arial"/>
          <w:sz w:val="20"/>
          <w:szCs w:val="20"/>
        </w:rPr>
        <w:t>The</w:t>
      </w:r>
      <w:r w:rsidR="00990761" w:rsidRPr="00A61639">
        <w:rPr>
          <w:rFonts w:ascii="Arial" w:hAnsi="Arial" w:cs="Arial"/>
          <w:sz w:val="20"/>
          <w:szCs w:val="20"/>
        </w:rPr>
        <w:t xml:space="preserve"> groundwater </w:t>
      </w:r>
      <w:r w:rsidR="00990761">
        <w:rPr>
          <w:rFonts w:ascii="Arial" w:hAnsi="Arial" w:cs="Arial"/>
          <w:sz w:val="20"/>
          <w:szCs w:val="20"/>
        </w:rPr>
        <w:t xml:space="preserve">model does not </w:t>
      </w:r>
      <w:r w:rsidR="006F34A5">
        <w:rPr>
          <w:rFonts w:ascii="Arial" w:hAnsi="Arial" w:cs="Arial"/>
          <w:sz w:val="20"/>
          <w:szCs w:val="20"/>
        </w:rPr>
        <w:t xml:space="preserve">incorporate </w:t>
      </w:r>
      <w:r w:rsidR="00990761" w:rsidRPr="00A61639">
        <w:rPr>
          <w:rFonts w:ascii="Arial" w:hAnsi="Arial" w:cs="Arial"/>
          <w:sz w:val="20"/>
          <w:szCs w:val="20"/>
        </w:rPr>
        <w:t xml:space="preserve">zones of enhanced permeability </w:t>
      </w:r>
      <w:r w:rsidR="00887087">
        <w:rPr>
          <w:rFonts w:ascii="Arial" w:hAnsi="Arial" w:cs="Arial"/>
          <w:sz w:val="20"/>
          <w:szCs w:val="20"/>
        </w:rPr>
        <w:t xml:space="preserve">in the Tertiary sediments </w:t>
      </w:r>
      <w:r w:rsidR="00990761">
        <w:rPr>
          <w:rFonts w:ascii="Arial" w:hAnsi="Arial" w:cs="Arial"/>
          <w:sz w:val="20"/>
          <w:szCs w:val="20"/>
        </w:rPr>
        <w:t>which would be</w:t>
      </w:r>
      <w:r w:rsidR="00990761" w:rsidRPr="00A61639">
        <w:rPr>
          <w:rFonts w:ascii="Arial" w:hAnsi="Arial" w:cs="Arial"/>
          <w:sz w:val="20"/>
          <w:szCs w:val="20"/>
        </w:rPr>
        <w:t xml:space="preserve"> consistent with the subsidence predictions presented in the subsidence report. </w:t>
      </w:r>
      <w:r w:rsidR="00990761">
        <w:rPr>
          <w:rFonts w:ascii="Arial" w:hAnsi="Arial" w:cs="Arial"/>
          <w:sz w:val="20"/>
          <w:szCs w:val="20"/>
        </w:rPr>
        <w:t>Groundwater modelling results are only presented for fracturing in the</w:t>
      </w:r>
      <w:r w:rsidR="00990761" w:rsidRPr="00371B60">
        <w:rPr>
          <w:rFonts w:ascii="Arial" w:hAnsi="Arial" w:cs="Arial"/>
          <w:sz w:val="20"/>
          <w:szCs w:val="20"/>
        </w:rPr>
        <w:t xml:space="preserve"> overburden material</w:t>
      </w:r>
      <w:r w:rsidR="00990761">
        <w:rPr>
          <w:rFonts w:ascii="Arial" w:hAnsi="Arial" w:cs="Arial"/>
          <w:sz w:val="20"/>
          <w:szCs w:val="20"/>
        </w:rPr>
        <w:t>. Constraining enhanced permeability may</w:t>
      </w:r>
      <w:r w:rsidR="00990761" w:rsidRPr="00A61639">
        <w:rPr>
          <w:rFonts w:ascii="Arial" w:hAnsi="Arial" w:cs="Arial"/>
          <w:sz w:val="20"/>
          <w:szCs w:val="20"/>
        </w:rPr>
        <w:t xml:space="preserve"> </w:t>
      </w:r>
      <w:r w:rsidR="00CF4B7A">
        <w:rPr>
          <w:rFonts w:ascii="Arial" w:hAnsi="Arial" w:cs="Arial"/>
          <w:sz w:val="20"/>
          <w:szCs w:val="20"/>
        </w:rPr>
        <w:t xml:space="preserve">further </w:t>
      </w:r>
      <w:r w:rsidR="00990761" w:rsidRPr="00A61639">
        <w:rPr>
          <w:rFonts w:ascii="Arial" w:hAnsi="Arial" w:cs="Arial"/>
          <w:sz w:val="20"/>
          <w:szCs w:val="20"/>
        </w:rPr>
        <w:t>underestimate mine water inflows and subsequent drawdown of groundwater</w:t>
      </w:r>
      <w:r w:rsidR="00B82E96">
        <w:rPr>
          <w:rFonts w:ascii="Arial" w:hAnsi="Arial" w:cs="Arial"/>
          <w:sz w:val="20"/>
          <w:szCs w:val="20"/>
        </w:rPr>
        <w:t>. This could</w:t>
      </w:r>
      <w:r w:rsidR="00CF4B7A">
        <w:rPr>
          <w:rFonts w:ascii="Arial" w:hAnsi="Arial" w:cs="Arial"/>
          <w:sz w:val="20"/>
          <w:szCs w:val="20"/>
        </w:rPr>
        <w:t xml:space="preserve"> </w:t>
      </w:r>
      <w:r w:rsidR="00990761" w:rsidRPr="00A61639">
        <w:rPr>
          <w:rFonts w:ascii="Arial" w:hAnsi="Arial" w:cs="Arial"/>
          <w:sz w:val="20"/>
          <w:szCs w:val="20"/>
        </w:rPr>
        <w:t>result</w:t>
      </w:r>
      <w:r w:rsidR="00CF4B7A">
        <w:rPr>
          <w:rFonts w:ascii="Arial" w:hAnsi="Arial" w:cs="Arial"/>
          <w:sz w:val="20"/>
          <w:szCs w:val="20"/>
        </w:rPr>
        <w:t xml:space="preserve"> in</w:t>
      </w:r>
      <w:r w:rsidR="00990761" w:rsidRPr="00A61639">
        <w:rPr>
          <w:rFonts w:ascii="Arial" w:hAnsi="Arial" w:cs="Arial"/>
          <w:sz w:val="20"/>
          <w:szCs w:val="20"/>
        </w:rPr>
        <w:t xml:space="preserve"> loss of surface water to groundwater</w:t>
      </w:r>
      <w:r w:rsidR="00EA39FC">
        <w:rPr>
          <w:rFonts w:ascii="Arial" w:hAnsi="Arial" w:cs="Arial"/>
          <w:sz w:val="20"/>
          <w:szCs w:val="20"/>
        </w:rPr>
        <w:t xml:space="preserve"> and volumes of water for surface water discharge</w:t>
      </w:r>
      <w:r w:rsidR="00990761" w:rsidRPr="00A61639">
        <w:rPr>
          <w:rFonts w:ascii="Arial" w:hAnsi="Arial" w:cs="Arial"/>
          <w:sz w:val="20"/>
          <w:szCs w:val="20"/>
        </w:rPr>
        <w:t>.</w:t>
      </w:r>
      <w:r w:rsidR="00990761">
        <w:rPr>
          <w:rFonts w:ascii="Arial" w:hAnsi="Arial" w:cs="Arial"/>
          <w:sz w:val="20"/>
          <w:szCs w:val="20"/>
        </w:rPr>
        <w:t xml:space="preserve"> Results of a modelled scenario </w:t>
      </w:r>
      <w:r w:rsidR="00990761" w:rsidRPr="00A61639">
        <w:rPr>
          <w:rFonts w:ascii="Arial" w:hAnsi="Arial" w:cs="Arial"/>
          <w:sz w:val="20"/>
          <w:szCs w:val="20"/>
        </w:rPr>
        <w:t>consisten</w:t>
      </w:r>
      <w:r w:rsidR="00E0073E">
        <w:rPr>
          <w:rFonts w:ascii="Arial" w:hAnsi="Arial" w:cs="Arial"/>
          <w:sz w:val="20"/>
          <w:szCs w:val="20"/>
        </w:rPr>
        <w:t>t with the subsidence modelling</w:t>
      </w:r>
      <w:r w:rsidR="00990761" w:rsidRPr="00A61639">
        <w:rPr>
          <w:rFonts w:ascii="Arial" w:hAnsi="Arial" w:cs="Arial"/>
          <w:sz w:val="20"/>
          <w:szCs w:val="20"/>
        </w:rPr>
        <w:t xml:space="preserve"> should be presented </w:t>
      </w:r>
      <w:r w:rsidR="0042456E">
        <w:rPr>
          <w:rFonts w:ascii="Arial" w:hAnsi="Arial" w:cs="Arial"/>
          <w:sz w:val="20"/>
          <w:szCs w:val="20"/>
        </w:rPr>
        <w:t xml:space="preserve">to allow </w:t>
      </w:r>
      <w:r w:rsidR="00990761" w:rsidRPr="00A61639">
        <w:rPr>
          <w:rFonts w:ascii="Arial" w:hAnsi="Arial" w:cs="Arial"/>
          <w:sz w:val="20"/>
          <w:szCs w:val="20"/>
        </w:rPr>
        <w:t xml:space="preserve">for a better estimate of the </w:t>
      </w:r>
      <w:r w:rsidR="00990761">
        <w:rPr>
          <w:rFonts w:ascii="Arial" w:hAnsi="Arial" w:cs="Arial"/>
          <w:sz w:val="20"/>
          <w:szCs w:val="20"/>
        </w:rPr>
        <w:t>potential groundwater drawdown</w:t>
      </w:r>
      <w:r w:rsidR="00EA39FC">
        <w:rPr>
          <w:rFonts w:ascii="Arial" w:hAnsi="Arial" w:cs="Arial"/>
          <w:sz w:val="20"/>
          <w:szCs w:val="20"/>
        </w:rPr>
        <w:t xml:space="preserve"> and discharge volumes</w:t>
      </w:r>
      <w:r w:rsidR="00990761">
        <w:rPr>
          <w:rFonts w:ascii="Arial" w:hAnsi="Arial" w:cs="Arial"/>
          <w:sz w:val="20"/>
          <w:szCs w:val="20"/>
        </w:rPr>
        <w:t>.</w:t>
      </w:r>
      <w:r w:rsidR="00541918" w:rsidRPr="00541918">
        <w:rPr>
          <w:rFonts w:ascii="Arial" w:hAnsi="Arial" w:cs="Arial"/>
          <w:sz w:val="20"/>
          <w:szCs w:val="20"/>
        </w:rPr>
        <w:t xml:space="preserve"> </w:t>
      </w:r>
    </w:p>
    <w:p w:rsidR="00990761" w:rsidRPr="00541918" w:rsidRDefault="0042456E" w:rsidP="00541918">
      <w:pPr>
        <w:pStyle w:val="ListNumber"/>
        <w:numPr>
          <w:ilvl w:val="0"/>
          <w:numId w:val="29"/>
        </w:numPr>
        <w:spacing w:before="240" w:after="200" w:line="276" w:lineRule="auto"/>
        <w:ind w:left="709"/>
        <w:rPr>
          <w:rFonts w:ascii="Arial" w:hAnsi="Arial" w:cs="Arial"/>
          <w:sz w:val="20"/>
          <w:szCs w:val="20"/>
        </w:rPr>
      </w:pPr>
      <w:r>
        <w:rPr>
          <w:rFonts w:ascii="Arial" w:hAnsi="Arial" w:cs="Arial"/>
          <w:sz w:val="20"/>
          <w:szCs w:val="20"/>
        </w:rPr>
        <w:t>T</w:t>
      </w:r>
      <w:r w:rsidR="00541918" w:rsidRPr="00A61639">
        <w:rPr>
          <w:rFonts w:ascii="Arial" w:hAnsi="Arial" w:cs="Arial"/>
          <w:sz w:val="20"/>
          <w:szCs w:val="20"/>
        </w:rPr>
        <w:t>he Emerald Formation is noted to comprise undifferentiated deposits of several sediments (gravels, sand, sandstone etc)</w:t>
      </w:r>
      <w:r w:rsidR="00B82E96">
        <w:rPr>
          <w:rFonts w:ascii="Arial" w:hAnsi="Arial" w:cs="Arial"/>
          <w:sz w:val="20"/>
          <w:szCs w:val="20"/>
        </w:rPr>
        <w:t>,</w:t>
      </w:r>
      <w:r w:rsidR="00541918" w:rsidRPr="00A61639">
        <w:rPr>
          <w:rFonts w:ascii="Arial" w:hAnsi="Arial" w:cs="Arial"/>
          <w:sz w:val="20"/>
          <w:szCs w:val="20"/>
        </w:rPr>
        <w:t xml:space="preserve"> </w:t>
      </w:r>
      <w:r w:rsidR="005C15A3">
        <w:rPr>
          <w:rFonts w:ascii="Arial" w:hAnsi="Arial" w:cs="Arial"/>
          <w:sz w:val="20"/>
          <w:szCs w:val="20"/>
        </w:rPr>
        <w:t>though</w:t>
      </w:r>
      <w:r w:rsidR="00541918" w:rsidRPr="00A61639">
        <w:rPr>
          <w:rFonts w:ascii="Arial" w:hAnsi="Arial" w:cs="Arial"/>
          <w:sz w:val="20"/>
          <w:szCs w:val="20"/>
        </w:rPr>
        <w:t xml:space="preserve"> </w:t>
      </w:r>
      <w:r>
        <w:rPr>
          <w:rFonts w:ascii="Arial" w:hAnsi="Arial" w:cs="Arial"/>
          <w:sz w:val="20"/>
          <w:szCs w:val="20"/>
        </w:rPr>
        <w:t xml:space="preserve">the proponent states that the </w:t>
      </w:r>
      <w:r w:rsidRPr="00A61639">
        <w:rPr>
          <w:rFonts w:ascii="Arial" w:hAnsi="Arial" w:cs="Arial"/>
          <w:sz w:val="20"/>
          <w:szCs w:val="20"/>
        </w:rPr>
        <w:t xml:space="preserve">plasticity </w:t>
      </w:r>
      <w:r>
        <w:rPr>
          <w:rFonts w:ascii="Arial" w:hAnsi="Arial" w:cs="Arial"/>
          <w:sz w:val="20"/>
          <w:szCs w:val="20"/>
        </w:rPr>
        <w:t xml:space="preserve">of </w:t>
      </w:r>
      <w:r w:rsidRPr="00A61639">
        <w:rPr>
          <w:rFonts w:ascii="Arial" w:hAnsi="Arial" w:cs="Arial"/>
          <w:sz w:val="20"/>
          <w:szCs w:val="20"/>
        </w:rPr>
        <w:t xml:space="preserve">the Emerald Formation is likely to provide mitigation </w:t>
      </w:r>
      <w:r>
        <w:rPr>
          <w:rFonts w:ascii="Arial" w:hAnsi="Arial" w:cs="Arial"/>
          <w:sz w:val="20"/>
          <w:szCs w:val="20"/>
        </w:rPr>
        <w:t>against increased permeability.</w:t>
      </w:r>
      <w:r w:rsidR="005C15A3">
        <w:rPr>
          <w:rFonts w:ascii="Arial" w:hAnsi="Arial" w:cs="Arial"/>
          <w:sz w:val="20"/>
          <w:szCs w:val="20"/>
        </w:rPr>
        <w:t xml:space="preserve"> However, </w:t>
      </w:r>
      <w:r w:rsidR="00887087">
        <w:rPr>
          <w:rFonts w:ascii="Arial" w:hAnsi="Arial" w:cs="Arial"/>
          <w:sz w:val="20"/>
          <w:szCs w:val="20"/>
        </w:rPr>
        <w:t xml:space="preserve">if </w:t>
      </w:r>
      <w:r w:rsidR="00887087" w:rsidRPr="00A61639">
        <w:rPr>
          <w:rFonts w:ascii="Arial" w:hAnsi="Arial" w:cs="Arial"/>
          <w:sz w:val="20"/>
          <w:szCs w:val="20"/>
        </w:rPr>
        <w:t>subsidence</w:t>
      </w:r>
      <w:r w:rsidR="00541918" w:rsidRPr="00A61639">
        <w:rPr>
          <w:rFonts w:ascii="Arial" w:hAnsi="Arial" w:cs="Arial"/>
          <w:sz w:val="20"/>
          <w:szCs w:val="20"/>
        </w:rPr>
        <w:t xml:space="preserve"> impacts propagate through the overburden, groundwater impacts will be l</w:t>
      </w:r>
      <w:r w:rsidR="00CF527D">
        <w:rPr>
          <w:rFonts w:ascii="Arial" w:hAnsi="Arial" w:cs="Arial"/>
          <w:sz w:val="20"/>
          <w:szCs w:val="20"/>
        </w:rPr>
        <w:t xml:space="preserve">arger than currently predicted which would need to be considered </w:t>
      </w:r>
      <w:r w:rsidR="00F529D7">
        <w:rPr>
          <w:rFonts w:ascii="Arial" w:hAnsi="Arial" w:cs="Arial"/>
          <w:sz w:val="20"/>
          <w:szCs w:val="20"/>
        </w:rPr>
        <w:t>given</w:t>
      </w:r>
      <w:r w:rsidR="00541918" w:rsidRPr="00A61639">
        <w:rPr>
          <w:rFonts w:ascii="Arial" w:hAnsi="Arial" w:cs="Arial"/>
          <w:sz w:val="20"/>
          <w:szCs w:val="20"/>
        </w:rPr>
        <w:t xml:space="preserve"> significance of the alluvium, Tertiary Basalt and Tertiary sands as a water resource in the region</w:t>
      </w:r>
      <w:r w:rsidR="00CF527D">
        <w:rPr>
          <w:rFonts w:ascii="Arial" w:hAnsi="Arial" w:cs="Arial"/>
          <w:sz w:val="20"/>
          <w:szCs w:val="20"/>
        </w:rPr>
        <w:t>.</w:t>
      </w:r>
    </w:p>
    <w:p w:rsidR="00A61639" w:rsidRPr="00A61639" w:rsidRDefault="000C6FE1" w:rsidP="00A61639">
      <w:pPr>
        <w:pStyle w:val="ListNumber"/>
        <w:numPr>
          <w:ilvl w:val="0"/>
          <w:numId w:val="29"/>
        </w:numPr>
        <w:spacing w:before="240" w:after="200" w:line="276" w:lineRule="auto"/>
        <w:ind w:left="709"/>
        <w:rPr>
          <w:rFonts w:ascii="Arial" w:hAnsi="Arial" w:cs="Arial"/>
          <w:sz w:val="20"/>
          <w:szCs w:val="20"/>
        </w:rPr>
      </w:pPr>
      <w:r w:rsidRPr="000C6FE1">
        <w:rPr>
          <w:rFonts w:ascii="Arial" w:hAnsi="Arial" w:cs="Arial"/>
          <w:sz w:val="20"/>
          <w:szCs w:val="20"/>
          <w:u w:val="single"/>
        </w:rPr>
        <w:t>Boundaries:</w:t>
      </w:r>
      <w:r w:rsidR="005C15A3">
        <w:rPr>
          <w:rFonts w:ascii="Arial" w:hAnsi="Arial" w:cs="Arial"/>
          <w:sz w:val="20"/>
          <w:szCs w:val="20"/>
        </w:rPr>
        <w:t xml:space="preserve"> </w:t>
      </w:r>
      <w:r w:rsidR="00F529D7" w:rsidRPr="00F529D7">
        <w:rPr>
          <w:rFonts w:ascii="Arial" w:hAnsi="Arial" w:cs="Arial"/>
          <w:sz w:val="20"/>
          <w:szCs w:val="20"/>
        </w:rPr>
        <w:t xml:space="preserve">The river bed has been set equal to the river stage, meaning that the river boundaries allow baseflow out of the aquifer, but </w:t>
      </w:r>
      <w:r w:rsidR="007C72B4">
        <w:rPr>
          <w:rFonts w:ascii="Arial" w:hAnsi="Arial" w:cs="Arial"/>
          <w:sz w:val="20"/>
          <w:szCs w:val="20"/>
        </w:rPr>
        <w:t>do not allow</w:t>
      </w:r>
      <w:r w:rsidR="00F529D7" w:rsidRPr="00F529D7">
        <w:rPr>
          <w:rFonts w:ascii="Arial" w:hAnsi="Arial" w:cs="Arial"/>
          <w:sz w:val="20"/>
          <w:szCs w:val="20"/>
        </w:rPr>
        <w:t xml:space="preserve"> leakage from the watercourse to the aquifer. </w:t>
      </w:r>
      <w:r w:rsidR="00F529D7">
        <w:rPr>
          <w:rFonts w:ascii="Arial" w:hAnsi="Arial" w:cs="Arial"/>
          <w:sz w:val="20"/>
          <w:szCs w:val="20"/>
        </w:rPr>
        <w:t>This</w:t>
      </w:r>
      <w:r w:rsidR="00A61639" w:rsidRPr="00A61639">
        <w:rPr>
          <w:rFonts w:ascii="Arial" w:hAnsi="Arial" w:cs="Arial"/>
          <w:sz w:val="20"/>
          <w:szCs w:val="20"/>
        </w:rPr>
        <w:t xml:space="preserve"> </w:t>
      </w:r>
      <w:r w:rsidR="00507D51">
        <w:rPr>
          <w:rFonts w:ascii="Arial" w:hAnsi="Arial" w:cs="Arial"/>
          <w:sz w:val="20"/>
          <w:szCs w:val="20"/>
        </w:rPr>
        <w:t>constrai</w:t>
      </w:r>
      <w:r w:rsidR="00F529D7">
        <w:rPr>
          <w:rFonts w:ascii="Arial" w:hAnsi="Arial" w:cs="Arial"/>
          <w:sz w:val="20"/>
          <w:szCs w:val="20"/>
        </w:rPr>
        <w:t>nt</w:t>
      </w:r>
      <w:r w:rsidR="00A61639" w:rsidRPr="00A61639">
        <w:rPr>
          <w:rFonts w:ascii="Arial" w:hAnsi="Arial" w:cs="Arial"/>
          <w:sz w:val="20"/>
          <w:szCs w:val="20"/>
        </w:rPr>
        <w:t xml:space="preserve"> do</w:t>
      </w:r>
      <w:r w:rsidR="00F529D7">
        <w:rPr>
          <w:rFonts w:ascii="Arial" w:hAnsi="Arial" w:cs="Arial"/>
          <w:sz w:val="20"/>
          <w:szCs w:val="20"/>
        </w:rPr>
        <w:t>es</w:t>
      </w:r>
      <w:r w:rsidR="00A61639" w:rsidRPr="00A61639">
        <w:rPr>
          <w:rFonts w:ascii="Arial" w:hAnsi="Arial" w:cs="Arial"/>
          <w:sz w:val="20"/>
          <w:szCs w:val="20"/>
        </w:rPr>
        <w:t xml:space="preserve"> not </w:t>
      </w:r>
      <w:r w:rsidR="005C15A3">
        <w:rPr>
          <w:rFonts w:ascii="Arial" w:hAnsi="Arial" w:cs="Arial"/>
          <w:sz w:val="20"/>
          <w:szCs w:val="20"/>
        </w:rPr>
        <w:t>provide</w:t>
      </w:r>
      <w:r w:rsidR="007C72B4">
        <w:rPr>
          <w:rFonts w:ascii="Arial" w:hAnsi="Arial" w:cs="Arial"/>
          <w:sz w:val="20"/>
          <w:szCs w:val="20"/>
        </w:rPr>
        <w:t xml:space="preserve"> for</w:t>
      </w:r>
      <w:r w:rsidR="005C15A3">
        <w:rPr>
          <w:rFonts w:ascii="Arial" w:hAnsi="Arial" w:cs="Arial"/>
          <w:sz w:val="20"/>
          <w:szCs w:val="20"/>
        </w:rPr>
        <w:t xml:space="preserve"> </w:t>
      </w:r>
      <w:r w:rsidR="00A61639" w:rsidRPr="00A61639">
        <w:rPr>
          <w:rFonts w:ascii="Arial" w:hAnsi="Arial" w:cs="Arial"/>
          <w:sz w:val="20"/>
          <w:szCs w:val="20"/>
        </w:rPr>
        <w:t>times between seasonal flows in the watercourses where groundwater may be recharged. Further, the numerical model sets alluvium discharges predominately into creeks. Given the project area’s climate</w:t>
      </w:r>
      <w:r w:rsidR="00E0073E">
        <w:rPr>
          <w:rFonts w:ascii="Arial" w:hAnsi="Arial" w:cs="Arial"/>
          <w:sz w:val="20"/>
          <w:szCs w:val="20"/>
        </w:rPr>
        <w:t>, the ephemeral nature of water</w:t>
      </w:r>
      <w:r w:rsidR="008C5000" w:rsidRPr="00A61639">
        <w:rPr>
          <w:rFonts w:ascii="Arial" w:hAnsi="Arial" w:cs="Arial"/>
          <w:sz w:val="20"/>
          <w:szCs w:val="20"/>
        </w:rPr>
        <w:t>courses</w:t>
      </w:r>
      <w:r w:rsidR="00A61639" w:rsidRPr="00A61639">
        <w:rPr>
          <w:rFonts w:ascii="Arial" w:hAnsi="Arial" w:cs="Arial"/>
          <w:sz w:val="20"/>
          <w:szCs w:val="20"/>
        </w:rPr>
        <w:t xml:space="preserve"> and </w:t>
      </w:r>
      <w:r w:rsidR="00192D42">
        <w:rPr>
          <w:rFonts w:ascii="Arial" w:hAnsi="Arial" w:cs="Arial"/>
          <w:sz w:val="20"/>
          <w:szCs w:val="20"/>
        </w:rPr>
        <w:t xml:space="preserve">groundwater monitoring </w:t>
      </w:r>
      <w:r w:rsidR="00A61639" w:rsidRPr="00A61639">
        <w:rPr>
          <w:rFonts w:ascii="Arial" w:hAnsi="Arial" w:cs="Arial"/>
          <w:sz w:val="20"/>
          <w:szCs w:val="20"/>
        </w:rPr>
        <w:t xml:space="preserve">bore </w:t>
      </w:r>
      <w:r w:rsidR="00192D42">
        <w:rPr>
          <w:rFonts w:ascii="Arial" w:hAnsi="Arial" w:cs="Arial"/>
          <w:sz w:val="20"/>
          <w:szCs w:val="20"/>
        </w:rPr>
        <w:t xml:space="preserve">levels </w:t>
      </w:r>
      <w:r w:rsidR="00A61639" w:rsidRPr="00A61639">
        <w:rPr>
          <w:rFonts w:ascii="Arial" w:hAnsi="Arial" w:cs="Arial"/>
          <w:sz w:val="20"/>
          <w:szCs w:val="20"/>
        </w:rPr>
        <w:t xml:space="preserve">in the alluvium adjacent to the creeks, these constraints result in an inaccurate representation of </w:t>
      </w:r>
      <w:r w:rsidR="009869EF">
        <w:rPr>
          <w:rFonts w:ascii="Arial" w:hAnsi="Arial" w:cs="Arial"/>
          <w:sz w:val="20"/>
          <w:szCs w:val="20"/>
        </w:rPr>
        <w:t xml:space="preserve">natural </w:t>
      </w:r>
      <w:r w:rsidR="00A61639" w:rsidRPr="00A61639">
        <w:rPr>
          <w:rFonts w:ascii="Arial" w:hAnsi="Arial" w:cs="Arial"/>
          <w:sz w:val="20"/>
          <w:szCs w:val="20"/>
        </w:rPr>
        <w:lastRenderedPageBreak/>
        <w:t xml:space="preserve">ground and surface water interactions. </w:t>
      </w:r>
      <w:r w:rsidR="000F07CF">
        <w:rPr>
          <w:rFonts w:ascii="Arial" w:hAnsi="Arial" w:cs="Arial"/>
          <w:sz w:val="20"/>
          <w:szCs w:val="20"/>
        </w:rPr>
        <w:t>C</w:t>
      </w:r>
      <w:r w:rsidR="00A61639" w:rsidRPr="00A61639">
        <w:rPr>
          <w:rFonts w:ascii="Arial" w:hAnsi="Arial" w:cs="Arial"/>
          <w:sz w:val="20"/>
          <w:szCs w:val="20"/>
        </w:rPr>
        <w:t>haracterisation of seasonal trends in groundwater levels and interactions with surface water</w:t>
      </w:r>
      <w:r w:rsidR="000F07CF">
        <w:rPr>
          <w:rFonts w:ascii="Arial" w:hAnsi="Arial" w:cs="Arial"/>
          <w:sz w:val="20"/>
          <w:szCs w:val="20"/>
        </w:rPr>
        <w:t xml:space="preserve"> would provide a more </w:t>
      </w:r>
      <w:r w:rsidR="000F07CF" w:rsidRPr="00A61639">
        <w:rPr>
          <w:rFonts w:ascii="Arial" w:hAnsi="Arial" w:cs="Arial"/>
          <w:sz w:val="20"/>
          <w:szCs w:val="20"/>
        </w:rPr>
        <w:t>adequate</w:t>
      </w:r>
      <w:r w:rsidR="000F07CF">
        <w:rPr>
          <w:rFonts w:ascii="Arial" w:hAnsi="Arial" w:cs="Arial"/>
          <w:sz w:val="20"/>
          <w:szCs w:val="20"/>
        </w:rPr>
        <w:t xml:space="preserve"> assessment</w:t>
      </w:r>
      <w:r w:rsidR="00A61639" w:rsidRPr="00A61639">
        <w:rPr>
          <w:rFonts w:ascii="Arial" w:hAnsi="Arial" w:cs="Arial"/>
          <w:sz w:val="20"/>
          <w:szCs w:val="20"/>
        </w:rPr>
        <w:t>.</w:t>
      </w:r>
    </w:p>
    <w:p w:rsidR="00A61639" w:rsidRPr="00A61639" w:rsidRDefault="000C6FE1" w:rsidP="00A61639">
      <w:pPr>
        <w:pStyle w:val="ListNumber"/>
        <w:numPr>
          <w:ilvl w:val="0"/>
          <w:numId w:val="29"/>
        </w:numPr>
        <w:spacing w:before="240" w:after="200" w:line="276" w:lineRule="auto"/>
        <w:ind w:left="709"/>
        <w:rPr>
          <w:rFonts w:ascii="Arial" w:hAnsi="Arial" w:cs="Arial"/>
          <w:sz w:val="20"/>
          <w:szCs w:val="20"/>
        </w:rPr>
      </w:pPr>
      <w:r w:rsidRPr="000C6FE1">
        <w:rPr>
          <w:rFonts w:ascii="Arial" w:hAnsi="Arial" w:cs="Arial"/>
          <w:sz w:val="20"/>
          <w:szCs w:val="20"/>
          <w:u w:val="single"/>
        </w:rPr>
        <w:t>Recharge:</w:t>
      </w:r>
      <w:r w:rsidR="00895460">
        <w:rPr>
          <w:rFonts w:ascii="Arial" w:hAnsi="Arial" w:cs="Arial"/>
          <w:sz w:val="20"/>
          <w:szCs w:val="20"/>
        </w:rPr>
        <w:t xml:space="preserve"> </w:t>
      </w:r>
      <w:r w:rsidR="009869EF">
        <w:rPr>
          <w:rFonts w:ascii="Arial" w:hAnsi="Arial" w:cs="Arial"/>
          <w:sz w:val="20"/>
          <w:szCs w:val="20"/>
        </w:rPr>
        <w:t>Gr</w:t>
      </w:r>
      <w:r w:rsidR="00A61639" w:rsidRPr="00A61639">
        <w:rPr>
          <w:rFonts w:ascii="Arial" w:hAnsi="Arial" w:cs="Arial"/>
          <w:sz w:val="20"/>
          <w:szCs w:val="20"/>
        </w:rPr>
        <w:t xml:space="preserve">oundwater </w:t>
      </w:r>
      <w:r w:rsidR="00192D42">
        <w:rPr>
          <w:rFonts w:ascii="Arial" w:hAnsi="Arial" w:cs="Arial"/>
          <w:sz w:val="20"/>
          <w:szCs w:val="20"/>
        </w:rPr>
        <w:t xml:space="preserve">recharge </w:t>
      </w:r>
      <w:r w:rsidR="009869EF">
        <w:rPr>
          <w:rFonts w:ascii="Arial" w:hAnsi="Arial" w:cs="Arial"/>
          <w:sz w:val="20"/>
          <w:szCs w:val="20"/>
        </w:rPr>
        <w:t xml:space="preserve">is reported to be </w:t>
      </w:r>
      <w:r w:rsidR="00192D42">
        <w:rPr>
          <w:rFonts w:ascii="Arial" w:hAnsi="Arial" w:cs="Arial"/>
          <w:sz w:val="20"/>
          <w:szCs w:val="20"/>
        </w:rPr>
        <w:t>minimal</w:t>
      </w:r>
      <w:r w:rsidR="009869EF">
        <w:rPr>
          <w:rFonts w:ascii="Arial" w:hAnsi="Arial" w:cs="Arial"/>
          <w:sz w:val="20"/>
          <w:szCs w:val="20"/>
        </w:rPr>
        <w:t xml:space="preserve">, </w:t>
      </w:r>
      <w:r w:rsidR="00CF527D">
        <w:rPr>
          <w:rFonts w:ascii="Arial" w:hAnsi="Arial" w:cs="Arial"/>
          <w:sz w:val="20"/>
          <w:szCs w:val="20"/>
        </w:rPr>
        <w:t>with the evidence for</w:t>
      </w:r>
      <w:r w:rsidR="009869EF">
        <w:rPr>
          <w:rFonts w:ascii="Arial" w:hAnsi="Arial" w:cs="Arial"/>
          <w:sz w:val="20"/>
          <w:szCs w:val="20"/>
        </w:rPr>
        <w:t xml:space="preserve"> </w:t>
      </w:r>
      <w:r w:rsidR="00A61639" w:rsidRPr="00A61639">
        <w:rPr>
          <w:rFonts w:ascii="Arial" w:hAnsi="Arial" w:cs="Arial"/>
          <w:sz w:val="20"/>
          <w:szCs w:val="20"/>
        </w:rPr>
        <w:t xml:space="preserve">this statement based on limited monitoring data </w:t>
      </w:r>
      <w:r w:rsidR="00E0073E">
        <w:rPr>
          <w:rFonts w:ascii="Arial" w:hAnsi="Arial" w:cs="Arial"/>
          <w:sz w:val="20"/>
          <w:szCs w:val="20"/>
        </w:rPr>
        <w:t>collected</w:t>
      </w:r>
      <w:r w:rsidR="00A61639" w:rsidRPr="00A61639">
        <w:rPr>
          <w:rFonts w:ascii="Arial" w:hAnsi="Arial" w:cs="Arial"/>
          <w:sz w:val="20"/>
          <w:szCs w:val="20"/>
        </w:rPr>
        <w:t xml:space="preserve"> over a period of </w:t>
      </w:r>
      <w:r w:rsidR="003E4219">
        <w:rPr>
          <w:rFonts w:ascii="Arial" w:hAnsi="Arial" w:cs="Arial"/>
          <w:sz w:val="20"/>
          <w:szCs w:val="20"/>
        </w:rPr>
        <w:t>below average</w:t>
      </w:r>
      <w:r w:rsidR="00A61639" w:rsidRPr="00A61639">
        <w:rPr>
          <w:rFonts w:ascii="Arial" w:hAnsi="Arial" w:cs="Arial"/>
          <w:sz w:val="20"/>
          <w:szCs w:val="20"/>
        </w:rPr>
        <w:t xml:space="preserve"> rainfall. </w:t>
      </w:r>
      <w:r w:rsidR="00D116F1">
        <w:rPr>
          <w:rFonts w:ascii="Arial" w:hAnsi="Arial" w:cs="Arial"/>
          <w:sz w:val="20"/>
          <w:szCs w:val="20"/>
        </w:rPr>
        <w:t>A</w:t>
      </w:r>
      <w:r w:rsidR="00895460">
        <w:rPr>
          <w:rFonts w:ascii="Arial" w:hAnsi="Arial" w:cs="Arial"/>
          <w:sz w:val="20"/>
          <w:szCs w:val="20"/>
        </w:rPr>
        <w:t xml:space="preserve">n </w:t>
      </w:r>
      <w:r w:rsidR="0005327F" w:rsidRPr="0005327F">
        <w:rPr>
          <w:rFonts w:ascii="Arial" w:hAnsi="Arial" w:cs="Arial"/>
          <w:sz w:val="20"/>
          <w:szCs w:val="20"/>
        </w:rPr>
        <w:t xml:space="preserve">estimate of groundwater recharge </w:t>
      </w:r>
      <w:r w:rsidR="0005327F">
        <w:rPr>
          <w:rFonts w:ascii="Arial" w:hAnsi="Arial" w:cs="Arial"/>
          <w:sz w:val="20"/>
          <w:szCs w:val="20"/>
        </w:rPr>
        <w:t xml:space="preserve">was undertaken </w:t>
      </w:r>
      <w:r w:rsidR="0005327F" w:rsidRPr="0005327F">
        <w:rPr>
          <w:rFonts w:ascii="Arial" w:hAnsi="Arial" w:cs="Arial"/>
          <w:sz w:val="20"/>
          <w:szCs w:val="20"/>
        </w:rPr>
        <w:t xml:space="preserve">using the water table fluctuation method. </w:t>
      </w:r>
      <w:r w:rsidR="0005327F">
        <w:rPr>
          <w:rFonts w:ascii="Arial" w:hAnsi="Arial" w:cs="Arial"/>
          <w:sz w:val="20"/>
          <w:szCs w:val="20"/>
        </w:rPr>
        <w:t>T</w:t>
      </w:r>
      <w:r w:rsidR="0005327F" w:rsidRPr="00A61639">
        <w:rPr>
          <w:rFonts w:ascii="Arial" w:hAnsi="Arial" w:cs="Arial"/>
          <w:sz w:val="20"/>
          <w:szCs w:val="20"/>
        </w:rPr>
        <w:t>he model utilises parameters at the low end of recharge values.</w:t>
      </w:r>
      <w:r w:rsidR="0005327F">
        <w:rPr>
          <w:rFonts w:ascii="Arial" w:hAnsi="Arial" w:cs="Arial"/>
          <w:sz w:val="20"/>
          <w:szCs w:val="20"/>
        </w:rPr>
        <w:t xml:space="preserve"> </w:t>
      </w:r>
      <w:r w:rsidR="00A61639" w:rsidRPr="00A61639">
        <w:rPr>
          <w:rFonts w:ascii="Arial" w:hAnsi="Arial" w:cs="Arial"/>
          <w:sz w:val="20"/>
          <w:szCs w:val="20"/>
        </w:rPr>
        <w:t xml:space="preserve">Given the relatively high hydraulic conductivity in the Tertiary sequences, recharge rates </w:t>
      </w:r>
      <w:r w:rsidR="00614948">
        <w:rPr>
          <w:rFonts w:ascii="Arial" w:hAnsi="Arial" w:cs="Arial"/>
          <w:sz w:val="20"/>
          <w:szCs w:val="20"/>
        </w:rPr>
        <w:t>may</w:t>
      </w:r>
      <w:r w:rsidR="00CF527D">
        <w:rPr>
          <w:rFonts w:ascii="Arial" w:hAnsi="Arial" w:cs="Arial"/>
          <w:sz w:val="20"/>
          <w:szCs w:val="20"/>
        </w:rPr>
        <w:t xml:space="preserve"> be</w:t>
      </w:r>
      <w:r w:rsidR="00614948">
        <w:rPr>
          <w:rFonts w:ascii="Arial" w:hAnsi="Arial" w:cs="Arial"/>
          <w:sz w:val="20"/>
          <w:szCs w:val="20"/>
        </w:rPr>
        <w:t xml:space="preserve"> considerably</w:t>
      </w:r>
      <w:r w:rsidR="00614948" w:rsidRPr="00A61639">
        <w:rPr>
          <w:rFonts w:ascii="Arial" w:hAnsi="Arial" w:cs="Arial"/>
          <w:sz w:val="20"/>
          <w:szCs w:val="20"/>
        </w:rPr>
        <w:t xml:space="preserve"> </w:t>
      </w:r>
      <w:r w:rsidR="00A61639" w:rsidRPr="00A61639">
        <w:rPr>
          <w:rFonts w:ascii="Arial" w:hAnsi="Arial" w:cs="Arial"/>
          <w:sz w:val="20"/>
          <w:szCs w:val="20"/>
        </w:rPr>
        <w:t xml:space="preserve">higher, particularly within the alluvium and basalt. </w:t>
      </w:r>
    </w:p>
    <w:p w:rsidR="00A61639" w:rsidRPr="00A61639" w:rsidRDefault="000C6FE1" w:rsidP="00A61639">
      <w:pPr>
        <w:pStyle w:val="ListNumber"/>
        <w:numPr>
          <w:ilvl w:val="0"/>
          <w:numId w:val="29"/>
        </w:numPr>
        <w:spacing w:before="240" w:after="200" w:line="276" w:lineRule="auto"/>
        <w:ind w:left="709"/>
        <w:rPr>
          <w:rFonts w:ascii="Arial" w:hAnsi="Arial" w:cs="Arial"/>
          <w:sz w:val="20"/>
          <w:szCs w:val="20"/>
        </w:rPr>
      </w:pPr>
      <w:r w:rsidRPr="000C6FE1">
        <w:rPr>
          <w:rFonts w:ascii="Arial" w:hAnsi="Arial" w:cs="Arial"/>
          <w:sz w:val="20"/>
          <w:szCs w:val="20"/>
          <w:u w:val="single"/>
        </w:rPr>
        <w:t>Conceptualisation:</w:t>
      </w:r>
      <w:r w:rsidR="00BA7359">
        <w:rPr>
          <w:rFonts w:ascii="Arial" w:hAnsi="Arial" w:cs="Arial"/>
          <w:sz w:val="20"/>
          <w:szCs w:val="20"/>
        </w:rPr>
        <w:t xml:space="preserve"> </w:t>
      </w:r>
      <w:r w:rsidR="00A61639" w:rsidRPr="00A61639">
        <w:rPr>
          <w:rFonts w:ascii="Arial" w:hAnsi="Arial" w:cs="Arial"/>
          <w:sz w:val="20"/>
          <w:szCs w:val="20"/>
        </w:rPr>
        <w:t xml:space="preserve">The region’s geological and hydrogeological characteristics have been represented as seven layers in the proponent’s conceptual groundwater model. While the main water resource units (alluvium, Tertiary basalt and Tertiary sands) have been presented as distinct hydrostratigraphic units, it was noted that several formations were combined, in particular the Emerald Formation and Permo-Triassic overburden. This may result in an over simplification of the hydrogeological regime, in particular the characterisation of the Permo-Triassic overburden and its role in mitigating potential subsidence impacts to shallower Tertiary aquifers. </w:t>
      </w:r>
    </w:p>
    <w:p w:rsidR="00A61639" w:rsidRPr="00A61639" w:rsidRDefault="00A61639" w:rsidP="00A61639">
      <w:pPr>
        <w:pStyle w:val="ListNumber"/>
        <w:numPr>
          <w:ilvl w:val="0"/>
          <w:numId w:val="29"/>
        </w:numPr>
        <w:spacing w:before="240" w:after="200" w:line="276" w:lineRule="auto"/>
        <w:ind w:left="709"/>
        <w:rPr>
          <w:rFonts w:ascii="Arial" w:hAnsi="Arial" w:cs="Arial"/>
          <w:sz w:val="20"/>
          <w:szCs w:val="20"/>
        </w:rPr>
      </w:pPr>
      <w:r w:rsidRPr="00A61639">
        <w:rPr>
          <w:rFonts w:ascii="Arial" w:hAnsi="Arial" w:cs="Arial"/>
          <w:sz w:val="20"/>
          <w:szCs w:val="20"/>
        </w:rPr>
        <w:t>The proponent notes the existence of a fault at the weste</w:t>
      </w:r>
      <w:r w:rsidR="00541918">
        <w:rPr>
          <w:rFonts w:ascii="Arial" w:hAnsi="Arial" w:cs="Arial"/>
          <w:sz w:val="20"/>
          <w:szCs w:val="20"/>
        </w:rPr>
        <w:t>rn edge of the longwall panels</w:t>
      </w:r>
      <w:r w:rsidR="00895460">
        <w:rPr>
          <w:rFonts w:ascii="Arial" w:hAnsi="Arial" w:cs="Arial"/>
          <w:sz w:val="20"/>
          <w:szCs w:val="20"/>
        </w:rPr>
        <w:t xml:space="preserve"> </w:t>
      </w:r>
      <w:r w:rsidR="00614948">
        <w:rPr>
          <w:rFonts w:ascii="Arial" w:hAnsi="Arial" w:cs="Arial"/>
          <w:sz w:val="20"/>
          <w:szCs w:val="20"/>
        </w:rPr>
        <w:t xml:space="preserve">in the </w:t>
      </w:r>
      <w:r w:rsidR="00085422">
        <w:rPr>
          <w:rFonts w:ascii="Arial" w:hAnsi="Arial" w:cs="Arial"/>
          <w:sz w:val="20"/>
          <w:szCs w:val="20"/>
        </w:rPr>
        <w:t>Permian strata,</w:t>
      </w:r>
      <w:r w:rsidR="00614948">
        <w:rPr>
          <w:rFonts w:ascii="Arial" w:hAnsi="Arial" w:cs="Arial"/>
          <w:sz w:val="20"/>
          <w:szCs w:val="20"/>
        </w:rPr>
        <w:t xml:space="preserve"> but this fault</w:t>
      </w:r>
      <w:r w:rsidR="00895460">
        <w:rPr>
          <w:rFonts w:ascii="Arial" w:hAnsi="Arial" w:cs="Arial"/>
          <w:sz w:val="20"/>
          <w:szCs w:val="20"/>
        </w:rPr>
        <w:t xml:space="preserve"> is not included in the model.</w:t>
      </w:r>
      <w:r w:rsidR="00541918">
        <w:rPr>
          <w:rFonts w:ascii="Arial" w:hAnsi="Arial" w:cs="Arial"/>
          <w:sz w:val="20"/>
          <w:szCs w:val="20"/>
        </w:rPr>
        <w:t xml:space="preserve"> </w:t>
      </w:r>
      <w:r w:rsidRPr="00A61639">
        <w:rPr>
          <w:rFonts w:ascii="Arial" w:hAnsi="Arial" w:cs="Arial"/>
          <w:sz w:val="20"/>
          <w:szCs w:val="20"/>
        </w:rPr>
        <w:t>Given the fault's proximity to the subsided area and Theresa Creek, the fault should be characterised</w:t>
      </w:r>
      <w:r w:rsidR="00790E79">
        <w:rPr>
          <w:rFonts w:ascii="Arial" w:hAnsi="Arial" w:cs="Arial"/>
          <w:sz w:val="20"/>
          <w:szCs w:val="20"/>
        </w:rPr>
        <w:t xml:space="preserve"> so as</w:t>
      </w:r>
      <w:r w:rsidRPr="00A61639">
        <w:rPr>
          <w:rFonts w:ascii="Arial" w:hAnsi="Arial" w:cs="Arial"/>
          <w:sz w:val="20"/>
          <w:szCs w:val="20"/>
        </w:rPr>
        <w:t xml:space="preserve"> to minimise uncertainty of </w:t>
      </w:r>
      <w:r w:rsidR="00895460">
        <w:rPr>
          <w:rFonts w:ascii="Arial" w:hAnsi="Arial" w:cs="Arial"/>
          <w:sz w:val="20"/>
          <w:szCs w:val="20"/>
        </w:rPr>
        <w:t xml:space="preserve">its </w:t>
      </w:r>
      <w:r w:rsidRPr="00A61639">
        <w:rPr>
          <w:rFonts w:ascii="Arial" w:hAnsi="Arial" w:cs="Arial"/>
          <w:sz w:val="20"/>
          <w:szCs w:val="20"/>
        </w:rPr>
        <w:t>r</w:t>
      </w:r>
      <w:r w:rsidR="00541918">
        <w:rPr>
          <w:rFonts w:ascii="Arial" w:hAnsi="Arial" w:cs="Arial"/>
          <w:sz w:val="20"/>
          <w:szCs w:val="20"/>
        </w:rPr>
        <w:t>ole in groundwater connectivity.</w:t>
      </w:r>
    </w:p>
    <w:p w:rsidR="00A61639" w:rsidRPr="00A61639" w:rsidRDefault="00EA39FC" w:rsidP="00A61639">
      <w:pPr>
        <w:pStyle w:val="ListNumber"/>
        <w:numPr>
          <w:ilvl w:val="0"/>
          <w:numId w:val="29"/>
        </w:numPr>
        <w:spacing w:before="240" w:after="200" w:line="276" w:lineRule="auto"/>
        <w:ind w:left="709"/>
        <w:rPr>
          <w:rFonts w:ascii="Arial" w:hAnsi="Arial" w:cs="Arial"/>
          <w:sz w:val="20"/>
          <w:szCs w:val="20"/>
        </w:rPr>
      </w:pPr>
      <w:r w:rsidRPr="00EA39FC">
        <w:rPr>
          <w:rFonts w:ascii="Arial" w:hAnsi="Arial" w:cs="Arial"/>
          <w:sz w:val="20"/>
          <w:szCs w:val="20"/>
        </w:rPr>
        <w:t>The proponent notes the likely variability in extent of the Tertiary sands</w:t>
      </w:r>
      <w:r>
        <w:rPr>
          <w:rFonts w:ascii="Arial" w:hAnsi="Arial" w:cs="Arial"/>
          <w:sz w:val="20"/>
          <w:szCs w:val="20"/>
        </w:rPr>
        <w:t xml:space="preserve">. The distribution, </w:t>
      </w:r>
      <w:r w:rsidR="00A61639" w:rsidRPr="00A61639">
        <w:rPr>
          <w:rFonts w:ascii="Arial" w:hAnsi="Arial" w:cs="Arial"/>
          <w:sz w:val="20"/>
          <w:szCs w:val="20"/>
        </w:rPr>
        <w:t>extent</w:t>
      </w:r>
      <w:r>
        <w:rPr>
          <w:rFonts w:ascii="Arial" w:hAnsi="Arial" w:cs="Arial"/>
          <w:sz w:val="20"/>
          <w:szCs w:val="20"/>
        </w:rPr>
        <w:t xml:space="preserve"> and</w:t>
      </w:r>
      <w:r w:rsidR="00A61639" w:rsidRPr="00A61639">
        <w:rPr>
          <w:rFonts w:ascii="Arial" w:hAnsi="Arial" w:cs="Arial"/>
          <w:sz w:val="20"/>
          <w:szCs w:val="20"/>
        </w:rPr>
        <w:t xml:space="preserve"> </w:t>
      </w:r>
      <w:r w:rsidRPr="00A61639">
        <w:rPr>
          <w:rFonts w:ascii="Arial" w:hAnsi="Arial" w:cs="Arial"/>
          <w:sz w:val="20"/>
          <w:szCs w:val="20"/>
        </w:rPr>
        <w:t xml:space="preserve">hydraulic connectivity with units above </w:t>
      </w:r>
      <w:r w:rsidR="00A61639" w:rsidRPr="00A61639">
        <w:rPr>
          <w:rFonts w:ascii="Arial" w:hAnsi="Arial" w:cs="Arial"/>
          <w:sz w:val="20"/>
          <w:szCs w:val="20"/>
        </w:rPr>
        <w:t xml:space="preserve">the Tertiary sands </w:t>
      </w:r>
      <w:r w:rsidR="007821AA" w:rsidRPr="00A61639">
        <w:rPr>
          <w:rFonts w:ascii="Arial" w:hAnsi="Arial" w:cs="Arial"/>
          <w:sz w:val="20"/>
          <w:szCs w:val="20"/>
        </w:rPr>
        <w:t>need</w:t>
      </w:r>
      <w:r w:rsidR="00A61639" w:rsidRPr="00A61639">
        <w:rPr>
          <w:rFonts w:ascii="Arial" w:hAnsi="Arial" w:cs="Arial"/>
          <w:sz w:val="20"/>
          <w:szCs w:val="20"/>
        </w:rPr>
        <w:t xml:space="preserve"> to be characterised</w:t>
      </w:r>
      <w:r w:rsidR="00895460">
        <w:rPr>
          <w:rFonts w:ascii="Arial" w:hAnsi="Arial" w:cs="Arial"/>
          <w:sz w:val="20"/>
          <w:szCs w:val="20"/>
        </w:rPr>
        <w:t>, as it</w:t>
      </w:r>
      <w:r w:rsidR="00A61639" w:rsidRPr="00A61639">
        <w:rPr>
          <w:rFonts w:ascii="Arial" w:hAnsi="Arial" w:cs="Arial"/>
          <w:sz w:val="20"/>
          <w:szCs w:val="20"/>
        </w:rPr>
        <w:t xml:space="preserve"> has been identified as a significant water resource in the region. </w:t>
      </w:r>
      <w:r w:rsidR="00895460">
        <w:rPr>
          <w:rFonts w:ascii="Arial" w:hAnsi="Arial" w:cs="Arial"/>
          <w:sz w:val="20"/>
          <w:szCs w:val="20"/>
        </w:rPr>
        <w:t xml:space="preserve">Subsidence </w:t>
      </w:r>
      <w:r w:rsidR="00A61639" w:rsidRPr="00A61639">
        <w:rPr>
          <w:rFonts w:ascii="Arial" w:hAnsi="Arial" w:cs="Arial"/>
          <w:sz w:val="20"/>
          <w:szCs w:val="20"/>
        </w:rPr>
        <w:t>fracturing propagate</w:t>
      </w:r>
      <w:r w:rsidR="00895460">
        <w:rPr>
          <w:rFonts w:ascii="Arial" w:hAnsi="Arial" w:cs="Arial"/>
          <w:sz w:val="20"/>
          <w:szCs w:val="20"/>
        </w:rPr>
        <w:t>d</w:t>
      </w:r>
      <w:r w:rsidR="00A61639" w:rsidRPr="00A61639">
        <w:rPr>
          <w:rFonts w:ascii="Arial" w:hAnsi="Arial" w:cs="Arial"/>
          <w:sz w:val="20"/>
          <w:szCs w:val="20"/>
        </w:rPr>
        <w:t xml:space="preserve"> through the Permo-Triassic overb</w:t>
      </w:r>
      <w:r w:rsidR="00541918">
        <w:rPr>
          <w:rFonts w:ascii="Arial" w:hAnsi="Arial" w:cs="Arial"/>
          <w:sz w:val="20"/>
          <w:szCs w:val="20"/>
        </w:rPr>
        <w:t>urden</w:t>
      </w:r>
      <w:r w:rsidR="00895460">
        <w:rPr>
          <w:rFonts w:ascii="Arial" w:hAnsi="Arial" w:cs="Arial"/>
          <w:sz w:val="20"/>
          <w:szCs w:val="20"/>
        </w:rPr>
        <w:t xml:space="preserve"> is likely to significantly impact on the </w:t>
      </w:r>
      <w:r w:rsidR="00541918">
        <w:rPr>
          <w:rFonts w:ascii="Arial" w:hAnsi="Arial" w:cs="Arial"/>
          <w:sz w:val="20"/>
          <w:szCs w:val="20"/>
        </w:rPr>
        <w:t>Tertiary s</w:t>
      </w:r>
      <w:r w:rsidR="00A61639" w:rsidRPr="00A61639">
        <w:rPr>
          <w:rFonts w:ascii="Arial" w:hAnsi="Arial" w:cs="Arial"/>
          <w:sz w:val="20"/>
          <w:szCs w:val="20"/>
        </w:rPr>
        <w:t>ands</w:t>
      </w:r>
      <w:r w:rsidR="007821AA">
        <w:rPr>
          <w:rFonts w:ascii="Arial" w:hAnsi="Arial" w:cs="Arial"/>
          <w:sz w:val="20"/>
          <w:szCs w:val="20"/>
        </w:rPr>
        <w:t>.</w:t>
      </w:r>
      <w:r w:rsidR="00A61639" w:rsidRPr="00A61639">
        <w:rPr>
          <w:rFonts w:ascii="Arial" w:hAnsi="Arial" w:cs="Arial"/>
          <w:sz w:val="20"/>
          <w:szCs w:val="20"/>
        </w:rPr>
        <w:t xml:space="preserve"> Should subsidence fracturing induce flow from the Tertiary Sands, mine inflow will increase and there may also be a reduction in groundwater levels. This will impact users of this resource, particularly when recharge is not sufficient to </w:t>
      </w:r>
      <w:r w:rsidR="00F66066">
        <w:rPr>
          <w:rFonts w:ascii="Arial" w:hAnsi="Arial" w:cs="Arial"/>
          <w:sz w:val="20"/>
          <w:szCs w:val="20"/>
        </w:rPr>
        <w:t>offset</w:t>
      </w:r>
      <w:r w:rsidR="00A61639" w:rsidRPr="00A61639">
        <w:rPr>
          <w:rFonts w:ascii="Arial" w:hAnsi="Arial" w:cs="Arial"/>
          <w:sz w:val="20"/>
          <w:szCs w:val="20"/>
        </w:rPr>
        <w:t xml:space="preserve"> the effects of drawdown.   </w:t>
      </w:r>
    </w:p>
    <w:p w:rsidR="00A61639" w:rsidRPr="00A61639" w:rsidRDefault="00A61639" w:rsidP="00A61639">
      <w:pPr>
        <w:pStyle w:val="ListNumber"/>
        <w:numPr>
          <w:ilvl w:val="0"/>
          <w:numId w:val="29"/>
        </w:numPr>
        <w:spacing w:before="240" w:after="200" w:line="276" w:lineRule="auto"/>
        <w:ind w:left="709"/>
        <w:rPr>
          <w:rFonts w:ascii="Arial" w:hAnsi="Arial" w:cs="Arial"/>
          <w:sz w:val="20"/>
          <w:szCs w:val="20"/>
        </w:rPr>
      </w:pPr>
      <w:r w:rsidRPr="00A61639">
        <w:rPr>
          <w:rFonts w:ascii="Arial" w:hAnsi="Arial" w:cs="Arial"/>
          <w:sz w:val="20"/>
          <w:szCs w:val="20"/>
        </w:rPr>
        <w:t>The proponent's interpret</w:t>
      </w:r>
      <w:r w:rsidR="00E0073E">
        <w:rPr>
          <w:rFonts w:ascii="Arial" w:hAnsi="Arial" w:cs="Arial"/>
          <w:sz w:val="20"/>
          <w:szCs w:val="20"/>
        </w:rPr>
        <w:t>ation of</w:t>
      </w:r>
      <w:r w:rsidRPr="00A61639">
        <w:rPr>
          <w:rFonts w:ascii="Arial" w:hAnsi="Arial" w:cs="Arial"/>
          <w:sz w:val="20"/>
          <w:szCs w:val="20"/>
        </w:rPr>
        <w:t xml:space="preserve"> groundwater flow in the Permian</w:t>
      </w:r>
      <w:r w:rsidR="00F66066">
        <w:rPr>
          <w:rFonts w:ascii="Arial" w:hAnsi="Arial" w:cs="Arial"/>
          <w:sz w:val="20"/>
          <w:szCs w:val="20"/>
        </w:rPr>
        <w:t xml:space="preserve"> strata</w:t>
      </w:r>
      <w:r w:rsidRPr="00A61639">
        <w:rPr>
          <w:rFonts w:ascii="Arial" w:hAnsi="Arial" w:cs="Arial"/>
          <w:sz w:val="20"/>
          <w:szCs w:val="20"/>
        </w:rPr>
        <w:t xml:space="preserve"> does not appear consistent with conceptualised geology in the area. </w:t>
      </w:r>
      <w:r w:rsidR="006957E9">
        <w:rPr>
          <w:rFonts w:ascii="Arial" w:hAnsi="Arial" w:cs="Arial"/>
          <w:sz w:val="20"/>
          <w:szCs w:val="20"/>
        </w:rPr>
        <w:t>G</w:t>
      </w:r>
      <w:r w:rsidRPr="00A61639">
        <w:rPr>
          <w:rFonts w:ascii="Arial" w:hAnsi="Arial" w:cs="Arial"/>
          <w:sz w:val="20"/>
          <w:szCs w:val="20"/>
        </w:rPr>
        <w:t xml:space="preserve">roundwater flow </w:t>
      </w:r>
      <w:r w:rsidR="006957E9">
        <w:rPr>
          <w:rFonts w:ascii="Arial" w:hAnsi="Arial" w:cs="Arial"/>
          <w:sz w:val="20"/>
          <w:szCs w:val="20"/>
        </w:rPr>
        <w:t xml:space="preserve">is depicted </w:t>
      </w:r>
      <w:r w:rsidRPr="00A61639">
        <w:rPr>
          <w:rFonts w:ascii="Arial" w:hAnsi="Arial" w:cs="Arial"/>
          <w:sz w:val="20"/>
          <w:szCs w:val="20"/>
        </w:rPr>
        <w:t xml:space="preserve">to the north in the Permian, </w:t>
      </w:r>
      <w:r w:rsidR="006957E9">
        <w:rPr>
          <w:rFonts w:ascii="Arial" w:hAnsi="Arial" w:cs="Arial"/>
          <w:sz w:val="20"/>
          <w:szCs w:val="20"/>
        </w:rPr>
        <w:t xml:space="preserve">which is noted to be </w:t>
      </w:r>
      <w:r w:rsidRPr="00A61639">
        <w:rPr>
          <w:rFonts w:ascii="Arial" w:hAnsi="Arial" w:cs="Arial"/>
          <w:sz w:val="20"/>
          <w:szCs w:val="20"/>
        </w:rPr>
        <w:t xml:space="preserve">opposite </w:t>
      </w:r>
      <w:r w:rsidR="006957E9">
        <w:rPr>
          <w:rFonts w:ascii="Arial" w:hAnsi="Arial" w:cs="Arial"/>
          <w:sz w:val="20"/>
          <w:szCs w:val="20"/>
        </w:rPr>
        <w:t>to the dip of the Corvus 2 seam</w:t>
      </w:r>
      <w:r w:rsidR="00BA7359">
        <w:rPr>
          <w:rFonts w:ascii="Arial" w:hAnsi="Arial" w:cs="Arial"/>
          <w:sz w:val="20"/>
          <w:szCs w:val="20"/>
        </w:rPr>
        <w:t>. This finding</w:t>
      </w:r>
      <w:r w:rsidR="00895460">
        <w:rPr>
          <w:rFonts w:ascii="Arial" w:hAnsi="Arial" w:cs="Arial"/>
          <w:sz w:val="20"/>
          <w:szCs w:val="20"/>
        </w:rPr>
        <w:t xml:space="preserve"> </w:t>
      </w:r>
      <w:r w:rsidRPr="00A61639">
        <w:rPr>
          <w:rFonts w:ascii="Arial" w:hAnsi="Arial" w:cs="Arial"/>
          <w:sz w:val="20"/>
          <w:szCs w:val="20"/>
        </w:rPr>
        <w:t xml:space="preserve">should be interpreted with caution due to vast spacing of the monitoring bores. </w:t>
      </w:r>
      <w:r w:rsidR="006957E9">
        <w:rPr>
          <w:rFonts w:ascii="Arial" w:hAnsi="Arial" w:cs="Arial"/>
          <w:sz w:val="20"/>
          <w:szCs w:val="20"/>
        </w:rPr>
        <w:t>F</w:t>
      </w:r>
      <w:r w:rsidRPr="00A61639">
        <w:rPr>
          <w:rFonts w:ascii="Arial" w:hAnsi="Arial" w:cs="Arial"/>
          <w:sz w:val="20"/>
          <w:szCs w:val="20"/>
        </w:rPr>
        <w:t xml:space="preserve">urther </w:t>
      </w:r>
      <w:r w:rsidR="006957E9">
        <w:rPr>
          <w:rFonts w:ascii="Arial" w:hAnsi="Arial" w:cs="Arial"/>
          <w:sz w:val="20"/>
          <w:szCs w:val="20"/>
        </w:rPr>
        <w:t xml:space="preserve">monitoring bores could </w:t>
      </w:r>
      <w:r w:rsidR="00E0413A">
        <w:rPr>
          <w:rFonts w:ascii="Arial" w:hAnsi="Arial" w:cs="Arial"/>
          <w:sz w:val="20"/>
          <w:szCs w:val="20"/>
        </w:rPr>
        <w:t xml:space="preserve">provide </w:t>
      </w:r>
      <w:r w:rsidRPr="00A61639">
        <w:rPr>
          <w:rFonts w:ascii="Arial" w:hAnsi="Arial" w:cs="Arial"/>
          <w:sz w:val="20"/>
          <w:szCs w:val="20"/>
        </w:rPr>
        <w:t>clarification and justification of these interpreted contours.</w:t>
      </w:r>
    </w:p>
    <w:p w:rsidR="00A61639" w:rsidRPr="00A61639" w:rsidRDefault="000C6FE1" w:rsidP="00A61639">
      <w:pPr>
        <w:pStyle w:val="ListNumber"/>
        <w:numPr>
          <w:ilvl w:val="0"/>
          <w:numId w:val="29"/>
        </w:numPr>
        <w:spacing w:before="240" w:after="200" w:line="276" w:lineRule="auto"/>
        <w:ind w:left="709"/>
        <w:rPr>
          <w:rFonts w:ascii="Arial" w:hAnsi="Arial" w:cs="Arial"/>
          <w:sz w:val="20"/>
          <w:szCs w:val="20"/>
        </w:rPr>
      </w:pPr>
      <w:r w:rsidRPr="000C6FE1">
        <w:rPr>
          <w:rFonts w:ascii="Arial" w:hAnsi="Arial" w:cs="Arial"/>
          <w:sz w:val="20"/>
          <w:szCs w:val="20"/>
          <w:u w:val="single"/>
        </w:rPr>
        <w:t>Model prediction</w:t>
      </w:r>
      <w:r w:rsidR="00BA7359">
        <w:rPr>
          <w:rFonts w:ascii="Arial" w:hAnsi="Arial" w:cs="Arial"/>
          <w:sz w:val="20"/>
          <w:szCs w:val="20"/>
        </w:rPr>
        <w:t xml:space="preserve">: </w:t>
      </w:r>
      <w:r w:rsidR="00A61639" w:rsidRPr="00A61639">
        <w:rPr>
          <w:rFonts w:ascii="Arial" w:hAnsi="Arial" w:cs="Arial"/>
          <w:sz w:val="20"/>
          <w:szCs w:val="20"/>
        </w:rPr>
        <w:t xml:space="preserve">There was insufficient data to undertake transient model calibration. As the model is only calibrated in steady state it </w:t>
      </w:r>
      <w:r w:rsidR="00BA7359">
        <w:rPr>
          <w:rFonts w:ascii="Arial" w:hAnsi="Arial" w:cs="Arial"/>
          <w:sz w:val="20"/>
          <w:szCs w:val="20"/>
        </w:rPr>
        <w:t>is l</w:t>
      </w:r>
      <w:r w:rsidR="00A61639" w:rsidRPr="00A61639">
        <w:rPr>
          <w:rFonts w:ascii="Arial" w:hAnsi="Arial" w:cs="Arial"/>
          <w:sz w:val="20"/>
          <w:szCs w:val="20"/>
        </w:rPr>
        <w:t xml:space="preserve">ikely </w:t>
      </w:r>
      <w:r w:rsidR="00BA7359">
        <w:rPr>
          <w:rFonts w:ascii="Arial" w:hAnsi="Arial" w:cs="Arial"/>
          <w:sz w:val="20"/>
          <w:szCs w:val="20"/>
        </w:rPr>
        <w:t xml:space="preserve">to </w:t>
      </w:r>
      <w:r w:rsidR="00A61639" w:rsidRPr="00A61639">
        <w:rPr>
          <w:rFonts w:ascii="Arial" w:hAnsi="Arial" w:cs="Arial"/>
          <w:sz w:val="20"/>
          <w:szCs w:val="20"/>
        </w:rPr>
        <w:t xml:space="preserve">produce transient predictions of low confidence. </w:t>
      </w:r>
      <w:r w:rsidR="0001600E">
        <w:rPr>
          <w:rFonts w:ascii="Arial" w:hAnsi="Arial" w:cs="Arial"/>
          <w:sz w:val="20"/>
          <w:szCs w:val="20"/>
        </w:rPr>
        <w:t xml:space="preserve">The </w:t>
      </w:r>
      <w:r w:rsidR="00A61639" w:rsidRPr="00A61639">
        <w:rPr>
          <w:rFonts w:ascii="Arial" w:hAnsi="Arial" w:cs="Arial"/>
          <w:sz w:val="20"/>
          <w:szCs w:val="20"/>
        </w:rPr>
        <w:t xml:space="preserve">predictive model includes stresses that are outside the range included in calibration, </w:t>
      </w:r>
      <w:r w:rsidR="0001600E">
        <w:rPr>
          <w:rFonts w:ascii="Arial" w:hAnsi="Arial" w:cs="Arial"/>
          <w:sz w:val="20"/>
          <w:szCs w:val="20"/>
        </w:rPr>
        <w:t>such as t</w:t>
      </w:r>
      <w:r w:rsidR="00A61639" w:rsidRPr="00A61639">
        <w:rPr>
          <w:rFonts w:ascii="Arial" w:hAnsi="Arial" w:cs="Arial"/>
          <w:sz w:val="20"/>
          <w:szCs w:val="20"/>
        </w:rPr>
        <w:t>he fracturing and dewatering due to subsidence</w:t>
      </w:r>
      <w:r w:rsidR="00BA7359">
        <w:rPr>
          <w:rFonts w:ascii="Arial" w:hAnsi="Arial" w:cs="Arial"/>
          <w:sz w:val="20"/>
          <w:szCs w:val="20"/>
        </w:rPr>
        <w:t>.</w:t>
      </w:r>
      <w:r w:rsidR="00A61639" w:rsidRPr="00A61639">
        <w:rPr>
          <w:rFonts w:ascii="Arial" w:hAnsi="Arial" w:cs="Arial"/>
          <w:sz w:val="20"/>
          <w:szCs w:val="20"/>
        </w:rPr>
        <w:t xml:space="preserve"> </w:t>
      </w:r>
      <w:r w:rsidR="00BA7359">
        <w:rPr>
          <w:rFonts w:ascii="Arial" w:hAnsi="Arial" w:cs="Arial"/>
          <w:sz w:val="20"/>
          <w:szCs w:val="20"/>
        </w:rPr>
        <w:t>A</w:t>
      </w:r>
      <w:r w:rsidR="0001600E">
        <w:rPr>
          <w:rFonts w:ascii="Arial" w:hAnsi="Arial" w:cs="Arial"/>
          <w:sz w:val="20"/>
          <w:szCs w:val="20"/>
        </w:rPr>
        <w:t>s such</w:t>
      </w:r>
      <w:r w:rsidR="00BA7359">
        <w:rPr>
          <w:rFonts w:ascii="Arial" w:hAnsi="Arial" w:cs="Arial"/>
          <w:sz w:val="20"/>
          <w:szCs w:val="20"/>
        </w:rPr>
        <w:t>,</w:t>
      </w:r>
      <w:r w:rsidR="0001600E">
        <w:rPr>
          <w:rFonts w:ascii="Arial" w:hAnsi="Arial" w:cs="Arial"/>
          <w:sz w:val="20"/>
          <w:szCs w:val="20"/>
        </w:rPr>
        <w:t xml:space="preserve"> </w:t>
      </w:r>
      <w:r w:rsidR="00A61639" w:rsidRPr="00A61639">
        <w:rPr>
          <w:rFonts w:ascii="Arial" w:hAnsi="Arial" w:cs="Arial"/>
          <w:sz w:val="20"/>
          <w:szCs w:val="20"/>
        </w:rPr>
        <w:t>the reliability</w:t>
      </w:r>
      <w:r w:rsidR="00EE76BA">
        <w:rPr>
          <w:rFonts w:ascii="Arial" w:hAnsi="Arial" w:cs="Arial"/>
          <w:sz w:val="20"/>
          <w:szCs w:val="20"/>
        </w:rPr>
        <w:t xml:space="preserve"> of</w:t>
      </w:r>
      <w:r w:rsidR="00A61639" w:rsidRPr="00A61639">
        <w:rPr>
          <w:rFonts w:ascii="Arial" w:hAnsi="Arial" w:cs="Arial"/>
          <w:sz w:val="20"/>
          <w:szCs w:val="20"/>
        </w:rPr>
        <w:t xml:space="preserve"> </w:t>
      </w:r>
      <w:r w:rsidR="004A5C35">
        <w:rPr>
          <w:rFonts w:ascii="Arial" w:hAnsi="Arial" w:cs="Arial"/>
          <w:sz w:val="20"/>
          <w:szCs w:val="20"/>
        </w:rPr>
        <w:t xml:space="preserve">and </w:t>
      </w:r>
      <w:r w:rsidR="004A5C35" w:rsidRPr="00A61639">
        <w:rPr>
          <w:rFonts w:ascii="Arial" w:hAnsi="Arial" w:cs="Arial"/>
          <w:sz w:val="20"/>
          <w:szCs w:val="20"/>
        </w:rPr>
        <w:t xml:space="preserve">confidence </w:t>
      </w:r>
      <w:r w:rsidR="004A5C35">
        <w:rPr>
          <w:rFonts w:ascii="Arial" w:hAnsi="Arial" w:cs="Arial"/>
          <w:sz w:val="20"/>
          <w:szCs w:val="20"/>
        </w:rPr>
        <w:t>in</w:t>
      </w:r>
      <w:r w:rsidR="00A61639" w:rsidRPr="00A61639">
        <w:rPr>
          <w:rFonts w:ascii="Arial" w:hAnsi="Arial" w:cs="Arial"/>
          <w:sz w:val="20"/>
          <w:szCs w:val="20"/>
        </w:rPr>
        <w:t xml:space="preserve"> the model's predictions is likely to be low.</w:t>
      </w:r>
    </w:p>
    <w:p w:rsidR="00A61639" w:rsidRPr="0054360B" w:rsidRDefault="00A61639" w:rsidP="00A61639">
      <w:pPr>
        <w:pStyle w:val="ListParagraph"/>
        <w:numPr>
          <w:ilvl w:val="0"/>
          <w:numId w:val="23"/>
        </w:numPr>
        <w:spacing w:after="200" w:line="276" w:lineRule="auto"/>
        <w:rPr>
          <w:rFonts w:ascii="Arial" w:hAnsi="Arial" w:cs="Arial"/>
          <w:sz w:val="20"/>
          <w:szCs w:val="20"/>
        </w:rPr>
      </w:pPr>
      <w:r w:rsidRPr="0054360B">
        <w:rPr>
          <w:rFonts w:ascii="Arial" w:hAnsi="Arial" w:cs="Arial"/>
          <w:sz w:val="20"/>
          <w:szCs w:val="20"/>
        </w:rPr>
        <w:t>For the</w:t>
      </w:r>
      <w:r w:rsidR="00BD774A" w:rsidRPr="0054360B">
        <w:rPr>
          <w:rFonts w:ascii="Arial" w:hAnsi="Arial" w:cs="Arial"/>
          <w:sz w:val="20"/>
          <w:szCs w:val="20"/>
        </w:rPr>
        <w:t>se</w:t>
      </w:r>
      <w:r w:rsidRPr="0054360B">
        <w:rPr>
          <w:rFonts w:ascii="Arial" w:hAnsi="Arial" w:cs="Arial"/>
          <w:sz w:val="20"/>
          <w:szCs w:val="20"/>
        </w:rPr>
        <w:t xml:space="preserve"> reason</w:t>
      </w:r>
      <w:r w:rsidR="00BD774A" w:rsidRPr="0054360B">
        <w:rPr>
          <w:rFonts w:ascii="Arial" w:hAnsi="Arial" w:cs="Arial"/>
          <w:sz w:val="20"/>
          <w:szCs w:val="20"/>
        </w:rPr>
        <w:t xml:space="preserve">s, </w:t>
      </w:r>
      <w:r w:rsidR="007C72B4">
        <w:rPr>
          <w:rFonts w:ascii="Arial" w:hAnsi="Arial" w:cs="Arial"/>
          <w:sz w:val="20"/>
          <w:szCs w:val="20"/>
        </w:rPr>
        <w:t>the IESC considers</w:t>
      </w:r>
      <w:r w:rsidR="00EC0BAD">
        <w:rPr>
          <w:rFonts w:ascii="Arial" w:hAnsi="Arial" w:cs="Arial"/>
          <w:sz w:val="20"/>
          <w:szCs w:val="20"/>
        </w:rPr>
        <w:t xml:space="preserve"> that</w:t>
      </w:r>
      <w:r w:rsidRPr="0054360B">
        <w:rPr>
          <w:rFonts w:ascii="Arial" w:hAnsi="Arial" w:cs="Arial"/>
          <w:sz w:val="20"/>
          <w:szCs w:val="20"/>
        </w:rPr>
        <w:t xml:space="preserve"> there is uncertai</w:t>
      </w:r>
      <w:r w:rsidR="004A5C35" w:rsidRPr="0054360B">
        <w:rPr>
          <w:rFonts w:ascii="Arial" w:hAnsi="Arial" w:cs="Arial"/>
          <w:sz w:val="20"/>
          <w:szCs w:val="20"/>
        </w:rPr>
        <w:t xml:space="preserve">nty in </w:t>
      </w:r>
      <w:r w:rsidR="007C72B4">
        <w:rPr>
          <w:rFonts w:ascii="Arial" w:hAnsi="Arial" w:cs="Arial"/>
          <w:sz w:val="20"/>
          <w:szCs w:val="20"/>
        </w:rPr>
        <w:t>the current model</w:t>
      </w:r>
      <w:r w:rsidR="00EC0BAD">
        <w:rPr>
          <w:rFonts w:ascii="Arial" w:hAnsi="Arial" w:cs="Arial"/>
          <w:sz w:val="20"/>
          <w:szCs w:val="20"/>
        </w:rPr>
        <w:t>’</w:t>
      </w:r>
      <w:r w:rsidR="007C72B4">
        <w:rPr>
          <w:rFonts w:ascii="Arial" w:hAnsi="Arial" w:cs="Arial"/>
          <w:sz w:val="20"/>
          <w:szCs w:val="20"/>
        </w:rPr>
        <w:t>s</w:t>
      </w:r>
      <w:r w:rsidR="00BD774A" w:rsidRPr="0054360B">
        <w:rPr>
          <w:rFonts w:ascii="Arial" w:hAnsi="Arial" w:cs="Arial"/>
          <w:sz w:val="20"/>
          <w:szCs w:val="20"/>
        </w:rPr>
        <w:t xml:space="preserve"> </w:t>
      </w:r>
      <w:r w:rsidR="004A5C35" w:rsidRPr="0054360B">
        <w:rPr>
          <w:rFonts w:ascii="Arial" w:hAnsi="Arial" w:cs="Arial"/>
          <w:sz w:val="20"/>
          <w:szCs w:val="20"/>
        </w:rPr>
        <w:t>conceptualisation, numerical</w:t>
      </w:r>
      <w:r w:rsidRPr="0054360B">
        <w:rPr>
          <w:rFonts w:ascii="Arial" w:hAnsi="Arial" w:cs="Arial"/>
          <w:sz w:val="20"/>
          <w:szCs w:val="20"/>
        </w:rPr>
        <w:t xml:space="preserve"> construct</w:t>
      </w:r>
      <w:r w:rsidR="004A5C35" w:rsidRPr="0054360B">
        <w:rPr>
          <w:rFonts w:ascii="Arial" w:hAnsi="Arial" w:cs="Arial"/>
          <w:sz w:val="20"/>
          <w:szCs w:val="20"/>
        </w:rPr>
        <w:t>ion and predictions</w:t>
      </w:r>
      <w:r w:rsidR="00BD774A" w:rsidRPr="0054360B">
        <w:rPr>
          <w:rFonts w:ascii="Arial" w:hAnsi="Arial" w:cs="Arial"/>
          <w:sz w:val="20"/>
          <w:szCs w:val="20"/>
        </w:rPr>
        <w:t>, which</w:t>
      </w:r>
      <w:r w:rsidRPr="0054360B">
        <w:rPr>
          <w:rFonts w:ascii="Arial" w:hAnsi="Arial" w:cs="Arial"/>
          <w:sz w:val="20"/>
          <w:szCs w:val="20"/>
        </w:rPr>
        <w:t xml:space="preserve"> may significantly underestimate groundwater </w:t>
      </w:r>
      <w:r w:rsidR="004A5C35" w:rsidRPr="0054360B">
        <w:rPr>
          <w:rFonts w:ascii="Arial" w:hAnsi="Arial" w:cs="Arial"/>
          <w:sz w:val="20"/>
          <w:szCs w:val="20"/>
        </w:rPr>
        <w:t xml:space="preserve">impacts and volumes of surface water discharge </w:t>
      </w:r>
      <w:r w:rsidRPr="0054360B">
        <w:rPr>
          <w:rFonts w:ascii="Arial" w:hAnsi="Arial" w:cs="Arial"/>
          <w:sz w:val="20"/>
          <w:szCs w:val="20"/>
        </w:rPr>
        <w:t>due to mine water inflows.</w:t>
      </w:r>
    </w:p>
    <w:p w:rsidR="00A61639" w:rsidRPr="00F66066" w:rsidRDefault="00BD774A" w:rsidP="00F66066">
      <w:pPr>
        <w:pStyle w:val="ListParagraph"/>
        <w:numPr>
          <w:ilvl w:val="0"/>
          <w:numId w:val="23"/>
        </w:numPr>
        <w:spacing w:after="200" w:line="276" w:lineRule="auto"/>
        <w:rPr>
          <w:rFonts w:ascii="Arial" w:eastAsia="Calibri" w:hAnsi="Arial" w:cs="Arial"/>
          <w:sz w:val="20"/>
          <w:szCs w:val="20"/>
          <w:lang w:eastAsia="en-AU"/>
        </w:rPr>
      </w:pPr>
      <w:r w:rsidRPr="00F66066">
        <w:rPr>
          <w:rFonts w:ascii="Arial" w:eastAsia="Calibri" w:hAnsi="Arial" w:cs="Arial"/>
          <w:sz w:val="20"/>
          <w:szCs w:val="20"/>
          <w:lang w:eastAsia="en-AU"/>
        </w:rPr>
        <w:t xml:space="preserve">The </w:t>
      </w:r>
      <w:r w:rsidR="00F66066">
        <w:rPr>
          <w:rFonts w:ascii="Arial" w:eastAsia="Calibri" w:hAnsi="Arial" w:cs="Arial"/>
          <w:sz w:val="20"/>
          <w:szCs w:val="20"/>
          <w:lang w:eastAsia="en-AU"/>
        </w:rPr>
        <w:t>proponent states</w:t>
      </w:r>
      <w:r w:rsidR="00D46FF9" w:rsidRPr="00F66066">
        <w:rPr>
          <w:rFonts w:ascii="Arial" w:eastAsia="Calibri" w:hAnsi="Arial" w:cs="Arial"/>
          <w:sz w:val="20"/>
          <w:szCs w:val="20"/>
          <w:lang w:eastAsia="en-AU"/>
        </w:rPr>
        <w:t xml:space="preserve"> </w:t>
      </w:r>
      <w:r w:rsidR="00F66066" w:rsidRPr="00F66066">
        <w:rPr>
          <w:rFonts w:ascii="Arial" w:eastAsia="Calibri" w:hAnsi="Arial" w:cs="Arial"/>
          <w:sz w:val="20"/>
          <w:szCs w:val="20"/>
          <w:lang w:eastAsia="en-AU"/>
        </w:rPr>
        <w:t>“</w:t>
      </w:r>
      <w:r w:rsidR="00F66066">
        <w:rPr>
          <w:rFonts w:ascii="Arial" w:eastAsia="Calibri" w:hAnsi="Arial" w:cs="Arial"/>
          <w:sz w:val="20"/>
          <w:szCs w:val="20"/>
          <w:lang w:eastAsia="en-AU"/>
        </w:rPr>
        <w:t xml:space="preserve">a period of approximately 15 to 20 years after closure is required for water levels to return </w:t>
      </w:r>
      <w:r w:rsidR="00F66066" w:rsidRPr="00F66066">
        <w:rPr>
          <w:rFonts w:ascii="Arial" w:eastAsia="Calibri" w:hAnsi="Arial" w:cs="Arial"/>
          <w:sz w:val="20"/>
          <w:szCs w:val="20"/>
          <w:lang w:eastAsia="en-AU"/>
        </w:rPr>
        <w:t>to within 1m of final static levels”</w:t>
      </w:r>
      <w:r w:rsidR="00A61639" w:rsidRPr="00F66066">
        <w:rPr>
          <w:rFonts w:ascii="Arial" w:eastAsia="Calibri" w:hAnsi="Arial" w:cs="Arial"/>
          <w:sz w:val="20"/>
          <w:szCs w:val="20"/>
          <w:lang w:eastAsia="en-AU"/>
        </w:rPr>
        <w:t>. Given the concern</w:t>
      </w:r>
      <w:r w:rsidR="004A5C35" w:rsidRPr="00F66066">
        <w:rPr>
          <w:rFonts w:ascii="Arial" w:eastAsia="Calibri" w:hAnsi="Arial" w:cs="Arial"/>
          <w:sz w:val="20"/>
          <w:szCs w:val="20"/>
          <w:lang w:eastAsia="en-AU"/>
        </w:rPr>
        <w:t>s</w:t>
      </w:r>
      <w:r w:rsidR="004A5C35" w:rsidRPr="00F66066">
        <w:rPr>
          <w:rFonts w:ascii="Arial" w:hAnsi="Arial" w:cs="Arial"/>
          <w:sz w:val="20"/>
          <w:szCs w:val="20"/>
        </w:rPr>
        <w:t xml:space="preserve"> relating to the model, the IESC</w:t>
      </w:r>
      <w:r w:rsidR="00A61639" w:rsidRPr="00F66066">
        <w:rPr>
          <w:rFonts w:ascii="Arial" w:hAnsi="Arial" w:cs="Arial"/>
          <w:sz w:val="20"/>
          <w:szCs w:val="20"/>
        </w:rPr>
        <w:t xml:space="preserve"> considers that there is </w:t>
      </w:r>
      <w:r w:rsidR="000F07CF" w:rsidRPr="00F66066">
        <w:rPr>
          <w:rFonts w:ascii="Arial" w:hAnsi="Arial" w:cs="Arial"/>
          <w:sz w:val="20"/>
          <w:szCs w:val="20"/>
        </w:rPr>
        <w:t>low</w:t>
      </w:r>
      <w:r w:rsidR="00A61639" w:rsidRPr="00F66066">
        <w:rPr>
          <w:rFonts w:ascii="Arial" w:hAnsi="Arial" w:cs="Arial"/>
          <w:sz w:val="20"/>
          <w:szCs w:val="20"/>
        </w:rPr>
        <w:t xml:space="preserve"> confidence in the predicted groundwater level recovery.  </w:t>
      </w:r>
    </w:p>
    <w:p w:rsidR="00982E9B" w:rsidRPr="00BA7359" w:rsidRDefault="000C6FE1" w:rsidP="00982E9B">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lastRenderedPageBreak/>
        <w:t xml:space="preserve">Question 3: </w:t>
      </w:r>
      <w:r w:rsidRPr="000C6FE1">
        <w:rPr>
          <w:rFonts w:ascii="Arial" w:hAnsi="Arial" w:cs="Arial"/>
          <w:i/>
          <w:sz w:val="20"/>
          <w:szCs w:val="20"/>
          <w:lang w:val="en-US"/>
        </w:rPr>
        <w:t>Does the Committee agree with the findings in Volume 1, Chapter 6 and Chapter 9 and Volume 2, Appendix F1 to F5 of the EIS (Attachment A) that changes to topography and hydrology as a result of subsidence to the west of the Blair Athol railway line are not likely to result in significant impacts during flooding from Teresa Creek? Does the committee find the proposed subsidence mitigation and management measures suitable to protect downstream surface water quality and quantity?</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The proponent’s flood study refers to a ‘TC5’</w:t>
      </w:r>
      <w:r>
        <w:rPr>
          <w:rFonts w:ascii="Arial" w:hAnsi="Arial" w:cs="Arial"/>
          <w:sz w:val="20"/>
          <w:szCs w:val="20"/>
        </w:rPr>
        <w:t xml:space="preserve"> subsidence scenario</w:t>
      </w:r>
      <w:r w:rsidRPr="001E7DE7">
        <w:rPr>
          <w:rFonts w:ascii="Arial" w:hAnsi="Arial" w:cs="Arial"/>
          <w:sz w:val="20"/>
          <w:szCs w:val="20"/>
        </w:rPr>
        <w:t xml:space="preserve">; however, this scenario is not discussed in the EIS or supporting technical subsidence report. </w:t>
      </w:r>
      <w:r w:rsidR="00BA7359">
        <w:rPr>
          <w:rFonts w:ascii="Arial" w:hAnsi="Arial" w:cs="Arial"/>
          <w:sz w:val="20"/>
          <w:szCs w:val="20"/>
        </w:rPr>
        <w:t>T</w:t>
      </w:r>
      <w:r w:rsidRPr="001E7DE7">
        <w:rPr>
          <w:rFonts w:ascii="Arial" w:hAnsi="Arial" w:cs="Arial"/>
          <w:sz w:val="20"/>
          <w:szCs w:val="20"/>
        </w:rPr>
        <w:t>he flood study may be based on an earlier, and possibly different, prediction of subsidence effects. Confidence would be improved by confirm</w:t>
      </w:r>
      <w:r w:rsidR="00BA7359">
        <w:rPr>
          <w:rFonts w:ascii="Arial" w:hAnsi="Arial" w:cs="Arial"/>
          <w:sz w:val="20"/>
          <w:szCs w:val="20"/>
        </w:rPr>
        <w:t>ation</w:t>
      </w:r>
      <w:r w:rsidRPr="001E7DE7">
        <w:rPr>
          <w:rFonts w:ascii="Arial" w:hAnsi="Arial" w:cs="Arial"/>
          <w:sz w:val="20"/>
          <w:szCs w:val="20"/>
        </w:rPr>
        <w:t xml:space="preserve"> that the flood study is based on the most recent subsidence predictions.</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 xml:space="preserve">Changes in peak flood surface levels will be accompanied by a change </w:t>
      </w:r>
      <w:r w:rsidR="0073136C" w:rsidRPr="001E7DE7">
        <w:rPr>
          <w:rFonts w:ascii="Arial" w:hAnsi="Arial" w:cs="Arial"/>
          <w:sz w:val="20"/>
          <w:szCs w:val="20"/>
        </w:rPr>
        <w:t>in</w:t>
      </w:r>
      <w:r w:rsidR="0073136C">
        <w:rPr>
          <w:rFonts w:ascii="Arial" w:hAnsi="Arial" w:cs="Arial"/>
          <w:sz w:val="20"/>
          <w:szCs w:val="20"/>
        </w:rPr>
        <w:t xml:space="preserve"> flow volume</w:t>
      </w:r>
      <w:r w:rsidR="00B862C5">
        <w:rPr>
          <w:rFonts w:ascii="Arial" w:hAnsi="Arial" w:cs="Arial"/>
          <w:sz w:val="20"/>
          <w:szCs w:val="20"/>
        </w:rPr>
        <w:t>,</w:t>
      </w:r>
      <w:r w:rsidR="0073136C">
        <w:rPr>
          <w:rFonts w:ascii="Arial" w:hAnsi="Arial" w:cs="Arial"/>
          <w:sz w:val="20"/>
          <w:szCs w:val="20"/>
        </w:rPr>
        <w:t xml:space="preserve"> timing</w:t>
      </w:r>
      <w:r w:rsidR="00B862C5">
        <w:rPr>
          <w:rFonts w:ascii="Arial" w:hAnsi="Arial" w:cs="Arial"/>
          <w:sz w:val="20"/>
          <w:szCs w:val="20"/>
        </w:rPr>
        <w:t>,</w:t>
      </w:r>
      <w:r w:rsidR="0073136C">
        <w:rPr>
          <w:rFonts w:ascii="Arial" w:hAnsi="Arial" w:cs="Arial"/>
          <w:sz w:val="20"/>
          <w:szCs w:val="20"/>
        </w:rPr>
        <w:t xml:space="preserve"> </w:t>
      </w:r>
      <w:r w:rsidR="00B862C5">
        <w:rPr>
          <w:rFonts w:ascii="Arial" w:hAnsi="Arial" w:cs="Arial"/>
          <w:sz w:val="20"/>
          <w:szCs w:val="20"/>
        </w:rPr>
        <w:t>extent, and/or depth</w:t>
      </w:r>
      <w:r w:rsidR="0073136C">
        <w:rPr>
          <w:rFonts w:ascii="Arial" w:hAnsi="Arial" w:cs="Arial"/>
          <w:sz w:val="20"/>
          <w:szCs w:val="20"/>
        </w:rPr>
        <w:t xml:space="preserve"> </w:t>
      </w:r>
      <w:r w:rsidR="00085422">
        <w:rPr>
          <w:rFonts w:ascii="Arial" w:hAnsi="Arial" w:cs="Arial"/>
          <w:sz w:val="20"/>
          <w:szCs w:val="20"/>
        </w:rPr>
        <w:t xml:space="preserve">entering and leaving </w:t>
      </w:r>
      <w:r w:rsidR="00EE76BA">
        <w:rPr>
          <w:rFonts w:ascii="Arial" w:hAnsi="Arial" w:cs="Arial"/>
          <w:sz w:val="20"/>
          <w:szCs w:val="20"/>
        </w:rPr>
        <w:t>the flood</w:t>
      </w:r>
      <w:r w:rsidR="0073136C">
        <w:rPr>
          <w:rFonts w:ascii="Arial" w:hAnsi="Arial" w:cs="Arial"/>
          <w:sz w:val="20"/>
          <w:szCs w:val="20"/>
        </w:rPr>
        <w:t>plain</w:t>
      </w:r>
      <w:r w:rsidRPr="001E7DE7">
        <w:rPr>
          <w:rFonts w:ascii="Arial" w:hAnsi="Arial" w:cs="Arial"/>
          <w:sz w:val="20"/>
          <w:szCs w:val="20"/>
        </w:rPr>
        <w:t xml:space="preserve">. </w:t>
      </w:r>
      <w:r w:rsidR="00BA7359">
        <w:rPr>
          <w:rFonts w:ascii="Arial" w:hAnsi="Arial" w:cs="Arial"/>
          <w:sz w:val="20"/>
          <w:szCs w:val="20"/>
        </w:rPr>
        <w:t xml:space="preserve">Such a </w:t>
      </w:r>
      <w:r w:rsidRPr="001E7DE7">
        <w:rPr>
          <w:rFonts w:ascii="Arial" w:hAnsi="Arial" w:cs="Arial"/>
          <w:sz w:val="20"/>
          <w:szCs w:val="20"/>
        </w:rPr>
        <w:t xml:space="preserve">change has not been quantified. Alterations to flood volume could impact environmental assets or other beneficial uses downstream of the proposed development. Presenting and comparing the pre- and post-development flow hydrograph would inform the assessment of potential impacts on sensitive assets. </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 xml:space="preserve">The modelling techniques used to assess flood impacts </w:t>
      </w:r>
      <w:r w:rsidR="000F07CF">
        <w:rPr>
          <w:rFonts w:ascii="Arial" w:hAnsi="Arial" w:cs="Arial"/>
          <w:sz w:val="20"/>
          <w:szCs w:val="20"/>
        </w:rPr>
        <w:t>appear to be</w:t>
      </w:r>
      <w:r w:rsidRPr="001E7DE7">
        <w:rPr>
          <w:rFonts w:ascii="Arial" w:hAnsi="Arial" w:cs="Arial"/>
          <w:sz w:val="20"/>
          <w:szCs w:val="20"/>
        </w:rPr>
        <w:t xml:space="preserve"> sound</w:t>
      </w:r>
      <w:r w:rsidR="00840316">
        <w:rPr>
          <w:rFonts w:ascii="Arial" w:hAnsi="Arial" w:cs="Arial"/>
          <w:sz w:val="20"/>
          <w:szCs w:val="20"/>
        </w:rPr>
        <w:t>;</w:t>
      </w:r>
      <w:r w:rsidR="000858AB">
        <w:rPr>
          <w:rFonts w:ascii="Arial" w:hAnsi="Arial" w:cs="Arial"/>
          <w:sz w:val="20"/>
          <w:szCs w:val="20"/>
        </w:rPr>
        <w:t xml:space="preserve"> however </w:t>
      </w:r>
      <w:r w:rsidR="000F07CF">
        <w:rPr>
          <w:rFonts w:ascii="Arial" w:hAnsi="Arial" w:cs="Arial"/>
          <w:sz w:val="20"/>
          <w:szCs w:val="20"/>
        </w:rPr>
        <w:t xml:space="preserve">the </w:t>
      </w:r>
      <w:r w:rsidRPr="001E7DE7">
        <w:rPr>
          <w:rFonts w:ascii="Arial" w:hAnsi="Arial" w:cs="Arial"/>
          <w:sz w:val="20"/>
          <w:szCs w:val="20"/>
        </w:rPr>
        <w:t>accuracy of the model and design outcomes would be improved by using more recent flood frequency analysis techniques, such as those developed by Rahman et al (2012) and Kuczera &amp; Frank (2006), to reduce uncertainty in design flood flow estimation.</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 xml:space="preserve">Confidence in the flood models and the conclusions of the flood study would be enhanced by: </w:t>
      </w:r>
    </w:p>
    <w:p w:rsidR="001E7DE7" w:rsidRPr="001E7DE7" w:rsidRDefault="001E7DE7" w:rsidP="001E7DE7">
      <w:pPr>
        <w:pStyle w:val="ListParagraph"/>
        <w:numPr>
          <w:ilvl w:val="0"/>
          <w:numId w:val="24"/>
        </w:numPr>
        <w:spacing w:after="200" w:line="276" w:lineRule="auto"/>
        <w:ind w:left="709"/>
        <w:rPr>
          <w:rFonts w:ascii="Arial" w:hAnsi="Arial" w:cs="Arial"/>
          <w:sz w:val="20"/>
          <w:szCs w:val="20"/>
        </w:rPr>
      </w:pPr>
      <w:r w:rsidRPr="001E7DE7">
        <w:rPr>
          <w:rFonts w:ascii="Arial" w:hAnsi="Arial" w:cs="Arial"/>
          <w:sz w:val="20"/>
          <w:szCs w:val="20"/>
        </w:rPr>
        <w:t>Providing a comparison of pre- and post-development flood hydrographs and longitudinal profiles of peak flood surface along the floodplain within the mining lease;</w:t>
      </w:r>
    </w:p>
    <w:p w:rsidR="001E7DE7" w:rsidRPr="001E7DE7" w:rsidRDefault="001E7DE7" w:rsidP="001E7DE7">
      <w:pPr>
        <w:pStyle w:val="ListParagraph"/>
        <w:numPr>
          <w:ilvl w:val="0"/>
          <w:numId w:val="24"/>
        </w:numPr>
        <w:spacing w:after="200" w:line="276" w:lineRule="auto"/>
        <w:ind w:left="709"/>
        <w:rPr>
          <w:rFonts w:ascii="Arial" w:hAnsi="Arial" w:cs="Arial"/>
          <w:sz w:val="20"/>
          <w:szCs w:val="20"/>
        </w:rPr>
      </w:pPr>
      <w:r w:rsidRPr="001E7DE7">
        <w:rPr>
          <w:rFonts w:ascii="Arial" w:hAnsi="Arial" w:cs="Arial"/>
          <w:sz w:val="20"/>
          <w:szCs w:val="20"/>
        </w:rPr>
        <w:t>Providing the rationale for the use of the CRC Forge method to estimate design rainfall for flood levels greater than the 100 year average reoccurrence interval (ARI), rather than the Bureau of Meteorology’s Intensity-Duration-Frequency data;</w:t>
      </w:r>
    </w:p>
    <w:p w:rsidR="001E7DE7" w:rsidRPr="001E7DE7" w:rsidRDefault="001E7DE7" w:rsidP="001E7DE7">
      <w:pPr>
        <w:pStyle w:val="ListParagraph"/>
        <w:numPr>
          <w:ilvl w:val="0"/>
          <w:numId w:val="24"/>
        </w:numPr>
        <w:spacing w:after="200" w:line="276" w:lineRule="auto"/>
        <w:ind w:left="709"/>
        <w:rPr>
          <w:rFonts w:ascii="Arial" w:hAnsi="Arial" w:cs="Arial"/>
          <w:sz w:val="20"/>
          <w:szCs w:val="20"/>
        </w:rPr>
      </w:pPr>
      <w:r w:rsidRPr="001E7DE7">
        <w:rPr>
          <w:rFonts w:ascii="Arial" w:hAnsi="Arial" w:cs="Arial"/>
          <w:sz w:val="20"/>
          <w:szCs w:val="20"/>
        </w:rPr>
        <w:t>Resolving the discrepancy between the different peak flow rates generated for the 100 year ARI event and describing the method used to derive the adopted peak flow rate of 8,521 m</w:t>
      </w:r>
      <w:r w:rsidRPr="001E7DE7">
        <w:rPr>
          <w:rFonts w:ascii="Arial" w:hAnsi="Arial" w:cs="Arial"/>
          <w:sz w:val="20"/>
          <w:szCs w:val="20"/>
          <w:vertAlign w:val="superscript"/>
        </w:rPr>
        <w:t>3</w:t>
      </w:r>
      <w:r w:rsidRPr="001E7DE7">
        <w:rPr>
          <w:rFonts w:ascii="Arial" w:hAnsi="Arial" w:cs="Arial"/>
          <w:sz w:val="20"/>
          <w:szCs w:val="20"/>
        </w:rPr>
        <w:t>/s;</w:t>
      </w:r>
    </w:p>
    <w:p w:rsidR="001E7DE7" w:rsidRPr="001E7DE7" w:rsidRDefault="001E7DE7" w:rsidP="001E7DE7">
      <w:pPr>
        <w:pStyle w:val="ListParagraph"/>
        <w:numPr>
          <w:ilvl w:val="0"/>
          <w:numId w:val="24"/>
        </w:numPr>
        <w:spacing w:after="200" w:line="276" w:lineRule="auto"/>
        <w:ind w:left="709"/>
        <w:rPr>
          <w:rFonts w:ascii="Arial" w:hAnsi="Arial" w:cs="Arial"/>
          <w:sz w:val="20"/>
          <w:szCs w:val="20"/>
        </w:rPr>
      </w:pPr>
      <w:r w:rsidRPr="001E7DE7">
        <w:rPr>
          <w:rFonts w:ascii="Arial" w:hAnsi="Arial" w:cs="Arial"/>
          <w:sz w:val="20"/>
          <w:szCs w:val="20"/>
        </w:rPr>
        <w:t>Plotting measured annual series stream gauge data against the adopted flood frequency distribution to demonstrate the ‘goodness of fit’ of the adopted probability distribution;</w:t>
      </w:r>
    </w:p>
    <w:p w:rsidR="001E7DE7" w:rsidRPr="001E7DE7" w:rsidRDefault="001E7DE7" w:rsidP="001E7DE7">
      <w:pPr>
        <w:pStyle w:val="ListParagraph"/>
        <w:numPr>
          <w:ilvl w:val="0"/>
          <w:numId w:val="24"/>
        </w:numPr>
        <w:spacing w:after="200" w:line="276" w:lineRule="auto"/>
        <w:ind w:left="709"/>
        <w:rPr>
          <w:rFonts w:ascii="Arial" w:hAnsi="Arial" w:cs="Arial"/>
          <w:sz w:val="20"/>
          <w:szCs w:val="20"/>
        </w:rPr>
      </w:pPr>
      <w:r w:rsidRPr="001E7DE7">
        <w:rPr>
          <w:rFonts w:ascii="Arial" w:hAnsi="Arial" w:cs="Arial"/>
          <w:sz w:val="20"/>
          <w:szCs w:val="20"/>
        </w:rPr>
        <w:t>Undertaking and documenting a quality assurance process for model inputs, particularly in relation to the light detection and ranging (LIDAR) dataset;</w:t>
      </w:r>
    </w:p>
    <w:p w:rsidR="001E7DE7" w:rsidRPr="001E7DE7" w:rsidRDefault="001E7DE7" w:rsidP="001E7DE7">
      <w:pPr>
        <w:pStyle w:val="ListParagraph"/>
        <w:numPr>
          <w:ilvl w:val="0"/>
          <w:numId w:val="24"/>
        </w:numPr>
        <w:spacing w:after="200" w:line="276" w:lineRule="auto"/>
        <w:ind w:left="709"/>
        <w:rPr>
          <w:rFonts w:ascii="Arial" w:hAnsi="Arial" w:cs="Arial"/>
          <w:sz w:val="20"/>
          <w:szCs w:val="20"/>
        </w:rPr>
      </w:pPr>
      <w:r w:rsidRPr="001E7DE7">
        <w:rPr>
          <w:rFonts w:ascii="Arial" w:hAnsi="Arial" w:cs="Arial"/>
          <w:sz w:val="20"/>
          <w:szCs w:val="20"/>
        </w:rPr>
        <w:t xml:space="preserve">Quantifying the overall uncertainty in the model results. The models in their current form cannot be considered as calibrated to historical data. </w:t>
      </w:r>
      <w:r w:rsidR="00BD774A">
        <w:rPr>
          <w:rFonts w:ascii="Arial" w:hAnsi="Arial" w:cs="Arial"/>
          <w:sz w:val="20"/>
          <w:szCs w:val="20"/>
        </w:rPr>
        <w:t xml:space="preserve">The </w:t>
      </w:r>
      <w:r w:rsidRPr="001E7DE7">
        <w:rPr>
          <w:rFonts w:ascii="Arial" w:hAnsi="Arial" w:cs="Arial"/>
          <w:sz w:val="20"/>
          <w:szCs w:val="20"/>
        </w:rPr>
        <w:t xml:space="preserve">sensitivity analysis </w:t>
      </w:r>
      <w:r w:rsidR="00BD774A">
        <w:rPr>
          <w:rFonts w:ascii="Arial" w:hAnsi="Arial" w:cs="Arial"/>
          <w:sz w:val="20"/>
          <w:szCs w:val="20"/>
        </w:rPr>
        <w:t xml:space="preserve">should be expanded </w:t>
      </w:r>
      <w:r w:rsidRPr="001E7DE7">
        <w:rPr>
          <w:rFonts w:ascii="Arial" w:hAnsi="Arial" w:cs="Arial"/>
          <w:sz w:val="20"/>
          <w:szCs w:val="20"/>
        </w:rPr>
        <w:t xml:space="preserve">to include </w:t>
      </w:r>
      <w:r w:rsidR="00224622">
        <w:rPr>
          <w:rFonts w:ascii="Arial" w:hAnsi="Arial" w:cs="Arial"/>
          <w:sz w:val="20"/>
          <w:szCs w:val="20"/>
        </w:rPr>
        <w:t>h</w:t>
      </w:r>
      <w:r w:rsidR="00224622" w:rsidRPr="001E7DE7">
        <w:rPr>
          <w:rFonts w:ascii="Arial" w:hAnsi="Arial" w:cs="Arial"/>
          <w:sz w:val="20"/>
          <w:szCs w:val="20"/>
        </w:rPr>
        <w:t>ydrological</w:t>
      </w:r>
      <w:r w:rsidR="00224622">
        <w:rPr>
          <w:rFonts w:ascii="Arial" w:hAnsi="Arial" w:cs="Arial"/>
          <w:sz w:val="20"/>
          <w:szCs w:val="20"/>
        </w:rPr>
        <w:t xml:space="preserve"> (</w:t>
      </w:r>
      <w:r w:rsidR="00224622" w:rsidRPr="001E7DE7">
        <w:rPr>
          <w:rFonts w:ascii="Arial" w:hAnsi="Arial" w:cs="Arial"/>
          <w:sz w:val="20"/>
          <w:szCs w:val="20"/>
        </w:rPr>
        <w:t>initial loss, continuing loss, routing parameters, rainfall volum</w:t>
      </w:r>
      <w:r w:rsidR="00224622">
        <w:rPr>
          <w:rFonts w:ascii="Arial" w:hAnsi="Arial" w:cs="Arial"/>
          <w:sz w:val="20"/>
          <w:szCs w:val="20"/>
        </w:rPr>
        <w:t>e) and hydraulic (</w:t>
      </w:r>
      <w:r w:rsidR="00224622" w:rsidRPr="001E7DE7">
        <w:rPr>
          <w:rFonts w:ascii="Arial" w:hAnsi="Arial" w:cs="Arial"/>
          <w:sz w:val="20"/>
          <w:szCs w:val="20"/>
        </w:rPr>
        <w:t>roughness and head loss coefficients</w:t>
      </w:r>
      <w:r w:rsidR="00224622">
        <w:rPr>
          <w:rFonts w:ascii="Arial" w:hAnsi="Arial" w:cs="Arial"/>
          <w:sz w:val="20"/>
          <w:szCs w:val="20"/>
        </w:rPr>
        <w:t>) parameters that elucidate</w:t>
      </w:r>
      <w:r w:rsidR="00BD774A">
        <w:rPr>
          <w:rFonts w:ascii="Arial" w:hAnsi="Arial" w:cs="Arial"/>
          <w:sz w:val="20"/>
          <w:szCs w:val="20"/>
        </w:rPr>
        <w:t xml:space="preserve"> </w:t>
      </w:r>
      <w:r w:rsidRPr="001E7DE7">
        <w:rPr>
          <w:rFonts w:ascii="Arial" w:hAnsi="Arial" w:cs="Arial"/>
          <w:sz w:val="20"/>
          <w:szCs w:val="20"/>
        </w:rPr>
        <w:t>the uncertainty range in the flood behaviour</w:t>
      </w:r>
      <w:r w:rsidR="00224622">
        <w:rPr>
          <w:rFonts w:ascii="Arial" w:hAnsi="Arial" w:cs="Arial"/>
          <w:sz w:val="20"/>
          <w:szCs w:val="20"/>
        </w:rPr>
        <w:t>.</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The potential for increased surface water-groundwater connectivity i</w:t>
      </w:r>
      <w:r w:rsidR="000C24E9">
        <w:rPr>
          <w:rFonts w:ascii="Arial" w:hAnsi="Arial" w:cs="Arial"/>
          <w:sz w:val="20"/>
          <w:szCs w:val="20"/>
        </w:rPr>
        <w:t>n the Theresa Creek flood</w:t>
      </w:r>
      <w:r w:rsidRPr="001E7DE7">
        <w:rPr>
          <w:rFonts w:ascii="Arial" w:hAnsi="Arial" w:cs="Arial"/>
          <w:sz w:val="20"/>
          <w:szCs w:val="20"/>
        </w:rPr>
        <w:t>plain overlying the underground mine has not been considered. While subsidence-induced fracturing in the Theresa Creek floodplain is not expected to significantly impact peak flood conditions for 50 year ARI, or larger, flood events, the influence of fracturing on smaller floods may be more significant. Expansion of the flood study to incorporate groundwater flux and a broader range of flood events would enable the impact of groundwater drawdown on peak flood levels and flood volumes to be more comprehensively assessed and quantified.</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lastRenderedPageBreak/>
        <w:t>Flood flow velocity impacts have not been assessed by the proponent. Subsidence within the Theresa Creek floodplain is unlikely to significantly alter peak flood flow velocities during the 100 year ARI, or greater, flood event. Floodplain flow distributions and velocities are likely to be impacted on the rising and falling limbs of the flood, particularly as the flood wave tracks across the floodplain on the rising limb of the flood hydrograph. The potential impacts of changes to flood flow velocity are likely to be limited to changes in the mobilisation of sediments</w:t>
      </w:r>
      <w:r w:rsidR="007D3879">
        <w:rPr>
          <w:rFonts w:ascii="Arial" w:hAnsi="Arial" w:cs="Arial"/>
          <w:sz w:val="20"/>
          <w:szCs w:val="20"/>
        </w:rPr>
        <w:t>.</w:t>
      </w:r>
      <w:r w:rsidRPr="001E7DE7">
        <w:rPr>
          <w:rFonts w:ascii="Arial" w:hAnsi="Arial" w:cs="Arial"/>
          <w:sz w:val="20"/>
          <w:szCs w:val="20"/>
        </w:rPr>
        <w:t xml:space="preserve"> Quantification of changes to flood flow velocities, </w:t>
      </w:r>
      <w:r w:rsidR="007D3879">
        <w:rPr>
          <w:rFonts w:ascii="Arial" w:hAnsi="Arial" w:cs="Arial"/>
          <w:sz w:val="20"/>
          <w:szCs w:val="20"/>
        </w:rPr>
        <w:t xml:space="preserve">incorporating </w:t>
      </w:r>
      <w:r w:rsidRPr="001E7DE7">
        <w:rPr>
          <w:rFonts w:ascii="Arial" w:hAnsi="Arial" w:cs="Arial"/>
          <w:sz w:val="20"/>
          <w:szCs w:val="20"/>
        </w:rPr>
        <w:t>rising and falling limbs of the flood event</w:t>
      </w:r>
      <w:r w:rsidR="007D3879">
        <w:rPr>
          <w:rFonts w:ascii="Arial" w:hAnsi="Arial" w:cs="Arial"/>
          <w:sz w:val="20"/>
          <w:szCs w:val="20"/>
        </w:rPr>
        <w:t>,</w:t>
      </w:r>
      <w:r w:rsidRPr="001E7DE7">
        <w:rPr>
          <w:rFonts w:ascii="Arial" w:hAnsi="Arial" w:cs="Arial"/>
          <w:sz w:val="20"/>
          <w:szCs w:val="20"/>
        </w:rPr>
        <w:t xml:space="preserve"> as well as peak flows, would enable the full range of potential flood impacts to be identified and assessed. </w:t>
      </w:r>
    </w:p>
    <w:p w:rsidR="001E7DE7" w:rsidRPr="00EE76BA" w:rsidRDefault="00EE76BA" w:rsidP="00EE76BA">
      <w:pPr>
        <w:pStyle w:val="ListParagraph"/>
        <w:numPr>
          <w:ilvl w:val="0"/>
          <w:numId w:val="23"/>
        </w:numPr>
        <w:spacing w:after="200" w:line="276" w:lineRule="auto"/>
        <w:rPr>
          <w:rFonts w:ascii="Arial" w:hAnsi="Arial" w:cs="Arial"/>
          <w:sz w:val="20"/>
          <w:szCs w:val="20"/>
        </w:rPr>
      </w:pPr>
      <w:r>
        <w:rPr>
          <w:rFonts w:ascii="Arial" w:hAnsi="Arial" w:cs="Arial"/>
          <w:sz w:val="20"/>
          <w:szCs w:val="20"/>
        </w:rPr>
        <w:t xml:space="preserve">Due to the low gradient of the floodplain and relative depth of the subsided panels, the proponent has assessed that mitigation measures to prevent flooding of subsided parts of the floodplain, or drain ponded water from the floodplain, are not feasible. Although the construction of levees and diversion channels and drainage of ponded areas is possible, the impacts of implementing these mitigation measures may include changes to flood behaviour, geomorphology, and water quality, with consequential impacts on downstream water-related assets. </w:t>
      </w:r>
      <w:r w:rsidR="000C24E9">
        <w:rPr>
          <w:rFonts w:ascii="Arial" w:hAnsi="Arial" w:cs="Arial"/>
          <w:sz w:val="20"/>
          <w:szCs w:val="20"/>
        </w:rPr>
        <w:t xml:space="preserve">An </w:t>
      </w:r>
      <w:r>
        <w:rPr>
          <w:rFonts w:ascii="Arial" w:hAnsi="Arial" w:cs="Arial"/>
          <w:sz w:val="20"/>
          <w:szCs w:val="20"/>
        </w:rPr>
        <w:t xml:space="preserve">assessment of the benefits and potential impacts of flood mitigation measures is needed. </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The flood models</w:t>
      </w:r>
      <w:r w:rsidR="004F21D8">
        <w:rPr>
          <w:rFonts w:ascii="Arial" w:hAnsi="Arial" w:cs="Arial"/>
          <w:sz w:val="20"/>
          <w:szCs w:val="20"/>
        </w:rPr>
        <w:t>, as compiled,</w:t>
      </w:r>
      <w:r w:rsidR="009B1A92">
        <w:rPr>
          <w:rFonts w:ascii="Arial" w:hAnsi="Arial" w:cs="Arial"/>
          <w:sz w:val="20"/>
          <w:szCs w:val="20"/>
        </w:rPr>
        <w:t xml:space="preserve"> </w:t>
      </w:r>
      <w:r w:rsidRPr="001E7DE7">
        <w:rPr>
          <w:rFonts w:ascii="Arial" w:hAnsi="Arial" w:cs="Arial"/>
          <w:sz w:val="20"/>
          <w:szCs w:val="20"/>
        </w:rPr>
        <w:t>are not suitable to directly assess water quality impacts. Water quality modelling would assess changes to</w:t>
      </w:r>
      <w:r w:rsidR="009B1A92">
        <w:rPr>
          <w:rFonts w:ascii="Arial" w:hAnsi="Arial" w:cs="Arial"/>
          <w:sz w:val="20"/>
          <w:szCs w:val="20"/>
        </w:rPr>
        <w:t xml:space="preserve"> </w:t>
      </w:r>
      <w:r w:rsidRPr="001E7DE7">
        <w:rPr>
          <w:rFonts w:ascii="Arial" w:hAnsi="Arial" w:cs="Arial"/>
          <w:sz w:val="20"/>
          <w:szCs w:val="20"/>
        </w:rPr>
        <w:t xml:space="preserve">water quality components. </w:t>
      </w:r>
      <w:r w:rsidR="009B1A92">
        <w:rPr>
          <w:rFonts w:ascii="Arial" w:hAnsi="Arial" w:cs="Arial"/>
          <w:sz w:val="20"/>
          <w:szCs w:val="20"/>
        </w:rPr>
        <w:t xml:space="preserve">A </w:t>
      </w:r>
      <w:r w:rsidRPr="001E7DE7">
        <w:rPr>
          <w:rFonts w:ascii="Arial" w:hAnsi="Arial" w:cs="Arial"/>
          <w:sz w:val="20"/>
          <w:szCs w:val="20"/>
        </w:rPr>
        <w:t xml:space="preserve">finer scale grid resolution would be needed in the model to </w:t>
      </w:r>
      <w:r w:rsidR="009B1A92">
        <w:rPr>
          <w:rFonts w:ascii="Arial" w:hAnsi="Arial" w:cs="Arial"/>
          <w:sz w:val="20"/>
          <w:szCs w:val="20"/>
        </w:rPr>
        <w:t xml:space="preserve">assess </w:t>
      </w:r>
      <w:r w:rsidRPr="001E7DE7">
        <w:rPr>
          <w:rFonts w:ascii="Arial" w:hAnsi="Arial" w:cs="Arial"/>
          <w:sz w:val="20"/>
          <w:szCs w:val="20"/>
        </w:rPr>
        <w:t>effects of micro scale surface erosion issues, such as subsidence-induced surface cracking or changes to velocity profiles in the subsided areas</w:t>
      </w:r>
      <w:r w:rsidR="00E43C5F">
        <w:rPr>
          <w:rFonts w:ascii="Arial" w:hAnsi="Arial" w:cs="Arial"/>
          <w:sz w:val="20"/>
          <w:szCs w:val="20"/>
        </w:rPr>
        <w:t>.</w:t>
      </w:r>
    </w:p>
    <w:p w:rsidR="00982E9B" w:rsidRPr="009B1A92" w:rsidRDefault="000C6FE1" w:rsidP="00982E9B">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t xml:space="preserve">Question 4: </w:t>
      </w:r>
      <w:r w:rsidRPr="000C6FE1">
        <w:rPr>
          <w:rFonts w:ascii="Arial" w:hAnsi="Arial" w:cs="Arial"/>
          <w:i/>
          <w:sz w:val="20"/>
          <w:szCs w:val="20"/>
          <w:lang w:val="en-US"/>
        </w:rPr>
        <w:t>Is flood modelling presented in the EIS (Attachment A), Volume 1, Chapter 9 and Volume 2, Appendices F1 and F3 sufficient to determine if flood mitigations and water management systems will be effective to prevent downstream impacts on water quality and quantity? If not can you recommend any improvements?</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 xml:space="preserve">Decisions regarding flood protection should </w:t>
      </w:r>
      <w:r w:rsidR="009B1A92">
        <w:rPr>
          <w:rFonts w:ascii="Arial" w:hAnsi="Arial" w:cs="Arial"/>
          <w:sz w:val="20"/>
          <w:szCs w:val="20"/>
        </w:rPr>
        <w:t xml:space="preserve">be informed by </w:t>
      </w:r>
      <w:r w:rsidRPr="001E7DE7">
        <w:rPr>
          <w:rFonts w:ascii="Arial" w:hAnsi="Arial" w:cs="Arial"/>
          <w:sz w:val="20"/>
          <w:szCs w:val="20"/>
        </w:rPr>
        <w:t>local and regional flood models. While the regional flood model indicates mine infrastructure will not be affected by flooding, the local flood model indicates that the Mine Affected Water (MAW) dam and parts of the Rejects Emplacement Area (REA) will be impacted. Th</w:t>
      </w:r>
      <w:r w:rsidR="004F21D8">
        <w:rPr>
          <w:rFonts w:ascii="Arial" w:hAnsi="Arial" w:cs="Arial"/>
          <w:sz w:val="20"/>
          <w:szCs w:val="20"/>
        </w:rPr>
        <w:t>is</w:t>
      </w:r>
      <w:r w:rsidRPr="001E7DE7">
        <w:rPr>
          <w:rFonts w:ascii="Arial" w:hAnsi="Arial" w:cs="Arial"/>
          <w:sz w:val="20"/>
          <w:szCs w:val="20"/>
        </w:rPr>
        <w:t xml:space="preserve"> infrastructure </w:t>
      </w:r>
      <w:r w:rsidR="00435187">
        <w:rPr>
          <w:rFonts w:ascii="Arial" w:hAnsi="Arial" w:cs="Arial"/>
          <w:sz w:val="20"/>
          <w:szCs w:val="20"/>
        </w:rPr>
        <w:t xml:space="preserve">may </w:t>
      </w:r>
      <w:r w:rsidRPr="001E7DE7">
        <w:rPr>
          <w:rFonts w:ascii="Arial" w:hAnsi="Arial" w:cs="Arial"/>
          <w:sz w:val="20"/>
          <w:szCs w:val="20"/>
        </w:rPr>
        <w:t>contain contaminants that could degrade water quality and as such, they should be protected from flood water. A specific mitigation plan describing how local drainage infrastructure will be designed</w:t>
      </w:r>
      <w:r w:rsidR="00747A26">
        <w:rPr>
          <w:rFonts w:ascii="Arial" w:hAnsi="Arial" w:cs="Arial"/>
          <w:sz w:val="20"/>
          <w:szCs w:val="20"/>
        </w:rPr>
        <w:t>,</w:t>
      </w:r>
      <w:r w:rsidRPr="001E7DE7">
        <w:rPr>
          <w:rFonts w:ascii="Arial" w:hAnsi="Arial" w:cs="Arial"/>
          <w:sz w:val="20"/>
          <w:szCs w:val="20"/>
        </w:rPr>
        <w:t xml:space="preserve"> so as to avoid erosion of the REA, and inundation and overtopping of the MAW dam</w:t>
      </w:r>
      <w:r w:rsidR="00747A26">
        <w:rPr>
          <w:rFonts w:ascii="Arial" w:hAnsi="Arial" w:cs="Arial"/>
          <w:sz w:val="20"/>
          <w:szCs w:val="20"/>
        </w:rPr>
        <w:t>,</w:t>
      </w:r>
      <w:r w:rsidRPr="001E7DE7">
        <w:rPr>
          <w:rFonts w:ascii="Arial" w:hAnsi="Arial" w:cs="Arial"/>
          <w:sz w:val="20"/>
          <w:szCs w:val="20"/>
        </w:rPr>
        <w:t xml:space="preserve"> is </w:t>
      </w:r>
      <w:r w:rsidR="00E43C5F">
        <w:rPr>
          <w:rFonts w:ascii="Arial" w:hAnsi="Arial" w:cs="Arial"/>
          <w:sz w:val="20"/>
          <w:szCs w:val="20"/>
        </w:rPr>
        <w:t>warranted</w:t>
      </w:r>
      <w:r w:rsidRPr="001E7DE7">
        <w:rPr>
          <w:rFonts w:ascii="Arial" w:hAnsi="Arial" w:cs="Arial"/>
          <w:sz w:val="20"/>
          <w:szCs w:val="20"/>
        </w:rPr>
        <w:t>.</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The influence of groundwater drawdown has not been considered in the flood study. While groundwater drawdown is not expected to significantly impact flood levels during 50 year</w:t>
      </w:r>
      <w:r w:rsidR="004F21D8">
        <w:rPr>
          <w:rFonts w:ascii="Arial" w:hAnsi="Arial" w:cs="Arial"/>
          <w:sz w:val="20"/>
          <w:szCs w:val="20"/>
        </w:rPr>
        <w:t>, or larger</w:t>
      </w:r>
      <w:r w:rsidRPr="001E7DE7">
        <w:rPr>
          <w:rFonts w:ascii="Arial" w:hAnsi="Arial" w:cs="Arial"/>
          <w:sz w:val="20"/>
          <w:szCs w:val="20"/>
        </w:rPr>
        <w:t xml:space="preserve"> ARI</w:t>
      </w:r>
      <w:r w:rsidR="004F21D8">
        <w:rPr>
          <w:rFonts w:ascii="Arial" w:hAnsi="Arial" w:cs="Arial"/>
          <w:sz w:val="20"/>
          <w:szCs w:val="20"/>
        </w:rPr>
        <w:t xml:space="preserve"> events</w:t>
      </w:r>
      <w:r w:rsidR="00747A26">
        <w:rPr>
          <w:rFonts w:ascii="Arial" w:hAnsi="Arial" w:cs="Arial"/>
          <w:sz w:val="20"/>
          <w:szCs w:val="20"/>
        </w:rPr>
        <w:t>, e</w:t>
      </w:r>
      <w:r w:rsidRPr="001E7DE7">
        <w:rPr>
          <w:rFonts w:ascii="Arial" w:hAnsi="Arial" w:cs="Arial"/>
          <w:sz w:val="20"/>
          <w:szCs w:val="20"/>
        </w:rPr>
        <w:t xml:space="preserve">xpansion of the flood study to incorporate groundwater flux and a broader range of flood events would enable the effect of groundwater drawdown on peak flood levels and flood volumes to be more comprehensively assessed and quantified. </w:t>
      </w:r>
    </w:p>
    <w:p w:rsidR="001E7DE7" w:rsidRPr="001E7DE7" w:rsidRDefault="001E7DE7" w:rsidP="001E7DE7">
      <w:pPr>
        <w:pStyle w:val="ListParagraph"/>
        <w:numPr>
          <w:ilvl w:val="0"/>
          <w:numId w:val="23"/>
        </w:numPr>
        <w:spacing w:after="200" w:line="276" w:lineRule="auto"/>
        <w:rPr>
          <w:rFonts w:ascii="Arial" w:hAnsi="Arial" w:cs="Arial"/>
          <w:sz w:val="20"/>
          <w:szCs w:val="20"/>
        </w:rPr>
      </w:pPr>
      <w:r w:rsidRPr="001E7DE7">
        <w:rPr>
          <w:rFonts w:ascii="Arial" w:hAnsi="Arial" w:cs="Arial"/>
          <w:sz w:val="20"/>
          <w:szCs w:val="20"/>
        </w:rPr>
        <w:t xml:space="preserve">The flood models </w:t>
      </w:r>
      <w:r w:rsidR="00010798">
        <w:rPr>
          <w:rFonts w:ascii="Arial" w:hAnsi="Arial" w:cs="Arial"/>
          <w:sz w:val="20"/>
          <w:szCs w:val="20"/>
        </w:rPr>
        <w:t>as compiled are not suitable for predicting i</w:t>
      </w:r>
      <w:r w:rsidRPr="001E7DE7">
        <w:rPr>
          <w:rFonts w:ascii="Arial" w:hAnsi="Arial" w:cs="Arial"/>
          <w:sz w:val="20"/>
          <w:szCs w:val="20"/>
        </w:rPr>
        <w:t>mpacts on water quality.</w:t>
      </w:r>
    </w:p>
    <w:p w:rsidR="00982E9B" w:rsidRPr="00747A26" w:rsidRDefault="000C6FE1" w:rsidP="00982E9B">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t xml:space="preserve">Question 5: </w:t>
      </w:r>
      <w:r w:rsidRPr="000C6FE1">
        <w:rPr>
          <w:rFonts w:ascii="Arial" w:hAnsi="Arial" w:cs="Arial"/>
          <w:i/>
          <w:sz w:val="20"/>
          <w:szCs w:val="20"/>
          <w:lang w:val="en-US"/>
        </w:rPr>
        <w:t>The EIS (Attachment A), at Volume 2, Sections 9.12 (surface water), 12.6 (Matters of National Environmental Significance) and 13.5 (groundwater), describes mitigations in regards to the construction of the haul road. Does the Committee consider there are any significant risks from haul road construction in relation to water resources? If significant risks are identified, please discuss information that could reduce uncertainty and mitigation measures to reduce risks.</w:t>
      </w:r>
    </w:p>
    <w:p w:rsidR="001E7DE7" w:rsidRPr="001E7DE7" w:rsidRDefault="00E43C5F" w:rsidP="001E7DE7">
      <w:pPr>
        <w:pStyle w:val="ListNumber"/>
        <w:numPr>
          <w:ilvl w:val="0"/>
          <w:numId w:val="23"/>
        </w:numPr>
        <w:spacing w:before="120" w:line="276" w:lineRule="auto"/>
        <w:ind w:hanging="357"/>
        <w:rPr>
          <w:rFonts w:ascii="Arial" w:hAnsi="Arial" w:cs="Arial"/>
          <w:sz w:val="20"/>
          <w:szCs w:val="20"/>
        </w:rPr>
      </w:pPr>
      <w:r>
        <w:rPr>
          <w:rFonts w:ascii="Arial" w:hAnsi="Arial" w:cs="Arial"/>
          <w:sz w:val="20"/>
          <w:szCs w:val="20"/>
        </w:rPr>
        <w:t>While</w:t>
      </w:r>
      <w:r w:rsidR="001E7DE7" w:rsidRPr="001E7DE7">
        <w:rPr>
          <w:rFonts w:ascii="Arial" w:hAnsi="Arial" w:cs="Arial"/>
          <w:sz w:val="20"/>
          <w:szCs w:val="20"/>
        </w:rPr>
        <w:t xml:space="preserve"> </w:t>
      </w:r>
      <w:r w:rsidR="00EE76BA">
        <w:rPr>
          <w:rFonts w:ascii="Arial" w:hAnsi="Arial" w:cs="Arial"/>
          <w:sz w:val="20"/>
          <w:szCs w:val="20"/>
        </w:rPr>
        <w:t xml:space="preserve">the </w:t>
      </w:r>
      <w:r w:rsidR="001E7DE7" w:rsidRPr="001E7DE7">
        <w:rPr>
          <w:rFonts w:ascii="Arial" w:hAnsi="Arial" w:cs="Arial"/>
          <w:sz w:val="20"/>
          <w:szCs w:val="20"/>
        </w:rPr>
        <w:t>proponent has identified the majority of risks arising from construction and operation of the haul road; the following risks to water quality</w:t>
      </w:r>
      <w:r>
        <w:rPr>
          <w:rFonts w:ascii="Arial" w:hAnsi="Arial" w:cs="Arial"/>
          <w:sz w:val="20"/>
          <w:szCs w:val="20"/>
        </w:rPr>
        <w:t xml:space="preserve"> are not considered</w:t>
      </w:r>
      <w:r w:rsidR="00224622">
        <w:rPr>
          <w:rFonts w:ascii="Arial" w:hAnsi="Arial" w:cs="Arial"/>
          <w:sz w:val="20"/>
          <w:szCs w:val="20"/>
        </w:rPr>
        <w:t>:</w:t>
      </w:r>
    </w:p>
    <w:p w:rsidR="001E7DE7" w:rsidRPr="001E7DE7" w:rsidRDefault="001E7DE7" w:rsidP="001E7DE7">
      <w:pPr>
        <w:pStyle w:val="ListNumber"/>
        <w:numPr>
          <w:ilvl w:val="0"/>
          <w:numId w:val="26"/>
        </w:numPr>
        <w:spacing w:before="120" w:line="276" w:lineRule="auto"/>
        <w:ind w:left="709"/>
        <w:rPr>
          <w:rFonts w:ascii="Arial" w:hAnsi="Arial" w:cs="Arial"/>
          <w:sz w:val="20"/>
          <w:szCs w:val="20"/>
        </w:rPr>
      </w:pPr>
      <w:r w:rsidRPr="001E7DE7">
        <w:rPr>
          <w:rFonts w:ascii="Arial" w:hAnsi="Arial" w:cs="Arial"/>
          <w:sz w:val="20"/>
          <w:szCs w:val="20"/>
        </w:rPr>
        <w:t>Post-mining and decommissioning;</w:t>
      </w:r>
    </w:p>
    <w:p w:rsidR="00246F46" w:rsidRDefault="00246F46" w:rsidP="00246F46">
      <w:pPr>
        <w:pStyle w:val="ListNumber"/>
        <w:numPr>
          <w:ilvl w:val="0"/>
          <w:numId w:val="26"/>
        </w:numPr>
        <w:spacing w:before="120" w:line="276" w:lineRule="auto"/>
        <w:ind w:left="709"/>
        <w:rPr>
          <w:rFonts w:ascii="Arial" w:hAnsi="Arial" w:cs="Arial"/>
          <w:sz w:val="20"/>
          <w:szCs w:val="20"/>
        </w:rPr>
      </w:pPr>
      <w:r>
        <w:rPr>
          <w:rFonts w:ascii="Arial" w:hAnsi="Arial" w:cs="Arial"/>
          <w:sz w:val="20"/>
          <w:szCs w:val="20"/>
        </w:rPr>
        <w:t xml:space="preserve">The potential use of untreated mine-affected water for dust suppression for the haul road may result in salt and metal build up in the surface layer of the haul road, which could be eroded </w:t>
      </w:r>
      <w:r>
        <w:rPr>
          <w:rFonts w:ascii="Arial" w:hAnsi="Arial" w:cs="Arial"/>
          <w:sz w:val="20"/>
          <w:szCs w:val="20"/>
        </w:rPr>
        <w:lastRenderedPageBreak/>
        <w:t>during rainfall events. While sediment basins are likely to retain and settle sediments, dissolved salts may be released when the basins overflow. Untreated mine-affected water should not be used for dust suppression unless it can be demonstrated that receiving waterways will not be adversely affected; and</w:t>
      </w:r>
    </w:p>
    <w:p w:rsidR="001E7DE7" w:rsidRPr="001E7DE7" w:rsidRDefault="001E7DE7" w:rsidP="001E7DE7">
      <w:pPr>
        <w:pStyle w:val="ListNumber"/>
        <w:numPr>
          <w:ilvl w:val="0"/>
          <w:numId w:val="26"/>
        </w:numPr>
        <w:spacing w:before="120" w:line="276" w:lineRule="auto"/>
        <w:ind w:left="709"/>
        <w:rPr>
          <w:rFonts w:ascii="Arial" w:hAnsi="Arial" w:cs="Arial"/>
          <w:sz w:val="20"/>
          <w:szCs w:val="20"/>
        </w:rPr>
      </w:pPr>
      <w:r w:rsidRPr="001E7DE7">
        <w:rPr>
          <w:rFonts w:ascii="Arial" w:hAnsi="Arial" w:cs="Arial"/>
          <w:sz w:val="20"/>
          <w:szCs w:val="20"/>
        </w:rPr>
        <w:t>Flood water overtopping the unsealed haul roads during flood events, potentially resulting in increased scouring and/or sedimentation in downstream terrestrial lands and/or watercourses. Under the current proposal, culverts are sized to accommodate the 5 year ARI flood event. If erosion risks are significant and cannot be adequately mitigated, culvert sizing may need to be reconsidered.</w:t>
      </w:r>
    </w:p>
    <w:p w:rsidR="001E7DE7" w:rsidRPr="001D03F6" w:rsidRDefault="001E7DE7" w:rsidP="001D03F6">
      <w:pPr>
        <w:pStyle w:val="ListNumber"/>
        <w:numPr>
          <w:ilvl w:val="0"/>
          <w:numId w:val="23"/>
        </w:numPr>
        <w:spacing w:before="120" w:line="276" w:lineRule="auto"/>
        <w:ind w:hanging="357"/>
        <w:rPr>
          <w:rFonts w:ascii="Arial" w:hAnsi="Arial" w:cs="Arial"/>
          <w:sz w:val="20"/>
          <w:szCs w:val="20"/>
        </w:rPr>
      </w:pPr>
      <w:r w:rsidRPr="001E7DE7">
        <w:rPr>
          <w:rFonts w:ascii="Arial" w:hAnsi="Arial" w:cs="Arial"/>
          <w:sz w:val="20"/>
          <w:szCs w:val="20"/>
        </w:rPr>
        <w:t xml:space="preserve">Development of the </w:t>
      </w:r>
      <w:r w:rsidR="00EE365F">
        <w:rPr>
          <w:rFonts w:ascii="Arial" w:hAnsi="Arial" w:cs="Arial"/>
          <w:sz w:val="20"/>
          <w:szCs w:val="20"/>
        </w:rPr>
        <w:t xml:space="preserve">alternative </w:t>
      </w:r>
      <w:r w:rsidRPr="001E7DE7">
        <w:rPr>
          <w:rFonts w:ascii="Arial" w:hAnsi="Arial" w:cs="Arial"/>
          <w:sz w:val="20"/>
          <w:szCs w:val="20"/>
        </w:rPr>
        <w:t xml:space="preserve">southern haul road route within the floodplain of the Nogoa River may affect flood behaviour during significant flood events. </w:t>
      </w:r>
      <w:r w:rsidR="006F34A5">
        <w:rPr>
          <w:rFonts w:ascii="Arial" w:hAnsi="Arial" w:cs="Arial"/>
          <w:sz w:val="20"/>
          <w:szCs w:val="20"/>
        </w:rPr>
        <w:t>D</w:t>
      </w:r>
      <w:r w:rsidRPr="001E7DE7">
        <w:rPr>
          <w:rFonts w:ascii="Arial" w:hAnsi="Arial" w:cs="Arial"/>
          <w:sz w:val="20"/>
          <w:szCs w:val="20"/>
        </w:rPr>
        <w:t>etailed flood modelling</w:t>
      </w:r>
      <w:r w:rsidR="006F34A5">
        <w:rPr>
          <w:rFonts w:ascii="Arial" w:hAnsi="Arial" w:cs="Arial"/>
          <w:sz w:val="20"/>
          <w:szCs w:val="20"/>
        </w:rPr>
        <w:t xml:space="preserve"> </w:t>
      </w:r>
      <w:r w:rsidR="00E740B1">
        <w:rPr>
          <w:rFonts w:ascii="Arial" w:hAnsi="Arial" w:cs="Arial"/>
          <w:sz w:val="20"/>
          <w:szCs w:val="20"/>
        </w:rPr>
        <w:t>will</w:t>
      </w:r>
      <w:r w:rsidR="006F34A5">
        <w:rPr>
          <w:rFonts w:ascii="Arial" w:hAnsi="Arial" w:cs="Arial"/>
          <w:sz w:val="20"/>
          <w:szCs w:val="20"/>
        </w:rPr>
        <w:t xml:space="preserve"> evaluate this impact</w:t>
      </w:r>
      <w:r w:rsidRPr="001E7DE7">
        <w:rPr>
          <w:rFonts w:ascii="Arial" w:hAnsi="Arial" w:cs="Arial"/>
          <w:sz w:val="20"/>
          <w:szCs w:val="20"/>
        </w:rPr>
        <w:t xml:space="preserve">. </w:t>
      </w:r>
      <w:r w:rsidR="006F34A5">
        <w:rPr>
          <w:rFonts w:ascii="Arial" w:hAnsi="Arial" w:cs="Arial"/>
          <w:sz w:val="20"/>
          <w:szCs w:val="20"/>
        </w:rPr>
        <w:t xml:space="preserve">Assessment of water quality impacts from </w:t>
      </w:r>
      <w:r w:rsidRPr="001E7DE7">
        <w:rPr>
          <w:rFonts w:ascii="Arial" w:hAnsi="Arial" w:cs="Arial"/>
          <w:sz w:val="20"/>
          <w:szCs w:val="20"/>
        </w:rPr>
        <w:t>scouring during significant flooding in the Nogoa River is also needed.</w:t>
      </w:r>
    </w:p>
    <w:p w:rsidR="001E7DE7" w:rsidRPr="001E7DE7" w:rsidRDefault="001E7DE7" w:rsidP="001E7DE7">
      <w:pPr>
        <w:pStyle w:val="ListNumber"/>
        <w:numPr>
          <w:ilvl w:val="0"/>
          <w:numId w:val="23"/>
        </w:numPr>
        <w:spacing w:before="120" w:line="276" w:lineRule="auto"/>
        <w:ind w:hanging="357"/>
        <w:rPr>
          <w:rFonts w:ascii="Arial" w:hAnsi="Arial" w:cs="Arial"/>
          <w:sz w:val="20"/>
          <w:szCs w:val="20"/>
        </w:rPr>
      </w:pPr>
      <w:r w:rsidRPr="001E7DE7">
        <w:rPr>
          <w:rFonts w:ascii="Arial" w:hAnsi="Arial" w:cs="Arial"/>
          <w:sz w:val="20"/>
          <w:szCs w:val="20"/>
        </w:rPr>
        <w:t>The southern haul road corridor is likely to traverse and potentially impact multiple waterways. It therefore is likely to have greater impact on water resources than the northern haul road option.</w:t>
      </w:r>
    </w:p>
    <w:p w:rsidR="00982E9B" w:rsidRPr="00435187" w:rsidRDefault="000C6FE1" w:rsidP="00982E9B">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t xml:space="preserve">Question 6: </w:t>
      </w:r>
      <w:r w:rsidRPr="000C6FE1">
        <w:rPr>
          <w:rFonts w:ascii="Arial" w:hAnsi="Arial" w:cs="Arial"/>
          <w:i/>
          <w:sz w:val="20"/>
          <w:szCs w:val="20"/>
          <w:lang w:val="en-US"/>
        </w:rPr>
        <w:t>Are there any likely impacts, not considered in the EIS (Attachment A), that might lead to changes in surface and/or groundwater dynamics, quality or quantity. What impacts are these changes likely to have on other water users (human and ecological)?</w:t>
      </w:r>
    </w:p>
    <w:p w:rsidR="00D43486" w:rsidRDefault="006F34A5"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u w:val="single"/>
        </w:rPr>
        <w:t>Subsidence</w:t>
      </w:r>
      <w:r>
        <w:rPr>
          <w:rFonts w:ascii="Arial" w:hAnsi="Arial" w:cs="Arial"/>
          <w:sz w:val="20"/>
          <w:szCs w:val="20"/>
          <w:u w:val="single"/>
        </w:rPr>
        <w:t xml:space="preserve"> related water impacts: </w:t>
      </w:r>
      <w:r w:rsidR="00D43486" w:rsidRPr="00D43486">
        <w:rPr>
          <w:rFonts w:ascii="Arial" w:hAnsi="Arial" w:cs="Arial"/>
          <w:sz w:val="20"/>
          <w:szCs w:val="20"/>
        </w:rPr>
        <w:t xml:space="preserve">The proponent’s subsidence model </w:t>
      </w:r>
      <w:r>
        <w:rPr>
          <w:rFonts w:ascii="Arial" w:hAnsi="Arial" w:cs="Arial"/>
          <w:sz w:val="20"/>
          <w:szCs w:val="20"/>
        </w:rPr>
        <w:t xml:space="preserve">predicts </w:t>
      </w:r>
      <w:r w:rsidR="00D43486" w:rsidRPr="00D43486">
        <w:rPr>
          <w:rFonts w:ascii="Arial" w:hAnsi="Arial" w:cs="Arial"/>
          <w:sz w:val="20"/>
          <w:szCs w:val="20"/>
        </w:rPr>
        <w:t>that fractures will propagate from the mining level through the overlying Permian rockmass and into overlying aquifers such as the Tertiary sands and overlying basalt.</w:t>
      </w:r>
      <w:r w:rsidR="00FD63D1">
        <w:rPr>
          <w:rFonts w:ascii="Arial" w:hAnsi="Arial" w:cs="Arial"/>
          <w:sz w:val="20"/>
          <w:szCs w:val="20"/>
        </w:rPr>
        <w:t xml:space="preserve"> </w:t>
      </w:r>
      <w:r>
        <w:rPr>
          <w:rFonts w:ascii="Arial" w:hAnsi="Arial" w:cs="Arial"/>
          <w:sz w:val="20"/>
          <w:szCs w:val="20"/>
        </w:rPr>
        <w:t xml:space="preserve">Furthermore, </w:t>
      </w:r>
      <w:r w:rsidR="00D43486" w:rsidRPr="00D43486">
        <w:rPr>
          <w:rFonts w:ascii="Arial" w:hAnsi="Arial" w:cs="Arial"/>
          <w:sz w:val="20"/>
          <w:szCs w:val="20"/>
        </w:rPr>
        <w:t xml:space="preserve">there will be contiguous fracture connection between the surface and underground mine workings above </w:t>
      </w:r>
      <w:r w:rsidR="00657304">
        <w:rPr>
          <w:rFonts w:ascii="Arial" w:hAnsi="Arial" w:cs="Arial"/>
          <w:sz w:val="20"/>
          <w:szCs w:val="20"/>
        </w:rPr>
        <w:t>most</w:t>
      </w:r>
      <w:r w:rsidR="00D43486" w:rsidRPr="00D43486">
        <w:rPr>
          <w:rFonts w:ascii="Arial" w:hAnsi="Arial" w:cs="Arial"/>
          <w:sz w:val="20"/>
          <w:szCs w:val="20"/>
        </w:rPr>
        <w:t xml:space="preserve"> mining areas, </w:t>
      </w:r>
      <w:r>
        <w:rPr>
          <w:rFonts w:ascii="Arial" w:hAnsi="Arial" w:cs="Arial"/>
          <w:sz w:val="20"/>
          <w:szCs w:val="20"/>
        </w:rPr>
        <w:t>and connection of this</w:t>
      </w:r>
      <w:r w:rsidR="00D43486" w:rsidRPr="00D43486">
        <w:rPr>
          <w:rFonts w:ascii="Arial" w:hAnsi="Arial" w:cs="Arial"/>
          <w:sz w:val="20"/>
          <w:szCs w:val="20"/>
        </w:rPr>
        <w:t xml:space="preserve"> contiguous fracture with </w:t>
      </w:r>
      <w:r>
        <w:rPr>
          <w:rFonts w:ascii="Arial" w:hAnsi="Arial" w:cs="Arial"/>
          <w:sz w:val="20"/>
          <w:szCs w:val="20"/>
        </w:rPr>
        <w:t xml:space="preserve">the </w:t>
      </w:r>
      <w:r w:rsidR="00FD63D1">
        <w:rPr>
          <w:rFonts w:ascii="Arial" w:hAnsi="Arial" w:cs="Arial"/>
          <w:sz w:val="20"/>
          <w:szCs w:val="20"/>
        </w:rPr>
        <w:t xml:space="preserve">surface may develop. </w:t>
      </w:r>
      <w:r w:rsidR="007E6140">
        <w:rPr>
          <w:rFonts w:ascii="Arial" w:hAnsi="Arial" w:cs="Arial"/>
          <w:sz w:val="20"/>
          <w:szCs w:val="20"/>
        </w:rPr>
        <w:t>Potential s</w:t>
      </w:r>
      <w:r w:rsidR="00657304">
        <w:rPr>
          <w:rFonts w:ascii="Arial" w:hAnsi="Arial" w:cs="Arial"/>
          <w:sz w:val="20"/>
          <w:szCs w:val="20"/>
        </w:rPr>
        <w:t xml:space="preserve">ubsidence impacts include: </w:t>
      </w:r>
    </w:p>
    <w:p w:rsidR="00DE45A6" w:rsidRPr="00D43486" w:rsidRDefault="00657304" w:rsidP="00DE45A6">
      <w:pPr>
        <w:pStyle w:val="ListNumber"/>
        <w:numPr>
          <w:ilvl w:val="0"/>
          <w:numId w:val="35"/>
        </w:numPr>
        <w:spacing w:before="120" w:line="276" w:lineRule="auto"/>
        <w:rPr>
          <w:rFonts w:ascii="Arial" w:hAnsi="Arial" w:cs="Arial"/>
          <w:sz w:val="20"/>
          <w:szCs w:val="20"/>
        </w:rPr>
      </w:pPr>
      <w:r>
        <w:rPr>
          <w:rFonts w:ascii="Arial" w:hAnsi="Arial" w:cs="Arial"/>
          <w:sz w:val="20"/>
          <w:szCs w:val="20"/>
        </w:rPr>
        <w:t>S</w:t>
      </w:r>
      <w:r w:rsidR="00DE45A6" w:rsidRPr="00D43486">
        <w:rPr>
          <w:rFonts w:ascii="Arial" w:hAnsi="Arial" w:cs="Arial"/>
          <w:sz w:val="20"/>
          <w:szCs w:val="20"/>
        </w:rPr>
        <w:t xml:space="preserve">ubsidence cracking </w:t>
      </w:r>
      <w:r w:rsidR="006F34A5">
        <w:rPr>
          <w:rFonts w:ascii="Arial" w:hAnsi="Arial" w:cs="Arial"/>
          <w:sz w:val="20"/>
          <w:szCs w:val="20"/>
        </w:rPr>
        <w:t xml:space="preserve">that could </w:t>
      </w:r>
      <w:r w:rsidR="00DE45A6" w:rsidRPr="00D43486">
        <w:rPr>
          <w:rFonts w:ascii="Arial" w:hAnsi="Arial" w:cs="Arial"/>
          <w:sz w:val="20"/>
          <w:szCs w:val="20"/>
        </w:rPr>
        <w:t>affect the integrity of the raw water dam north of LW 202</w:t>
      </w:r>
      <w:r w:rsidR="006F34A5">
        <w:rPr>
          <w:rFonts w:ascii="Arial" w:hAnsi="Arial" w:cs="Arial"/>
          <w:sz w:val="20"/>
          <w:szCs w:val="20"/>
        </w:rPr>
        <w:t xml:space="preserve"> and represents </w:t>
      </w:r>
      <w:r w:rsidR="00DE45A6" w:rsidRPr="00D43486">
        <w:rPr>
          <w:rFonts w:ascii="Arial" w:hAnsi="Arial" w:cs="Arial"/>
          <w:sz w:val="20"/>
          <w:szCs w:val="20"/>
        </w:rPr>
        <w:t>a significant operational and environmental hazard, particularly if dam failure occurred; however, mitigation measures are not discusse</w:t>
      </w:r>
      <w:r w:rsidR="00DE45A6">
        <w:rPr>
          <w:rFonts w:ascii="Arial" w:hAnsi="Arial" w:cs="Arial"/>
          <w:sz w:val="20"/>
          <w:szCs w:val="20"/>
        </w:rPr>
        <w:t>d. O</w:t>
      </w:r>
      <w:r w:rsidR="00DE45A6" w:rsidRPr="00D43486">
        <w:rPr>
          <w:rFonts w:ascii="Arial" w:hAnsi="Arial" w:cs="Arial"/>
          <w:sz w:val="20"/>
          <w:szCs w:val="20"/>
        </w:rPr>
        <w:t xml:space="preserve">ther sensitive mine infrastructure is within the same distance from longwall mining as the raw water dam, including the MAW dam, the MIA and potentially, flood protection infrastructure. </w:t>
      </w:r>
      <w:r w:rsidR="00EE76BA">
        <w:rPr>
          <w:rFonts w:ascii="Arial" w:hAnsi="Arial" w:cs="Arial"/>
          <w:sz w:val="20"/>
          <w:szCs w:val="20"/>
        </w:rPr>
        <w:t>R</w:t>
      </w:r>
      <w:r w:rsidR="006F34A5">
        <w:rPr>
          <w:rFonts w:ascii="Arial" w:hAnsi="Arial" w:cs="Arial"/>
          <w:sz w:val="20"/>
          <w:szCs w:val="20"/>
        </w:rPr>
        <w:t xml:space="preserve">isks to </w:t>
      </w:r>
      <w:r w:rsidR="00EE76BA">
        <w:rPr>
          <w:rFonts w:ascii="Arial" w:hAnsi="Arial" w:cs="Arial"/>
          <w:sz w:val="20"/>
          <w:szCs w:val="20"/>
        </w:rPr>
        <w:t xml:space="preserve">such </w:t>
      </w:r>
      <w:r w:rsidR="00DE45A6" w:rsidRPr="00D43486">
        <w:rPr>
          <w:rFonts w:ascii="Arial" w:hAnsi="Arial" w:cs="Arial"/>
          <w:sz w:val="20"/>
          <w:szCs w:val="20"/>
        </w:rPr>
        <w:t xml:space="preserve">infrastructure </w:t>
      </w:r>
      <w:r w:rsidR="00435187">
        <w:rPr>
          <w:rFonts w:ascii="Arial" w:hAnsi="Arial" w:cs="Arial"/>
          <w:sz w:val="20"/>
          <w:szCs w:val="20"/>
        </w:rPr>
        <w:t>are</w:t>
      </w:r>
      <w:r w:rsidR="00DE45A6" w:rsidRPr="00D43486">
        <w:rPr>
          <w:rFonts w:ascii="Arial" w:hAnsi="Arial" w:cs="Arial"/>
          <w:sz w:val="20"/>
          <w:szCs w:val="20"/>
        </w:rPr>
        <w:t xml:space="preserve"> not discussed. </w:t>
      </w:r>
    </w:p>
    <w:p w:rsidR="00084FBA" w:rsidRDefault="007E6140" w:rsidP="00084FBA">
      <w:pPr>
        <w:pStyle w:val="ListNumber"/>
        <w:numPr>
          <w:ilvl w:val="0"/>
          <w:numId w:val="35"/>
        </w:numPr>
        <w:spacing w:before="120" w:line="276" w:lineRule="auto"/>
        <w:rPr>
          <w:rFonts w:ascii="Arial" w:hAnsi="Arial" w:cs="Arial"/>
          <w:sz w:val="20"/>
          <w:szCs w:val="20"/>
        </w:rPr>
      </w:pPr>
      <w:r>
        <w:rPr>
          <w:rFonts w:ascii="Arial" w:hAnsi="Arial" w:cs="Arial"/>
          <w:sz w:val="20"/>
          <w:szCs w:val="20"/>
        </w:rPr>
        <w:t>Reduced</w:t>
      </w:r>
      <w:r w:rsidR="00084FBA" w:rsidRPr="00D43486">
        <w:rPr>
          <w:rFonts w:ascii="Arial" w:hAnsi="Arial" w:cs="Arial"/>
          <w:sz w:val="20"/>
          <w:szCs w:val="20"/>
        </w:rPr>
        <w:t xml:space="preserve"> integrity of the capping layer over the REA material, the possible clay lining at the base of the REA</w:t>
      </w:r>
      <w:r>
        <w:rPr>
          <w:rFonts w:ascii="Arial" w:hAnsi="Arial" w:cs="Arial"/>
          <w:sz w:val="20"/>
          <w:szCs w:val="20"/>
        </w:rPr>
        <w:t>,</w:t>
      </w:r>
      <w:r w:rsidR="00084FBA" w:rsidRPr="00D43486">
        <w:rPr>
          <w:rFonts w:ascii="Arial" w:hAnsi="Arial" w:cs="Arial"/>
          <w:sz w:val="20"/>
          <w:szCs w:val="20"/>
        </w:rPr>
        <w:t xml:space="preserve"> and the encapsulation of </w:t>
      </w:r>
      <w:r w:rsidR="00084FBA">
        <w:rPr>
          <w:rFonts w:ascii="Arial" w:hAnsi="Arial" w:cs="Arial"/>
          <w:sz w:val="20"/>
          <w:szCs w:val="20"/>
        </w:rPr>
        <w:t>potential acid forming (</w:t>
      </w:r>
      <w:r w:rsidR="00084FBA" w:rsidRPr="00D43486">
        <w:rPr>
          <w:rFonts w:ascii="Arial" w:hAnsi="Arial" w:cs="Arial"/>
          <w:sz w:val="20"/>
          <w:szCs w:val="20"/>
        </w:rPr>
        <w:t>PAF</w:t>
      </w:r>
      <w:r w:rsidR="00084FBA">
        <w:rPr>
          <w:rFonts w:ascii="Arial" w:hAnsi="Arial" w:cs="Arial"/>
          <w:sz w:val="20"/>
          <w:szCs w:val="20"/>
        </w:rPr>
        <w:t>)</w:t>
      </w:r>
      <w:r w:rsidR="00084FBA" w:rsidRPr="00D43486">
        <w:rPr>
          <w:rFonts w:ascii="Arial" w:hAnsi="Arial" w:cs="Arial"/>
          <w:sz w:val="20"/>
          <w:szCs w:val="20"/>
        </w:rPr>
        <w:t xml:space="preserve"> material within the REA. The proponent should </w:t>
      </w:r>
      <w:r w:rsidR="000C24E9">
        <w:rPr>
          <w:rFonts w:ascii="Arial" w:hAnsi="Arial" w:cs="Arial"/>
          <w:sz w:val="20"/>
          <w:szCs w:val="20"/>
        </w:rPr>
        <w:t xml:space="preserve">discuss </w:t>
      </w:r>
      <w:r w:rsidR="00084FBA" w:rsidRPr="00D43486">
        <w:rPr>
          <w:rFonts w:ascii="Arial" w:hAnsi="Arial" w:cs="Arial"/>
          <w:sz w:val="20"/>
          <w:szCs w:val="20"/>
        </w:rPr>
        <w:t>proposed mitigation for subsidence impacts on the REA to increase confidence that acid mine drainage (AMD) impacts to surface and groundwater will not occur.</w:t>
      </w:r>
    </w:p>
    <w:p w:rsidR="001647AA" w:rsidRDefault="000B0AFE" w:rsidP="00084FBA">
      <w:pPr>
        <w:pStyle w:val="ListNumber"/>
        <w:numPr>
          <w:ilvl w:val="0"/>
          <w:numId w:val="35"/>
        </w:numPr>
        <w:spacing w:before="120" w:line="276" w:lineRule="auto"/>
        <w:rPr>
          <w:rFonts w:ascii="Arial" w:hAnsi="Arial" w:cs="Arial"/>
          <w:sz w:val="20"/>
          <w:szCs w:val="20"/>
        </w:rPr>
      </w:pPr>
      <w:r>
        <w:rPr>
          <w:rFonts w:ascii="Arial" w:hAnsi="Arial" w:cs="Arial"/>
          <w:sz w:val="20"/>
          <w:szCs w:val="20"/>
        </w:rPr>
        <w:t>C</w:t>
      </w:r>
      <w:r w:rsidR="001647AA" w:rsidRPr="00D43486">
        <w:rPr>
          <w:rFonts w:ascii="Arial" w:hAnsi="Arial" w:cs="Arial"/>
          <w:sz w:val="20"/>
          <w:szCs w:val="20"/>
        </w:rPr>
        <w:t>reat</w:t>
      </w:r>
      <w:r w:rsidR="007E6140">
        <w:rPr>
          <w:rFonts w:ascii="Arial" w:hAnsi="Arial" w:cs="Arial"/>
          <w:sz w:val="20"/>
          <w:szCs w:val="20"/>
        </w:rPr>
        <w:t>ion of</w:t>
      </w:r>
      <w:r w:rsidR="001647AA" w:rsidRPr="00D43486">
        <w:rPr>
          <w:rFonts w:ascii="Arial" w:hAnsi="Arial" w:cs="Arial"/>
          <w:sz w:val="20"/>
          <w:szCs w:val="20"/>
        </w:rPr>
        <w:t xml:space="preserve"> a series of depressions across the landscape, particularly in the area of the unnamed tributary of T</w:t>
      </w:r>
      <w:r w:rsidR="00B07938">
        <w:rPr>
          <w:rFonts w:ascii="Arial" w:hAnsi="Arial" w:cs="Arial"/>
          <w:sz w:val="20"/>
          <w:szCs w:val="20"/>
        </w:rPr>
        <w:t>h</w:t>
      </w:r>
      <w:r w:rsidR="001647AA" w:rsidRPr="00D43486">
        <w:rPr>
          <w:rFonts w:ascii="Arial" w:hAnsi="Arial" w:cs="Arial"/>
          <w:sz w:val="20"/>
          <w:szCs w:val="20"/>
        </w:rPr>
        <w:t>eresa Creek and the T</w:t>
      </w:r>
      <w:r w:rsidR="00B07938">
        <w:rPr>
          <w:rFonts w:ascii="Arial" w:hAnsi="Arial" w:cs="Arial"/>
          <w:sz w:val="20"/>
          <w:szCs w:val="20"/>
        </w:rPr>
        <w:t>h</w:t>
      </w:r>
      <w:r w:rsidR="001647AA" w:rsidRPr="00D43486">
        <w:rPr>
          <w:rFonts w:ascii="Arial" w:hAnsi="Arial" w:cs="Arial"/>
          <w:sz w:val="20"/>
          <w:szCs w:val="20"/>
        </w:rPr>
        <w:t>eresa Creek floodplain</w:t>
      </w:r>
      <w:r w:rsidR="00032993">
        <w:rPr>
          <w:rFonts w:ascii="Arial" w:hAnsi="Arial" w:cs="Arial"/>
          <w:sz w:val="20"/>
          <w:szCs w:val="20"/>
        </w:rPr>
        <w:t>,</w:t>
      </w:r>
      <w:r w:rsidR="001647AA" w:rsidRPr="00D43486">
        <w:rPr>
          <w:rFonts w:ascii="Arial" w:hAnsi="Arial" w:cs="Arial"/>
          <w:sz w:val="20"/>
          <w:szCs w:val="20"/>
        </w:rPr>
        <w:t xml:space="preserve"> w</w:t>
      </w:r>
      <w:r w:rsidR="00032993">
        <w:rPr>
          <w:rFonts w:ascii="Arial" w:hAnsi="Arial" w:cs="Arial"/>
          <w:sz w:val="20"/>
          <w:szCs w:val="20"/>
        </w:rPr>
        <w:t>ith</w:t>
      </w:r>
      <w:r w:rsidR="001647AA" w:rsidRPr="00D43486">
        <w:rPr>
          <w:rFonts w:ascii="Arial" w:hAnsi="Arial" w:cs="Arial"/>
          <w:sz w:val="20"/>
          <w:szCs w:val="20"/>
        </w:rPr>
        <w:t xml:space="preserve"> up to 2.6m of subsidence predicted. </w:t>
      </w:r>
      <w:r w:rsidR="00032993">
        <w:rPr>
          <w:rFonts w:ascii="Arial" w:hAnsi="Arial" w:cs="Arial"/>
          <w:sz w:val="20"/>
          <w:szCs w:val="20"/>
        </w:rPr>
        <w:t xml:space="preserve">Changes in </w:t>
      </w:r>
      <w:r w:rsidR="001647AA" w:rsidRPr="00D43486">
        <w:rPr>
          <w:rFonts w:ascii="Arial" w:hAnsi="Arial" w:cs="Arial"/>
          <w:sz w:val="20"/>
          <w:szCs w:val="20"/>
        </w:rPr>
        <w:t>topography will restrict water flow, alter the natural direction of drainage, cause ponding within subsidence troughs and reduce floodplain connectivity. Subsidence is likely to result in the disconnection of the headwater end of the waterways from Theresa Creek.</w:t>
      </w:r>
      <w:r w:rsidRPr="000B0AFE">
        <w:rPr>
          <w:rFonts w:ascii="Arial" w:hAnsi="Arial" w:cs="Arial"/>
          <w:sz w:val="20"/>
          <w:szCs w:val="20"/>
        </w:rPr>
        <w:t xml:space="preserve"> </w:t>
      </w:r>
      <w:r w:rsidRPr="00D43486">
        <w:rPr>
          <w:rFonts w:ascii="Arial" w:hAnsi="Arial" w:cs="Arial"/>
          <w:sz w:val="20"/>
          <w:szCs w:val="20"/>
        </w:rPr>
        <w:t>The impact from subsidence on vegetation communities, particularly coolabah woodland, and on aquatic ecosystems</w:t>
      </w:r>
      <w:r w:rsidR="00EE76BA">
        <w:rPr>
          <w:rFonts w:ascii="Arial" w:hAnsi="Arial" w:cs="Arial"/>
          <w:sz w:val="20"/>
          <w:szCs w:val="20"/>
        </w:rPr>
        <w:t>,</w:t>
      </w:r>
      <w:r w:rsidRPr="00D43486">
        <w:rPr>
          <w:rFonts w:ascii="Arial" w:hAnsi="Arial" w:cs="Arial"/>
          <w:sz w:val="20"/>
          <w:szCs w:val="20"/>
        </w:rPr>
        <w:t xml:space="preserve"> is predicted to be high.</w:t>
      </w:r>
    </w:p>
    <w:p w:rsidR="00B07938" w:rsidRPr="00B07938" w:rsidRDefault="00B07938" w:rsidP="00B07938">
      <w:pPr>
        <w:pStyle w:val="ListNumber"/>
        <w:numPr>
          <w:ilvl w:val="0"/>
          <w:numId w:val="35"/>
        </w:numPr>
        <w:spacing w:before="120" w:line="276" w:lineRule="auto"/>
        <w:rPr>
          <w:rFonts w:ascii="Arial" w:hAnsi="Arial" w:cs="Arial"/>
          <w:sz w:val="20"/>
          <w:szCs w:val="20"/>
        </w:rPr>
      </w:pPr>
      <w:r>
        <w:rPr>
          <w:rFonts w:ascii="Arial" w:hAnsi="Arial" w:cs="Arial"/>
          <w:sz w:val="20"/>
          <w:szCs w:val="20"/>
        </w:rPr>
        <w:t>Subsidence fracturing may reduce ponding duration within the</w:t>
      </w:r>
      <w:r w:rsidRPr="00D43486">
        <w:rPr>
          <w:rFonts w:ascii="Arial" w:hAnsi="Arial" w:cs="Arial"/>
          <w:sz w:val="20"/>
          <w:szCs w:val="20"/>
        </w:rPr>
        <w:t xml:space="preserve"> Theresa Creek floodplain and increase</w:t>
      </w:r>
      <w:r>
        <w:rPr>
          <w:rFonts w:ascii="Arial" w:hAnsi="Arial" w:cs="Arial"/>
          <w:sz w:val="20"/>
          <w:szCs w:val="20"/>
        </w:rPr>
        <w:t xml:space="preserve"> the</w:t>
      </w:r>
      <w:r w:rsidRPr="00D43486">
        <w:rPr>
          <w:rFonts w:ascii="Arial" w:hAnsi="Arial" w:cs="Arial"/>
          <w:sz w:val="20"/>
          <w:szCs w:val="20"/>
        </w:rPr>
        <w:t xml:space="preserve"> volume of water to be managed within, and discharged from, the mine water management system. </w:t>
      </w:r>
    </w:p>
    <w:p w:rsidR="00D43486" w:rsidRPr="00D43486" w:rsidRDefault="00032993" w:rsidP="00D43486">
      <w:pPr>
        <w:pStyle w:val="ListNumber"/>
        <w:numPr>
          <w:ilvl w:val="0"/>
          <w:numId w:val="23"/>
        </w:numPr>
        <w:spacing w:before="120" w:line="276" w:lineRule="auto"/>
        <w:rPr>
          <w:rFonts w:ascii="Arial" w:hAnsi="Arial" w:cs="Arial"/>
          <w:sz w:val="20"/>
          <w:szCs w:val="20"/>
        </w:rPr>
      </w:pPr>
      <w:r w:rsidRPr="007C17CB">
        <w:rPr>
          <w:rFonts w:ascii="Arial" w:hAnsi="Arial" w:cs="Arial"/>
          <w:sz w:val="20"/>
          <w:szCs w:val="20"/>
          <w:u w:val="single"/>
        </w:rPr>
        <w:t>Subsidence modelling:</w:t>
      </w:r>
      <w:r>
        <w:rPr>
          <w:rFonts w:ascii="Arial" w:hAnsi="Arial" w:cs="Arial"/>
          <w:sz w:val="20"/>
          <w:szCs w:val="20"/>
        </w:rPr>
        <w:t xml:space="preserve"> </w:t>
      </w:r>
      <w:r w:rsidR="00D43486" w:rsidRPr="00D43486">
        <w:rPr>
          <w:rFonts w:ascii="Arial" w:hAnsi="Arial" w:cs="Arial"/>
          <w:sz w:val="20"/>
          <w:szCs w:val="20"/>
        </w:rPr>
        <w:t>The hydrogeological stu</w:t>
      </w:r>
      <w:r w:rsidR="00F96705">
        <w:rPr>
          <w:rFonts w:ascii="Arial" w:hAnsi="Arial" w:cs="Arial"/>
          <w:sz w:val="20"/>
          <w:szCs w:val="20"/>
        </w:rPr>
        <w:t>dy</w:t>
      </w:r>
      <w:r w:rsidR="00D43486" w:rsidRPr="00D43486">
        <w:rPr>
          <w:rFonts w:ascii="Arial" w:hAnsi="Arial" w:cs="Arial"/>
          <w:sz w:val="20"/>
          <w:szCs w:val="20"/>
        </w:rPr>
        <w:t xml:space="preserve"> identified a thick layer of Tertiary sands (up to 3</w:t>
      </w:r>
      <w:r w:rsidR="00FD63D1">
        <w:rPr>
          <w:rFonts w:ascii="Arial" w:hAnsi="Arial" w:cs="Arial"/>
          <w:sz w:val="20"/>
          <w:szCs w:val="20"/>
        </w:rPr>
        <w:t>0m thick within the mining area</w:t>
      </w:r>
      <w:r w:rsidR="00D43486" w:rsidRPr="00D43486">
        <w:rPr>
          <w:rFonts w:ascii="Arial" w:hAnsi="Arial" w:cs="Arial"/>
          <w:sz w:val="20"/>
          <w:szCs w:val="20"/>
        </w:rPr>
        <w:t xml:space="preserve">) </w:t>
      </w:r>
      <w:r>
        <w:rPr>
          <w:rFonts w:ascii="Arial" w:hAnsi="Arial" w:cs="Arial"/>
          <w:sz w:val="20"/>
          <w:szCs w:val="20"/>
        </w:rPr>
        <w:t xml:space="preserve">with </w:t>
      </w:r>
      <w:r w:rsidR="00D43486" w:rsidRPr="00D43486">
        <w:rPr>
          <w:rFonts w:ascii="Arial" w:hAnsi="Arial" w:cs="Arial"/>
          <w:sz w:val="20"/>
          <w:szCs w:val="20"/>
        </w:rPr>
        <w:t xml:space="preserve">flowing or drifting tendencies when encountered during </w:t>
      </w:r>
      <w:r w:rsidR="00D43486" w:rsidRPr="00D43486">
        <w:rPr>
          <w:rFonts w:ascii="Arial" w:hAnsi="Arial" w:cs="Arial"/>
          <w:sz w:val="20"/>
          <w:szCs w:val="20"/>
        </w:rPr>
        <w:lastRenderedPageBreak/>
        <w:t>drilling</w:t>
      </w:r>
      <w:r>
        <w:rPr>
          <w:rFonts w:ascii="Arial" w:hAnsi="Arial" w:cs="Arial"/>
          <w:sz w:val="20"/>
          <w:szCs w:val="20"/>
        </w:rPr>
        <w:t>. These properties are</w:t>
      </w:r>
      <w:r w:rsidR="00D43486" w:rsidRPr="00D43486">
        <w:rPr>
          <w:rFonts w:ascii="Arial" w:hAnsi="Arial" w:cs="Arial"/>
          <w:sz w:val="20"/>
          <w:szCs w:val="20"/>
        </w:rPr>
        <w:t xml:space="preserve"> described</w:t>
      </w:r>
      <w:r w:rsidR="00E43C5F">
        <w:rPr>
          <w:rFonts w:ascii="Arial" w:hAnsi="Arial" w:cs="Arial"/>
          <w:sz w:val="20"/>
          <w:szCs w:val="20"/>
        </w:rPr>
        <w:t xml:space="preserve"> as</w:t>
      </w:r>
      <w:r w:rsidR="00D43486" w:rsidRPr="00D43486">
        <w:rPr>
          <w:rFonts w:ascii="Arial" w:hAnsi="Arial" w:cs="Arial"/>
          <w:sz w:val="20"/>
          <w:szCs w:val="20"/>
        </w:rPr>
        <w:t xml:space="preserve"> “limited ma</w:t>
      </w:r>
      <w:r w:rsidR="00FD63D1">
        <w:rPr>
          <w:rFonts w:ascii="Arial" w:hAnsi="Arial" w:cs="Arial"/>
          <w:sz w:val="20"/>
          <w:szCs w:val="20"/>
        </w:rPr>
        <w:t>trix support or consolidation”</w:t>
      </w:r>
      <w:r w:rsidR="00D43486" w:rsidRPr="00D43486">
        <w:rPr>
          <w:rFonts w:ascii="Arial" w:hAnsi="Arial" w:cs="Arial"/>
          <w:sz w:val="20"/>
          <w:szCs w:val="20"/>
        </w:rPr>
        <w:t xml:space="preserve">. </w:t>
      </w:r>
      <w:r>
        <w:rPr>
          <w:rFonts w:ascii="Arial" w:hAnsi="Arial" w:cs="Arial"/>
          <w:sz w:val="20"/>
          <w:szCs w:val="20"/>
        </w:rPr>
        <w:t xml:space="preserve">This </w:t>
      </w:r>
      <w:r w:rsidR="00D43486" w:rsidRPr="00D43486">
        <w:rPr>
          <w:rFonts w:ascii="Arial" w:hAnsi="Arial" w:cs="Arial"/>
          <w:sz w:val="20"/>
          <w:szCs w:val="20"/>
        </w:rPr>
        <w:t>layer is not discussed in similar terms in the geological conceptualisa</w:t>
      </w:r>
      <w:r w:rsidR="00A25246">
        <w:rPr>
          <w:rFonts w:ascii="Arial" w:hAnsi="Arial" w:cs="Arial"/>
          <w:sz w:val="20"/>
          <w:szCs w:val="20"/>
        </w:rPr>
        <w:t>tion for the subsidence model. A</w:t>
      </w:r>
      <w:r w:rsidR="00D43486" w:rsidRPr="00D43486">
        <w:rPr>
          <w:rFonts w:ascii="Arial" w:hAnsi="Arial" w:cs="Arial"/>
          <w:sz w:val="20"/>
          <w:szCs w:val="20"/>
        </w:rPr>
        <w:t xml:space="preserve">lthough a 20cm sand layer was </w:t>
      </w:r>
      <w:r>
        <w:rPr>
          <w:rFonts w:ascii="Arial" w:hAnsi="Arial" w:cs="Arial"/>
          <w:sz w:val="20"/>
          <w:szCs w:val="20"/>
        </w:rPr>
        <w:t>identified</w:t>
      </w:r>
      <w:r w:rsidR="00A25246">
        <w:rPr>
          <w:rFonts w:ascii="Arial" w:hAnsi="Arial" w:cs="Arial"/>
          <w:sz w:val="20"/>
          <w:szCs w:val="20"/>
        </w:rPr>
        <w:t>,</w:t>
      </w:r>
      <w:r>
        <w:rPr>
          <w:rFonts w:ascii="Arial" w:hAnsi="Arial" w:cs="Arial"/>
          <w:sz w:val="20"/>
          <w:szCs w:val="20"/>
        </w:rPr>
        <w:t xml:space="preserve"> it </w:t>
      </w:r>
      <w:r w:rsidR="00D43486" w:rsidRPr="00D43486">
        <w:rPr>
          <w:rFonts w:ascii="Arial" w:hAnsi="Arial" w:cs="Arial"/>
          <w:sz w:val="20"/>
          <w:szCs w:val="20"/>
        </w:rPr>
        <w:t>app</w:t>
      </w:r>
      <w:r w:rsidR="00FD63D1">
        <w:rPr>
          <w:rFonts w:ascii="Arial" w:hAnsi="Arial" w:cs="Arial"/>
          <w:sz w:val="20"/>
          <w:szCs w:val="20"/>
        </w:rPr>
        <w:t>ear</w:t>
      </w:r>
      <w:r>
        <w:rPr>
          <w:rFonts w:ascii="Arial" w:hAnsi="Arial" w:cs="Arial"/>
          <w:sz w:val="20"/>
          <w:szCs w:val="20"/>
        </w:rPr>
        <w:t>s</w:t>
      </w:r>
      <w:r w:rsidR="00FD63D1">
        <w:rPr>
          <w:rFonts w:ascii="Arial" w:hAnsi="Arial" w:cs="Arial"/>
          <w:sz w:val="20"/>
          <w:szCs w:val="20"/>
        </w:rPr>
        <w:t xml:space="preserve"> to </w:t>
      </w:r>
      <w:r>
        <w:rPr>
          <w:rFonts w:ascii="Arial" w:hAnsi="Arial" w:cs="Arial"/>
          <w:sz w:val="20"/>
          <w:szCs w:val="20"/>
        </w:rPr>
        <w:t xml:space="preserve">not </w:t>
      </w:r>
      <w:r w:rsidR="00FD63D1">
        <w:rPr>
          <w:rFonts w:ascii="Arial" w:hAnsi="Arial" w:cs="Arial"/>
          <w:sz w:val="20"/>
          <w:szCs w:val="20"/>
        </w:rPr>
        <w:t>be included in the model</w:t>
      </w:r>
      <w:r w:rsidR="00D43486" w:rsidRPr="00D43486">
        <w:rPr>
          <w:rFonts w:ascii="Arial" w:hAnsi="Arial" w:cs="Arial"/>
          <w:sz w:val="20"/>
          <w:szCs w:val="20"/>
        </w:rPr>
        <w:t>. Further</w:t>
      </w:r>
      <w:r>
        <w:rPr>
          <w:rFonts w:ascii="Arial" w:hAnsi="Arial" w:cs="Arial"/>
          <w:sz w:val="20"/>
          <w:szCs w:val="20"/>
        </w:rPr>
        <w:t>,</w:t>
      </w:r>
      <w:r w:rsidR="00D43486" w:rsidRPr="00D43486">
        <w:rPr>
          <w:rFonts w:ascii="Arial" w:hAnsi="Arial" w:cs="Arial"/>
          <w:sz w:val="20"/>
          <w:szCs w:val="20"/>
        </w:rPr>
        <w:t xml:space="preserve"> cross sections depict the Tertiary sands as sitting directly on top of the coal measures</w:t>
      </w:r>
      <w:r w:rsidR="007572EB">
        <w:rPr>
          <w:rFonts w:ascii="Arial" w:hAnsi="Arial" w:cs="Arial"/>
          <w:sz w:val="20"/>
          <w:szCs w:val="20"/>
        </w:rPr>
        <w:t>, raising</w:t>
      </w:r>
      <w:r w:rsidR="00D43486" w:rsidRPr="00D43486">
        <w:rPr>
          <w:rFonts w:ascii="Arial" w:hAnsi="Arial" w:cs="Arial"/>
          <w:sz w:val="20"/>
          <w:szCs w:val="20"/>
        </w:rPr>
        <w:t xml:space="preserve"> uncertainty </w:t>
      </w:r>
      <w:r w:rsidR="007572EB">
        <w:rPr>
          <w:rFonts w:ascii="Arial" w:hAnsi="Arial" w:cs="Arial"/>
          <w:sz w:val="20"/>
          <w:szCs w:val="20"/>
        </w:rPr>
        <w:t>of</w:t>
      </w:r>
      <w:r w:rsidR="00D43486" w:rsidRPr="00D43486">
        <w:rPr>
          <w:rFonts w:ascii="Arial" w:hAnsi="Arial" w:cs="Arial"/>
          <w:sz w:val="20"/>
          <w:szCs w:val="20"/>
        </w:rPr>
        <w:t xml:space="preserve"> </w:t>
      </w:r>
      <w:r w:rsidR="007572EB">
        <w:rPr>
          <w:rFonts w:ascii="Arial" w:hAnsi="Arial" w:cs="Arial"/>
          <w:sz w:val="20"/>
          <w:szCs w:val="20"/>
        </w:rPr>
        <w:t xml:space="preserve">the </w:t>
      </w:r>
      <w:r w:rsidR="00D43486" w:rsidRPr="00D43486">
        <w:rPr>
          <w:rFonts w:ascii="Arial" w:hAnsi="Arial" w:cs="Arial"/>
          <w:sz w:val="20"/>
          <w:szCs w:val="20"/>
        </w:rPr>
        <w:t xml:space="preserve">geological conceptualisation </w:t>
      </w:r>
      <w:r w:rsidR="007572EB">
        <w:rPr>
          <w:rFonts w:ascii="Arial" w:hAnsi="Arial" w:cs="Arial"/>
          <w:sz w:val="20"/>
          <w:szCs w:val="20"/>
        </w:rPr>
        <w:t xml:space="preserve">included in the </w:t>
      </w:r>
      <w:r w:rsidR="00D43486" w:rsidRPr="00D43486">
        <w:rPr>
          <w:rFonts w:ascii="Arial" w:hAnsi="Arial" w:cs="Arial"/>
          <w:sz w:val="20"/>
          <w:szCs w:val="20"/>
        </w:rPr>
        <w:t xml:space="preserve">subsidence model and </w:t>
      </w:r>
      <w:r w:rsidR="007572EB">
        <w:rPr>
          <w:rFonts w:ascii="Arial" w:hAnsi="Arial" w:cs="Arial"/>
          <w:sz w:val="20"/>
          <w:szCs w:val="20"/>
        </w:rPr>
        <w:t xml:space="preserve">the </w:t>
      </w:r>
      <w:r w:rsidR="00D43486" w:rsidRPr="00D43486">
        <w:rPr>
          <w:rFonts w:ascii="Arial" w:hAnsi="Arial" w:cs="Arial"/>
          <w:sz w:val="20"/>
          <w:szCs w:val="20"/>
        </w:rPr>
        <w:t>confidence in the model’s predictions</w:t>
      </w:r>
      <w:r w:rsidR="007572EB">
        <w:rPr>
          <w:rFonts w:ascii="Arial" w:hAnsi="Arial" w:cs="Arial"/>
          <w:sz w:val="20"/>
          <w:szCs w:val="20"/>
        </w:rPr>
        <w:t>.</w:t>
      </w:r>
    </w:p>
    <w:p w:rsidR="00D43486" w:rsidRDefault="00F96705" w:rsidP="00F96705">
      <w:pPr>
        <w:pStyle w:val="ListNumber"/>
        <w:numPr>
          <w:ilvl w:val="0"/>
          <w:numId w:val="23"/>
        </w:numPr>
        <w:spacing w:before="120" w:line="276" w:lineRule="auto"/>
        <w:rPr>
          <w:rFonts w:ascii="Arial" w:hAnsi="Arial" w:cs="Arial"/>
          <w:sz w:val="20"/>
          <w:szCs w:val="20"/>
        </w:rPr>
      </w:pPr>
      <w:r>
        <w:rPr>
          <w:rFonts w:ascii="Arial" w:hAnsi="Arial" w:cs="Arial"/>
          <w:sz w:val="20"/>
          <w:szCs w:val="20"/>
        </w:rPr>
        <w:t xml:space="preserve">The </w:t>
      </w:r>
      <w:r w:rsidRPr="00F96705">
        <w:rPr>
          <w:rFonts w:ascii="Arial" w:hAnsi="Arial" w:cs="Arial"/>
          <w:sz w:val="20"/>
          <w:szCs w:val="20"/>
        </w:rPr>
        <w:t xml:space="preserve">subsidence model indicates that up to </w:t>
      </w:r>
      <w:r>
        <w:rPr>
          <w:rFonts w:ascii="Arial" w:hAnsi="Arial" w:cs="Arial"/>
          <w:sz w:val="20"/>
          <w:szCs w:val="20"/>
        </w:rPr>
        <w:t xml:space="preserve">64 different modes of yield or stress state </w:t>
      </w:r>
      <w:r w:rsidRPr="00F96705">
        <w:rPr>
          <w:rFonts w:ascii="Arial" w:hAnsi="Arial" w:cs="Arial"/>
          <w:sz w:val="20"/>
          <w:szCs w:val="20"/>
        </w:rPr>
        <w:t>will occur in the strata above longwall mining</w:t>
      </w:r>
      <w:r>
        <w:rPr>
          <w:rFonts w:ascii="Arial" w:hAnsi="Arial" w:cs="Arial"/>
          <w:sz w:val="20"/>
          <w:szCs w:val="20"/>
        </w:rPr>
        <w:t xml:space="preserve">, however </w:t>
      </w:r>
      <w:r w:rsidRPr="00F96705">
        <w:rPr>
          <w:rFonts w:ascii="Arial" w:hAnsi="Arial" w:cs="Arial"/>
          <w:sz w:val="20"/>
          <w:szCs w:val="20"/>
        </w:rPr>
        <w:t xml:space="preserve">subsequent discussion </w:t>
      </w:r>
      <w:r w:rsidR="007572EB">
        <w:rPr>
          <w:rFonts w:ascii="Arial" w:hAnsi="Arial" w:cs="Arial"/>
          <w:sz w:val="20"/>
          <w:szCs w:val="20"/>
        </w:rPr>
        <w:t>describes these states as</w:t>
      </w:r>
      <w:r>
        <w:rPr>
          <w:rFonts w:ascii="Arial" w:hAnsi="Arial" w:cs="Arial"/>
          <w:sz w:val="20"/>
          <w:szCs w:val="20"/>
        </w:rPr>
        <w:t xml:space="preserve"> shear or tensile cracking at surface. </w:t>
      </w:r>
      <w:r w:rsidR="007572EB">
        <w:rPr>
          <w:rFonts w:ascii="Arial" w:hAnsi="Arial" w:cs="Arial"/>
          <w:sz w:val="20"/>
          <w:szCs w:val="20"/>
        </w:rPr>
        <w:t>L</w:t>
      </w:r>
      <w:r>
        <w:rPr>
          <w:rFonts w:ascii="Arial" w:hAnsi="Arial" w:cs="Arial"/>
          <w:sz w:val="20"/>
          <w:szCs w:val="20"/>
        </w:rPr>
        <w:t xml:space="preserve">ongwall subsidence </w:t>
      </w:r>
      <w:r w:rsidRPr="00F96705">
        <w:rPr>
          <w:rFonts w:ascii="Arial" w:hAnsi="Arial" w:cs="Arial"/>
          <w:sz w:val="20"/>
          <w:szCs w:val="20"/>
        </w:rPr>
        <w:t>can cause a variety of surface impacts and deformation effects</w:t>
      </w:r>
      <w:r w:rsidR="007572EB">
        <w:rPr>
          <w:rFonts w:ascii="Arial" w:hAnsi="Arial" w:cs="Arial"/>
          <w:sz w:val="20"/>
          <w:szCs w:val="20"/>
        </w:rPr>
        <w:t>,</w:t>
      </w:r>
      <w:r w:rsidRPr="00F96705">
        <w:rPr>
          <w:rFonts w:ascii="Arial" w:hAnsi="Arial" w:cs="Arial"/>
          <w:sz w:val="20"/>
          <w:szCs w:val="20"/>
        </w:rPr>
        <w:t xml:space="preserve"> in addition to </w:t>
      </w:r>
      <w:r>
        <w:rPr>
          <w:rFonts w:ascii="Arial" w:hAnsi="Arial" w:cs="Arial"/>
          <w:sz w:val="20"/>
          <w:szCs w:val="20"/>
        </w:rPr>
        <w:t>tensile cracking</w:t>
      </w:r>
      <w:r w:rsidRPr="00F96705">
        <w:rPr>
          <w:rFonts w:ascii="Arial" w:hAnsi="Arial" w:cs="Arial"/>
          <w:sz w:val="20"/>
          <w:szCs w:val="20"/>
        </w:rPr>
        <w:t>, and given the detail provided by the model simulation, it is unclear why such impacts are not</w:t>
      </w:r>
      <w:r w:rsidR="007572EB">
        <w:rPr>
          <w:rFonts w:ascii="Arial" w:hAnsi="Arial" w:cs="Arial"/>
          <w:sz w:val="20"/>
          <w:szCs w:val="20"/>
        </w:rPr>
        <w:t xml:space="preserve"> included </w:t>
      </w:r>
      <w:r w:rsidRPr="00F96705">
        <w:rPr>
          <w:rFonts w:ascii="Arial" w:hAnsi="Arial" w:cs="Arial"/>
          <w:sz w:val="20"/>
          <w:szCs w:val="20"/>
        </w:rPr>
        <w:t>in the discussion. Consideration of potential subsidence impacts to surface features and water resources would improve understanding of impacts to surface water resources, and provide certainty that the proposed mitigation measures address all relevant impacts</w:t>
      </w:r>
      <w:r>
        <w:rPr>
          <w:rFonts w:ascii="Arial" w:hAnsi="Arial" w:cs="Arial"/>
          <w:sz w:val="20"/>
          <w:szCs w:val="20"/>
        </w:rPr>
        <w:t>.</w:t>
      </w:r>
      <w:r w:rsidRPr="00F96705">
        <w:rPr>
          <w:rFonts w:ascii="Arial" w:hAnsi="Arial" w:cs="Arial"/>
          <w:sz w:val="20"/>
          <w:szCs w:val="20"/>
        </w:rPr>
        <w:t xml:space="preserve"> </w:t>
      </w:r>
      <w:r>
        <w:rPr>
          <w:rFonts w:ascii="Arial" w:hAnsi="Arial" w:cs="Arial"/>
          <w:sz w:val="20"/>
          <w:szCs w:val="20"/>
        </w:rPr>
        <w:t> </w:t>
      </w:r>
      <w:r w:rsidR="00D43486" w:rsidRPr="00F96705">
        <w:rPr>
          <w:rFonts w:ascii="Arial" w:hAnsi="Arial" w:cs="Arial"/>
          <w:sz w:val="20"/>
          <w:szCs w:val="20"/>
        </w:rPr>
        <w:t xml:space="preserve"> </w:t>
      </w:r>
    </w:p>
    <w:p w:rsidR="001647AA" w:rsidRPr="00D43486" w:rsidRDefault="000C6FE1" w:rsidP="001647AA">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Surface and groundwater connectivity</w:t>
      </w:r>
      <w:r w:rsidR="007572EB">
        <w:rPr>
          <w:rFonts w:ascii="Arial" w:hAnsi="Arial" w:cs="Arial"/>
          <w:sz w:val="20"/>
          <w:szCs w:val="20"/>
        </w:rPr>
        <w:t>: A</w:t>
      </w:r>
      <w:r w:rsidR="007572EB" w:rsidRPr="001647AA">
        <w:rPr>
          <w:rFonts w:ascii="Arial" w:hAnsi="Arial" w:cs="Arial"/>
          <w:sz w:val="20"/>
          <w:szCs w:val="20"/>
        </w:rPr>
        <w:t>s a result of mine dewatering</w:t>
      </w:r>
      <w:r w:rsidR="007572EB">
        <w:rPr>
          <w:rFonts w:ascii="Arial" w:hAnsi="Arial" w:cs="Arial"/>
          <w:sz w:val="20"/>
          <w:szCs w:val="20"/>
        </w:rPr>
        <w:t>, p</w:t>
      </w:r>
      <w:r w:rsidR="00D43486" w:rsidRPr="001647AA">
        <w:rPr>
          <w:rFonts w:ascii="Arial" w:hAnsi="Arial" w:cs="Arial"/>
          <w:sz w:val="20"/>
          <w:szCs w:val="20"/>
        </w:rPr>
        <w:t>redicted groundwater drawdown within the unconfined alluvium beneath Theresa and Gordonstone Creeks may alter the hydrology and water quality of these watercourses</w:t>
      </w:r>
      <w:r w:rsidR="007572EB">
        <w:rPr>
          <w:rFonts w:ascii="Arial" w:hAnsi="Arial" w:cs="Arial"/>
          <w:sz w:val="20"/>
          <w:szCs w:val="20"/>
        </w:rPr>
        <w:t xml:space="preserve">, </w:t>
      </w:r>
      <w:r w:rsidR="00D43486" w:rsidRPr="001647AA">
        <w:rPr>
          <w:rFonts w:ascii="Arial" w:hAnsi="Arial" w:cs="Arial"/>
          <w:sz w:val="20"/>
          <w:szCs w:val="20"/>
        </w:rPr>
        <w:t>potentially increas</w:t>
      </w:r>
      <w:r w:rsidR="007572EB">
        <w:rPr>
          <w:rFonts w:ascii="Arial" w:hAnsi="Arial" w:cs="Arial"/>
          <w:sz w:val="20"/>
          <w:szCs w:val="20"/>
        </w:rPr>
        <w:t xml:space="preserve">ing </w:t>
      </w:r>
      <w:r w:rsidR="00D43486" w:rsidRPr="001647AA">
        <w:rPr>
          <w:rFonts w:ascii="Arial" w:hAnsi="Arial" w:cs="Arial"/>
          <w:sz w:val="20"/>
          <w:szCs w:val="20"/>
        </w:rPr>
        <w:t xml:space="preserve"> the duration of no-flow events and reduc</w:t>
      </w:r>
      <w:r w:rsidR="007572EB">
        <w:rPr>
          <w:rFonts w:ascii="Arial" w:hAnsi="Arial" w:cs="Arial"/>
          <w:sz w:val="20"/>
          <w:szCs w:val="20"/>
        </w:rPr>
        <w:t>ing</w:t>
      </w:r>
      <w:r w:rsidR="00D43486" w:rsidRPr="001647AA">
        <w:rPr>
          <w:rFonts w:ascii="Arial" w:hAnsi="Arial" w:cs="Arial"/>
          <w:sz w:val="20"/>
          <w:szCs w:val="20"/>
        </w:rPr>
        <w:t xml:space="preserve"> the volume of surface water discharged from these creeks. Groundwater drawdown may also reduce or remove water from the persistent waterholes in these watercourses. </w:t>
      </w:r>
      <w:r w:rsidR="001647AA">
        <w:rPr>
          <w:rFonts w:ascii="Arial" w:hAnsi="Arial" w:cs="Arial"/>
          <w:sz w:val="20"/>
          <w:szCs w:val="20"/>
        </w:rPr>
        <w:t>D</w:t>
      </w:r>
      <w:r w:rsidR="001647AA" w:rsidRPr="00D43486">
        <w:rPr>
          <w:rFonts w:ascii="Arial" w:hAnsi="Arial" w:cs="Arial"/>
          <w:sz w:val="20"/>
          <w:szCs w:val="20"/>
        </w:rPr>
        <w:t xml:space="preserve">ry season sampling </w:t>
      </w:r>
      <w:r w:rsidR="007572EB">
        <w:rPr>
          <w:rFonts w:ascii="Arial" w:hAnsi="Arial" w:cs="Arial"/>
          <w:sz w:val="20"/>
          <w:szCs w:val="20"/>
        </w:rPr>
        <w:t>reveals</w:t>
      </w:r>
      <w:r w:rsidR="00EE76BA">
        <w:rPr>
          <w:rFonts w:ascii="Arial" w:hAnsi="Arial" w:cs="Arial"/>
          <w:sz w:val="20"/>
          <w:szCs w:val="20"/>
        </w:rPr>
        <w:t xml:space="preserve"> that</w:t>
      </w:r>
      <w:r w:rsidR="007572EB">
        <w:rPr>
          <w:rFonts w:ascii="Arial" w:hAnsi="Arial" w:cs="Arial"/>
          <w:sz w:val="20"/>
          <w:szCs w:val="20"/>
        </w:rPr>
        <w:t xml:space="preserve"> </w:t>
      </w:r>
      <w:r w:rsidR="001647AA" w:rsidRPr="00D43486">
        <w:rPr>
          <w:rFonts w:ascii="Arial" w:hAnsi="Arial" w:cs="Arial"/>
          <w:sz w:val="20"/>
          <w:szCs w:val="20"/>
        </w:rPr>
        <w:t xml:space="preserve">persistent pools in </w:t>
      </w:r>
      <w:r w:rsidR="001647AA">
        <w:rPr>
          <w:rFonts w:ascii="Arial" w:hAnsi="Arial" w:cs="Arial"/>
          <w:sz w:val="20"/>
          <w:szCs w:val="20"/>
        </w:rPr>
        <w:t>Theresa Creek and Gordonstone Creek</w:t>
      </w:r>
      <w:r w:rsidR="001647AA" w:rsidRPr="00D43486">
        <w:rPr>
          <w:rFonts w:ascii="Arial" w:hAnsi="Arial" w:cs="Arial"/>
          <w:sz w:val="20"/>
          <w:szCs w:val="20"/>
        </w:rPr>
        <w:t xml:space="preserve"> provide refugia for fish and macroinvertebrates. </w:t>
      </w:r>
    </w:p>
    <w:p w:rsidR="00D43486" w:rsidRPr="00D43486" w:rsidRDefault="000C6FE1" w:rsidP="00D43486">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Surface water</w:t>
      </w:r>
      <w:r w:rsidR="007572EB">
        <w:rPr>
          <w:rFonts w:ascii="Arial" w:hAnsi="Arial" w:cs="Arial"/>
          <w:sz w:val="20"/>
          <w:szCs w:val="20"/>
        </w:rPr>
        <w:t xml:space="preserve">: The </w:t>
      </w:r>
      <w:r w:rsidR="00D43486" w:rsidRPr="00D43486">
        <w:rPr>
          <w:rFonts w:ascii="Arial" w:hAnsi="Arial" w:cs="Arial"/>
          <w:sz w:val="20"/>
          <w:szCs w:val="20"/>
        </w:rPr>
        <w:t xml:space="preserve">Environmental Management Plan </w:t>
      </w:r>
      <w:r w:rsidR="00DB65A5">
        <w:rPr>
          <w:rFonts w:ascii="Arial" w:hAnsi="Arial" w:cs="Arial"/>
          <w:sz w:val="20"/>
          <w:szCs w:val="20"/>
        </w:rPr>
        <w:t xml:space="preserve">(EMP) </w:t>
      </w:r>
      <w:r w:rsidR="00D43486" w:rsidRPr="00D43486">
        <w:rPr>
          <w:rFonts w:ascii="Arial" w:hAnsi="Arial" w:cs="Arial"/>
          <w:sz w:val="20"/>
          <w:szCs w:val="20"/>
        </w:rPr>
        <w:t xml:space="preserve">suggests that one of the release point options for mine-affected water discharges is the subsidence impacted tributary of Theresa Creek. </w:t>
      </w:r>
      <w:r w:rsidR="00435187">
        <w:rPr>
          <w:rFonts w:ascii="Arial" w:hAnsi="Arial" w:cs="Arial"/>
          <w:sz w:val="20"/>
          <w:szCs w:val="20"/>
        </w:rPr>
        <w:t>T</w:t>
      </w:r>
      <w:r w:rsidR="00D43486" w:rsidRPr="00D43486">
        <w:rPr>
          <w:rFonts w:ascii="Arial" w:hAnsi="Arial" w:cs="Arial"/>
          <w:sz w:val="20"/>
          <w:szCs w:val="20"/>
        </w:rPr>
        <w:t xml:space="preserve">he large volume of water proposed for discharge and the ponding effect caused by subsidence is likely </w:t>
      </w:r>
      <w:r w:rsidR="00435187">
        <w:rPr>
          <w:rFonts w:ascii="Arial" w:hAnsi="Arial" w:cs="Arial"/>
          <w:sz w:val="20"/>
          <w:szCs w:val="20"/>
        </w:rPr>
        <w:t xml:space="preserve">to </w:t>
      </w:r>
      <w:r w:rsidR="00D43486" w:rsidRPr="00D43486">
        <w:rPr>
          <w:rFonts w:ascii="Arial" w:hAnsi="Arial" w:cs="Arial"/>
          <w:sz w:val="20"/>
          <w:szCs w:val="20"/>
        </w:rPr>
        <w:t>exacerbate geomorphic issues such as water-logging, erosion and flooding of this part of the Theresa Creek floodplain. Selection of water release points that do not significantly alter baseline flow regimes, or exacerbate erosion or flooding, could minimise the impacts of mine-affected water discharges.</w:t>
      </w:r>
    </w:p>
    <w:p w:rsidR="00E37D31" w:rsidRDefault="00E37D31" w:rsidP="00E37D31">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The proponent</w:t>
      </w:r>
      <w:r w:rsidR="00B62349">
        <w:rPr>
          <w:rFonts w:ascii="Arial" w:hAnsi="Arial" w:cs="Arial"/>
          <w:sz w:val="20"/>
          <w:szCs w:val="20"/>
        </w:rPr>
        <w:t xml:space="preserve"> states that</w:t>
      </w:r>
      <w:r w:rsidRPr="00D43486">
        <w:rPr>
          <w:rFonts w:ascii="Arial" w:hAnsi="Arial" w:cs="Arial"/>
          <w:sz w:val="20"/>
          <w:szCs w:val="20"/>
        </w:rPr>
        <w:t xml:space="preserve"> discharges of mine-affected water will meet the requirements of </w:t>
      </w:r>
      <w:r w:rsidR="00224622">
        <w:rPr>
          <w:rFonts w:ascii="Arial" w:hAnsi="Arial" w:cs="Arial"/>
          <w:sz w:val="20"/>
          <w:szCs w:val="20"/>
        </w:rPr>
        <w:t>a</w:t>
      </w:r>
      <w:r w:rsidR="00B13EF0">
        <w:rPr>
          <w:rFonts w:ascii="Arial" w:hAnsi="Arial" w:cs="Arial"/>
          <w:sz w:val="20"/>
          <w:szCs w:val="20"/>
        </w:rPr>
        <w:t>n</w:t>
      </w:r>
      <w:r w:rsidR="00224622">
        <w:rPr>
          <w:rFonts w:ascii="Arial" w:hAnsi="Arial" w:cs="Arial"/>
          <w:sz w:val="20"/>
          <w:szCs w:val="20"/>
        </w:rPr>
        <w:t xml:space="preserve"> </w:t>
      </w:r>
      <w:r w:rsidR="00743DF0">
        <w:rPr>
          <w:rFonts w:ascii="Arial" w:hAnsi="Arial" w:cs="Arial"/>
          <w:sz w:val="20"/>
          <w:szCs w:val="20"/>
        </w:rPr>
        <w:t>Environmental Authority (</w:t>
      </w:r>
      <w:r w:rsidR="00DB65A5">
        <w:rPr>
          <w:rFonts w:ascii="Arial" w:hAnsi="Arial" w:cs="Arial"/>
          <w:sz w:val="20"/>
          <w:szCs w:val="20"/>
        </w:rPr>
        <w:t>EA</w:t>
      </w:r>
      <w:r w:rsidR="00743DF0">
        <w:rPr>
          <w:rFonts w:ascii="Arial" w:hAnsi="Arial" w:cs="Arial"/>
          <w:sz w:val="20"/>
          <w:szCs w:val="20"/>
        </w:rPr>
        <w:t>)</w:t>
      </w:r>
      <w:r w:rsidRPr="00D43486">
        <w:rPr>
          <w:rFonts w:ascii="Arial" w:hAnsi="Arial" w:cs="Arial"/>
          <w:sz w:val="20"/>
          <w:szCs w:val="20"/>
        </w:rPr>
        <w:t>; however, discharge scenarios, release points, discharge water quality, and water quality investigation trigger values have not been proposed in the draft</w:t>
      </w:r>
      <w:r w:rsidR="00DB65A5">
        <w:rPr>
          <w:rFonts w:ascii="Arial" w:hAnsi="Arial" w:cs="Arial"/>
          <w:sz w:val="20"/>
          <w:szCs w:val="20"/>
        </w:rPr>
        <w:t xml:space="preserve"> EMP</w:t>
      </w:r>
      <w:r w:rsidR="00E43C5F">
        <w:rPr>
          <w:rFonts w:ascii="Arial" w:hAnsi="Arial" w:cs="Arial"/>
          <w:sz w:val="20"/>
          <w:szCs w:val="20"/>
        </w:rPr>
        <w:t>. This information would inform an</w:t>
      </w:r>
      <w:r w:rsidRPr="00D43486">
        <w:rPr>
          <w:rFonts w:ascii="Arial" w:hAnsi="Arial" w:cs="Arial"/>
          <w:sz w:val="20"/>
          <w:szCs w:val="20"/>
        </w:rPr>
        <w:t xml:space="preserve"> assess</w:t>
      </w:r>
      <w:r w:rsidR="00E43C5F">
        <w:rPr>
          <w:rFonts w:ascii="Arial" w:hAnsi="Arial" w:cs="Arial"/>
          <w:sz w:val="20"/>
          <w:szCs w:val="20"/>
        </w:rPr>
        <w:t>ment of</w:t>
      </w:r>
      <w:r w:rsidRPr="00D43486">
        <w:rPr>
          <w:rFonts w:ascii="Arial" w:hAnsi="Arial" w:cs="Arial"/>
          <w:sz w:val="20"/>
          <w:szCs w:val="20"/>
        </w:rPr>
        <w:t xml:space="preserve"> the impacts of mine affected water discharges on the hydrology and water quality of Theresa Creek, Gordonstone Creek and the Nogoa River, as well as subsequent impacts on dependent ecosystems and other downstream users of surface water resources.</w:t>
      </w:r>
      <w:r w:rsidRPr="00CC1605">
        <w:rPr>
          <w:rFonts w:ascii="Arial" w:hAnsi="Arial" w:cs="Arial"/>
          <w:sz w:val="20"/>
          <w:szCs w:val="20"/>
        </w:rPr>
        <w:t xml:space="preserve"> </w:t>
      </w:r>
    </w:p>
    <w:p w:rsidR="00CC1605" w:rsidRPr="00E37D31" w:rsidRDefault="00E37D31" w:rsidP="00E37D31">
      <w:pPr>
        <w:pStyle w:val="ListNumber"/>
        <w:numPr>
          <w:ilvl w:val="0"/>
          <w:numId w:val="23"/>
        </w:numPr>
        <w:spacing w:before="120" w:line="276" w:lineRule="auto"/>
        <w:rPr>
          <w:rFonts w:ascii="Arial" w:hAnsi="Arial" w:cs="Arial"/>
          <w:sz w:val="20"/>
          <w:szCs w:val="20"/>
        </w:rPr>
      </w:pPr>
      <w:r w:rsidRPr="00E37D31">
        <w:rPr>
          <w:rFonts w:ascii="Arial" w:hAnsi="Arial" w:cs="Arial"/>
          <w:sz w:val="20"/>
          <w:szCs w:val="20"/>
        </w:rPr>
        <w:t>A</w:t>
      </w:r>
      <w:r w:rsidR="00D43486" w:rsidRPr="00E37D31">
        <w:rPr>
          <w:rFonts w:ascii="Arial" w:hAnsi="Arial" w:cs="Arial"/>
          <w:sz w:val="20"/>
          <w:szCs w:val="20"/>
        </w:rPr>
        <w:t xml:space="preserve"> limited assessment of impacts on surface water resources within the Nogoa</w:t>
      </w:r>
      <w:r w:rsidR="00BD3734" w:rsidRPr="00E37D31">
        <w:rPr>
          <w:rFonts w:ascii="Arial" w:hAnsi="Arial" w:cs="Arial"/>
          <w:sz w:val="20"/>
          <w:szCs w:val="20"/>
        </w:rPr>
        <w:t xml:space="preserve"> River catchment</w:t>
      </w:r>
      <w:r w:rsidR="00D43486" w:rsidRPr="00E37D31">
        <w:rPr>
          <w:rFonts w:ascii="Arial" w:hAnsi="Arial" w:cs="Arial"/>
          <w:sz w:val="20"/>
          <w:szCs w:val="20"/>
        </w:rPr>
        <w:t xml:space="preserve"> concludes that the proposal will not contribute to cumulative impacts. However, the exclusion of several important causes of potential impacts to surface water resources</w:t>
      </w:r>
      <w:r w:rsidR="00DE3C7D">
        <w:rPr>
          <w:rFonts w:ascii="Arial" w:hAnsi="Arial" w:cs="Arial"/>
          <w:sz w:val="20"/>
          <w:szCs w:val="20"/>
        </w:rPr>
        <w:t>, as outlined elsewhere in this advice,</w:t>
      </w:r>
      <w:r w:rsidR="00D43486" w:rsidRPr="00E37D31">
        <w:rPr>
          <w:rFonts w:ascii="Arial" w:hAnsi="Arial" w:cs="Arial"/>
          <w:sz w:val="20"/>
          <w:szCs w:val="20"/>
        </w:rPr>
        <w:t xml:space="preserve"> increases the likelihood that cum</w:t>
      </w:r>
      <w:r w:rsidR="00BE4C2C">
        <w:rPr>
          <w:rFonts w:ascii="Arial" w:hAnsi="Arial" w:cs="Arial"/>
          <w:sz w:val="20"/>
          <w:szCs w:val="20"/>
        </w:rPr>
        <w:t>ulative impacts have been under</w:t>
      </w:r>
      <w:r w:rsidR="00D43486" w:rsidRPr="00E37D31">
        <w:rPr>
          <w:rFonts w:ascii="Arial" w:hAnsi="Arial" w:cs="Arial"/>
          <w:sz w:val="20"/>
          <w:szCs w:val="20"/>
        </w:rPr>
        <w:t>estimated.</w:t>
      </w:r>
    </w:p>
    <w:p w:rsidR="00CC1605" w:rsidRPr="00CC1605" w:rsidRDefault="00CC1605" w:rsidP="00CC1605">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 xml:space="preserve">The proponent has based </w:t>
      </w:r>
      <w:r w:rsidR="000C24E9">
        <w:rPr>
          <w:rFonts w:ascii="Arial" w:hAnsi="Arial" w:cs="Arial"/>
          <w:sz w:val="20"/>
          <w:szCs w:val="20"/>
        </w:rPr>
        <w:t>their</w:t>
      </w:r>
      <w:r w:rsidRPr="00D43486">
        <w:rPr>
          <w:rFonts w:ascii="Arial" w:hAnsi="Arial" w:cs="Arial"/>
          <w:sz w:val="20"/>
          <w:szCs w:val="20"/>
        </w:rPr>
        <w:t xml:space="preserve"> estimate of allowable mine affected water discharge volumes on an interpretation of Theresa Creek stream gauge data that is inconsistent with the ephem</w:t>
      </w:r>
      <w:r w:rsidR="000C24E9">
        <w:rPr>
          <w:rFonts w:ascii="Arial" w:hAnsi="Arial" w:cs="Arial"/>
          <w:sz w:val="20"/>
          <w:szCs w:val="20"/>
        </w:rPr>
        <w:t>eral flow regime classification of this waterway.</w:t>
      </w:r>
      <w:r w:rsidRPr="00D43486">
        <w:rPr>
          <w:rFonts w:ascii="Arial" w:hAnsi="Arial" w:cs="Arial"/>
          <w:sz w:val="20"/>
          <w:szCs w:val="20"/>
        </w:rPr>
        <w:t xml:space="preserve"> Under this interpretation, discharges of mine-affected water may be permitted in the dry season. Discharges that change flow regimes from ephemeral to perennial have the potential to significantly alter aquatic ecosystem function and </w:t>
      </w:r>
      <w:r w:rsidR="00EE76BA">
        <w:rPr>
          <w:rFonts w:ascii="Arial" w:hAnsi="Arial" w:cs="Arial"/>
          <w:sz w:val="20"/>
          <w:szCs w:val="20"/>
        </w:rPr>
        <w:t xml:space="preserve">species </w:t>
      </w:r>
      <w:r w:rsidRPr="00D43486">
        <w:rPr>
          <w:rFonts w:ascii="Arial" w:hAnsi="Arial" w:cs="Arial"/>
          <w:sz w:val="20"/>
          <w:szCs w:val="20"/>
        </w:rPr>
        <w:t>composition, and facilitate introduction and colonisation of pest species in watercourses.</w:t>
      </w:r>
    </w:p>
    <w:p w:rsidR="00D43486" w:rsidRPr="00D43486" w:rsidRDefault="000C6FE1" w:rsidP="00D43486">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Water Quality</w:t>
      </w:r>
      <w:r w:rsidR="00EB1058">
        <w:rPr>
          <w:rFonts w:ascii="Arial" w:hAnsi="Arial" w:cs="Arial"/>
          <w:sz w:val="20"/>
          <w:szCs w:val="20"/>
        </w:rPr>
        <w:t xml:space="preserve">: </w:t>
      </w:r>
      <w:r w:rsidR="00E37D31">
        <w:rPr>
          <w:rFonts w:ascii="Arial" w:hAnsi="Arial" w:cs="Arial"/>
          <w:sz w:val="20"/>
          <w:szCs w:val="20"/>
        </w:rPr>
        <w:t>A</w:t>
      </w:r>
      <w:r w:rsidR="00D43486" w:rsidRPr="00D43486">
        <w:rPr>
          <w:rFonts w:ascii="Arial" w:hAnsi="Arial" w:cs="Arial"/>
          <w:sz w:val="20"/>
          <w:szCs w:val="20"/>
        </w:rPr>
        <w:t xml:space="preserve"> preliminary geochemical assessment of lithologies compris</w:t>
      </w:r>
      <w:r w:rsidR="00B63B4C">
        <w:rPr>
          <w:rFonts w:ascii="Arial" w:hAnsi="Arial" w:cs="Arial"/>
          <w:sz w:val="20"/>
          <w:szCs w:val="20"/>
        </w:rPr>
        <w:t xml:space="preserve">ing </w:t>
      </w:r>
      <w:r w:rsidR="00D43486" w:rsidRPr="00D43486">
        <w:rPr>
          <w:rFonts w:ascii="Arial" w:hAnsi="Arial" w:cs="Arial"/>
          <w:sz w:val="20"/>
          <w:szCs w:val="20"/>
        </w:rPr>
        <w:t>waste rock from mining</w:t>
      </w:r>
      <w:r w:rsidR="00E37D31">
        <w:rPr>
          <w:rFonts w:ascii="Arial" w:hAnsi="Arial" w:cs="Arial"/>
          <w:sz w:val="20"/>
          <w:szCs w:val="20"/>
        </w:rPr>
        <w:t xml:space="preserve"> has been undertaken</w:t>
      </w:r>
      <w:r w:rsidR="00B63B4C">
        <w:rPr>
          <w:rFonts w:ascii="Arial" w:hAnsi="Arial" w:cs="Arial"/>
          <w:sz w:val="20"/>
          <w:szCs w:val="20"/>
        </w:rPr>
        <w:t xml:space="preserve"> but </w:t>
      </w:r>
      <w:r w:rsidR="00D43486" w:rsidRPr="00D43486">
        <w:rPr>
          <w:rFonts w:ascii="Arial" w:hAnsi="Arial" w:cs="Arial"/>
          <w:sz w:val="20"/>
          <w:szCs w:val="20"/>
        </w:rPr>
        <w:t>a number of uncertainties regarding impacts to water resources</w:t>
      </w:r>
      <w:r w:rsidR="00B63B4C">
        <w:rPr>
          <w:rFonts w:ascii="Arial" w:hAnsi="Arial" w:cs="Arial"/>
          <w:sz w:val="20"/>
          <w:szCs w:val="20"/>
        </w:rPr>
        <w:t xml:space="preserve"> remain</w:t>
      </w:r>
      <w:r w:rsidR="00D43486" w:rsidRPr="00D43486">
        <w:rPr>
          <w:rFonts w:ascii="Arial" w:hAnsi="Arial" w:cs="Arial"/>
          <w:sz w:val="20"/>
          <w:szCs w:val="20"/>
        </w:rPr>
        <w:t>. These pertain to:</w:t>
      </w:r>
    </w:p>
    <w:p w:rsidR="00D43486" w:rsidRPr="00D43486" w:rsidRDefault="00D43486" w:rsidP="00D43486">
      <w:pPr>
        <w:pStyle w:val="ListNumber"/>
        <w:numPr>
          <w:ilvl w:val="1"/>
          <w:numId w:val="23"/>
        </w:numPr>
        <w:spacing w:before="120" w:line="276" w:lineRule="auto"/>
        <w:ind w:left="709"/>
        <w:rPr>
          <w:rFonts w:ascii="Arial" w:hAnsi="Arial" w:cs="Arial"/>
          <w:sz w:val="20"/>
          <w:szCs w:val="20"/>
        </w:rPr>
      </w:pPr>
      <w:r w:rsidRPr="00D43486">
        <w:rPr>
          <w:rFonts w:ascii="Arial" w:hAnsi="Arial" w:cs="Arial"/>
          <w:sz w:val="20"/>
          <w:szCs w:val="20"/>
        </w:rPr>
        <w:lastRenderedPageBreak/>
        <w:t xml:space="preserve">Static testing undertaken for limited lithologies (Corvus I seam, roof &amp; floor; Corvus II seam, roof &amp; floor) </w:t>
      </w:r>
      <w:r w:rsidR="00B63B4C">
        <w:rPr>
          <w:rFonts w:ascii="Arial" w:hAnsi="Arial" w:cs="Arial"/>
          <w:sz w:val="20"/>
          <w:szCs w:val="20"/>
        </w:rPr>
        <w:t xml:space="preserve">with </w:t>
      </w:r>
      <w:r w:rsidRPr="00D43486">
        <w:rPr>
          <w:rFonts w:ascii="Arial" w:hAnsi="Arial" w:cs="Arial"/>
          <w:sz w:val="20"/>
          <w:szCs w:val="20"/>
        </w:rPr>
        <w:t>the proponent not</w:t>
      </w:r>
      <w:r w:rsidR="00B63B4C">
        <w:rPr>
          <w:rFonts w:ascii="Arial" w:hAnsi="Arial" w:cs="Arial"/>
          <w:sz w:val="20"/>
          <w:szCs w:val="20"/>
        </w:rPr>
        <w:t>ing</w:t>
      </w:r>
      <w:r w:rsidRPr="00D43486">
        <w:rPr>
          <w:rFonts w:ascii="Arial" w:hAnsi="Arial" w:cs="Arial"/>
          <w:sz w:val="20"/>
          <w:szCs w:val="20"/>
        </w:rPr>
        <w:t xml:space="preserve"> that sampling is no</w:t>
      </w:r>
      <w:r w:rsidR="00BD3734">
        <w:rPr>
          <w:rFonts w:ascii="Arial" w:hAnsi="Arial" w:cs="Arial"/>
          <w:sz w:val="20"/>
          <w:szCs w:val="20"/>
        </w:rPr>
        <w:t xml:space="preserve">t statistically representative. </w:t>
      </w:r>
      <w:r w:rsidRPr="00D43486">
        <w:rPr>
          <w:rFonts w:ascii="Arial" w:hAnsi="Arial" w:cs="Arial"/>
          <w:sz w:val="20"/>
          <w:szCs w:val="20"/>
        </w:rPr>
        <w:t xml:space="preserve">Given the wide range of values between individual samples and </w:t>
      </w:r>
      <w:r w:rsidR="00EE76BA">
        <w:rPr>
          <w:rFonts w:ascii="Arial" w:hAnsi="Arial" w:cs="Arial"/>
          <w:sz w:val="20"/>
          <w:szCs w:val="20"/>
        </w:rPr>
        <w:t>the</w:t>
      </w:r>
      <w:r w:rsidR="0044404A">
        <w:rPr>
          <w:rFonts w:ascii="Arial" w:hAnsi="Arial" w:cs="Arial"/>
          <w:sz w:val="20"/>
          <w:szCs w:val="20"/>
        </w:rPr>
        <w:t xml:space="preserve"> </w:t>
      </w:r>
      <w:r w:rsidRPr="00D43486">
        <w:rPr>
          <w:rFonts w:ascii="Arial" w:hAnsi="Arial" w:cs="Arial"/>
          <w:sz w:val="20"/>
          <w:szCs w:val="20"/>
        </w:rPr>
        <w:t>associated standard d</w:t>
      </w:r>
      <w:r w:rsidR="00BD3734">
        <w:rPr>
          <w:rFonts w:ascii="Arial" w:hAnsi="Arial" w:cs="Arial"/>
          <w:sz w:val="20"/>
          <w:szCs w:val="20"/>
        </w:rPr>
        <w:t>eviation for the data provided</w:t>
      </w:r>
      <w:r w:rsidRPr="00D43486">
        <w:rPr>
          <w:rFonts w:ascii="Arial" w:hAnsi="Arial" w:cs="Arial"/>
          <w:sz w:val="20"/>
          <w:szCs w:val="20"/>
        </w:rPr>
        <w:t>, the assessment of risk associated with acid drainage</w:t>
      </w:r>
      <w:r w:rsidR="00224622">
        <w:rPr>
          <w:rFonts w:ascii="Arial" w:hAnsi="Arial" w:cs="Arial"/>
          <w:sz w:val="20"/>
          <w:szCs w:val="20"/>
        </w:rPr>
        <w:t xml:space="preserve"> is </w:t>
      </w:r>
      <w:r w:rsidR="00302DAF">
        <w:rPr>
          <w:rFonts w:ascii="Arial" w:hAnsi="Arial" w:cs="Arial"/>
          <w:sz w:val="20"/>
          <w:szCs w:val="20"/>
        </w:rPr>
        <w:t>uncertain</w:t>
      </w:r>
      <w:r w:rsidRPr="00D43486">
        <w:rPr>
          <w:rFonts w:ascii="Arial" w:hAnsi="Arial" w:cs="Arial"/>
          <w:sz w:val="20"/>
          <w:szCs w:val="20"/>
        </w:rPr>
        <w:t xml:space="preserve">. </w:t>
      </w:r>
    </w:p>
    <w:p w:rsidR="00D43486" w:rsidRPr="00D43486" w:rsidRDefault="00D43486" w:rsidP="00D43486">
      <w:pPr>
        <w:pStyle w:val="ListNumber"/>
        <w:numPr>
          <w:ilvl w:val="1"/>
          <w:numId w:val="23"/>
        </w:numPr>
        <w:spacing w:before="120" w:line="276" w:lineRule="auto"/>
        <w:ind w:left="709"/>
        <w:rPr>
          <w:rFonts w:ascii="Arial" w:hAnsi="Arial" w:cs="Arial"/>
          <w:sz w:val="20"/>
          <w:szCs w:val="20"/>
        </w:rPr>
      </w:pPr>
      <w:r w:rsidRPr="00D43486">
        <w:rPr>
          <w:rFonts w:ascii="Arial" w:hAnsi="Arial" w:cs="Arial"/>
          <w:sz w:val="20"/>
          <w:szCs w:val="20"/>
        </w:rPr>
        <w:t>No testing of metals in potential leachate from the</w:t>
      </w:r>
      <w:r w:rsidRPr="00E37D31">
        <w:rPr>
          <w:rFonts w:ascii="Arial" w:hAnsi="Arial" w:cs="Arial"/>
          <w:sz w:val="20"/>
          <w:szCs w:val="20"/>
        </w:rPr>
        <w:t xml:space="preserve"> </w:t>
      </w:r>
      <w:r w:rsidR="00084FBA">
        <w:rPr>
          <w:rFonts w:ascii="Arial" w:hAnsi="Arial" w:cs="Arial"/>
          <w:sz w:val="20"/>
          <w:szCs w:val="20"/>
        </w:rPr>
        <w:t xml:space="preserve">REA </w:t>
      </w:r>
      <w:r w:rsidRPr="00D43486">
        <w:rPr>
          <w:rFonts w:ascii="Arial" w:hAnsi="Arial" w:cs="Arial"/>
          <w:sz w:val="20"/>
          <w:szCs w:val="20"/>
        </w:rPr>
        <w:t xml:space="preserve">has yet been undertaken; instead whole-rock assays have been performed and elemental abundance measurements have been compared to a published geochemical abundance index. This analysis may not adequately identify </w:t>
      </w:r>
      <w:r w:rsidR="00B13EF0">
        <w:rPr>
          <w:rFonts w:ascii="Arial" w:hAnsi="Arial" w:cs="Arial"/>
          <w:sz w:val="20"/>
          <w:szCs w:val="20"/>
        </w:rPr>
        <w:t>risks to surface or groundwater</w:t>
      </w:r>
      <w:r w:rsidRPr="00D43486">
        <w:rPr>
          <w:rFonts w:ascii="Arial" w:hAnsi="Arial" w:cs="Arial"/>
          <w:sz w:val="20"/>
          <w:szCs w:val="20"/>
        </w:rPr>
        <w:t xml:space="preserve"> as it does not distinguish the chemical form of metals in the REA and hence the solubility of key water quality constituents likely to be present. The analysis also does not account for the effect of contaminants in the environment, where soluble metals below average global abundance may exceed local water quality objectives and be harmful to aquatic ecosystems, or affect suitability for stock or agricultur</w:t>
      </w:r>
      <w:r w:rsidR="00224622">
        <w:rPr>
          <w:rFonts w:ascii="Arial" w:hAnsi="Arial" w:cs="Arial"/>
          <w:sz w:val="20"/>
          <w:szCs w:val="20"/>
        </w:rPr>
        <w:t>e.</w:t>
      </w:r>
      <w:r w:rsidRPr="00D43486">
        <w:rPr>
          <w:rFonts w:ascii="Arial" w:hAnsi="Arial" w:cs="Arial"/>
          <w:sz w:val="20"/>
          <w:szCs w:val="20"/>
        </w:rPr>
        <w:t xml:space="preserve"> </w:t>
      </w:r>
    </w:p>
    <w:p w:rsidR="00D43486" w:rsidRPr="00D43486" w:rsidRDefault="00084FBA" w:rsidP="00D43486">
      <w:pPr>
        <w:pStyle w:val="ListNumber"/>
        <w:numPr>
          <w:ilvl w:val="0"/>
          <w:numId w:val="23"/>
        </w:numPr>
        <w:spacing w:before="120" w:line="276" w:lineRule="auto"/>
        <w:rPr>
          <w:rFonts w:ascii="Arial" w:hAnsi="Arial" w:cs="Arial"/>
          <w:sz w:val="20"/>
          <w:szCs w:val="20"/>
        </w:rPr>
      </w:pPr>
      <w:r>
        <w:rPr>
          <w:rFonts w:ascii="Arial" w:hAnsi="Arial" w:cs="Arial"/>
          <w:sz w:val="20"/>
          <w:szCs w:val="20"/>
        </w:rPr>
        <w:t>Given</w:t>
      </w:r>
      <w:r w:rsidR="00D43486" w:rsidRPr="00D43486">
        <w:rPr>
          <w:rFonts w:ascii="Arial" w:hAnsi="Arial" w:cs="Arial"/>
          <w:sz w:val="20"/>
          <w:szCs w:val="20"/>
        </w:rPr>
        <w:t xml:space="preserve"> the 7-10m vertical separation between the Corvus I and the underlying Corvus II seam, goafing effects may lead to in-situ dewatering and oxidation of </w:t>
      </w:r>
      <w:r>
        <w:rPr>
          <w:rFonts w:ascii="Arial" w:hAnsi="Arial" w:cs="Arial"/>
          <w:sz w:val="20"/>
          <w:szCs w:val="20"/>
        </w:rPr>
        <w:t xml:space="preserve">PAF </w:t>
      </w:r>
      <w:r w:rsidR="00D43486" w:rsidRPr="00D43486">
        <w:rPr>
          <w:rFonts w:ascii="Arial" w:hAnsi="Arial" w:cs="Arial"/>
          <w:sz w:val="20"/>
          <w:szCs w:val="20"/>
        </w:rPr>
        <w:t>materials in the Corvus I seam and floor. Discussion of potential impacts and mitigation is limited</w:t>
      </w:r>
      <w:r w:rsidR="002271C0">
        <w:rPr>
          <w:rFonts w:ascii="Arial" w:hAnsi="Arial" w:cs="Arial"/>
          <w:sz w:val="20"/>
          <w:szCs w:val="20"/>
        </w:rPr>
        <w:t xml:space="preserve"> to the following</w:t>
      </w:r>
      <w:r w:rsidR="00D43486" w:rsidRPr="00D43486">
        <w:rPr>
          <w:rFonts w:ascii="Arial" w:hAnsi="Arial" w:cs="Arial"/>
          <w:sz w:val="20"/>
          <w:szCs w:val="20"/>
        </w:rPr>
        <w:t xml:space="preserve">: no calculations (or kinetic testing) are provided to demonstrate that natural groundwater pH will be sufficient to buffer acid forming potential; the level of increased salinity due to neutralisation of acid groundwater is not discussed, nor is potential mobilisation of contaminants and metals in aquifers. Risks to surface water resources due to mine dewatering of poor quality or acid groundwater are not discussed. </w:t>
      </w:r>
    </w:p>
    <w:p w:rsidR="00D43486" w:rsidRPr="00D43486" w:rsidRDefault="00D43486" w:rsidP="00D43486">
      <w:pPr>
        <w:pStyle w:val="ListNumber"/>
        <w:numPr>
          <w:ilvl w:val="0"/>
          <w:numId w:val="23"/>
        </w:numPr>
        <w:spacing w:before="120" w:line="276" w:lineRule="auto"/>
        <w:rPr>
          <w:rFonts w:ascii="Arial" w:hAnsi="Arial" w:cs="Arial"/>
          <w:sz w:val="20"/>
          <w:szCs w:val="20"/>
          <w:u w:val="single"/>
        </w:rPr>
      </w:pPr>
      <w:r w:rsidRPr="00D43486">
        <w:rPr>
          <w:rFonts w:ascii="Arial" w:hAnsi="Arial" w:cs="Arial"/>
          <w:sz w:val="20"/>
          <w:szCs w:val="20"/>
        </w:rPr>
        <w:t>Rehabilitation and decommission</w:t>
      </w:r>
      <w:r w:rsidR="00E43C5F">
        <w:rPr>
          <w:rFonts w:ascii="Arial" w:hAnsi="Arial" w:cs="Arial"/>
          <w:sz w:val="20"/>
          <w:szCs w:val="20"/>
        </w:rPr>
        <w:t>ing</w:t>
      </w:r>
      <w:r w:rsidRPr="00D43486">
        <w:rPr>
          <w:rFonts w:ascii="Arial" w:hAnsi="Arial" w:cs="Arial"/>
          <w:sz w:val="20"/>
          <w:szCs w:val="20"/>
        </w:rPr>
        <w:t xml:space="preserve"> of the REA does not address whether the final landform may continue to release leachate post mining </w:t>
      </w:r>
      <w:r w:rsidR="00BD3734">
        <w:rPr>
          <w:rFonts w:ascii="Arial" w:hAnsi="Arial" w:cs="Arial"/>
          <w:sz w:val="20"/>
          <w:szCs w:val="20"/>
        </w:rPr>
        <w:t>or at what quantity or quality</w:t>
      </w:r>
      <w:r w:rsidRPr="00D43486">
        <w:rPr>
          <w:rFonts w:ascii="Arial" w:hAnsi="Arial" w:cs="Arial"/>
          <w:sz w:val="20"/>
          <w:szCs w:val="20"/>
        </w:rPr>
        <w:t xml:space="preserve">. While the proponent proposes to capture leachate and runoff from the REA in a sediment dam during operation, it is unclear whether this will continue post mining or if potential leachate from the REA will discharge directly into local drainage channels.  </w:t>
      </w:r>
    </w:p>
    <w:p w:rsidR="00D43486" w:rsidRPr="00D43486" w:rsidRDefault="00684395" w:rsidP="00D43486">
      <w:pPr>
        <w:pStyle w:val="ListNumber"/>
        <w:numPr>
          <w:ilvl w:val="0"/>
          <w:numId w:val="23"/>
        </w:numPr>
        <w:spacing w:before="120" w:line="276" w:lineRule="auto"/>
        <w:rPr>
          <w:rFonts w:ascii="Arial" w:hAnsi="Arial" w:cs="Arial"/>
          <w:sz w:val="20"/>
          <w:szCs w:val="20"/>
        </w:rPr>
      </w:pPr>
      <w:r w:rsidRPr="007C17CB">
        <w:rPr>
          <w:rFonts w:ascii="Arial" w:hAnsi="Arial" w:cs="Arial"/>
          <w:sz w:val="20"/>
          <w:szCs w:val="20"/>
          <w:u w:val="single"/>
        </w:rPr>
        <w:t>Water balance</w:t>
      </w:r>
      <w:r>
        <w:rPr>
          <w:rFonts w:ascii="Arial" w:hAnsi="Arial" w:cs="Arial"/>
          <w:sz w:val="20"/>
          <w:szCs w:val="20"/>
        </w:rPr>
        <w:t xml:space="preserve">: </w:t>
      </w:r>
      <w:r w:rsidR="00D43486" w:rsidRPr="00D43486">
        <w:rPr>
          <w:rFonts w:ascii="Arial" w:hAnsi="Arial" w:cs="Arial"/>
          <w:sz w:val="20"/>
          <w:szCs w:val="20"/>
        </w:rPr>
        <w:t xml:space="preserve">The catch dams for the REA have been designed </w:t>
      </w:r>
      <w:r w:rsidR="002271C0">
        <w:rPr>
          <w:rFonts w:ascii="Arial" w:hAnsi="Arial" w:cs="Arial"/>
          <w:sz w:val="20"/>
          <w:szCs w:val="20"/>
        </w:rPr>
        <w:t xml:space="preserve">with the assumption </w:t>
      </w:r>
      <w:r w:rsidR="00302DAF">
        <w:rPr>
          <w:rFonts w:ascii="Arial" w:hAnsi="Arial" w:cs="Arial"/>
          <w:sz w:val="20"/>
          <w:szCs w:val="20"/>
        </w:rPr>
        <w:t>that</w:t>
      </w:r>
      <w:r w:rsidR="00302DAF" w:rsidRPr="00D43486">
        <w:rPr>
          <w:rFonts w:ascii="Arial" w:hAnsi="Arial" w:cs="Arial"/>
          <w:sz w:val="20"/>
          <w:szCs w:val="20"/>
        </w:rPr>
        <w:t xml:space="preserve"> </w:t>
      </w:r>
      <w:r w:rsidR="000C24E9">
        <w:rPr>
          <w:rFonts w:ascii="Arial" w:hAnsi="Arial" w:cs="Arial"/>
          <w:sz w:val="20"/>
          <w:szCs w:val="20"/>
        </w:rPr>
        <w:t xml:space="preserve">the </w:t>
      </w:r>
      <w:r w:rsidR="00302DAF" w:rsidRPr="00D43486">
        <w:rPr>
          <w:rFonts w:ascii="Arial" w:hAnsi="Arial" w:cs="Arial"/>
          <w:sz w:val="20"/>
          <w:szCs w:val="20"/>
        </w:rPr>
        <w:t>primary</w:t>
      </w:r>
      <w:r w:rsidR="00D43486" w:rsidRPr="00D43486">
        <w:rPr>
          <w:rFonts w:ascii="Arial" w:hAnsi="Arial" w:cs="Arial"/>
          <w:sz w:val="20"/>
          <w:szCs w:val="20"/>
        </w:rPr>
        <w:t xml:space="preserve"> pollutants entrained in runoff from the waste rock stockpile and MIA </w:t>
      </w:r>
      <w:proofErr w:type="gramStart"/>
      <w:r w:rsidR="002271C0">
        <w:rPr>
          <w:rFonts w:ascii="Arial" w:hAnsi="Arial" w:cs="Arial"/>
          <w:sz w:val="20"/>
          <w:szCs w:val="20"/>
        </w:rPr>
        <w:t>are</w:t>
      </w:r>
      <w:proofErr w:type="gramEnd"/>
      <w:r w:rsidR="00D43486" w:rsidRPr="00D43486">
        <w:rPr>
          <w:rFonts w:ascii="Arial" w:hAnsi="Arial" w:cs="Arial"/>
          <w:sz w:val="20"/>
          <w:szCs w:val="20"/>
        </w:rPr>
        <w:t xml:space="preserve"> sediment</w:t>
      </w:r>
      <w:r w:rsidR="002271C0">
        <w:rPr>
          <w:rFonts w:ascii="Arial" w:hAnsi="Arial" w:cs="Arial"/>
          <w:sz w:val="20"/>
          <w:szCs w:val="20"/>
        </w:rPr>
        <w:t>s</w:t>
      </w:r>
      <w:r w:rsidR="00D43486" w:rsidRPr="00D43486">
        <w:rPr>
          <w:rFonts w:ascii="Arial" w:hAnsi="Arial" w:cs="Arial"/>
          <w:sz w:val="20"/>
          <w:szCs w:val="20"/>
        </w:rPr>
        <w:t xml:space="preserve">. This is inconsistent with the waste rock geochemical assessment </w:t>
      </w:r>
      <w:r w:rsidR="00302DAF" w:rsidRPr="00D43486">
        <w:rPr>
          <w:rFonts w:ascii="Arial" w:hAnsi="Arial" w:cs="Arial"/>
          <w:sz w:val="20"/>
          <w:szCs w:val="20"/>
        </w:rPr>
        <w:t>results</w:t>
      </w:r>
      <w:r w:rsidR="00302DAF">
        <w:rPr>
          <w:rFonts w:ascii="Arial" w:hAnsi="Arial" w:cs="Arial"/>
          <w:sz w:val="20"/>
          <w:szCs w:val="20"/>
        </w:rPr>
        <w:t xml:space="preserve"> that</w:t>
      </w:r>
      <w:r w:rsidR="002271C0">
        <w:rPr>
          <w:rFonts w:ascii="Arial" w:hAnsi="Arial" w:cs="Arial"/>
          <w:sz w:val="20"/>
          <w:szCs w:val="20"/>
        </w:rPr>
        <w:t xml:space="preserve"> </w:t>
      </w:r>
      <w:r w:rsidR="00D43486" w:rsidRPr="00D43486">
        <w:rPr>
          <w:rFonts w:ascii="Arial" w:hAnsi="Arial" w:cs="Arial"/>
          <w:sz w:val="20"/>
          <w:szCs w:val="20"/>
        </w:rPr>
        <w:t xml:space="preserve">indicate waste coal and coal rejects are present and potentially acid forming, and that surface runoff from the REA may be of low pH and contain elevated concentrations of salts and/or dissolved metals. Discharge of potentially contaminated runoff from REA increases risks to downstream water resources, aquatic ecosystems and town water supplies. </w:t>
      </w:r>
      <w:r w:rsidR="00E11257">
        <w:rPr>
          <w:rFonts w:ascii="Arial" w:hAnsi="Arial" w:cs="Arial"/>
          <w:sz w:val="20"/>
          <w:szCs w:val="20"/>
        </w:rPr>
        <w:t>T</w:t>
      </w:r>
      <w:r w:rsidR="00D43486" w:rsidRPr="00D43486">
        <w:rPr>
          <w:rFonts w:ascii="Arial" w:hAnsi="Arial" w:cs="Arial"/>
          <w:sz w:val="20"/>
          <w:szCs w:val="20"/>
        </w:rPr>
        <w:t xml:space="preserve">he proposed management of runoff from the REA and the design of dams to manage this runoff </w:t>
      </w:r>
      <w:r w:rsidR="00E11257">
        <w:rPr>
          <w:rFonts w:ascii="Arial" w:hAnsi="Arial" w:cs="Arial"/>
          <w:sz w:val="20"/>
          <w:szCs w:val="20"/>
        </w:rPr>
        <w:t xml:space="preserve">should </w:t>
      </w:r>
      <w:r w:rsidR="00D43486" w:rsidRPr="00D43486">
        <w:rPr>
          <w:rFonts w:ascii="Arial" w:hAnsi="Arial" w:cs="Arial"/>
          <w:sz w:val="20"/>
          <w:szCs w:val="20"/>
        </w:rPr>
        <w:t>be revised with consideration of the preliminary geochemistry results. Considering the potential contamination risks and the uncertainties presented in the preliminary geochemistry assessment, the runoff from the REA would be more appropriately managed as mine-affected water.</w:t>
      </w:r>
    </w:p>
    <w:p w:rsidR="00D43486" w:rsidRDefault="00D43486"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 xml:space="preserve">The volumetric catchment runoff input to the site water balance is not presented in the water balance modelling results. Further, surface runoff from the REA, which comprises 72% of the surface infrastructure area, has been excluded from the site water balance. </w:t>
      </w:r>
      <w:r w:rsidR="00E11257">
        <w:rPr>
          <w:rFonts w:ascii="Arial" w:hAnsi="Arial" w:cs="Arial"/>
          <w:sz w:val="20"/>
          <w:szCs w:val="20"/>
        </w:rPr>
        <w:t>T</w:t>
      </w:r>
      <w:r w:rsidRPr="00D43486">
        <w:rPr>
          <w:rFonts w:ascii="Arial" w:hAnsi="Arial" w:cs="Arial"/>
          <w:sz w:val="20"/>
          <w:szCs w:val="20"/>
        </w:rPr>
        <w:t xml:space="preserve">here is an increased risk that the water surplus simulated from the model is underestimated, and the discharge requirements are potentially higher than predicted. In order to more accurately predict the volume of water to be managed in the mine water management system, the volume of surface water </w:t>
      </w:r>
      <w:r w:rsidR="00D24E24">
        <w:rPr>
          <w:rFonts w:ascii="Arial" w:hAnsi="Arial" w:cs="Arial"/>
          <w:sz w:val="20"/>
          <w:szCs w:val="20"/>
        </w:rPr>
        <w:t xml:space="preserve">and </w:t>
      </w:r>
      <w:r w:rsidRPr="00D43486">
        <w:rPr>
          <w:rFonts w:ascii="Arial" w:hAnsi="Arial" w:cs="Arial"/>
          <w:sz w:val="20"/>
          <w:szCs w:val="20"/>
        </w:rPr>
        <w:t xml:space="preserve">REA </w:t>
      </w:r>
      <w:r w:rsidR="00EE76BA">
        <w:rPr>
          <w:rFonts w:ascii="Arial" w:hAnsi="Arial" w:cs="Arial"/>
          <w:sz w:val="20"/>
          <w:szCs w:val="20"/>
        </w:rPr>
        <w:t>run</w:t>
      </w:r>
      <w:r w:rsidR="00D24E24">
        <w:rPr>
          <w:rFonts w:ascii="Arial" w:hAnsi="Arial" w:cs="Arial"/>
          <w:sz w:val="20"/>
          <w:szCs w:val="20"/>
        </w:rPr>
        <w:t xml:space="preserve">off should be </w:t>
      </w:r>
      <w:r w:rsidRPr="00D43486">
        <w:rPr>
          <w:rFonts w:ascii="Arial" w:hAnsi="Arial" w:cs="Arial"/>
          <w:sz w:val="20"/>
          <w:szCs w:val="20"/>
        </w:rPr>
        <w:t>included in the water balance model</w:t>
      </w:r>
      <w:r w:rsidR="00D24E24">
        <w:rPr>
          <w:rFonts w:ascii="Arial" w:hAnsi="Arial" w:cs="Arial"/>
          <w:sz w:val="20"/>
          <w:szCs w:val="20"/>
        </w:rPr>
        <w:t>.</w:t>
      </w:r>
    </w:p>
    <w:p w:rsidR="00880491" w:rsidRPr="00D43486" w:rsidRDefault="00880491" w:rsidP="00D43486">
      <w:pPr>
        <w:pStyle w:val="ListNumber"/>
        <w:numPr>
          <w:ilvl w:val="0"/>
          <w:numId w:val="23"/>
        </w:numPr>
        <w:spacing w:before="120" w:line="276" w:lineRule="auto"/>
        <w:rPr>
          <w:rFonts w:ascii="Arial" w:hAnsi="Arial" w:cs="Arial"/>
          <w:sz w:val="20"/>
          <w:szCs w:val="20"/>
        </w:rPr>
      </w:pPr>
      <w:r>
        <w:rPr>
          <w:rFonts w:ascii="Arial" w:hAnsi="Arial" w:cs="Arial"/>
          <w:sz w:val="20"/>
          <w:szCs w:val="20"/>
        </w:rPr>
        <w:t>Use of water from Fairbairn Dam for dust suppression along the haul roads</w:t>
      </w:r>
      <w:r w:rsidR="004A1237">
        <w:rPr>
          <w:rFonts w:ascii="Arial" w:hAnsi="Arial" w:cs="Arial"/>
          <w:sz w:val="20"/>
          <w:szCs w:val="20"/>
        </w:rPr>
        <w:t xml:space="preserve"> </w:t>
      </w:r>
      <w:r>
        <w:rPr>
          <w:rFonts w:ascii="Arial" w:hAnsi="Arial" w:cs="Arial"/>
          <w:sz w:val="20"/>
          <w:szCs w:val="20"/>
        </w:rPr>
        <w:t>is likely to result in the need to discharge a larger volume of mine affected water</w:t>
      </w:r>
      <w:r w:rsidR="004A1237">
        <w:rPr>
          <w:rFonts w:ascii="Arial" w:hAnsi="Arial" w:cs="Arial"/>
          <w:sz w:val="20"/>
          <w:szCs w:val="20"/>
        </w:rPr>
        <w:t xml:space="preserve"> than is currently proposed in the Site Water Management Strategy</w:t>
      </w:r>
      <w:r>
        <w:rPr>
          <w:rFonts w:ascii="Arial" w:hAnsi="Arial" w:cs="Arial"/>
          <w:sz w:val="20"/>
          <w:szCs w:val="20"/>
        </w:rPr>
        <w:t>. The source of water for dust suppression should be clarified and the water balance updated, if necessary.</w:t>
      </w:r>
    </w:p>
    <w:p w:rsidR="00D43486" w:rsidRPr="00D43486" w:rsidRDefault="000C6FE1" w:rsidP="00D43486">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Water-dependent ecosystems</w:t>
      </w:r>
      <w:r w:rsidR="003D49A6">
        <w:rPr>
          <w:rFonts w:ascii="Arial" w:hAnsi="Arial" w:cs="Arial"/>
          <w:sz w:val="20"/>
          <w:szCs w:val="20"/>
        </w:rPr>
        <w:t xml:space="preserve">: </w:t>
      </w:r>
      <w:r w:rsidR="00D43486" w:rsidRPr="00D43486">
        <w:rPr>
          <w:rFonts w:ascii="Arial" w:hAnsi="Arial" w:cs="Arial"/>
          <w:sz w:val="20"/>
          <w:szCs w:val="20"/>
        </w:rPr>
        <w:t xml:space="preserve">There is insufficient groundwater level data to determine the </w:t>
      </w:r>
      <w:r w:rsidR="00AD20C6">
        <w:rPr>
          <w:rFonts w:ascii="Arial" w:hAnsi="Arial" w:cs="Arial"/>
          <w:sz w:val="20"/>
          <w:szCs w:val="20"/>
        </w:rPr>
        <w:t xml:space="preserve">scale and extent </w:t>
      </w:r>
      <w:r w:rsidR="00D43486" w:rsidRPr="00D43486">
        <w:rPr>
          <w:rFonts w:ascii="Arial" w:hAnsi="Arial" w:cs="Arial"/>
          <w:sz w:val="20"/>
          <w:szCs w:val="20"/>
        </w:rPr>
        <w:t xml:space="preserve">of surface water-groundwater connectivity or the use of groundwater by vegetation. In </w:t>
      </w:r>
      <w:r w:rsidR="00D43486" w:rsidRPr="00D43486">
        <w:rPr>
          <w:rFonts w:ascii="Arial" w:hAnsi="Arial" w:cs="Arial"/>
          <w:sz w:val="20"/>
          <w:szCs w:val="20"/>
        </w:rPr>
        <w:lastRenderedPageBreak/>
        <w:t xml:space="preserve">particular, there is insufficient evidence to support the prediction that groundwater drawdown will not significantly affect the baseflow in Theresa or Gordonstone Creeks or the condition of </w:t>
      </w:r>
      <w:r w:rsidR="0075312E">
        <w:rPr>
          <w:rFonts w:ascii="Arial" w:hAnsi="Arial" w:cs="Arial"/>
          <w:sz w:val="20"/>
          <w:szCs w:val="20"/>
        </w:rPr>
        <w:t>any</w:t>
      </w:r>
      <w:r w:rsidR="00D43486" w:rsidRPr="00D43486">
        <w:rPr>
          <w:rFonts w:ascii="Arial" w:hAnsi="Arial" w:cs="Arial"/>
          <w:sz w:val="20"/>
          <w:szCs w:val="20"/>
        </w:rPr>
        <w:t xml:space="preserve"> groundwater dependent vegetation.</w:t>
      </w:r>
    </w:p>
    <w:p w:rsidR="00D43486" w:rsidRPr="00D43486" w:rsidRDefault="00D43486"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 xml:space="preserve">The proponent has identified eight springs in two clusters in areas of outcropping Tertiary basalts. Predicted drawdown indicates that all springs will be impacted, with four of the springs, those within and adjacent to the mine footprint, expected to dry up. </w:t>
      </w:r>
      <w:r w:rsidR="00961617">
        <w:rPr>
          <w:rFonts w:ascii="Arial" w:hAnsi="Arial" w:cs="Arial"/>
          <w:sz w:val="20"/>
          <w:szCs w:val="20"/>
        </w:rPr>
        <w:t xml:space="preserve"> The proponent suggests that t</w:t>
      </w:r>
      <w:r w:rsidRPr="00D43486">
        <w:rPr>
          <w:rFonts w:ascii="Arial" w:hAnsi="Arial" w:cs="Arial"/>
          <w:sz w:val="20"/>
          <w:szCs w:val="20"/>
        </w:rPr>
        <w:t xml:space="preserve">hese springs may represent localised perched groundwater discharge, but this </w:t>
      </w:r>
      <w:r w:rsidR="003D49A6">
        <w:rPr>
          <w:rFonts w:ascii="Arial" w:hAnsi="Arial" w:cs="Arial"/>
          <w:sz w:val="20"/>
          <w:szCs w:val="20"/>
        </w:rPr>
        <w:t xml:space="preserve">requires </w:t>
      </w:r>
      <w:r w:rsidRPr="00D43486">
        <w:rPr>
          <w:rFonts w:ascii="Arial" w:hAnsi="Arial" w:cs="Arial"/>
          <w:sz w:val="20"/>
          <w:szCs w:val="20"/>
        </w:rPr>
        <w:t>confirm</w:t>
      </w:r>
      <w:r w:rsidR="003D49A6">
        <w:rPr>
          <w:rFonts w:ascii="Arial" w:hAnsi="Arial" w:cs="Arial"/>
          <w:sz w:val="20"/>
          <w:szCs w:val="20"/>
        </w:rPr>
        <w:t>ation</w:t>
      </w:r>
      <w:r w:rsidRPr="00D43486">
        <w:rPr>
          <w:rFonts w:ascii="Arial" w:hAnsi="Arial" w:cs="Arial"/>
          <w:sz w:val="20"/>
          <w:szCs w:val="20"/>
        </w:rPr>
        <w:t>. In addition, subsidence and associated deformation to geological structures associated with the mine are likely to have a “longer-lasting” hydrological impact on all springs. No ecological surveys have been carried out at the spring sites so ecological impacts have not been considered in the EIS.</w:t>
      </w:r>
    </w:p>
    <w:p w:rsidR="00D43486" w:rsidRPr="001515DA" w:rsidRDefault="00D43486" w:rsidP="00BD774A">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The proponent identifies three veget</w:t>
      </w:r>
      <w:r w:rsidR="001647AA">
        <w:rPr>
          <w:rFonts w:ascii="Arial" w:hAnsi="Arial" w:cs="Arial"/>
          <w:sz w:val="20"/>
          <w:szCs w:val="20"/>
        </w:rPr>
        <w:t xml:space="preserve">ation communities as </w:t>
      </w:r>
      <w:r w:rsidR="003D49A6" w:rsidRPr="00BD774A">
        <w:rPr>
          <w:rFonts w:ascii="Arial" w:hAnsi="Arial" w:cs="Arial"/>
          <w:sz w:val="20"/>
          <w:szCs w:val="20"/>
        </w:rPr>
        <w:t>GDEs</w:t>
      </w:r>
      <w:r w:rsidR="001647AA" w:rsidRPr="00224622">
        <w:rPr>
          <w:rFonts w:ascii="Arial" w:hAnsi="Arial" w:cs="Arial"/>
          <w:sz w:val="20"/>
          <w:szCs w:val="20"/>
        </w:rPr>
        <w:t xml:space="preserve">. </w:t>
      </w:r>
      <w:r w:rsidRPr="00224622">
        <w:rPr>
          <w:rFonts w:ascii="Arial" w:hAnsi="Arial" w:cs="Arial"/>
          <w:sz w:val="20"/>
          <w:szCs w:val="20"/>
        </w:rPr>
        <w:t>The proponent suggests that groundwater levels are too deep (14m) to be accessed by these communities</w:t>
      </w:r>
      <w:r w:rsidR="003D49A6" w:rsidRPr="00252DE0">
        <w:rPr>
          <w:rFonts w:ascii="Arial" w:hAnsi="Arial" w:cs="Arial"/>
          <w:sz w:val="20"/>
          <w:szCs w:val="20"/>
        </w:rPr>
        <w:t xml:space="preserve"> </w:t>
      </w:r>
      <w:r w:rsidR="000C6FE1">
        <w:rPr>
          <w:rFonts w:ascii="Arial" w:hAnsi="Arial" w:cs="Arial"/>
          <w:sz w:val="20"/>
          <w:szCs w:val="20"/>
        </w:rPr>
        <w:t>and that impacts from predicted minor dr</w:t>
      </w:r>
      <w:r w:rsidR="000C6FE1" w:rsidRPr="00F860AE">
        <w:rPr>
          <w:rFonts w:ascii="Arial" w:hAnsi="Arial" w:cs="Arial"/>
          <w:sz w:val="20"/>
          <w:szCs w:val="20"/>
        </w:rPr>
        <w:t xml:space="preserve">awdown in the shallow alluvium due to mining operations are low. However, 14m is within the range at which groundwater use by trees is possible </w:t>
      </w:r>
      <w:r w:rsidR="00E93BE5" w:rsidRPr="00F860AE">
        <w:rPr>
          <w:rFonts w:ascii="Arial" w:hAnsi="Arial" w:cs="Arial"/>
          <w:sz w:val="20"/>
          <w:szCs w:val="20"/>
        </w:rPr>
        <w:fldChar w:fldCharType="begin"/>
      </w:r>
      <w:r w:rsidR="000C6FE1" w:rsidRPr="00F860AE">
        <w:rPr>
          <w:rFonts w:ascii="Arial" w:hAnsi="Arial" w:cs="Arial"/>
          <w:sz w:val="20"/>
          <w:szCs w:val="20"/>
        </w:rPr>
        <w:instrText xml:space="preserve"> ADDIN EN.CITE &lt;EndNote&gt;&lt;Cite&gt;&lt;Author&gt;Eamus&lt;/Author&gt;&lt;Year&gt;2006&lt;/Year&gt;&lt;RecNum&gt;439&lt;/RecNum&gt;&lt;DisplayText&gt;(Eamus, Froend et al. 2006)&lt;/DisplayText&gt;&lt;record&gt;&lt;rec-number&gt;439&lt;/rec-number&gt;&lt;foreign-keys&gt;&lt;key app="EN" db-id="xz5vrd20mz9trjezvzzvf9fhsxvzatfrr59v"&gt;439&lt;/key&gt;&lt;/foreign-keys&gt;&lt;ref-type name="Journal Article"&gt;17&lt;/ref-type&gt;&lt;contributors&gt;&lt;authors&gt;&lt;author&gt;Eamus, D.&lt;/author&gt;&lt;author&gt;Froend, R.&lt;/author&gt;&lt;author&gt;Loomes, R.&lt;/author&gt;&lt;author&gt;Hose, G.&lt;/author&gt;&lt;author&gt;Murray, B.&lt;/author&gt;&lt;/authors&gt;&lt;/contributors&gt;&lt;titles&gt;&lt;title&gt;A functional methodology for determining the groundwater regime needed to maintain the health of groundwater-dependent vegetation&lt;/title&gt;&lt;secondary-title&gt;Australian Journal of Botany&lt;/secondary-title&gt;&lt;/titles&gt;&lt;pages&gt;97-114&lt;/pages&gt;&lt;volume&gt;54&lt;/volume&gt;&lt;number&gt;2&lt;/number&gt;&lt;dates&gt;&lt;year&gt;2006&lt;/year&gt;&lt;/dates&gt;&lt;urls&gt;&lt;related-urls&gt;&lt;url&gt;&amp;lt;Go to ISI&amp;gt;://000236550600002&lt;/url&gt;&lt;url&gt;internal-pdf://Eamus et al 2006-0039825664/Eamus et al 2006.pdf&lt;/url&gt;&lt;/related-urls&gt;&lt;/urls&gt;&lt;/record&gt;&lt;/Cite&gt;&lt;/EndNote&gt;</w:instrText>
      </w:r>
      <w:r w:rsidR="00E93BE5" w:rsidRPr="00F860AE">
        <w:rPr>
          <w:rFonts w:ascii="Arial" w:hAnsi="Arial" w:cs="Arial"/>
          <w:sz w:val="20"/>
          <w:szCs w:val="20"/>
        </w:rPr>
        <w:fldChar w:fldCharType="separate"/>
      </w:r>
      <w:r w:rsidRPr="00F860AE">
        <w:rPr>
          <w:rFonts w:ascii="Arial" w:hAnsi="Arial" w:cs="Arial"/>
          <w:sz w:val="20"/>
          <w:szCs w:val="20"/>
        </w:rPr>
        <w:t>(</w:t>
      </w:r>
      <w:hyperlink w:anchor="_ENREF_1" w:tooltip="Eamus, 2006 #439" w:history="1">
        <w:r w:rsidRPr="00F860AE">
          <w:rPr>
            <w:rFonts w:ascii="Arial" w:hAnsi="Arial" w:cs="Arial"/>
            <w:sz w:val="20"/>
            <w:szCs w:val="20"/>
          </w:rPr>
          <w:t>Eamus, Froend</w:t>
        </w:r>
        <w:r w:rsidR="003019FA">
          <w:rPr>
            <w:rFonts w:ascii="Arial" w:hAnsi="Arial" w:cs="Arial"/>
            <w:sz w:val="20"/>
            <w:szCs w:val="20"/>
          </w:rPr>
          <w:t>, Loomes, Hose &amp; Murray</w:t>
        </w:r>
        <w:r w:rsidRPr="00F860AE">
          <w:rPr>
            <w:rFonts w:ascii="Arial" w:hAnsi="Arial" w:cs="Arial"/>
            <w:sz w:val="20"/>
            <w:szCs w:val="20"/>
          </w:rPr>
          <w:t xml:space="preserve"> 2006</w:t>
        </w:r>
      </w:hyperlink>
      <w:r w:rsidRPr="00F860AE">
        <w:rPr>
          <w:rFonts w:ascii="Arial" w:hAnsi="Arial" w:cs="Arial"/>
          <w:sz w:val="20"/>
          <w:szCs w:val="20"/>
        </w:rPr>
        <w:t>)</w:t>
      </w:r>
      <w:r w:rsidR="00E93BE5" w:rsidRPr="00F860AE">
        <w:rPr>
          <w:rFonts w:ascii="Arial" w:hAnsi="Arial" w:cs="Arial"/>
          <w:sz w:val="20"/>
          <w:szCs w:val="20"/>
        </w:rPr>
        <w:fldChar w:fldCharType="end"/>
      </w:r>
      <w:r w:rsidRPr="00F860AE">
        <w:rPr>
          <w:rFonts w:ascii="Arial" w:hAnsi="Arial" w:cs="Arial"/>
          <w:sz w:val="20"/>
          <w:szCs w:val="20"/>
        </w:rPr>
        <w:t>. Further, monitoring of groundwater levels on site was only carried out for a few months</w:t>
      </w:r>
      <w:r w:rsidRPr="00BD774A">
        <w:rPr>
          <w:rFonts w:ascii="Arial" w:hAnsi="Arial" w:cs="Arial"/>
          <w:sz w:val="20"/>
          <w:szCs w:val="20"/>
        </w:rPr>
        <w:t xml:space="preserve"> over a period with negligible rainfall. Groundwater levels following periods of recharge may be shallower and therefore more likely to </w:t>
      </w:r>
      <w:r w:rsidRPr="00252DE0">
        <w:rPr>
          <w:rFonts w:ascii="Arial" w:hAnsi="Arial" w:cs="Arial"/>
          <w:sz w:val="20"/>
          <w:szCs w:val="20"/>
        </w:rPr>
        <w:t>be accessed by vegetation.</w:t>
      </w:r>
    </w:p>
    <w:p w:rsidR="00D43486" w:rsidRPr="00F96705" w:rsidRDefault="00D43486" w:rsidP="00F96705">
      <w:pPr>
        <w:pStyle w:val="ListNumber"/>
        <w:numPr>
          <w:ilvl w:val="0"/>
          <w:numId w:val="23"/>
        </w:numPr>
        <w:spacing w:before="120" w:line="276" w:lineRule="auto"/>
        <w:rPr>
          <w:rFonts w:ascii="Arial" w:hAnsi="Arial" w:cs="Arial"/>
          <w:sz w:val="20"/>
          <w:szCs w:val="20"/>
        </w:rPr>
      </w:pPr>
      <w:r w:rsidRPr="00F96705">
        <w:rPr>
          <w:rFonts w:ascii="Arial" w:hAnsi="Arial" w:cs="Arial"/>
          <w:sz w:val="20"/>
          <w:szCs w:val="20"/>
        </w:rPr>
        <w:t xml:space="preserve">The desktop review identified </w:t>
      </w:r>
      <w:r w:rsidR="003D49A6">
        <w:rPr>
          <w:rFonts w:ascii="Arial" w:hAnsi="Arial" w:cs="Arial"/>
          <w:sz w:val="20"/>
          <w:szCs w:val="20"/>
        </w:rPr>
        <w:t xml:space="preserve">the </w:t>
      </w:r>
      <w:r w:rsidR="00F64AAD">
        <w:rPr>
          <w:rFonts w:ascii="Arial" w:hAnsi="Arial" w:cs="Arial"/>
          <w:sz w:val="20"/>
          <w:szCs w:val="20"/>
        </w:rPr>
        <w:t>Fitzroy River turtle</w:t>
      </w:r>
      <w:r w:rsidRPr="00F96705">
        <w:rPr>
          <w:rFonts w:ascii="Arial" w:hAnsi="Arial" w:cs="Arial"/>
          <w:sz w:val="20"/>
          <w:szCs w:val="20"/>
        </w:rPr>
        <w:t xml:space="preserve"> as having been recorded within 100 km of the Project Area. The Fitzroy River turtle is listed as vulnerable </w:t>
      </w:r>
      <w:r w:rsidR="003D49A6">
        <w:rPr>
          <w:rFonts w:ascii="Arial" w:hAnsi="Arial" w:cs="Arial"/>
          <w:sz w:val="20"/>
          <w:szCs w:val="20"/>
        </w:rPr>
        <w:t xml:space="preserve">under the EPBC Act </w:t>
      </w:r>
      <w:r w:rsidRPr="00F96705">
        <w:rPr>
          <w:rFonts w:ascii="Arial" w:hAnsi="Arial" w:cs="Arial"/>
          <w:sz w:val="20"/>
          <w:szCs w:val="20"/>
        </w:rPr>
        <w:t>and is endemic to the Fitzroy Basin. This species was not obs</w:t>
      </w:r>
      <w:r w:rsidR="001647AA">
        <w:rPr>
          <w:rFonts w:ascii="Arial" w:hAnsi="Arial" w:cs="Arial"/>
          <w:sz w:val="20"/>
          <w:szCs w:val="20"/>
        </w:rPr>
        <w:t>erved during the field surveys</w:t>
      </w:r>
      <w:r w:rsidRPr="00F96705">
        <w:rPr>
          <w:rFonts w:ascii="Arial" w:hAnsi="Arial" w:cs="Arial"/>
          <w:sz w:val="20"/>
          <w:szCs w:val="20"/>
        </w:rPr>
        <w:t xml:space="preserve">, but was not specifically targeted. Its presence during the dry season is considered unlikely due to the lack of suitable habitat. It prefers fast-flowing riverine habitat which is not permanently available within the </w:t>
      </w:r>
      <w:r w:rsidR="003D49A6">
        <w:rPr>
          <w:rFonts w:ascii="Arial" w:hAnsi="Arial" w:cs="Arial"/>
          <w:sz w:val="20"/>
          <w:szCs w:val="20"/>
        </w:rPr>
        <w:t>p</w:t>
      </w:r>
      <w:r w:rsidRPr="00F96705">
        <w:rPr>
          <w:rFonts w:ascii="Arial" w:hAnsi="Arial" w:cs="Arial"/>
          <w:sz w:val="20"/>
          <w:szCs w:val="20"/>
        </w:rPr>
        <w:t xml:space="preserve">roject </w:t>
      </w:r>
      <w:r w:rsidR="00302DAF">
        <w:rPr>
          <w:rFonts w:ascii="Arial" w:hAnsi="Arial" w:cs="Arial"/>
          <w:sz w:val="20"/>
          <w:szCs w:val="20"/>
        </w:rPr>
        <w:t>a</w:t>
      </w:r>
      <w:r w:rsidR="00302DAF" w:rsidRPr="00F96705">
        <w:rPr>
          <w:rFonts w:ascii="Arial" w:hAnsi="Arial" w:cs="Arial"/>
          <w:sz w:val="20"/>
          <w:szCs w:val="20"/>
        </w:rPr>
        <w:t>rea</w:t>
      </w:r>
      <w:r w:rsidRPr="00F96705">
        <w:rPr>
          <w:rFonts w:ascii="Arial" w:hAnsi="Arial" w:cs="Arial"/>
          <w:sz w:val="20"/>
          <w:szCs w:val="20"/>
        </w:rPr>
        <w:t xml:space="preserve">. However, this species has the potential to disperse some distance upstream from the Nogoa River into the </w:t>
      </w:r>
      <w:r w:rsidR="003D49A6">
        <w:rPr>
          <w:rFonts w:ascii="Arial" w:hAnsi="Arial" w:cs="Arial"/>
          <w:sz w:val="20"/>
          <w:szCs w:val="20"/>
        </w:rPr>
        <w:t>p</w:t>
      </w:r>
      <w:r w:rsidRPr="00F96705">
        <w:rPr>
          <w:rFonts w:ascii="Arial" w:hAnsi="Arial" w:cs="Arial"/>
          <w:sz w:val="20"/>
          <w:szCs w:val="20"/>
        </w:rPr>
        <w:t xml:space="preserve">roject </w:t>
      </w:r>
      <w:r w:rsidR="003D49A6">
        <w:rPr>
          <w:rFonts w:ascii="Arial" w:hAnsi="Arial" w:cs="Arial"/>
          <w:sz w:val="20"/>
          <w:szCs w:val="20"/>
        </w:rPr>
        <w:t>a</w:t>
      </w:r>
      <w:r w:rsidRPr="00F96705">
        <w:rPr>
          <w:rFonts w:ascii="Arial" w:hAnsi="Arial" w:cs="Arial"/>
          <w:sz w:val="20"/>
          <w:szCs w:val="20"/>
        </w:rPr>
        <w:t>rea during the wet season.</w:t>
      </w:r>
    </w:p>
    <w:p w:rsidR="00982E9B" w:rsidRPr="00BA7B37" w:rsidRDefault="000C6FE1" w:rsidP="00982E9B">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t>Question 7:</w:t>
      </w:r>
      <w:r w:rsidRPr="000C6FE1">
        <w:rPr>
          <w:rFonts w:ascii="Arial" w:hAnsi="Arial" w:cs="Arial"/>
          <w:i/>
          <w:sz w:val="20"/>
          <w:szCs w:val="20"/>
          <w:lang w:val="en-US"/>
        </w:rPr>
        <w:t xml:space="preserve"> What monitoring and management practices could be used to address the impacts identified in response to the questions above that will ensure that suitable outcomes for water-related assets are achieved?</w:t>
      </w:r>
    </w:p>
    <w:p w:rsidR="00EE2506" w:rsidRPr="00AF369B" w:rsidRDefault="000C6FE1" w:rsidP="00931907">
      <w:pPr>
        <w:pStyle w:val="ListNumber"/>
        <w:numPr>
          <w:ilvl w:val="0"/>
          <w:numId w:val="0"/>
        </w:numPr>
        <w:spacing w:before="120" w:line="276" w:lineRule="auto"/>
        <w:ind w:left="360"/>
        <w:rPr>
          <w:rFonts w:ascii="Arial" w:hAnsi="Arial" w:cs="Arial"/>
          <w:sz w:val="20"/>
          <w:szCs w:val="20"/>
          <w:u w:val="single"/>
        </w:rPr>
      </w:pPr>
      <w:r w:rsidRPr="000C6FE1">
        <w:rPr>
          <w:rFonts w:ascii="Arial" w:hAnsi="Arial" w:cs="Arial"/>
          <w:sz w:val="20"/>
          <w:szCs w:val="20"/>
          <w:u w:val="single"/>
        </w:rPr>
        <w:t>Subsidence</w:t>
      </w:r>
      <w:r w:rsidR="003D49A6">
        <w:rPr>
          <w:rFonts w:ascii="Arial" w:hAnsi="Arial" w:cs="Arial"/>
          <w:sz w:val="20"/>
          <w:szCs w:val="20"/>
        </w:rPr>
        <w:t xml:space="preserve">: </w:t>
      </w:r>
      <w:r w:rsidR="00EE2506" w:rsidRPr="00D43486">
        <w:rPr>
          <w:rFonts w:ascii="Arial" w:hAnsi="Arial" w:cs="Arial"/>
          <w:sz w:val="20"/>
          <w:szCs w:val="20"/>
        </w:rPr>
        <w:t xml:space="preserve">Robust approaches for estimating the permeability </w:t>
      </w:r>
      <w:r w:rsidR="000C24E9">
        <w:rPr>
          <w:rFonts w:ascii="Arial" w:hAnsi="Arial" w:cs="Arial"/>
          <w:sz w:val="20"/>
          <w:szCs w:val="20"/>
        </w:rPr>
        <w:t>caused by</w:t>
      </w:r>
      <w:r w:rsidR="00EE2506" w:rsidRPr="00D43486">
        <w:rPr>
          <w:rFonts w:ascii="Arial" w:hAnsi="Arial" w:cs="Arial"/>
          <w:sz w:val="20"/>
          <w:szCs w:val="20"/>
        </w:rPr>
        <w:t xml:space="preserve"> fracturing are available but have not been adopted by the proponent. These </w:t>
      </w:r>
      <w:r w:rsidR="003D49A6">
        <w:rPr>
          <w:rFonts w:ascii="Arial" w:hAnsi="Arial" w:cs="Arial"/>
          <w:sz w:val="20"/>
          <w:szCs w:val="20"/>
        </w:rPr>
        <w:t xml:space="preserve">approaches include </w:t>
      </w:r>
      <w:r w:rsidR="00EE2506" w:rsidRPr="00D43486">
        <w:rPr>
          <w:rFonts w:ascii="Arial" w:hAnsi="Arial" w:cs="Arial"/>
          <w:sz w:val="20"/>
          <w:szCs w:val="20"/>
        </w:rPr>
        <w:t>geotechnical and hydrogeological modelling</w:t>
      </w:r>
      <w:r w:rsidR="003D49A6">
        <w:rPr>
          <w:rFonts w:ascii="Arial" w:hAnsi="Arial" w:cs="Arial"/>
          <w:sz w:val="20"/>
          <w:szCs w:val="20"/>
        </w:rPr>
        <w:t xml:space="preserve"> that</w:t>
      </w:r>
      <w:r w:rsidR="00EE2506" w:rsidRPr="00D43486">
        <w:rPr>
          <w:rFonts w:ascii="Arial" w:hAnsi="Arial" w:cs="Arial"/>
          <w:sz w:val="20"/>
          <w:szCs w:val="20"/>
        </w:rPr>
        <w:t xml:space="preserve"> incorporates the effect of subsidence induced fractures and the degree of connectivity throughout the fracture network over time using the FLAC and MODFLOW – SURFACT modelling platforms. Such technique</w:t>
      </w:r>
      <w:r w:rsidR="003D49A6">
        <w:rPr>
          <w:rFonts w:ascii="Arial" w:hAnsi="Arial" w:cs="Arial"/>
          <w:sz w:val="20"/>
          <w:szCs w:val="20"/>
        </w:rPr>
        <w:t>s</w:t>
      </w:r>
      <w:r w:rsidR="00EE2506" w:rsidRPr="00D43486">
        <w:rPr>
          <w:rFonts w:ascii="Arial" w:hAnsi="Arial" w:cs="Arial"/>
          <w:sz w:val="20"/>
          <w:szCs w:val="20"/>
        </w:rPr>
        <w:t xml:space="preserve"> ha</w:t>
      </w:r>
      <w:r w:rsidR="003D49A6">
        <w:rPr>
          <w:rFonts w:ascii="Arial" w:hAnsi="Arial" w:cs="Arial"/>
          <w:sz w:val="20"/>
          <w:szCs w:val="20"/>
        </w:rPr>
        <w:t>ve</w:t>
      </w:r>
      <w:r w:rsidR="00EE2506" w:rsidRPr="00D43486">
        <w:rPr>
          <w:rFonts w:ascii="Arial" w:hAnsi="Arial" w:cs="Arial"/>
          <w:sz w:val="20"/>
          <w:szCs w:val="20"/>
        </w:rPr>
        <w:t xml:space="preserve"> been used in the Hunter Valley in NSW (SCT, 2008). Given the significant potential impacts to mine inflows and impacts to groundwater and surface water resources, additional information regarding potential flow rates through the fracture network would </w:t>
      </w:r>
      <w:r w:rsidR="0044404A">
        <w:rPr>
          <w:rFonts w:ascii="Arial" w:hAnsi="Arial" w:cs="Arial"/>
          <w:sz w:val="20"/>
          <w:szCs w:val="20"/>
        </w:rPr>
        <w:t>allow</w:t>
      </w:r>
      <w:r w:rsidR="003D49A6">
        <w:rPr>
          <w:rFonts w:ascii="Arial" w:hAnsi="Arial" w:cs="Arial"/>
          <w:sz w:val="20"/>
          <w:szCs w:val="20"/>
        </w:rPr>
        <w:t xml:space="preserve"> </w:t>
      </w:r>
      <w:r w:rsidR="00302DAF" w:rsidRPr="00D43486">
        <w:rPr>
          <w:rFonts w:ascii="Arial" w:hAnsi="Arial" w:cs="Arial"/>
          <w:sz w:val="20"/>
          <w:szCs w:val="20"/>
        </w:rPr>
        <w:t>impacts</w:t>
      </w:r>
      <w:r w:rsidR="00EE2506" w:rsidRPr="00D43486">
        <w:rPr>
          <w:rFonts w:ascii="Arial" w:hAnsi="Arial" w:cs="Arial"/>
          <w:sz w:val="20"/>
          <w:szCs w:val="20"/>
        </w:rPr>
        <w:t xml:space="preserve"> to groundwater and surface water resources. </w:t>
      </w:r>
    </w:p>
    <w:p w:rsidR="00EE2506" w:rsidRPr="00AF369B" w:rsidRDefault="007F1ED4" w:rsidP="00EE2506">
      <w:pPr>
        <w:pStyle w:val="ListNumber"/>
        <w:numPr>
          <w:ilvl w:val="0"/>
          <w:numId w:val="23"/>
        </w:numPr>
        <w:spacing w:before="120" w:line="276" w:lineRule="auto"/>
        <w:rPr>
          <w:rFonts w:ascii="Arial" w:hAnsi="Arial" w:cs="Arial"/>
          <w:sz w:val="20"/>
          <w:szCs w:val="20"/>
        </w:rPr>
      </w:pPr>
      <w:r w:rsidRPr="00806510">
        <w:rPr>
          <w:rFonts w:ascii="Arial" w:hAnsi="Arial" w:cs="Arial"/>
          <w:sz w:val="20"/>
          <w:szCs w:val="20"/>
        </w:rPr>
        <w:t>The risks</w:t>
      </w:r>
      <w:r w:rsidR="00EE2506" w:rsidRPr="00AF369B">
        <w:rPr>
          <w:rFonts w:ascii="Arial" w:hAnsi="Arial" w:cs="Arial"/>
          <w:sz w:val="20"/>
          <w:szCs w:val="20"/>
        </w:rPr>
        <w:t xml:space="preserve"> to the MAW dam and other infrastructure due to subsidence cracking</w:t>
      </w:r>
      <w:r w:rsidR="00BA7B37" w:rsidRPr="00AF369B">
        <w:rPr>
          <w:rFonts w:ascii="Arial" w:hAnsi="Arial" w:cs="Arial"/>
          <w:sz w:val="20"/>
          <w:szCs w:val="20"/>
        </w:rPr>
        <w:t xml:space="preserve"> should be clarified</w:t>
      </w:r>
      <w:r w:rsidR="00EE2506" w:rsidRPr="00AF369B">
        <w:rPr>
          <w:rFonts w:ascii="Arial" w:hAnsi="Arial" w:cs="Arial"/>
          <w:sz w:val="20"/>
          <w:szCs w:val="20"/>
        </w:rPr>
        <w:t>. To minimise the risk of impacts to downstream water users, mitigation measures, including relocation of sensitive infrastructure such as the MAW dam to areas unlikely to be affected by subsidence</w:t>
      </w:r>
      <w:r w:rsidR="00BA7B37" w:rsidRPr="00AF369B">
        <w:rPr>
          <w:rFonts w:ascii="Arial" w:hAnsi="Arial" w:cs="Arial"/>
          <w:sz w:val="20"/>
          <w:szCs w:val="20"/>
        </w:rPr>
        <w:t xml:space="preserve"> should be considered</w:t>
      </w:r>
      <w:r w:rsidR="00EE2506" w:rsidRPr="00AF369B">
        <w:rPr>
          <w:rFonts w:ascii="Arial" w:hAnsi="Arial" w:cs="Arial"/>
          <w:sz w:val="20"/>
          <w:szCs w:val="20"/>
        </w:rPr>
        <w:t>.</w:t>
      </w:r>
    </w:p>
    <w:p w:rsidR="00D43486" w:rsidRPr="00AF369B" w:rsidRDefault="000C6FE1" w:rsidP="00D43486">
      <w:pPr>
        <w:pStyle w:val="ListNumber"/>
        <w:numPr>
          <w:ilvl w:val="0"/>
          <w:numId w:val="23"/>
        </w:numPr>
        <w:spacing w:before="120" w:line="276" w:lineRule="auto"/>
        <w:rPr>
          <w:rFonts w:ascii="Arial" w:hAnsi="Arial" w:cs="Arial"/>
          <w:sz w:val="20"/>
          <w:szCs w:val="20"/>
        </w:rPr>
      </w:pPr>
      <w:r w:rsidRPr="00AF369B">
        <w:rPr>
          <w:rFonts w:ascii="Arial" w:hAnsi="Arial" w:cs="Arial"/>
          <w:sz w:val="20"/>
          <w:szCs w:val="20"/>
          <w:u w:val="single"/>
        </w:rPr>
        <w:t>Surface Water</w:t>
      </w:r>
      <w:r w:rsidR="00BA7B37" w:rsidRPr="00AF369B">
        <w:rPr>
          <w:rFonts w:ascii="Arial" w:hAnsi="Arial" w:cs="Arial"/>
          <w:sz w:val="20"/>
          <w:szCs w:val="20"/>
        </w:rPr>
        <w:t>: To</w:t>
      </w:r>
      <w:r w:rsidR="00D43486" w:rsidRPr="00AF369B">
        <w:rPr>
          <w:rFonts w:ascii="Arial" w:hAnsi="Arial" w:cs="Arial"/>
          <w:sz w:val="20"/>
          <w:szCs w:val="20"/>
        </w:rPr>
        <w:t xml:space="preserve"> inform the </w:t>
      </w:r>
      <w:r w:rsidR="00BA7B37" w:rsidRPr="00AF369B">
        <w:rPr>
          <w:rFonts w:ascii="Arial" w:hAnsi="Arial" w:cs="Arial"/>
          <w:sz w:val="20"/>
          <w:szCs w:val="20"/>
        </w:rPr>
        <w:t xml:space="preserve">extent and scale </w:t>
      </w:r>
      <w:r w:rsidR="00D43486" w:rsidRPr="00AF369B">
        <w:rPr>
          <w:rFonts w:ascii="Arial" w:hAnsi="Arial" w:cs="Arial"/>
          <w:sz w:val="20"/>
          <w:szCs w:val="20"/>
        </w:rPr>
        <w:t>of potential impacts</w:t>
      </w:r>
      <w:r w:rsidR="007F1ED4">
        <w:rPr>
          <w:rFonts w:ascii="Arial" w:hAnsi="Arial" w:cs="Arial"/>
          <w:sz w:val="20"/>
          <w:szCs w:val="20"/>
        </w:rPr>
        <w:t xml:space="preserve">, the baseline geomorphology, hydrology and water quality studies </w:t>
      </w:r>
      <w:r w:rsidR="00AF369B">
        <w:rPr>
          <w:rFonts w:ascii="Arial" w:hAnsi="Arial" w:cs="Arial"/>
          <w:sz w:val="20"/>
          <w:szCs w:val="20"/>
        </w:rPr>
        <w:t>should</w:t>
      </w:r>
      <w:r w:rsidR="00BA7B37" w:rsidRPr="00AF369B">
        <w:rPr>
          <w:rFonts w:ascii="Arial" w:hAnsi="Arial" w:cs="Arial"/>
          <w:sz w:val="20"/>
          <w:szCs w:val="20"/>
        </w:rPr>
        <w:t xml:space="preserve"> incorporate the following matters</w:t>
      </w:r>
      <w:r w:rsidR="00EE2506" w:rsidRPr="00AF369B">
        <w:rPr>
          <w:rFonts w:ascii="Arial" w:hAnsi="Arial" w:cs="Arial"/>
          <w:sz w:val="20"/>
          <w:szCs w:val="20"/>
        </w:rPr>
        <w:t>:</w:t>
      </w:r>
      <w:r w:rsidR="00D43486" w:rsidRPr="00AF369B">
        <w:rPr>
          <w:rFonts w:ascii="Arial" w:hAnsi="Arial" w:cs="Arial"/>
          <w:sz w:val="20"/>
          <w:szCs w:val="20"/>
        </w:rPr>
        <w:t xml:space="preserve"> </w:t>
      </w:r>
    </w:p>
    <w:p w:rsidR="00D43486" w:rsidRPr="00AF369B" w:rsidRDefault="00D43486" w:rsidP="00D43486">
      <w:pPr>
        <w:pStyle w:val="ListNumber"/>
        <w:numPr>
          <w:ilvl w:val="1"/>
          <w:numId w:val="31"/>
        </w:numPr>
        <w:spacing w:before="120" w:line="276" w:lineRule="auto"/>
        <w:ind w:left="709"/>
        <w:rPr>
          <w:rFonts w:ascii="Arial" w:hAnsi="Arial" w:cs="Arial"/>
          <w:sz w:val="20"/>
          <w:szCs w:val="20"/>
        </w:rPr>
      </w:pPr>
      <w:r w:rsidRPr="00AF369B">
        <w:rPr>
          <w:rFonts w:ascii="Arial" w:hAnsi="Arial" w:cs="Arial"/>
          <w:sz w:val="20"/>
          <w:szCs w:val="20"/>
        </w:rPr>
        <w:t xml:space="preserve">Comprehensive characterisation and quantification of existing surface water-groundwater dynamics in Theresa Creek and Gordonstone Creek, including within the waterholes </w:t>
      </w:r>
      <w:r w:rsidR="00C733E7" w:rsidRPr="00AF369B">
        <w:rPr>
          <w:rFonts w:ascii="Arial" w:hAnsi="Arial" w:cs="Arial"/>
          <w:sz w:val="20"/>
          <w:szCs w:val="20"/>
        </w:rPr>
        <w:t xml:space="preserve">that </w:t>
      </w:r>
      <w:r w:rsidRPr="00AF369B">
        <w:rPr>
          <w:rFonts w:ascii="Arial" w:hAnsi="Arial" w:cs="Arial"/>
          <w:sz w:val="20"/>
          <w:szCs w:val="20"/>
        </w:rPr>
        <w:t>persist during the dry season;</w:t>
      </w:r>
    </w:p>
    <w:p w:rsidR="00D43486" w:rsidRPr="00D43486" w:rsidRDefault="00D43486" w:rsidP="00D43486">
      <w:pPr>
        <w:pStyle w:val="ListNumber"/>
        <w:numPr>
          <w:ilvl w:val="1"/>
          <w:numId w:val="31"/>
        </w:numPr>
        <w:spacing w:before="120" w:line="276" w:lineRule="auto"/>
        <w:ind w:left="709"/>
        <w:rPr>
          <w:rFonts w:ascii="Arial" w:hAnsi="Arial" w:cs="Arial"/>
          <w:sz w:val="20"/>
          <w:szCs w:val="20"/>
        </w:rPr>
      </w:pPr>
      <w:r w:rsidRPr="00AF369B">
        <w:rPr>
          <w:rFonts w:ascii="Arial" w:hAnsi="Arial" w:cs="Arial"/>
          <w:sz w:val="20"/>
          <w:szCs w:val="20"/>
        </w:rPr>
        <w:t>Incorporation of long</w:t>
      </w:r>
      <w:r w:rsidRPr="00D43486">
        <w:rPr>
          <w:rFonts w:ascii="Arial" w:hAnsi="Arial" w:cs="Arial"/>
          <w:sz w:val="20"/>
          <w:szCs w:val="20"/>
        </w:rPr>
        <w:t>itudinal and cross section profiles of potentially affected watercourses</w:t>
      </w:r>
      <w:r w:rsidR="0094329C">
        <w:rPr>
          <w:rFonts w:ascii="Arial" w:hAnsi="Arial" w:cs="Arial"/>
          <w:sz w:val="20"/>
          <w:szCs w:val="20"/>
        </w:rPr>
        <w:t xml:space="preserve">, which indicate </w:t>
      </w:r>
      <w:r w:rsidRPr="00D43486">
        <w:rPr>
          <w:rFonts w:ascii="Arial" w:hAnsi="Arial" w:cs="Arial"/>
          <w:sz w:val="20"/>
          <w:szCs w:val="20"/>
        </w:rPr>
        <w:t xml:space="preserve">the relative position of the water table to creek beds in the wet and dry season; </w:t>
      </w:r>
    </w:p>
    <w:p w:rsidR="00D43486" w:rsidRPr="00D43486" w:rsidRDefault="00D43486" w:rsidP="00D43486">
      <w:pPr>
        <w:pStyle w:val="ListNumber"/>
        <w:numPr>
          <w:ilvl w:val="1"/>
          <w:numId w:val="31"/>
        </w:numPr>
        <w:spacing w:before="120" w:line="276" w:lineRule="auto"/>
        <w:ind w:left="709"/>
        <w:rPr>
          <w:rFonts w:ascii="Arial" w:hAnsi="Arial" w:cs="Arial"/>
          <w:sz w:val="20"/>
          <w:szCs w:val="20"/>
        </w:rPr>
      </w:pPr>
      <w:r w:rsidRPr="00D43486">
        <w:rPr>
          <w:rFonts w:ascii="Arial" w:hAnsi="Arial" w:cs="Arial"/>
          <w:sz w:val="20"/>
          <w:szCs w:val="20"/>
        </w:rPr>
        <w:lastRenderedPageBreak/>
        <w:t xml:space="preserve">Inclusion of an additional monitoring site at the southern limit of the unnamed tributary of Theresa Creek to the west </w:t>
      </w:r>
      <w:r w:rsidR="000C24E9">
        <w:rPr>
          <w:rFonts w:ascii="Arial" w:hAnsi="Arial" w:cs="Arial"/>
          <w:sz w:val="20"/>
          <w:szCs w:val="20"/>
        </w:rPr>
        <w:t>of the Blair Athol railway line,</w:t>
      </w:r>
      <w:r w:rsidRPr="00D43486">
        <w:rPr>
          <w:rFonts w:ascii="Arial" w:hAnsi="Arial" w:cs="Arial"/>
          <w:sz w:val="20"/>
          <w:szCs w:val="20"/>
        </w:rPr>
        <w:t xml:space="preserve"> particularly in light of the anticipated subsidence impacts on this tributary and its possible use as a receiving waterway for mine-affected water; and </w:t>
      </w:r>
    </w:p>
    <w:p w:rsidR="00D43486" w:rsidRPr="00D43486" w:rsidRDefault="00D43486" w:rsidP="00D43486">
      <w:pPr>
        <w:pStyle w:val="ListNumber"/>
        <w:numPr>
          <w:ilvl w:val="1"/>
          <w:numId w:val="31"/>
        </w:numPr>
        <w:spacing w:before="120" w:line="276" w:lineRule="auto"/>
        <w:ind w:left="709"/>
        <w:rPr>
          <w:rFonts w:ascii="Arial" w:hAnsi="Arial" w:cs="Arial"/>
          <w:sz w:val="20"/>
          <w:szCs w:val="20"/>
        </w:rPr>
      </w:pPr>
      <w:r w:rsidRPr="00D43486">
        <w:rPr>
          <w:rFonts w:ascii="Arial" w:hAnsi="Arial" w:cs="Arial"/>
          <w:sz w:val="20"/>
          <w:szCs w:val="20"/>
        </w:rPr>
        <w:t xml:space="preserve">Given the high </w:t>
      </w:r>
      <w:r w:rsidR="0094329C">
        <w:rPr>
          <w:rFonts w:ascii="Arial" w:hAnsi="Arial" w:cs="Arial"/>
          <w:sz w:val="20"/>
          <w:szCs w:val="20"/>
        </w:rPr>
        <w:t xml:space="preserve">flow </w:t>
      </w:r>
      <w:r w:rsidRPr="00D43486">
        <w:rPr>
          <w:rFonts w:ascii="Arial" w:hAnsi="Arial" w:cs="Arial"/>
          <w:sz w:val="20"/>
          <w:szCs w:val="20"/>
        </w:rPr>
        <w:t>variability within the Theresa and Gordonstone Creek</w:t>
      </w:r>
      <w:r w:rsidR="0094329C">
        <w:rPr>
          <w:rFonts w:ascii="Arial" w:hAnsi="Arial" w:cs="Arial"/>
          <w:sz w:val="20"/>
          <w:szCs w:val="20"/>
        </w:rPr>
        <w:t>s</w:t>
      </w:r>
      <w:r w:rsidRPr="00D43486">
        <w:rPr>
          <w:rFonts w:ascii="Arial" w:hAnsi="Arial" w:cs="Arial"/>
          <w:sz w:val="20"/>
          <w:szCs w:val="20"/>
        </w:rPr>
        <w:t xml:space="preserve">, </w:t>
      </w:r>
      <w:r w:rsidR="0075312E">
        <w:rPr>
          <w:rFonts w:ascii="Arial" w:hAnsi="Arial" w:cs="Arial"/>
          <w:sz w:val="20"/>
          <w:szCs w:val="20"/>
        </w:rPr>
        <w:t>sampling over several years</w:t>
      </w:r>
      <w:r w:rsidRPr="00D43486">
        <w:rPr>
          <w:rFonts w:ascii="Arial" w:hAnsi="Arial" w:cs="Arial"/>
          <w:sz w:val="20"/>
          <w:szCs w:val="20"/>
        </w:rPr>
        <w:t xml:space="preserve"> </w:t>
      </w:r>
      <w:r w:rsidR="0075312E">
        <w:rPr>
          <w:rFonts w:ascii="Arial" w:hAnsi="Arial" w:cs="Arial"/>
          <w:sz w:val="20"/>
          <w:szCs w:val="20"/>
        </w:rPr>
        <w:t>would</w:t>
      </w:r>
      <w:r w:rsidRPr="00D43486">
        <w:rPr>
          <w:rFonts w:ascii="Arial" w:hAnsi="Arial" w:cs="Arial"/>
          <w:sz w:val="20"/>
          <w:szCs w:val="20"/>
        </w:rPr>
        <w:t xml:space="preserve"> inform the development of local water quality objectives and trigger values.</w:t>
      </w:r>
    </w:p>
    <w:p w:rsidR="00D43486" w:rsidRPr="00D43486" w:rsidRDefault="00D43486"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In order to provide an accurate and consistent</w:t>
      </w:r>
      <w:r w:rsidR="000575A1">
        <w:rPr>
          <w:rFonts w:ascii="Arial" w:hAnsi="Arial" w:cs="Arial"/>
          <w:sz w:val="20"/>
          <w:szCs w:val="20"/>
        </w:rPr>
        <w:t xml:space="preserve"> understanding of</w:t>
      </w:r>
      <w:r w:rsidRPr="00D43486">
        <w:rPr>
          <w:rFonts w:ascii="Arial" w:hAnsi="Arial" w:cs="Arial"/>
          <w:sz w:val="20"/>
          <w:szCs w:val="20"/>
        </w:rPr>
        <w:t xml:space="preserve"> watercourse hydrology </w:t>
      </w:r>
      <w:r w:rsidR="0094329C">
        <w:rPr>
          <w:rFonts w:ascii="Arial" w:hAnsi="Arial" w:cs="Arial"/>
          <w:sz w:val="20"/>
          <w:szCs w:val="20"/>
        </w:rPr>
        <w:t xml:space="preserve">that </w:t>
      </w:r>
      <w:r w:rsidRPr="00D43486">
        <w:rPr>
          <w:rFonts w:ascii="Arial" w:hAnsi="Arial" w:cs="Arial"/>
          <w:sz w:val="20"/>
          <w:szCs w:val="20"/>
        </w:rPr>
        <w:t>inform</w:t>
      </w:r>
      <w:r w:rsidR="0094329C">
        <w:rPr>
          <w:rFonts w:ascii="Arial" w:hAnsi="Arial" w:cs="Arial"/>
          <w:sz w:val="20"/>
          <w:szCs w:val="20"/>
        </w:rPr>
        <w:t>s</w:t>
      </w:r>
      <w:r w:rsidRPr="00D43486">
        <w:rPr>
          <w:rFonts w:ascii="Arial" w:hAnsi="Arial" w:cs="Arial"/>
          <w:sz w:val="20"/>
          <w:szCs w:val="20"/>
        </w:rPr>
        <w:t xml:space="preserve"> the development of discharge scenarios and minimise</w:t>
      </w:r>
      <w:r w:rsidR="0094329C">
        <w:rPr>
          <w:rFonts w:ascii="Arial" w:hAnsi="Arial" w:cs="Arial"/>
          <w:sz w:val="20"/>
          <w:szCs w:val="20"/>
        </w:rPr>
        <w:t>s</w:t>
      </w:r>
      <w:r w:rsidRPr="00D43486">
        <w:rPr>
          <w:rFonts w:ascii="Arial" w:hAnsi="Arial" w:cs="Arial"/>
          <w:sz w:val="20"/>
          <w:szCs w:val="20"/>
        </w:rPr>
        <w:t xml:space="preserve"> impacts on water-dependent ecosystems, it is suggested that:</w:t>
      </w:r>
    </w:p>
    <w:p w:rsidR="00D43486" w:rsidRPr="00D43486" w:rsidRDefault="00D43486" w:rsidP="00D43486">
      <w:pPr>
        <w:pStyle w:val="ListNumber"/>
        <w:numPr>
          <w:ilvl w:val="1"/>
          <w:numId w:val="32"/>
        </w:numPr>
        <w:tabs>
          <w:tab w:val="clear" w:pos="1440"/>
        </w:tabs>
        <w:spacing w:before="120" w:line="276" w:lineRule="auto"/>
        <w:ind w:left="709"/>
        <w:rPr>
          <w:rFonts w:ascii="Arial" w:hAnsi="Arial" w:cs="Arial"/>
          <w:sz w:val="20"/>
          <w:szCs w:val="20"/>
        </w:rPr>
      </w:pPr>
      <w:r w:rsidRPr="00D43486">
        <w:rPr>
          <w:rFonts w:ascii="Arial" w:hAnsi="Arial" w:cs="Arial"/>
          <w:sz w:val="20"/>
          <w:szCs w:val="20"/>
        </w:rPr>
        <w:t xml:space="preserve">Classification of flow regimes </w:t>
      </w:r>
      <w:r w:rsidR="0094329C">
        <w:rPr>
          <w:rFonts w:ascii="Arial" w:hAnsi="Arial" w:cs="Arial"/>
          <w:sz w:val="20"/>
          <w:szCs w:val="20"/>
        </w:rPr>
        <w:t xml:space="preserve">be </w:t>
      </w:r>
      <w:r w:rsidRPr="00D43486">
        <w:rPr>
          <w:rFonts w:ascii="Arial" w:hAnsi="Arial" w:cs="Arial"/>
          <w:sz w:val="20"/>
          <w:szCs w:val="20"/>
        </w:rPr>
        <w:t xml:space="preserve">based on published literature, such as Kennard </w:t>
      </w:r>
      <w:r w:rsidRPr="00D43486">
        <w:rPr>
          <w:rFonts w:ascii="Arial" w:hAnsi="Arial" w:cs="Arial"/>
          <w:i/>
          <w:sz w:val="20"/>
          <w:szCs w:val="20"/>
        </w:rPr>
        <w:t>et al</w:t>
      </w:r>
      <w:r w:rsidRPr="00D43486">
        <w:rPr>
          <w:rFonts w:ascii="Arial" w:hAnsi="Arial" w:cs="Arial"/>
          <w:sz w:val="20"/>
          <w:szCs w:val="20"/>
        </w:rPr>
        <w:t xml:space="preserve"> (2010) or Mackay </w:t>
      </w:r>
      <w:r w:rsidRPr="00D43486">
        <w:rPr>
          <w:rFonts w:ascii="Arial" w:hAnsi="Arial" w:cs="Arial"/>
          <w:i/>
          <w:sz w:val="20"/>
          <w:szCs w:val="20"/>
        </w:rPr>
        <w:t>et al</w:t>
      </w:r>
      <w:r w:rsidRPr="00D43486">
        <w:rPr>
          <w:rFonts w:ascii="Arial" w:hAnsi="Arial" w:cs="Arial"/>
          <w:sz w:val="20"/>
          <w:szCs w:val="20"/>
        </w:rPr>
        <w:t xml:space="preserve"> (2012) and consistently applied across the proponent’s technical studies;</w:t>
      </w:r>
    </w:p>
    <w:p w:rsidR="00D43486" w:rsidRPr="00D43486" w:rsidRDefault="00D43486" w:rsidP="00D43486">
      <w:pPr>
        <w:pStyle w:val="ListNumber"/>
        <w:numPr>
          <w:ilvl w:val="1"/>
          <w:numId w:val="32"/>
        </w:numPr>
        <w:tabs>
          <w:tab w:val="clear" w:pos="1440"/>
        </w:tabs>
        <w:spacing w:before="120" w:line="276" w:lineRule="auto"/>
        <w:ind w:left="709"/>
        <w:rPr>
          <w:rFonts w:ascii="Arial" w:hAnsi="Arial" w:cs="Arial"/>
          <w:sz w:val="20"/>
          <w:szCs w:val="20"/>
        </w:rPr>
      </w:pPr>
      <w:r w:rsidRPr="00D43486">
        <w:rPr>
          <w:rFonts w:ascii="Arial" w:hAnsi="Arial" w:cs="Arial"/>
          <w:sz w:val="20"/>
          <w:szCs w:val="20"/>
        </w:rPr>
        <w:t xml:space="preserve">Flow duration curves </w:t>
      </w:r>
      <w:r w:rsidR="0094329C">
        <w:rPr>
          <w:rFonts w:ascii="Arial" w:hAnsi="Arial" w:cs="Arial"/>
          <w:sz w:val="20"/>
          <w:szCs w:val="20"/>
        </w:rPr>
        <w:t>be</w:t>
      </w:r>
      <w:r w:rsidRPr="00D43486">
        <w:rPr>
          <w:rFonts w:ascii="Arial" w:hAnsi="Arial" w:cs="Arial"/>
          <w:sz w:val="20"/>
          <w:szCs w:val="20"/>
        </w:rPr>
        <w:t xml:space="preserve"> developed for the Theresa Creek stream gauges and calculation of allowable mine site discharges </w:t>
      </w:r>
      <w:r w:rsidR="0094329C">
        <w:rPr>
          <w:rFonts w:ascii="Arial" w:hAnsi="Arial" w:cs="Arial"/>
          <w:sz w:val="20"/>
          <w:szCs w:val="20"/>
        </w:rPr>
        <w:t xml:space="preserve">be </w:t>
      </w:r>
      <w:r w:rsidR="00BA7B37">
        <w:rPr>
          <w:rFonts w:ascii="Arial" w:hAnsi="Arial" w:cs="Arial"/>
          <w:sz w:val="20"/>
          <w:szCs w:val="20"/>
        </w:rPr>
        <w:t xml:space="preserve">based on </w:t>
      </w:r>
      <w:r w:rsidRPr="00D43486">
        <w:rPr>
          <w:rFonts w:ascii="Arial" w:hAnsi="Arial" w:cs="Arial"/>
          <w:sz w:val="20"/>
          <w:szCs w:val="20"/>
        </w:rPr>
        <w:t>these rather than ‘mean’ monthly flow; and</w:t>
      </w:r>
    </w:p>
    <w:p w:rsidR="00D43486" w:rsidRDefault="00D43486" w:rsidP="00D43486">
      <w:pPr>
        <w:pStyle w:val="ListNumber"/>
        <w:numPr>
          <w:ilvl w:val="1"/>
          <w:numId w:val="32"/>
        </w:numPr>
        <w:tabs>
          <w:tab w:val="clear" w:pos="1440"/>
        </w:tabs>
        <w:spacing w:before="120" w:line="276" w:lineRule="auto"/>
        <w:ind w:left="709"/>
        <w:rPr>
          <w:rFonts w:ascii="Arial" w:hAnsi="Arial" w:cs="Arial"/>
          <w:sz w:val="20"/>
          <w:szCs w:val="20"/>
        </w:rPr>
      </w:pPr>
      <w:r w:rsidRPr="00D43486">
        <w:rPr>
          <w:rFonts w:ascii="Arial" w:hAnsi="Arial" w:cs="Arial"/>
          <w:sz w:val="20"/>
          <w:szCs w:val="20"/>
        </w:rPr>
        <w:t>Proposed discharge scenarios</w:t>
      </w:r>
      <w:r w:rsidR="00BA7B37">
        <w:rPr>
          <w:rFonts w:ascii="Arial" w:hAnsi="Arial" w:cs="Arial"/>
          <w:sz w:val="20"/>
          <w:szCs w:val="20"/>
        </w:rPr>
        <w:t xml:space="preserve"> </w:t>
      </w:r>
      <w:r w:rsidR="0075312E">
        <w:rPr>
          <w:rFonts w:ascii="Arial" w:hAnsi="Arial" w:cs="Arial"/>
          <w:sz w:val="20"/>
          <w:szCs w:val="20"/>
        </w:rPr>
        <w:t xml:space="preserve">should </w:t>
      </w:r>
      <w:r w:rsidRPr="00D43486">
        <w:rPr>
          <w:rFonts w:ascii="Arial" w:hAnsi="Arial" w:cs="Arial"/>
          <w:sz w:val="20"/>
          <w:szCs w:val="20"/>
        </w:rPr>
        <w:t>not change the flow regime of receiving watercourses.</w:t>
      </w:r>
    </w:p>
    <w:p w:rsidR="00906FFA" w:rsidRPr="00D43486" w:rsidRDefault="00684395" w:rsidP="00906FFA">
      <w:pPr>
        <w:pStyle w:val="ListNumber"/>
        <w:numPr>
          <w:ilvl w:val="0"/>
          <w:numId w:val="23"/>
        </w:numPr>
        <w:spacing w:before="120" w:line="276" w:lineRule="auto"/>
        <w:rPr>
          <w:rFonts w:ascii="Arial" w:hAnsi="Arial" w:cs="Arial"/>
          <w:sz w:val="20"/>
          <w:szCs w:val="20"/>
        </w:rPr>
      </w:pPr>
      <w:r>
        <w:rPr>
          <w:rFonts w:ascii="Arial" w:hAnsi="Arial" w:cs="Arial"/>
          <w:sz w:val="20"/>
          <w:szCs w:val="20"/>
        </w:rPr>
        <w:t xml:space="preserve">The definition and </w:t>
      </w:r>
      <w:r w:rsidR="00906FFA" w:rsidRPr="00D43486">
        <w:rPr>
          <w:rFonts w:ascii="Arial" w:hAnsi="Arial" w:cs="Arial"/>
          <w:sz w:val="20"/>
          <w:szCs w:val="20"/>
        </w:rPr>
        <w:t>quantif</w:t>
      </w:r>
      <w:r>
        <w:rPr>
          <w:rFonts w:ascii="Arial" w:hAnsi="Arial" w:cs="Arial"/>
          <w:sz w:val="20"/>
          <w:szCs w:val="20"/>
        </w:rPr>
        <w:t>ication</w:t>
      </w:r>
      <w:r w:rsidR="00906FFA" w:rsidRPr="00D43486">
        <w:rPr>
          <w:rFonts w:ascii="Arial" w:hAnsi="Arial" w:cs="Arial"/>
          <w:sz w:val="20"/>
          <w:szCs w:val="20"/>
        </w:rPr>
        <w:t xml:space="preserve"> </w:t>
      </w:r>
      <w:r>
        <w:rPr>
          <w:rFonts w:ascii="Arial" w:hAnsi="Arial" w:cs="Arial"/>
          <w:sz w:val="20"/>
          <w:szCs w:val="20"/>
        </w:rPr>
        <w:t xml:space="preserve">of </w:t>
      </w:r>
      <w:r w:rsidR="00906FFA" w:rsidRPr="00D43486">
        <w:rPr>
          <w:rFonts w:ascii="Arial" w:hAnsi="Arial" w:cs="Arial"/>
          <w:sz w:val="20"/>
          <w:szCs w:val="20"/>
        </w:rPr>
        <w:t>discharge scenarios, water release points, on site contaminant and end of pipe water quality limits and flow</w:t>
      </w:r>
      <w:r>
        <w:rPr>
          <w:rFonts w:ascii="Arial" w:hAnsi="Arial" w:cs="Arial"/>
          <w:sz w:val="20"/>
          <w:szCs w:val="20"/>
        </w:rPr>
        <w:t>,</w:t>
      </w:r>
      <w:r w:rsidR="00906FFA" w:rsidRPr="00D43486">
        <w:rPr>
          <w:rFonts w:ascii="Arial" w:hAnsi="Arial" w:cs="Arial"/>
          <w:sz w:val="20"/>
          <w:szCs w:val="20"/>
        </w:rPr>
        <w:t xml:space="preserve"> </w:t>
      </w:r>
      <w:r>
        <w:rPr>
          <w:rFonts w:ascii="Arial" w:hAnsi="Arial" w:cs="Arial"/>
          <w:sz w:val="20"/>
          <w:szCs w:val="20"/>
        </w:rPr>
        <w:t xml:space="preserve">and the </w:t>
      </w:r>
      <w:r w:rsidRPr="00D43486">
        <w:rPr>
          <w:rFonts w:ascii="Arial" w:hAnsi="Arial" w:cs="Arial"/>
          <w:sz w:val="20"/>
          <w:szCs w:val="20"/>
        </w:rPr>
        <w:t xml:space="preserve">investigation </w:t>
      </w:r>
      <w:r>
        <w:rPr>
          <w:rFonts w:ascii="Arial" w:hAnsi="Arial" w:cs="Arial"/>
          <w:sz w:val="20"/>
          <w:szCs w:val="20"/>
        </w:rPr>
        <w:t xml:space="preserve">of </w:t>
      </w:r>
      <w:r w:rsidRPr="00D43486">
        <w:rPr>
          <w:rFonts w:ascii="Arial" w:hAnsi="Arial" w:cs="Arial"/>
          <w:sz w:val="20"/>
          <w:szCs w:val="20"/>
        </w:rPr>
        <w:t>trigger levels</w:t>
      </w:r>
      <w:r>
        <w:rPr>
          <w:rFonts w:ascii="Arial" w:hAnsi="Arial" w:cs="Arial"/>
          <w:sz w:val="20"/>
          <w:szCs w:val="20"/>
        </w:rPr>
        <w:t xml:space="preserve">, would </w:t>
      </w:r>
      <w:r w:rsidR="0094329C">
        <w:rPr>
          <w:rFonts w:ascii="Arial" w:hAnsi="Arial" w:cs="Arial"/>
          <w:sz w:val="20"/>
          <w:szCs w:val="20"/>
        </w:rPr>
        <w:t xml:space="preserve">allow for </w:t>
      </w:r>
      <w:r w:rsidR="00906FFA" w:rsidRPr="00D43486">
        <w:rPr>
          <w:rFonts w:ascii="Arial" w:hAnsi="Arial" w:cs="Arial"/>
          <w:sz w:val="20"/>
          <w:szCs w:val="20"/>
        </w:rPr>
        <w:t>re-evaluat</w:t>
      </w:r>
      <w:r w:rsidR="0094329C">
        <w:rPr>
          <w:rFonts w:ascii="Arial" w:hAnsi="Arial" w:cs="Arial"/>
          <w:sz w:val="20"/>
          <w:szCs w:val="20"/>
        </w:rPr>
        <w:t>ion of</w:t>
      </w:r>
      <w:r w:rsidR="00906FFA" w:rsidRPr="00D43486">
        <w:rPr>
          <w:rFonts w:ascii="Arial" w:hAnsi="Arial" w:cs="Arial"/>
          <w:sz w:val="20"/>
          <w:szCs w:val="20"/>
        </w:rPr>
        <w:t xml:space="preserve"> the </w:t>
      </w:r>
      <w:r w:rsidR="00EE7755">
        <w:rPr>
          <w:rFonts w:ascii="Arial" w:hAnsi="Arial" w:cs="Arial"/>
          <w:sz w:val="20"/>
          <w:szCs w:val="20"/>
        </w:rPr>
        <w:t xml:space="preserve">scale </w:t>
      </w:r>
      <w:r w:rsidR="00906FFA" w:rsidRPr="00D43486">
        <w:rPr>
          <w:rFonts w:ascii="Arial" w:hAnsi="Arial" w:cs="Arial"/>
          <w:sz w:val="20"/>
          <w:szCs w:val="20"/>
        </w:rPr>
        <w:t xml:space="preserve">and </w:t>
      </w:r>
      <w:r w:rsidR="00EE7755">
        <w:rPr>
          <w:rFonts w:ascii="Arial" w:hAnsi="Arial" w:cs="Arial"/>
          <w:sz w:val="20"/>
          <w:szCs w:val="20"/>
        </w:rPr>
        <w:t xml:space="preserve">extent </w:t>
      </w:r>
      <w:r w:rsidR="00906FFA" w:rsidRPr="00D43486">
        <w:rPr>
          <w:rFonts w:ascii="Arial" w:hAnsi="Arial" w:cs="Arial"/>
          <w:sz w:val="20"/>
          <w:szCs w:val="20"/>
        </w:rPr>
        <w:t xml:space="preserve">of potential impacts. </w:t>
      </w:r>
      <w:r w:rsidR="00252DE0">
        <w:rPr>
          <w:rFonts w:ascii="Arial" w:hAnsi="Arial" w:cs="Arial"/>
          <w:sz w:val="20"/>
          <w:szCs w:val="20"/>
        </w:rPr>
        <w:t xml:space="preserve">A </w:t>
      </w:r>
      <w:r w:rsidR="00906FFA" w:rsidRPr="00D43486">
        <w:rPr>
          <w:rFonts w:ascii="Arial" w:hAnsi="Arial" w:cs="Arial"/>
          <w:sz w:val="20"/>
          <w:szCs w:val="20"/>
        </w:rPr>
        <w:t>revised impact</w:t>
      </w:r>
      <w:r w:rsidR="0094329C">
        <w:rPr>
          <w:rFonts w:ascii="Arial" w:hAnsi="Arial" w:cs="Arial"/>
          <w:sz w:val="20"/>
          <w:szCs w:val="20"/>
        </w:rPr>
        <w:t xml:space="preserve"> </w:t>
      </w:r>
      <w:r w:rsidR="00EE7755">
        <w:rPr>
          <w:rFonts w:ascii="Arial" w:hAnsi="Arial" w:cs="Arial"/>
          <w:sz w:val="20"/>
          <w:szCs w:val="20"/>
        </w:rPr>
        <w:t>assessment</w:t>
      </w:r>
      <w:r w:rsidR="00906FFA" w:rsidRPr="00D43486">
        <w:rPr>
          <w:rFonts w:ascii="Arial" w:hAnsi="Arial" w:cs="Arial"/>
          <w:sz w:val="20"/>
          <w:szCs w:val="20"/>
        </w:rPr>
        <w:t xml:space="preserve">, proposed monitoring, mitigation and management measures may </w:t>
      </w:r>
      <w:r w:rsidR="00252DE0">
        <w:rPr>
          <w:rFonts w:ascii="Arial" w:hAnsi="Arial" w:cs="Arial"/>
          <w:sz w:val="20"/>
          <w:szCs w:val="20"/>
        </w:rPr>
        <w:t xml:space="preserve">be </w:t>
      </w:r>
      <w:r w:rsidR="00906FFA" w:rsidRPr="00D43486">
        <w:rPr>
          <w:rFonts w:ascii="Arial" w:hAnsi="Arial" w:cs="Arial"/>
          <w:sz w:val="20"/>
          <w:szCs w:val="20"/>
        </w:rPr>
        <w:t>need</w:t>
      </w:r>
      <w:r w:rsidR="00252DE0">
        <w:rPr>
          <w:rFonts w:ascii="Arial" w:hAnsi="Arial" w:cs="Arial"/>
          <w:sz w:val="20"/>
          <w:szCs w:val="20"/>
        </w:rPr>
        <w:t>ed</w:t>
      </w:r>
      <w:r w:rsidR="00906FFA" w:rsidRPr="00D43486">
        <w:rPr>
          <w:rFonts w:ascii="Arial" w:hAnsi="Arial" w:cs="Arial"/>
          <w:sz w:val="20"/>
          <w:szCs w:val="20"/>
        </w:rPr>
        <w:t>.</w:t>
      </w:r>
    </w:p>
    <w:p w:rsidR="00906FFA" w:rsidRPr="00D43486" w:rsidRDefault="00684395" w:rsidP="00906FFA">
      <w:pPr>
        <w:pStyle w:val="ListNumber"/>
        <w:numPr>
          <w:ilvl w:val="0"/>
          <w:numId w:val="23"/>
        </w:numPr>
        <w:spacing w:before="120" w:line="276" w:lineRule="auto"/>
        <w:rPr>
          <w:rFonts w:ascii="Arial" w:hAnsi="Arial" w:cs="Arial"/>
          <w:sz w:val="20"/>
          <w:szCs w:val="20"/>
        </w:rPr>
      </w:pPr>
      <w:r>
        <w:rPr>
          <w:rFonts w:ascii="Arial" w:hAnsi="Arial" w:cs="Arial"/>
          <w:sz w:val="20"/>
          <w:szCs w:val="20"/>
        </w:rPr>
        <w:t xml:space="preserve">At </w:t>
      </w:r>
      <w:r w:rsidR="00906FFA" w:rsidRPr="00D43486">
        <w:rPr>
          <w:rFonts w:ascii="Arial" w:hAnsi="Arial" w:cs="Arial"/>
          <w:sz w:val="20"/>
          <w:szCs w:val="20"/>
        </w:rPr>
        <w:t xml:space="preserve">a minimum, </w:t>
      </w:r>
      <w:r>
        <w:rPr>
          <w:rFonts w:ascii="Arial" w:hAnsi="Arial" w:cs="Arial"/>
          <w:sz w:val="20"/>
          <w:szCs w:val="20"/>
        </w:rPr>
        <w:t xml:space="preserve">the </w:t>
      </w:r>
      <w:r w:rsidR="00906FFA" w:rsidRPr="00D43486">
        <w:rPr>
          <w:rFonts w:ascii="Arial" w:hAnsi="Arial" w:cs="Arial"/>
          <w:sz w:val="20"/>
          <w:szCs w:val="20"/>
        </w:rPr>
        <w:t xml:space="preserve">discharge scenarios and trigger values </w:t>
      </w:r>
      <w:r>
        <w:rPr>
          <w:rFonts w:ascii="Arial" w:hAnsi="Arial" w:cs="Arial"/>
          <w:sz w:val="20"/>
          <w:szCs w:val="20"/>
        </w:rPr>
        <w:t xml:space="preserve">should </w:t>
      </w:r>
      <w:r w:rsidR="001D03F6">
        <w:rPr>
          <w:rFonts w:ascii="Arial" w:hAnsi="Arial" w:cs="Arial"/>
          <w:sz w:val="20"/>
          <w:szCs w:val="20"/>
        </w:rPr>
        <w:t>consider</w:t>
      </w:r>
      <w:r w:rsidR="00906FFA" w:rsidRPr="00D43486">
        <w:rPr>
          <w:rFonts w:ascii="Arial" w:hAnsi="Arial" w:cs="Arial"/>
          <w:sz w:val="20"/>
          <w:szCs w:val="20"/>
        </w:rPr>
        <w:t xml:space="preserve"> the Model Water Conditions for Coal Mines in the Fitzroy Basin (DEHP, 2013)</w:t>
      </w:r>
      <w:r w:rsidR="006D7FC3">
        <w:rPr>
          <w:rFonts w:ascii="Arial" w:hAnsi="Arial" w:cs="Arial"/>
          <w:sz w:val="20"/>
          <w:szCs w:val="20"/>
        </w:rPr>
        <w:t xml:space="preserve">, </w:t>
      </w:r>
      <w:r w:rsidR="00906FFA" w:rsidRPr="00D43486">
        <w:rPr>
          <w:rFonts w:ascii="Arial" w:hAnsi="Arial" w:cs="Arial"/>
          <w:sz w:val="20"/>
          <w:szCs w:val="20"/>
        </w:rPr>
        <w:t>the National Water Quality Management Strategy (ANZECC and ARMCANZ, 2000) and the water quality objectives for the Nogoa River (DEHP, 2011).</w:t>
      </w:r>
    </w:p>
    <w:p w:rsidR="00906FFA" w:rsidRPr="00D43486" w:rsidRDefault="00906FFA" w:rsidP="00906FFA">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The proposed operat</w:t>
      </w:r>
      <w:r>
        <w:rPr>
          <w:rFonts w:ascii="Arial" w:hAnsi="Arial" w:cs="Arial"/>
          <w:sz w:val="20"/>
          <w:szCs w:val="20"/>
        </w:rPr>
        <w:t>ional water monitoring program</w:t>
      </w:r>
      <w:r w:rsidRPr="00D43486">
        <w:rPr>
          <w:rFonts w:ascii="Arial" w:hAnsi="Arial" w:cs="Arial"/>
          <w:sz w:val="20"/>
          <w:szCs w:val="20"/>
        </w:rPr>
        <w:t xml:space="preserve"> would be strengthened by including reference condition monitoring sites</w:t>
      </w:r>
      <w:r w:rsidR="0094329C">
        <w:rPr>
          <w:rFonts w:ascii="Arial" w:hAnsi="Arial" w:cs="Arial"/>
          <w:sz w:val="20"/>
          <w:szCs w:val="20"/>
        </w:rPr>
        <w:t>,</w:t>
      </w:r>
      <w:r w:rsidRPr="00D43486">
        <w:rPr>
          <w:rFonts w:ascii="Arial" w:hAnsi="Arial" w:cs="Arial"/>
          <w:sz w:val="20"/>
          <w:szCs w:val="20"/>
        </w:rPr>
        <w:t xml:space="preserve"> as well as additional </w:t>
      </w:r>
      <w:r w:rsidR="00703859">
        <w:rPr>
          <w:rFonts w:ascii="Arial" w:hAnsi="Arial" w:cs="Arial"/>
          <w:sz w:val="20"/>
          <w:szCs w:val="20"/>
        </w:rPr>
        <w:t xml:space="preserve">impact </w:t>
      </w:r>
      <w:r w:rsidRPr="00D43486">
        <w:rPr>
          <w:rFonts w:ascii="Arial" w:hAnsi="Arial" w:cs="Arial"/>
          <w:sz w:val="20"/>
          <w:szCs w:val="20"/>
        </w:rPr>
        <w:t xml:space="preserve">monitoring sites to verify the conclusions of the assessment documentation and detect any additional impacts from: </w:t>
      </w:r>
    </w:p>
    <w:p w:rsidR="00906FFA" w:rsidRPr="00D43486" w:rsidRDefault="00906FFA" w:rsidP="00906FFA">
      <w:pPr>
        <w:pStyle w:val="ListNumber"/>
        <w:numPr>
          <w:ilvl w:val="0"/>
          <w:numId w:val="33"/>
        </w:numPr>
        <w:tabs>
          <w:tab w:val="clear" w:pos="1440"/>
        </w:tabs>
        <w:spacing w:before="120" w:line="276" w:lineRule="auto"/>
        <w:ind w:left="709"/>
        <w:rPr>
          <w:rFonts w:ascii="Arial" w:hAnsi="Arial" w:cs="Arial"/>
          <w:sz w:val="20"/>
          <w:szCs w:val="20"/>
        </w:rPr>
      </w:pPr>
      <w:r w:rsidRPr="00D43486">
        <w:rPr>
          <w:rFonts w:ascii="Arial" w:hAnsi="Arial" w:cs="Arial"/>
          <w:sz w:val="20"/>
          <w:szCs w:val="20"/>
        </w:rPr>
        <w:t>Proposed water discharges, including from the REA;</w:t>
      </w:r>
    </w:p>
    <w:p w:rsidR="00906FFA" w:rsidRPr="00D43486" w:rsidRDefault="00906FFA" w:rsidP="00906FFA">
      <w:pPr>
        <w:pStyle w:val="ListNumber"/>
        <w:numPr>
          <w:ilvl w:val="0"/>
          <w:numId w:val="33"/>
        </w:numPr>
        <w:tabs>
          <w:tab w:val="clear" w:pos="1440"/>
        </w:tabs>
        <w:spacing w:before="120" w:line="276" w:lineRule="auto"/>
        <w:ind w:left="709"/>
        <w:rPr>
          <w:rFonts w:ascii="Arial" w:hAnsi="Arial" w:cs="Arial"/>
          <w:sz w:val="20"/>
          <w:szCs w:val="20"/>
        </w:rPr>
      </w:pPr>
      <w:r w:rsidRPr="00D43486">
        <w:rPr>
          <w:rFonts w:ascii="Arial" w:hAnsi="Arial" w:cs="Arial"/>
          <w:sz w:val="20"/>
          <w:szCs w:val="20"/>
        </w:rPr>
        <w:t>Groundwater drawdown, including impacts on watercourse hydrology and water quality;</w:t>
      </w:r>
    </w:p>
    <w:p w:rsidR="00906FFA" w:rsidRPr="00D43486" w:rsidRDefault="00906FFA" w:rsidP="00906FFA">
      <w:pPr>
        <w:pStyle w:val="ListNumber"/>
        <w:numPr>
          <w:ilvl w:val="0"/>
          <w:numId w:val="33"/>
        </w:numPr>
        <w:tabs>
          <w:tab w:val="clear" w:pos="1440"/>
        </w:tabs>
        <w:spacing w:before="120" w:line="276" w:lineRule="auto"/>
        <w:ind w:left="709"/>
        <w:rPr>
          <w:rFonts w:ascii="Arial" w:hAnsi="Arial" w:cs="Arial"/>
          <w:sz w:val="20"/>
          <w:szCs w:val="20"/>
        </w:rPr>
      </w:pPr>
      <w:r w:rsidRPr="00D43486">
        <w:rPr>
          <w:rFonts w:ascii="Arial" w:hAnsi="Arial" w:cs="Arial"/>
          <w:sz w:val="20"/>
          <w:szCs w:val="20"/>
        </w:rPr>
        <w:t>Loss of surface water due to subsidence-induced fracturing and cracking; and</w:t>
      </w:r>
    </w:p>
    <w:p w:rsidR="00906FFA" w:rsidRPr="00D43486" w:rsidRDefault="00906FFA" w:rsidP="00906FFA">
      <w:pPr>
        <w:pStyle w:val="ListNumber"/>
        <w:numPr>
          <w:ilvl w:val="0"/>
          <w:numId w:val="33"/>
        </w:numPr>
        <w:tabs>
          <w:tab w:val="clear" w:pos="1440"/>
        </w:tabs>
        <w:spacing w:before="120" w:line="276" w:lineRule="auto"/>
        <w:ind w:left="709"/>
        <w:rPr>
          <w:rFonts w:ascii="Arial" w:hAnsi="Arial" w:cs="Arial"/>
          <w:sz w:val="20"/>
          <w:szCs w:val="20"/>
        </w:rPr>
      </w:pPr>
      <w:r w:rsidRPr="00D43486">
        <w:rPr>
          <w:rFonts w:ascii="Arial" w:hAnsi="Arial" w:cs="Arial"/>
          <w:sz w:val="20"/>
          <w:szCs w:val="20"/>
        </w:rPr>
        <w:t>Changes to the Theresa Creek floodplain, including quantifying the extent and duration of subsidence-induced ponding in the unnamed Theresa Creek tributary to the west of the Blair Athol railway line, and subsidence-induced erosion and sedimentation.</w:t>
      </w:r>
    </w:p>
    <w:p w:rsidR="00D43486" w:rsidRDefault="000C6FE1" w:rsidP="00D43486">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Surface and groundwater connectivity</w:t>
      </w:r>
      <w:r w:rsidR="0094329C">
        <w:rPr>
          <w:rFonts w:ascii="Arial" w:hAnsi="Arial" w:cs="Arial"/>
          <w:sz w:val="20"/>
          <w:szCs w:val="20"/>
        </w:rPr>
        <w:t xml:space="preserve">: </w:t>
      </w:r>
      <w:r w:rsidR="00D43486" w:rsidRPr="00D43486">
        <w:rPr>
          <w:rFonts w:ascii="Arial" w:hAnsi="Arial" w:cs="Arial"/>
          <w:sz w:val="20"/>
          <w:szCs w:val="20"/>
        </w:rPr>
        <w:t>Incorporation of the potential increase in surface water-groundwater connectivity due to subsidence-induced fracturing would ensure that the full range of impacts on surface water hydrology and water quality is evaluated.</w:t>
      </w:r>
    </w:p>
    <w:p w:rsidR="00D43486" w:rsidRPr="00D43486" w:rsidRDefault="000C6FE1" w:rsidP="00D43486">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Water balance</w:t>
      </w:r>
      <w:r w:rsidR="0094329C">
        <w:rPr>
          <w:rFonts w:ascii="Arial" w:hAnsi="Arial" w:cs="Arial"/>
          <w:sz w:val="20"/>
          <w:szCs w:val="20"/>
        </w:rPr>
        <w:t xml:space="preserve">: </w:t>
      </w:r>
      <w:r w:rsidR="00D43486" w:rsidRPr="00D43486">
        <w:rPr>
          <w:rFonts w:ascii="Arial" w:hAnsi="Arial" w:cs="Arial"/>
          <w:sz w:val="20"/>
          <w:szCs w:val="20"/>
        </w:rPr>
        <w:t>It is suggested that the mine water balance, discharge scenarios and impacts on receiving watercourses are re-evaluated if further studies proposed in the response to question 6 indicate that subsidence-induced fracturing will increase surface water-groundwater connectivity across the mine lease.</w:t>
      </w:r>
    </w:p>
    <w:p w:rsidR="00906FFA" w:rsidRPr="00906FFA" w:rsidRDefault="0094329C" w:rsidP="00906FFA">
      <w:pPr>
        <w:pStyle w:val="ListNumber"/>
        <w:numPr>
          <w:ilvl w:val="0"/>
          <w:numId w:val="23"/>
        </w:numPr>
        <w:spacing w:before="120" w:line="276" w:lineRule="auto"/>
        <w:rPr>
          <w:rFonts w:ascii="Arial" w:hAnsi="Arial" w:cs="Arial"/>
          <w:sz w:val="20"/>
          <w:szCs w:val="20"/>
        </w:rPr>
      </w:pPr>
      <w:r>
        <w:rPr>
          <w:rFonts w:ascii="Arial" w:hAnsi="Arial" w:cs="Arial"/>
          <w:sz w:val="20"/>
          <w:szCs w:val="20"/>
          <w:u w:val="single"/>
        </w:rPr>
        <w:t>Water Quality</w:t>
      </w:r>
      <w:r w:rsidR="000C6FE1" w:rsidRPr="000C6FE1">
        <w:rPr>
          <w:rFonts w:ascii="Arial" w:hAnsi="Arial" w:cs="Arial"/>
          <w:sz w:val="20"/>
          <w:szCs w:val="20"/>
        </w:rPr>
        <w:t xml:space="preserve">: </w:t>
      </w:r>
      <w:r w:rsidR="00906FFA" w:rsidRPr="00D43486">
        <w:rPr>
          <w:rFonts w:ascii="Arial" w:hAnsi="Arial" w:cs="Arial"/>
          <w:sz w:val="20"/>
          <w:szCs w:val="20"/>
        </w:rPr>
        <w:t>Given the elevated electrical conductivity and concentrations of dissolved metals likely to be present in abstracted groundwater, mine-affected water may require treatment prior to discharge. Water quality modelling would inform the need for water treatment facilities,</w:t>
      </w:r>
      <w:r w:rsidR="000575A1">
        <w:rPr>
          <w:rFonts w:ascii="Arial" w:hAnsi="Arial" w:cs="Arial"/>
          <w:sz w:val="20"/>
          <w:szCs w:val="20"/>
        </w:rPr>
        <w:t xml:space="preserve"> and the</w:t>
      </w:r>
      <w:r w:rsidR="00906FFA" w:rsidRPr="00D43486">
        <w:rPr>
          <w:rFonts w:ascii="Arial" w:hAnsi="Arial" w:cs="Arial"/>
          <w:sz w:val="20"/>
          <w:szCs w:val="20"/>
        </w:rPr>
        <w:t xml:space="preserve"> design of thes</w:t>
      </w:r>
      <w:r w:rsidR="000575A1">
        <w:rPr>
          <w:rFonts w:ascii="Arial" w:hAnsi="Arial" w:cs="Arial"/>
          <w:sz w:val="20"/>
          <w:szCs w:val="20"/>
        </w:rPr>
        <w:t>e facilities if they are needed.</w:t>
      </w:r>
    </w:p>
    <w:p w:rsidR="00D43486" w:rsidRPr="00D43486" w:rsidRDefault="00D43486"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lastRenderedPageBreak/>
        <w:t>The proponent has identified that a second phase of geochemical assessm</w:t>
      </w:r>
      <w:r w:rsidR="00E43C5F">
        <w:rPr>
          <w:rFonts w:ascii="Arial" w:hAnsi="Arial" w:cs="Arial"/>
          <w:sz w:val="20"/>
          <w:szCs w:val="20"/>
        </w:rPr>
        <w:t xml:space="preserve">ent will be undertaken for the supplementary </w:t>
      </w:r>
      <w:r w:rsidRPr="00D43486">
        <w:rPr>
          <w:rFonts w:ascii="Arial" w:hAnsi="Arial" w:cs="Arial"/>
          <w:sz w:val="20"/>
          <w:szCs w:val="20"/>
        </w:rPr>
        <w:t>EIS</w:t>
      </w:r>
      <w:r w:rsidR="00ED24BC">
        <w:rPr>
          <w:rFonts w:ascii="Arial" w:hAnsi="Arial" w:cs="Arial"/>
          <w:sz w:val="20"/>
          <w:szCs w:val="20"/>
        </w:rPr>
        <w:t>. T</w:t>
      </w:r>
      <w:r w:rsidRPr="00D43486">
        <w:rPr>
          <w:rFonts w:ascii="Arial" w:hAnsi="Arial" w:cs="Arial"/>
          <w:sz w:val="20"/>
          <w:szCs w:val="20"/>
        </w:rPr>
        <w:t xml:space="preserve">he following additional measures should be considered to </w:t>
      </w:r>
      <w:r w:rsidR="00DB65A5">
        <w:rPr>
          <w:rFonts w:ascii="Arial" w:hAnsi="Arial" w:cs="Arial"/>
          <w:sz w:val="20"/>
          <w:szCs w:val="20"/>
        </w:rPr>
        <w:t xml:space="preserve">address </w:t>
      </w:r>
      <w:r w:rsidR="0044404A">
        <w:rPr>
          <w:rFonts w:ascii="Arial" w:hAnsi="Arial" w:cs="Arial"/>
          <w:sz w:val="20"/>
          <w:szCs w:val="20"/>
        </w:rPr>
        <w:t xml:space="preserve">and </w:t>
      </w:r>
      <w:r w:rsidR="0044404A" w:rsidRPr="00D43486">
        <w:rPr>
          <w:rFonts w:ascii="Arial" w:hAnsi="Arial" w:cs="Arial"/>
          <w:sz w:val="20"/>
          <w:szCs w:val="20"/>
        </w:rPr>
        <w:t>mitigate</w:t>
      </w:r>
      <w:r w:rsidRPr="00D43486">
        <w:rPr>
          <w:rFonts w:ascii="Arial" w:hAnsi="Arial" w:cs="Arial"/>
          <w:sz w:val="20"/>
          <w:szCs w:val="20"/>
        </w:rPr>
        <w:t xml:space="preserve"> risks to surface and groundwater resources due to AMD:</w:t>
      </w:r>
    </w:p>
    <w:p w:rsidR="00D43486" w:rsidRPr="00D43486" w:rsidRDefault="00ED24BC" w:rsidP="00D43486">
      <w:pPr>
        <w:pStyle w:val="ListNumber"/>
        <w:numPr>
          <w:ilvl w:val="1"/>
          <w:numId w:val="23"/>
        </w:numPr>
        <w:spacing w:before="120" w:line="276" w:lineRule="auto"/>
        <w:ind w:left="709"/>
        <w:rPr>
          <w:rFonts w:ascii="Arial" w:hAnsi="Arial" w:cs="Arial"/>
          <w:sz w:val="20"/>
          <w:szCs w:val="20"/>
        </w:rPr>
      </w:pPr>
      <w:r>
        <w:rPr>
          <w:rFonts w:ascii="Arial" w:hAnsi="Arial" w:cs="Arial"/>
          <w:sz w:val="20"/>
          <w:szCs w:val="20"/>
        </w:rPr>
        <w:t xml:space="preserve">The proposed </w:t>
      </w:r>
      <w:r w:rsidR="00D43486" w:rsidRPr="00D43486">
        <w:rPr>
          <w:rFonts w:ascii="Arial" w:hAnsi="Arial" w:cs="Arial"/>
          <w:sz w:val="20"/>
          <w:szCs w:val="20"/>
        </w:rPr>
        <w:t>s</w:t>
      </w:r>
      <w:r w:rsidR="00906FFA">
        <w:rPr>
          <w:rFonts w:ascii="Arial" w:hAnsi="Arial" w:cs="Arial"/>
          <w:sz w:val="20"/>
          <w:szCs w:val="20"/>
        </w:rPr>
        <w:t xml:space="preserve">ampling and testing </w:t>
      </w:r>
      <w:r w:rsidR="00D43486" w:rsidRPr="00D43486">
        <w:rPr>
          <w:rFonts w:ascii="Arial" w:hAnsi="Arial" w:cs="Arial"/>
          <w:sz w:val="20"/>
          <w:szCs w:val="20"/>
        </w:rPr>
        <w:t>should be expanded to provide volumetric estimates of PAF material likely to be excavated. The assessment should also consider spatial variability, including the possibility that acid forming mineralisation may be associated with the fault running to the west of longwall panels LW101 – LW116.</w:t>
      </w:r>
    </w:p>
    <w:p w:rsidR="00D43486" w:rsidRPr="00D43486" w:rsidRDefault="00DB65A5" w:rsidP="00D43486">
      <w:pPr>
        <w:pStyle w:val="ListNumber"/>
        <w:numPr>
          <w:ilvl w:val="1"/>
          <w:numId w:val="23"/>
        </w:numPr>
        <w:spacing w:before="120" w:line="276" w:lineRule="auto"/>
        <w:ind w:left="709"/>
        <w:rPr>
          <w:rFonts w:ascii="Arial" w:hAnsi="Arial" w:cs="Arial"/>
          <w:sz w:val="20"/>
          <w:szCs w:val="20"/>
        </w:rPr>
      </w:pPr>
      <w:r>
        <w:rPr>
          <w:rFonts w:ascii="Arial" w:hAnsi="Arial" w:cs="Arial"/>
          <w:sz w:val="20"/>
          <w:szCs w:val="20"/>
        </w:rPr>
        <w:t>I</w:t>
      </w:r>
      <w:r w:rsidR="00D43486" w:rsidRPr="00D43486">
        <w:rPr>
          <w:rFonts w:ascii="Arial" w:hAnsi="Arial" w:cs="Arial"/>
          <w:sz w:val="20"/>
          <w:szCs w:val="20"/>
        </w:rPr>
        <w:t xml:space="preserve">mmediate element solubility and leach testing of REA materials should inform the design of appropriate site water management strategies. </w:t>
      </w:r>
      <w:r w:rsidR="00224622">
        <w:rPr>
          <w:rFonts w:ascii="Arial" w:hAnsi="Arial" w:cs="Arial"/>
          <w:sz w:val="20"/>
          <w:szCs w:val="20"/>
        </w:rPr>
        <w:t xml:space="preserve">As </w:t>
      </w:r>
      <w:r w:rsidR="00D43486" w:rsidRPr="00D43486">
        <w:rPr>
          <w:rFonts w:ascii="Arial" w:hAnsi="Arial" w:cs="Arial"/>
          <w:sz w:val="20"/>
          <w:szCs w:val="20"/>
        </w:rPr>
        <w:t>discharge of runoff and leachate from the REA is proposed, the quality of water discharged from the site</w:t>
      </w:r>
      <w:r>
        <w:rPr>
          <w:rFonts w:ascii="Arial" w:hAnsi="Arial" w:cs="Arial"/>
          <w:sz w:val="20"/>
          <w:szCs w:val="20"/>
        </w:rPr>
        <w:t xml:space="preserve"> should </w:t>
      </w:r>
      <w:r w:rsidR="00D43486" w:rsidRPr="00D43486">
        <w:rPr>
          <w:rFonts w:ascii="Arial" w:hAnsi="Arial" w:cs="Arial"/>
          <w:sz w:val="20"/>
          <w:szCs w:val="20"/>
        </w:rPr>
        <w:t>meet water quality objectives without treatment, or further details on treatment</w:t>
      </w:r>
      <w:r w:rsidR="00252DE0">
        <w:rPr>
          <w:rFonts w:ascii="Arial" w:hAnsi="Arial" w:cs="Arial"/>
          <w:sz w:val="20"/>
          <w:szCs w:val="20"/>
        </w:rPr>
        <w:t>/</w:t>
      </w:r>
      <w:r w:rsidR="00D43486" w:rsidRPr="00D43486">
        <w:rPr>
          <w:rFonts w:ascii="Arial" w:hAnsi="Arial" w:cs="Arial"/>
          <w:sz w:val="20"/>
          <w:szCs w:val="20"/>
        </w:rPr>
        <w:t>water management</w:t>
      </w:r>
      <w:r w:rsidR="00252DE0">
        <w:rPr>
          <w:rFonts w:ascii="Arial" w:hAnsi="Arial" w:cs="Arial"/>
          <w:sz w:val="20"/>
          <w:szCs w:val="20"/>
        </w:rPr>
        <w:t xml:space="preserve"> </w:t>
      </w:r>
      <w:r w:rsidR="000575A1">
        <w:rPr>
          <w:rFonts w:ascii="Arial" w:hAnsi="Arial" w:cs="Arial"/>
          <w:sz w:val="20"/>
          <w:szCs w:val="20"/>
        </w:rPr>
        <w:t xml:space="preserve">should </w:t>
      </w:r>
      <w:r w:rsidR="00252DE0">
        <w:rPr>
          <w:rFonts w:ascii="Arial" w:hAnsi="Arial" w:cs="Arial"/>
          <w:sz w:val="20"/>
          <w:szCs w:val="20"/>
        </w:rPr>
        <w:t>be provided</w:t>
      </w:r>
      <w:r w:rsidR="00D43486" w:rsidRPr="00D43486">
        <w:rPr>
          <w:rFonts w:ascii="Arial" w:hAnsi="Arial" w:cs="Arial"/>
          <w:sz w:val="20"/>
          <w:szCs w:val="20"/>
        </w:rPr>
        <w:t>.</w:t>
      </w:r>
    </w:p>
    <w:p w:rsidR="00D43486" w:rsidRPr="00D43486" w:rsidRDefault="00D43486" w:rsidP="00D43486">
      <w:pPr>
        <w:pStyle w:val="ListNumber"/>
        <w:numPr>
          <w:ilvl w:val="1"/>
          <w:numId w:val="23"/>
        </w:numPr>
        <w:spacing w:before="120" w:line="276" w:lineRule="auto"/>
        <w:ind w:left="709"/>
        <w:rPr>
          <w:rFonts w:ascii="Arial" w:hAnsi="Arial" w:cs="Arial"/>
          <w:sz w:val="20"/>
          <w:szCs w:val="20"/>
        </w:rPr>
      </w:pPr>
      <w:r w:rsidRPr="00D43486">
        <w:rPr>
          <w:rFonts w:ascii="Arial" w:hAnsi="Arial" w:cs="Arial"/>
          <w:sz w:val="20"/>
          <w:szCs w:val="20"/>
        </w:rPr>
        <w:t>Kinetic testing for overburden materials likely to be dewatered and oxidised in situ during mine operations should also be undertaken to improve understanding of risks to groundwater resources. Neutralisation capacity of groundwater and surrounding rock should be assessed against the results of the kinetic tests. The design of groundwater monitoring networks should address potential contamination from salinity and mobilisation of metals in the context of post-mining groundwater flow paths created due to subsidence fracturing.</w:t>
      </w:r>
    </w:p>
    <w:p w:rsidR="00D43486" w:rsidRPr="00D43486" w:rsidRDefault="00D43486" w:rsidP="00D43486">
      <w:pPr>
        <w:pStyle w:val="ListNumber"/>
        <w:numPr>
          <w:ilvl w:val="1"/>
          <w:numId w:val="23"/>
        </w:numPr>
        <w:spacing w:before="120" w:line="276" w:lineRule="auto"/>
        <w:ind w:left="709"/>
        <w:rPr>
          <w:rFonts w:ascii="Arial" w:hAnsi="Arial" w:cs="Arial"/>
          <w:sz w:val="20"/>
          <w:szCs w:val="20"/>
        </w:rPr>
      </w:pPr>
      <w:r w:rsidRPr="00D43486">
        <w:rPr>
          <w:rFonts w:ascii="Arial" w:hAnsi="Arial" w:cs="Arial"/>
          <w:sz w:val="20"/>
          <w:szCs w:val="20"/>
        </w:rPr>
        <w:t xml:space="preserve">Detailed assessment of the source of REA capping material and relevant properties (e.g. dispersivity or cracking clay) would improve confidence </w:t>
      </w:r>
      <w:r w:rsidR="00224622">
        <w:rPr>
          <w:rFonts w:ascii="Arial" w:hAnsi="Arial" w:cs="Arial"/>
          <w:sz w:val="20"/>
          <w:szCs w:val="20"/>
        </w:rPr>
        <w:t xml:space="preserve">of </w:t>
      </w:r>
      <w:r w:rsidRPr="00D43486">
        <w:rPr>
          <w:rFonts w:ascii="Arial" w:hAnsi="Arial" w:cs="Arial"/>
          <w:sz w:val="20"/>
          <w:szCs w:val="20"/>
        </w:rPr>
        <w:t>adequate mitigation against AMD</w:t>
      </w:r>
      <w:r w:rsidR="00224622">
        <w:rPr>
          <w:rFonts w:ascii="Arial" w:hAnsi="Arial" w:cs="Arial"/>
          <w:sz w:val="20"/>
          <w:szCs w:val="20"/>
        </w:rPr>
        <w:t>.</w:t>
      </w:r>
    </w:p>
    <w:p w:rsidR="00D43486" w:rsidRPr="00D43486" w:rsidRDefault="00906FFA" w:rsidP="00D43486">
      <w:pPr>
        <w:pStyle w:val="ListNumber"/>
        <w:numPr>
          <w:ilvl w:val="1"/>
          <w:numId w:val="23"/>
        </w:numPr>
        <w:spacing w:before="120" w:line="276" w:lineRule="auto"/>
        <w:ind w:left="709"/>
        <w:rPr>
          <w:rFonts w:ascii="Arial" w:hAnsi="Arial" w:cs="Arial"/>
          <w:sz w:val="20"/>
          <w:szCs w:val="20"/>
        </w:rPr>
      </w:pPr>
      <w:r>
        <w:rPr>
          <w:rFonts w:ascii="Arial" w:hAnsi="Arial" w:cs="Arial"/>
          <w:sz w:val="20"/>
          <w:szCs w:val="20"/>
        </w:rPr>
        <w:t>Li</w:t>
      </w:r>
      <w:r w:rsidR="00D43486" w:rsidRPr="00D43486">
        <w:rPr>
          <w:rFonts w:ascii="Arial" w:hAnsi="Arial" w:cs="Arial"/>
          <w:sz w:val="20"/>
          <w:szCs w:val="20"/>
        </w:rPr>
        <w:t xml:space="preserve">ning the base of the REA with suitable low-permeability material to minimise groundwater infiltration and hence potential contamination with acid, saline or metaliferous leachate. Given the limited thickness of stored REA materials, </w:t>
      </w:r>
      <w:r w:rsidR="00DB65A5">
        <w:rPr>
          <w:rFonts w:ascii="Arial" w:hAnsi="Arial" w:cs="Arial"/>
          <w:sz w:val="20"/>
          <w:szCs w:val="20"/>
        </w:rPr>
        <w:t xml:space="preserve">details on </w:t>
      </w:r>
      <w:r w:rsidR="00D43486" w:rsidRPr="00D43486">
        <w:rPr>
          <w:rFonts w:ascii="Arial" w:hAnsi="Arial" w:cs="Arial"/>
          <w:sz w:val="20"/>
          <w:szCs w:val="20"/>
        </w:rPr>
        <w:t>the effectiveness of the proposed encapsulation techniques would improve confidence in the conceptual REA design for containing and minimising AMD.</w:t>
      </w:r>
    </w:p>
    <w:p w:rsidR="00D43486" w:rsidRPr="00D43486" w:rsidRDefault="00906FFA" w:rsidP="00D43486">
      <w:pPr>
        <w:pStyle w:val="ListNumber"/>
        <w:numPr>
          <w:ilvl w:val="1"/>
          <w:numId w:val="23"/>
        </w:numPr>
        <w:spacing w:before="120" w:line="276" w:lineRule="auto"/>
        <w:ind w:left="709"/>
        <w:rPr>
          <w:rFonts w:ascii="Arial" w:hAnsi="Arial" w:cs="Arial"/>
          <w:sz w:val="20"/>
          <w:szCs w:val="20"/>
        </w:rPr>
      </w:pPr>
      <w:r>
        <w:rPr>
          <w:rFonts w:ascii="Arial" w:hAnsi="Arial" w:cs="Arial"/>
          <w:sz w:val="20"/>
          <w:szCs w:val="20"/>
        </w:rPr>
        <w:t>Pr</w:t>
      </w:r>
      <w:r w:rsidR="00D43486" w:rsidRPr="00D43486">
        <w:rPr>
          <w:rFonts w:ascii="Arial" w:hAnsi="Arial" w:cs="Arial"/>
          <w:sz w:val="20"/>
          <w:szCs w:val="20"/>
        </w:rPr>
        <w:t>ovide discussion of proposed mitigation for subsidence impacts on the REA (including consideration of alternative locations for the REA not subject to subsidence) to increase confidence that AMD impacts to surface and groundwater will not occur.</w:t>
      </w:r>
    </w:p>
    <w:p w:rsidR="00D43486" w:rsidRPr="00D43486" w:rsidRDefault="00D43486" w:rsidP="00D43486">
      <w:pPr>
        <w:pStyle w:val="ListNumber"/>
        <w:numPr>
          <w:ilvl w:val="1"/>
          <w:numId w:val="23"/>
        </w:numPr>
        <w:spacing w:before="120" w:line="276" w:lineRule="auto"/>
        <w:ind w:left="709"/>
        <w:rPr>
          <w:rFonts w:ascii="Arial" w:hAnsi="Arial" w:cs="Arial"/>
          <w:sz w:val="20"/>
          <w:szCs w:val="20"/>
        </w:rPr>
      </w:pPr>
      <w:r w:rsidRPr="00D43486">
        <w:rPr>
          <w:rFonts w:ascii="Arial" w:hAnsi="Arial" w:cs="Arial"/>
          <w:sz w:val="20"/>
          <w:szCs w:val="20"/>
        </w:rPr>
        <w:t>The appropriateness of the proponent’s proposal to capture runoff from the REA in a sediment basin is discussed in question 6. While the location of such a sediment basin, or other collection basi</w:t>
      </w:r>
      <w:r w:rsidR="00906FFA">
        <w:rPr>
          <w:rFonts w:ascii="Arial" w:hAnsi="Arial" w:cs="Arial"/>
          <w:sz w:val="20"/>
          <w:szCs w:val="20"/>
        </w:rPr>
        <w:t>n</w:t>
      </w:r>
      <w:r w:rsidR="00DB65A5">
        <w:rPr>
          <w:rFonts w:ascii="Arial" w:hAnsi="Arial" w:cs="Arial"/>
          <w:sz w:val="20"/>
          <w:szCs w:val="20"/>
        </w:rPr>
        <w:t>s</w:t>
      </w:r>
      <w:r w:rsidR="00906FFA">
        <w:rPr>
          <w:rFonts w:ascii="Arial" w:hAnsi="Arial" w:cs="Arial"/>
          <w:sz w:val="20"/>
          <w:szCs w:val="20"/>
        </w:rPr>
        <w:t>, has not yet been determined,</w:t>
      </w:r>
      <w:r w:rsidRPr="00D43486">
        <w:rPr>
          <w:rFonts w:ascii="Arial" w:hAnsi="Arial" w:cs="Arial"/>
          <w:sz w:val="20"/>
          <w:szCs w:val="20"/>
        </w:rPr>
        <w:t xml:space="preserve"> it is likely that it would be located within </w:t>
      </w:r>
      <w:r w:rsidR="00DB65A5">
        <w:rPr>
          <w:rFonts w:ascii="Arial" w:hAnsi="Arial" w:cs="Arial"/>
          <w:sz w:val="20"/>
          <w:szCs w:val="20"/>
        </w:rPr>
        <w:t xml:space="preserve">the </w:t>
      </w:r>
      <w:r w:rsidRPr="00D43486">
        <w:rPr>
          <w:rFonts w:ascii="Arial" w:hAnsi="Arial" w:cs="Arial"/>
          <w:sz w:val="20"/>
          <w:szCs w:val="20"/>
        </w:rPr>
        <w:t xml:space="preserve">area subject to subsidence. The proponent should therefore address likely subsidence impacts on a </w:t>
      </w:r>
      <w:r w:rsidR="007C72B4">
        <w:rPr>
          <w:rFonts w:ascii="Arial" w:hAnsi="Arial" w:cs="Arial"/>
          <w:sz w:val="20"/>
          <w:szCs w:val="20"/>
        </w:rPr>
        <w:t xml:space="preserve">sediment </w:t>
      </w:r>
      <w:r w:rsidRPr="00D43486">
        <w:rPr>
          <w:rFonts w:ascii="Arial" w:hAnsi="Arial" w:cs="Arial"/>
          <w:sz w:val="20"/>
          <w:szCs w:val="20"/>
        </w:rPr>
        <w:t xml:space="preserve">collection basin, in particular: </w:t>
      </w:r>
    </w:p>
    <w:p w:rsidR="00D43486" w:rsidRPr="00D43486" w:rsidRDefault="00605B7E" w:rsidP="00906FFA">
      <w:pPr>
        <w:pStyle w:val="ListNumber"/>
        <w:numPr>
          <w:ilvl w:val="1"/>
          <w:numId w:val="37"/>
        </w:numPr>
        <w:spacing w:before="120" w:line="276" w:lineRule="auto"/>
        <w:rPr>
          <w:rFonts w:ascii="Arial" w:hAnsi="Arial" w:cs="Arial"/>
          <w:sz w:val="20"/>
          <w:szCs w:val="20"/>
        </w:rPr>
      </w:pPr>
      <w:r>
        <w:rPr>
          <w:rFonts w:ascii="Arial" w:hAnsi="Arial" w:cs="Arial"/>
          <w:sz w:val="20"/>
          <w:szCs w:val="20"/>
        </w:rPr>
        <w:t>D</w:t>
      </w:r>
      <w:r w:rsidR="00D43486" w:rsidRPr="00D43486">
        <w:rPr>
          <w:rFonts w:ascii="Arial" w:hAnsi="Arial" w:cs="Arial"/>
          <w:sz w:val="20"/>
          <w:szCs w:val="20"/>
        </w:rPr>
        <w:t xml:space="preserve">esign of appropriate mitigation strategies to ensure that infiltration due </w:t>
      </w:r>
      <w:r w:rsidR="00DB65A5">
        <w:rPr>
          <w:rFonts w:ascii="Arial" w:hAnsi="Arial" w:cs="Arial"/>
          <w:sz w:val="20"/>
          <w:szCs w:val="20"/>
        </w:rPr>
        <w:t xml:space="preserve">to </w:t>
      </w:r>
      <w:r w:rsidR="00D43486" w:rsidRPr="00D43486">
        <w:rPr>
          <w:rFonts w:ascii="Arial" w:hAnsi="Arial" w:cs="Arial"/>
          <w:sz w:val="20"/>
          <w:szCs w:val="20"/>
        </w:rPr>
        <w:t xml:space="preserve">surface cracking does not lead to contamination of groundwater resources; </w:t>
      </w:r>
    </w:p>
    <w:p w:rsidR="00D43486" w:rsidRPr="00D43486" w:rsidRDefault="00605B7E" w:rsidP="00906FFA">
      <w:pPr>
        <w:pStyle w:val="ListNumber"/>
        <w:numPr>
          <w:ilvl w:val="1"/>
          <w:numId w:val="37"/>
        </w:numPr>
        <w:spacing w:before="120" w:line="276" w:lineRule="auto"/>
        <w:rPr>
          <w:rFonts w:ascii="Arial" w:hAnsi="Arial" w:cs="Arial"/>
          <w:sz w:val="20"/>
          <w:szCs w:val="20"/>
        </w:rPr>
      </w:pPr>
      <w:r>
        <w:rPr>
          <w:rFonts w:ascii="Arial" w:hAnsi="Arial" w:cs="Arial"/>
          <w:sz w:val="20"/>
          <w:szCs w:val="20"/>
        </w:rPr>
        <w:t>E</w:t>
      </w:r>
      <w:r w:rsidR="00D43486" w:rsidRPr="00D43486">
        <w:rPr>
          <w:rFonts w:ascii="Arial" w:hAnsi="Arial" w:cs="Arial"/>
          <w:sz w:val="20"/>
          <w:szCs w:val="20"/>
        </w:rPr>
        <w:t xml:space="preserve">nsure, </w:t>
      </w:r>
      <w:r w:rsidR="00224622">
        <w:rPr>
          <w:rFonts w:ascii="Arial" w:hAnsi="Arial" w:cs="Arial"/>
          <w:sz w:val="20"/>
          <w:szCs w:val="20"/>
        </w:rPr>
        <w:t>with a</w:t>
      </w:r>
      <w:r w:rsidR="00D43486" w:rsidRPr="00D43486">
        <w:rPr>
          <w:rFonts w:ascii="Arial" w:hAnsi="Arial" w:cs="Arial"/>
          <w:sz w:val="20"/>
          <w:szCs w:val="20"/>
        </w:rPr>
        <w:t xml:space="preserve">ppropriate design, monitoring and management that </w:t>
      </w:r>
      <w:r w:rsidR="000575A1">
        <w:rPr>
          <w:rFonts w:ascii="Arial" w:hAnsi="Arial" w:cs="Arial"/>
          <w:sz w:val="20"/>
          <w:szCs w:val="20"/>
        </w:rPr>
        <w:t xml:space="preserve">the </w:t>
      </w:r>
      <w:r w:rsidR="00D43486" w:rsidRPr="00D43486">
        <w:rPr>
          <w:rFonts w:ascii="Arial" w:hAnsi="Arial" w:cs="Arial"/>
          <w:sz w:val="20"/>
          <w:szCs w:val="20"/>
        </w:rPr>
        <w:t>integrity of containment structures not be impacted due to subsidence effects; and</w:t>
      </w:r>
      <w:r w:rsidR="00224622">
        <w:rPr>
          <w:rFonts w:ascii="Arial" w:hAnsi="Arial" w:cs="Arial"/>
          <w:sz w:val="20"/>
          <w:szCs w:val="20"/>
        </w:rPr>
        <w:t>,</w:t>
      </w:r>
    </w:p>
    <w:p w:rsidR="00D43486" w:rsidRPr="00D43486" w:rsidRDefault="00605B7E" w:rsidP="00906FFA">
      <w:pPr>
        <w:pStyle w:val="ListNumber"/>
        <w:numPr>
          <w:ilvl w:val="1"/>
          <w:numId w:val="37"/>
        </w:numPr>
        <w:spacing w:before="120" w:line="276" w:lineRule="auto"/>
        <w:rPr>
          <w:rFonts w:ascii="Arial" w:hAnsi="Arial" w:cs="Arial"/>
          <w:sz w:val="20"/>
          <w:szCs w:val="20"/>
        </w:rPr>
      </w:pPr>
      <w:r>
        <w:rPr>
          <w:rFonts w:ascii="Arial" w:hAnsi="Arial" w:cs="Arial"/>
          <w:sz w:val="20"/>
          <w:szCs w:val="20"/>
        </w:rPr>
        <w:t>C</w:t>
      </w:r>
      <w:r w:rsidR="00D43486" w:rsidRPr="00D43486">
        <w:rPr>
          <w:rFonts w:ascii="Arial" w:hAnsi="Arial" w:cs="Arial"/>
          <w:sz w:val="20"/>
          <w:szCs w:val="20"/>
        </w:rPr>
        <w:t>onsider alternative locations for the REA and runoff collection basins which will not be affected by subsidence.</w:t>
      </w:r>
    </w:p>
    <w:p w:rsidR="00D43486" w:rsidRPr="00D43486" w:rsidRDefault="000C6FE1" w:rsidP="00D43486">
      <w:pPr>
        <w:pStyle w:val="ListNumber"/>
        <w:numPr>
          <w:ilvl w:val="0"/>
          <w:numId w:val="23"/>
        </w:numPr>
        <w:spacing w:before="120" w:line="276" w:lineRule="auto"/>
        <w:rPr>
          <w:rFonts w:ascii="Arial" w:hAnsi="Arial" w:cs="Arial"/>
          <w:sz w:val="20"/>
          <w:szCs w:val="20"/>
        </w:rPr>
      </w:pPr>
      <w:r w:rsidRPr="000C6FE1">
        <w:rPr>
          <w:rFonts w:ascii="Arial" w:hAnsi="Arial" w:cs="Arial"/>
          <w:sz w:val="20"/>
          <w:szCs w:val="20"/>
          <w:u w:val="single"/>
        </w:rPr>
        <w:t>Water-dependent ecosystems:</w:t>
      </w:r>
      <w:r w:rsidR="00DB65A5">
        <w:rPr>
          <w:rFonts w:ascii="Arial" w:hAnsi="Arial" w:cs="Arial"/>
          <w:sz w:val="20"/>
          <w:szCs w:val="20"/>
        </w:rPr>
        <w:t xml:space="preserve"> </w:t>
      </w:r>
      <w:r w:rsidR="00D43486" w:rsidRPr="00D43486">
        <w:rPr>
          <w:rFonts w:ascii="Arial" w:hAnsi="Arial" w:cs="Arial"/>
          <w:sz w:val="20"/>
          <w:szCs w:val="20"/>
        </w:rPr>
        <w:t xml:space="preserve">Groundwater level data of appropriate duration </w:t>
      </w:r>
      <w:r w:rsidR="00BD774A">
        <w:rPr>
          <w:rFonts w:ascii="Arial" w:hAnsi="Arial" w:cs="Arial"/>
          <w:sz w:val="20"/>
          <w:szCs w:val="20"/>
        </w:rPr>
        <w:t xml:space="preserve">would </w:t>
      </w:r>
      <w:r w:rsidR="00D43486" w:rsidRPr="00D43486">
        <w:rPr>
          <w:rFonts w:ascii="Arial" w:hAnsi="Arial" w:cs="Arial"/>
          <w:sz w:val="20"/>
          <w:szCs w:val="20"/>
        </w:rPr>
        <w:t xml:space="preserve">determine seasonal variation in groundwater levels and assess potential </w:t>
      </w:r>
      <w:r w:rsidR="00961617">
        <w:rPr>
          <w:rFonts w:ascii="Arial" w:hAnsi="Arial" w:cs="Arial"/>
          <w:sz w:val="20"/>
          <w:szCs w:val="20"/>
        </w:rPr>
        <w:t>groundwater-surface water</w:t>
      </w:r>
      <w:r w:rsidR="00D43486" w:rsidRPr="00D43486">
        <w:rPr>
          <w:rFonts w:ascii="Arial" w:hAnsi="Arial" w:cs="Arial"/>
          <w:sz w:val="20"/>
          <w:szCs w:val="20"/>
        </w:rPr>
        <w:t xml:space="preserve"> </w:t>
      </w:r>
      <w:r w:rsidR="00BD774A">
        <w:rPr>
          <w:rFonts w:ascii="Arial" w:hAnsi="Arial" w:cs="Arial"/>
          <w:sz w:val="20"/>
          <w:szCs w:val="20"/>
        </w:rPr>
        <w:t>interaction</w:t>
      </w:r>
      <w:r w:rsidR="00961617">
        <w:rPr>
          <w:rFonts w:ascii="Arial" w:hAnsi="Arial" w:cs="Arial"/>
          <w:sz w:val="20"/>
          <w:szCs w:val="20"/>
        </w:rPr>
        <w:t>s</w:t>
      </w:r>
      <w:r w:rsidR="00D43486" w:rsidRPr="00D43486">
        <w:rPr>
          <w:rFonts w:ascii="Arial" w:hAnsi="Arial" w:cs="Arial"/>
          <w:sz w:val="20"/>
          <w:szCs w:val="20"/>
        </w:rPr>
        <w:t xml:space="preserve">. </w:t>
      </w:r>
      <w:r w:rsidR="000575A1">
        <w:rPr>
          <w:rFonts w:ascii="Arial" w:hAnsi="Arial" w:cs="Arial"/>
          <w:sz w:val="20"/>
          <w:szCs w:val="20"/>
        </w:rPr>
        <w:t>D</w:t>
      </w:r>
      <w:r w:rsidR="00D43486" w:rsidRPr="00D43486">
        <w:rPr>
          <w:rFonts w:ascii="Arial" w:hAnsi="Arial" w:cs="Arial"/>
          <w:sz w:val="20"/>
          <w:szCs w:val="20"/>
        </w:rPr>
        <w:t>etail</w:t>
      </w:r>
      <w:r w:rsidR="000575A1">
        <w:rPr>
          <w:rFonts w:ascii="Arial" w:hAnsi="Arial" w:cs="Arial"/>
          <w:sz w:val="20"/>
          <w:szCs w:val="20"/>
        </w:rPr>
        <w:t>s</w:t>
      </w:r>
      <w:r w:rsidR="00605B7E">
        <w:rPr>
          <w:rFonts w:ascii="Arial" w:hAnsi="Arial" w:cs="Arial"/>
          <w:sz w:val="20"/>
          <w:szCs w:val="20"/>
        </w:rPr>
        <w:t xml:space="preserve"> of </w:t>
      </w:r>
      <w:r w:rsidR="00605B7E" w:rsidRPr="00D43486">
        <w:rPr>
          <w:rFonts w:ascii="Arial" w:hAnsi="Arial" w:cs="Arial"/>
          <w:sz w:val="20"/>
          <w:szCs w:val="20"/>
        </w:rPr>
        <w:t>the location and frequency of monitoring</w:t>
      </w:r>
      <w:r w:rsidR="00605B7E">
        <w:rPr>
          <w:rFonts w:ascii="Arial" w:hAnsi="Arial" w:cs="Arial"/>
          <w:sz w:val="20"/>
          <w:szCs w:val="20"/>
        </w:rPr>
        <w:t xml:space="preserve"> in the proposed Environmental Authority</w:t>
      </w:r>
      <w:r w:rsidR="00D43486" w:rsidRPr="00D43486">
        <w:rPr>
          <w:rFonts w:ascii="Arial" w:hAnsi="Arial" w:cs="Arial"/>
          <w:sz w:val="20"/>
          <w:szCs w:val="20"/>
        </w:rPr>
        <w:t xml:space="preserve"> </w:t>
      </w:r>
      <w:r w:rsidR="00DB65A5">
        <w:rPr>
          <w:rFonts w:ascii="Arial" w:hAnsi="Arial" w:cs="Arial"/>
          <w:sz w:val="20"/>
          <w:szCs w:val="20"/>
        </w:rPr>
        <w:t xml:space="preserve">(EA) </w:t>
      </w:r>
      <w:r w:rsidR="000575A1">
        <w:rPr>
          <w:rFonts w:ascii="Arial" w:hAnsi="Arial" w:cs="Arial"/>
          <w:sz w:val="20"/>
          <w:szCs w:val="20"/>
        </w:rPr>
        <w:t>are</w:t>
      </w:r>
      <w:r w:rsidR="00D43486" w:rsidRPr="00D43486">
        <w:rPr>
          <w:rFonts w:ascii="Arial" w:hAnsi="Arial" w:cs="Arial"/>
          <w:sz w:val="20"/>
          <w:szCs w:val="20"/>
        </w:rPr>
        <w:t xml:space="preserve"> not</w:t>
      </w:r>
      <w:r w:rsidR="00DB65A5">
        <w:rPr>
          <w:rFonts w:ascii="Arial" w:hAnsi="Arial" w:cs="Arial"/>
          <w:sz w:val="20"/>
          <w:szCs w:val="20"/>
        </w:rPr>
        <w:t xml:space="preserve"> provided</w:t>
      </w:r>
      <w:r w:rsidR="00D43486" w:rsidRPr="00D43486">
        <w:rPr>
          <w:rFonts w:ascii="Arial" w:hAnsi="Arial" w:cs="Arial"/>
          <w:sz w:val="20"/>
          <w:szCs w:val="20"/>
        </w:rPr>
        <w:t>. Monitoring locations should include the T</w:t>
      </w:r>
      <w:r w:rsidR="00605B7E">
        <w:rPr>
          <w:rFonts w:ascii="Arial" w:hAnsi="Arial" w:cs="Arial"/>
          <w:sz w:val="20"/>
          <w:szCs w:val="20"/>
        </w:rPr>
        <w:t>h</w:t>
      </w:r>
      <w:r w:rsidR="00D43486" w:rsidRPr="00D43486">
        <w:rPr>
          <w:rFonts w:ascii="Arial" w:hAnsi="Arial" w:cs="Arial"/>
          <w:sz w:val="20"/>
          <w:szCs w:val="20"/>
        </w:rPr>
        <w:t>eresa Creek alluvium and the vicinity of the identified GDEs including springs.</w:t>
      </w:r>
    </w:p>
    <w:p w:rsidR="00ED24BC" w:rsidRPr="00D43486" w:rsidRDefault="00A25246" w:rsidP="00ED24BC">
      <w:pPr>
        <w:pStyle w:val="ListNumber"/>
        <w:numPr>
          <w:ilvl w:val="0"/>
          <w:numId w:val="23"/>
        </w:numPr>
        <w:spacing w:before="120" w:line="276" w:lineRule="auto"/>
        <w:rPr>
          <w:rFonts w:ascii="Arial" w:hAnsi="Arial" w:cs="Arial"/>
          <w:sz w:val="20"/>
          <w:szCs w:val="20"/>
        </w:rPr>
      </w:pPr>
      <w:r>
        <w:rPr>
          <w:rFonts w:ascii="Arial" w:hAnsi="Arial" w:cs="Arial"/>
          <w:sz w:val="20"/>
          <w:szCs w:val="20"/>
        </w:rPr>
        <w:t xml:space="preserve">More detail is needed </w:t>
      </w:r>
      <w:r w:rsidR="00ED24BC" w:rsidRPr="00D43486">
        <w:rPr>
          <w:rFonts w:ascii="Arial" w:hAnsi="Arial" w:cs="Arial"/>
          <w:sz w:val="20"/>
          <w:szCs w:val="20"/>
        </w:rPr>
        <w:t xml:space="preserve">on the proposed investigations and monitoring to establish baseline data for the hydrogeology </w:t>
      </w:r>
      <w:r w:rsidR="00DA76F2">
        <w:rPr>
          <w:rFonts w:ascii="Arial" w:hAnsi="Arial" w:cs="Arial"/>
          <w:sz w:val="20"/>
          <w:szCs w:val="20"/>
        </w:rPr>
        <w:t xml:space="preserve">and </w:t>
      </w:r>
      <w:r w:rsidR="00DA76F2" w:rsidRPr="00D43486">
        <w:rPr>
          <w:rFonts w:ascii="Arial" w:hAnsi="Arial" w:cs="Arial"/>
          <w:sz w:val="20"/>
          <w:szCs w:val="20"/>
        </w:rPr>
        <w:t xml:space="preserve">ecology </w:t>
      </w:r>
      <w:r w:rsidR="00ED24BC" w:rsidRPr="00D43486">
        <w:rPr>
          <w:rFonts w:ascii="Arial" w:hAnsi="Arial" w:cs="Arial"/>
          <w:sz w:val="20"/>
          <w:szCs w:val="20"/>
        </w:rPr>
        <w:t xml:space="preserve">of the identified springs. </w:t>
      </w:r>
      <w:r w:rsidR="00DA76F2">
        <w:rPr>
          <w:rFonts w:ascii="Arial" w:hAnsi="Arial" w:cs="Arial"/>
          <w:sz w:val="20"/>
          <w:szCs w:val="20"/>
        </w:rPr>
        <w:t xml:space="preserve">Investigations would </w:t>
      </w:r>
      <w:r w:rsidR="00ED24BC" w:rsidRPr="00D43486">
        <w:rPr>
          <w:rFonts w:ascii="Arial" w:hAnsi="Arial" w:cs="Arial"/>
          <w:sz w:val="20"/>
          <w:szCs w:val="20"/>
        </w:rPr>
        <w:t>confirm whether they are s</w:t>
      </w:r>
      <w:r w:rsidR="00DA76F2">
        <w:rPr>
          <w:rFonts w:ascii="Arial" w:hAnsi="Arial" w:cs="Arial"/>
          <w:sz w:val="20"/>
          <w:szCs w:val="20"/>
        </w:rPr>
        <w:t>ourced from perched groundwater</w:t>
      </w:r>
      <w:r w:rsidR="00ED24BC" w:rsidRPr="00D43486">
        <w:rPr>
          <w:rFonts w:ascii="Arial" w:hAnsi="Arial" w:cs="Arial"/>
          <w:sz w:val="20"/>
          <w:szCs w:val="20"/>
        </w:rPr>
        <w:t xml:space="preserve"> and ecological surveys </w:t>
      </w:r>
      <w:r w:rsidR="00DA76F2">
        <w:rPr>
          <w:rFonts w:ascii="Arial" w:hAnsi="Arial" w:cs="Arial"/>
          <w:sz w:val="20"/>
          <w:szCs w:val="20"/>
        </w:rPr>
        <w:t>would</w:t>
      </w:r>
      <w:r w:rsidR="00ED24BC" w:rsidRPr="00D43486">
        <w:rPr>
          <w:rFonts w:ascii="Arial" w:hAnsi="Arial" w:cs="Arial"/>
          <w:sz w:val="20"/>
          <w:szCs w:val="20"/>
        </w:rPr>
        <w:t xml:space="preserve"> determine the ecological </w:t>
      </w:r>
      <w:r w:rsidR="00ED24BC" w:rsidRPr="00D43486">
        <w:rPr>
          <w:rFonts w:ascii="Arial" w:hAnsi="Arial" w:cs="Arial"/>
          <w:sz w:val="20"/>
          <w:szCs w:val="20"/>
        </w:rPr>
        <w:lastRenderedPageBreak/>
        <w:t>values likely to be impacted by groundwater drawdown</w:t>
      </w:r>
      <w:r w:rsidR="00DA76F2">
        <w:rPr>
          <w:rFonts w:ascii="Arial" w:hAnsi="Arial" w:cs="Arial"/>
          <w:sz w:val="20"/>
          <w:szCs w:val="20"/>
        </w:rPr>
        <w:t>. Following this,</w:t>
      </w:r>
      <w:r w:rsidR="00ED24BC" w:rsidRPr="00D43486">
        <w:rPr>
          <w:rFonts w:ascii="Arial" w:hAnsi="Arial" w:cs="Arial"/>
          <w:sz w:val="20"/>
          <w:szCs w:val="20"/>
        </w:rPr>
        <w:t xml:space="preserve"> mitigation strategies need to be identified.</w:t>
      </w:r>
    </w:p>
    <w:p w:rsidR="00D43486" w:rsidRPr="00D43486" w:rsidRDefault="00D43486"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 xml:space="preserve">A pre and post-construction monitoring program would be </w:t>
      </w:r>
      <w:r w:rsidR="00A25246">
        <w:rPr>
          <w:rFonts w:ascii="Arial" w:hAnsi="Arial" w:cs="Arial"/>
          <w:sz w:val="20"/>
          <w:szCs w:val="20"/>
        </w:rPr>
        <w:t>needed</w:t>
      </w:r>
      <w:r w:rsidRPr="00D43486">
        <w:rPr>
          <w:rFonts w:ascii="Arial" w:hAnsi="Arial" w:cs="Arial"/>
          <w:sz w:val="20"/>
          <w:szCs w:val="20"/>
        </w:rPr>
        <w:t xml:space="preserve"> to monitor potential changes of floodplain drainage, ponding and associated changes to aquatic ecosystems from subsidence. This plan should include monitoring of ecological condition of the aquatic and terrestrial ecosystems which may be affected by subsidence, identification of subsidence mitigation measures, and monitoring of the effectiveness of the proposed measures.</w:t>
      </w:r>
    </w:p>
    <w:p w:rsidR="00D43486" w:rsidRPr="00D43486" w:rsidRDefault="00D43486" w:rsidP="00D43486">
      <w:pPr>
        <w:pStyle w:val="ListNumber"/>
        <w:numPr>
          <w:ilvl w:val="0"/>
          <w:numId w:val="23"/>
        </w:numPr>
        <w:spacing w:before="120" w:line="276" w:lineRule="auto"/>
        <w:rPr>
          <w:rFonts w:ascii="Arial" w:hAnsi="Arial" w:cs="Arial"/>
          <w:sz w:val="20"/>
          <w:szCs w:val="20"/>
        </w:rPr>
      </w:pPr>
      <w:r w:rsidRPr="00D43486">
        <w:rPr>
          <w:rFonts w:ascii="Arial" w:hAnsi="Arial" w:cs="Arial"/>
          <w:sz w:val="20"/>
          <w:szCs w:val="20"/>
        </w:rPr>
        <w:t xml:space="preserve">An assessment </w:t>
      </w:r>
      <w:r w:rsidR="00224622">
        <w:rPr>
          <w:rFonts w:ascii="Arial" w:hAnsi="Arial" w:cs="Arial"/>
          <w:sz w:val="20"/>
          <w:szCs w:val="20"/>
        </w:rPr>
        <w:t xml:space="preserve">of </w:t>
      </w:r>
      <w:r w:rsidRPr="00D43486">
        <w:rPr>
          <w:rFonts w:ascii="Arial" w:hAnsi="Arial" w:cs="Arial"/>
          <w:sz w:val="20"/>
          <w:szCs w:val="20"/>
        </w:rPr>
        <w:t>alter</w:t>
      </w:r>
      <w:r w:rsidR="00224622">
        <w:rPr>
          <w:rFonts w:ascii="Arial" w:hAnsi="Arial" w:cs="Arial"/>
          <w:sz w:val="20"/>
          <w:szCs w:val="20"/>
        </w:rPr>
        <w:t>ed</w:t>
      </w:r>
      <w:r w:rsidRPr="00D43486">
        <w:rPr>
          <w:rFonts w:ascii="Arial" w:hAnsi="Arial" w:cs="Arial"/>
          <w:sz w:val="20"/>
          <w:szCs w:val="20"/>
        </w:rPr>
        <w:t xml:space="preserve"> aquatic habitat </w:t>
      </w:r>
      <w:r w:rsidR="00DA76F2">
        <w:rPr>
          <w:rFonts w:ascii="Arial" w:hAnsi="Arial" w:cs="Arial"/>
          <w:sz w:val="20"/>
          <w:szCs w:val="20"/>
        </w:rPr>
        <w:t>due to the proposed project on</w:t>
      </w:r>
      <w:r w:rsidRPr="00D43486">
        <w:rPr>
          <w:rFonts w:ascii="Arial" w:hAnsi="Arial" w:cs="Arial"/>
          <w:sz w:val="20"/>
          <w:szCs w:val="20"/>
        </w:rPr>
        <w:t xml:space="preserve"> the Fitzroy River Turtle and the implications for habitat availability for this species during periods of high rainfall/flooding</w:t>
      </w:r>
      <w:r w:rsidR="00224622">
        <w:rPr>
          <w:rFonts w:ascii="Arial" w:hAnsi="Arial" w:cs="Arial"/>
          <w:sz w:val="20"/>
          <w:szCs w:val="20"/>
        </w:rPr>
        <w:t xml:space="preserve"> </w:t>
      </w:r>
      <w:r w:rsidR="00A25246">
        <w:rPr>
          <w:rFonts w:ascii="Arial" w:hAnsi="Arial" w:cs="Arial"/>
          <w:sz w:val="20"/>
          <w:szCs w:val="20"/>
        </w:rPr>
        <w:t>should be considered</w:t>
      </w:r>
      <w:r w:rsidRPr="00D43486">
        <w:rPr>
          <w:rFonts w:ascii="Arial" w:hAnsi="Arial" w:cs="Arial"/>
          <w:sz w:val="20"/>
          <w:szCs w:val="20"/>
        </w:rPr>
        <w:t>.</w:t>
      </w:r>
    </w:p>
    <w:p w:rsidR="00982E9B" w:rsidRPr="00AD20C6" w:rsidRDefault="000C6FE1" w:rsidP="00982E9B">
      <w:pPr>
        <w:pStyle w:val="ListNumber"/>
        <w:numPr>
          <w:ilvl w:val="0"/>
          <w:numId w:val="0"/>
        </w:numPr>
        <w:spacing w:before="240" w:after="120" w:line="276" w:lineRule="auto"/>
        <w:outlineLvl w:val="2"/>
        <w:rPr>
          <w:rFonts w:ascii="Arial" w:hAnsi="Arial" w:cs="Arial"/>
          <w:i/>
          <w:sz w:val="20"/>
          <w:szCs w:val="20"/>
          <w:lang w:val="en-US"/>
        </w:rPr>
      </w:pPr>
      <w:r w:rsidRPr="000C6FE1">
        <w:rPr>
          <w:rFonts w:ascii="Arial" w:hAnsi="Arial" w:cs="Arial"/>
          <w:i/>
          <w:sz w:val="20"/>
          <w:szCs w:val="20"/>
        </w:rPr>
        <w:t xml:space="preserve">Question 8: </w:t>
      </w:r>
      <w:r w:rsidRPr="000C6FE1">
        <w:rPr>
          <w:rFonts w:ascii="Arial" w:hAnsi="Arial" w:cs="Arial"/>
          <w:i/>
          <w:sz w:val="20"/>
          <w:szCs w:val="20"/>
          <w:lang w:val="en-US"/>
        </w:rPr>
        <w:t>Overall does the committee consider that the proponent has provided sufficient information on the water resources and its management to assess likely significant impacts from its proposed action? – If the information is considered insufficient for that purpose, what advice regarding areas of inadequacy can the committee provide?</w:t>
      </w:r>
    </w:p>
    <w:p w:rsidR="00434EFC" w:rsidRPr="00434EFC" w:rsidRDefault="00434EFC" w:rsidP="00434EFC">
      <w:pPr>
        <w:pStyle w:val="ListNumber"/>
        <w:numPr>
          <w:ilvl w:val="0"/>
          <w:numId w:val="23"/>
        </w:numPr>
        <w:spacing w:before="120" w:line="276" w:lineRule="auto"/>
        <w:rPr>
          <w:rFonts w:ascii="Arial" w:hAnsi="Arial" w:cs="Arial"/>
          <w:sz w:val="20"/>
          <w:szCs w:val="20"/>
        </w:rPr>
      </w:pPr>
      <w:r w:rsidRPr="00434EFC">
        <w:rPr>
          <w:rFonts w:ascii="Arial" w:hAnsi="Arial" w:cs="Arial"/>
          <w:sz w:val="20"/>
          <w:szCs w:val="20"/>
        </w:rPr>
        <w:t xml:space="preserve">Commitments to the mitigation and management of surface and groundwater water impacts in the EMP largely refer to the future development of management plans or high level descriptions of future data gathering exercises. The provision of mitigation and management measures would enable their adequacy to be assessed and increase confidence in the conclusions of the assessment documentation in relation to the </w:t>
      </w:r>
      <w:r w:rsidR="004C5D69">
        <w:rPr>
          <w:rFonts w:ascii="Arial" w:hAnsi="Arial" w:cs="Arial"/>
          <w:sz w:val="20"/>
          <w:szCs w:val="20"/>
        </w:rPr>
        <w:t>proponent’s assessment of the significance of</w:t>
      </w:r>
      <w:r w:rsidRPr="00434EFC">
        <w:rPr>
          <w:rFonts w:ascii="Arial" w:hAnsi="Arial" w:cs="Arial"/>
          <w:sz w:val="20"/>
          <w:szCs w:val="20"/>
        </w:rPr>
        <w:t xml:space="preserve"> residual impacts. </w:t>
      </w:r>
    </w:p>
    <w:p w:rsidR="00434EFC" w:rsidRDefault="00ED24BC" w:rsidP="00434EFC">
      <w:pPr>
        <w:pStyle w:val="ListNumber"/>
        <w:numPr>
          <w:ilvl w:val="0"/>
          <w:numId w:val="23"/>
        </w:numPr>
        <w:spacing w:before="120" w:after="120" w:line="276" w:lineRule="auto"/>
        <w:rPr>
          <w:rFonts w:ascii="Arial" w:hAnsi="Arial" w:cs="Arial"/>
          <w:sz w:val="20"/>
          <w:szCs w:val="20"/>
        </w:rPr>
      </w:pPr>
      <w:r>
        <w:rPr>
          <w:rFonts w:ascii="Arial" w:hAnsi="Arial" w:cs="Arial"/>
          <w:sz w:val="20"/>
          <w:szCs w:val="20"/>
        </w:rPr>
        <w:t>As documented above, t</w:t>
      </w:r>
      <w:r w:rsidR="00434EFC" w:rsidRPr="00434EFC">
        <w:rPr>
          <w:rFonts w:ascii="Arial" w:hAnsi="Arial" w:cs="Arial"/>
          <w:sz w:val="20"/>
          <w:szCs w:val="20"/>
        </w:rPr>
        <w:t xml:space="preserve">he </w:t>
      </w:r>
      <w:r w:rsidR="00F122AB">
        <w:rPr>
          <w:rFonts w:ascii="Arial" w:hAnsi="Arial" w:cs="Arial"/>
          <w:sz w:val="20"/>
          <w:szCs w:val="20"/>
        </w:rPr>
        <w:t>IESC</w:t>
      </w:r>
      <w:r w:rsidR="00434EFC" w:rsidRPr="00434EFC">
        <w:rPr>
          <w:rFonts w:ascii="Arial" w:hAnsi="Arial" w:cs="Arial"/>
          <w:sz w:val="20"/>
          <w:szCs w:val="20"/>
        </w:rPr>
        <w:t xml:space="preserve"> considers that the proponent has not provided sufficient information on the water resources and their management to assess likely significant impacts from its proposed action. There are numerous conflicting pieces of evidence and omissions, which give </w:t>
      </w:r>
      <w:r w:rsidR="007E0DA9">
        <w:rPr>
          <w:rFonts w:ascii="Arial" w:hAnsi="Arial" w:cs="Arial"/>
          <w:sz w:val="20"/>
          <w:szCs w:val="20"/>
        </w:rPr>
        <w:t>rise</w:t>
      </w:r>
      <w:r w:rsidR="00434EFC" w:rsidRPr="00434EFC">
        <w:rPr>
          <w:rFonts w:ascii="Arial" w:hAnsi="Arial" w:cs="Arial"/>
          <w:sz w:val="20"/>
          <w:szCs w:val="20"/>
        </w:rPr>
        <w:t xml:space="preserve"> to uncertainties in the proponent's evaluation of impacts. </w:t>
      </w:r>
    </w:p>
    <w:p w:rsidR="00C21629" w:rsidRDefault="00434EFC">
      <w:pPr>
        <w:pStyle w:val="ListNumber"/>
        <w:numPr>
          <w:ilvl w:val="0"/>
          <w:numId w:val="23"/>
        </w:numPr>
        <w:spacing w:before="120" w:after="120" w:line="276" w:lineRule="auto"/>
        <w:rPr>
          <w:rFonts w:ascii="Arial" w:hAnsi="Arial" w:cs="Arial"/>
          <w:sz w:val="20"/>
          <w:szCs w:val="20"/>
        </w:rPr>
      </w:pPr>
      <w:r w:rsidRPr="00434EFC">
        <w:rPr>
          <w:rFonts w:ascii="Arial" w:hAnsi="Arial" w:cs="Arial"/>
          <w:sz w:val="20"/>
          <w:szCs w:val="20"/>
        </w:rPr>
        <w:t xml:space="preserve">The </w:t>
      </w:r>
      <w:r w:rsidR="00F122AB">
        <w:rPr>
          <w:rFonts w:ascii="Arial" w:hAnsi="Arial" w:cs="Arial"/>
          <w:sz w:val="20"/>
          <w:szCs w:val="20"/>
        </w:rPr>
        <w:t>IESC</w:t>
      </w:r>
      <w:r w:rsidRPr="00434EFC">
        <w:rPr>
          <w:rFonts w:ascii="Arial" w:hAnsi="Arial" w:cs="Arial"/>
          <w:sz w:val="20"/>
          <w:szCs w:val="20"/>
        </w:rPr>
        <w:t xml:space="preserve"> recommends that once the issues raised in </w:t>
      </w:r>
      <w:r w:rsidR="00302DAF" w:rsidRPr="00434EFC">
        <w:rPr>
          <w:rFonts w:ascii="Arial" w:hAnsi="Arial" w:cs="Arial"/>
          <w:sz w:val="20"/>
          <w:szCs w:val="20"/>
        </w:rPr>
        <w:t>this</w:t>
      </w:r>
      <w:r w:rsidRPr="00434EFC">
        <w:rPr>
          <w:rFonts w:ascii="Arial" w:hAnsi="Arial" w:cs="Arial"/>
          <w:sz w:val="20"/>
          <w:szCs w:val="20"/>
        </w:rPr>
        <w:t xml:space="preserve"> advice are addressed by the proponent, an updated risk assessment be undertaken and </w:t>
      </w:r>
      <w:r w:rsidR="000575A1">
        <w:rPr>
          <w:rFonts w:ascii="Arial" w:hAnsi="Arial" w:cs="Arial"/>
          <w:sz w:val="20"/>
          <w:szCs w:val="20"/>
        </w:rPr>
        <w:t>documented</w:t>
      </w:r>
      <w:r w:rsidRPr="00434EFC">
        <w:rPr>
          <w:rFonts w:ascii="Arial" w:hAnsi="Arial" w:cs="Arial"/>
          <w:sz w:val="20"/>
          <w:szCs w:val="20"/>
        </w:rPr>
        <w:t>.</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625FF9" w:rsidP="00625FF9">
            <w:pPr>
              <w:spacing w:line="276" w:lineRule="auto"/>
              <w:rPr>
                <w:rFonts w:ascii="Arial" w:hAnsi="Arial" w:cs="Arial"/>
                <w:sz w:val="20"/>
                <w:szCs w:val="20"/>
              </w:rPr>
            </w:pPr>
            <w:r>
              <w:rPr>
                <w:rFonts w:ascii="Arial" w:hAnsi="Arial" w:cs="Arial"/>
                <w:sz w:val="20"/>
                <w:szCs w:val="20"/>
              </w:rPr>
              <w:t>14</w:t>
            </w:r>
            <w:r w:rsidR="007203C3">
              <w:rPr>
                <w:rFonts w:ascii="Arial" w:hAnsi="Arial" w:cs="Arial"/>
                <w:sz w:val="20"/>
                <w:szCs w:val="20"/>
              </w:rPr>
              <w:t xml:space="preserve"> </w:t>
            </w:r>
            <w:r w:rsidR="00A567C7">
              <w:rPr>
                <w:rFonts w:ascii="Arial" w:hAnsi="Arial" w:cs="Arial"/>
                <w:sz w:val="20"/>
                <w:szCs w:val="20"/>
              </w:rPr>
              <w:t>March</w:t>
            </w:r>
            <w:r w:rsidR="007203C3">
              <w:rPr>
                <w:rFonts w:ascii="Arial" w:hAnsi="Arial" w:cs="Arial"/>
                <w:sz w:val="20"/>
                <w:szCs w:val="20"/>
              </w:rPr>
              <w:t xml:space="preserve"> 201</w:t>
            </w:r>
            <w:r w:rsidR="00D10C4C">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4860D3" w:rsidRPr="004860D3" w:rsidRDefault="004860D3" w:rsidP="008D152C">
            <w:pPr>
              <w:pStyle w:val="ListNumber"/>
              <w:numPr>
                <w:ilvl w:val="0"/>
                <w:numId w:val="0"/>
              </w:numPr>
              <w:spacing w:before="120" w:after="120"/>
              <w:outlineLvl w:val="3"/>
              <w:rPr>
                <w:rFonts w:ascii="Arial" w:hAnsi="Arial" w:cs="Arial"/>
                <w:sz w:val="20"/>
                <w:szCs w:val="20"/>
              </w:rPr>
            </w:pPr>
            <w:r>
              <w:rPr>
                <w:rFonts w:ascii="Arial" w:hAnsi="Arial" w:cs="Arial"/>
                <w:sz w:val="20"/>
                <w:szCs w:val="20"/>
              </w:rPr>
              <w:t>Teresa Coal Project, December 2013,</w:t>
            </w:r>
            <w:r w:rsidRPr="004860D3">
              <w:rPr>
                <w:rFonts w:ascii="Arial" w:hAnsi="Arial" w:cs="Arial"/>
                <w:sz w:val="20"/>
                <w:szCs w:val="20"/>
              </w:rPr>
              <w:t xml:space="preserve"> Environment Impact Statement </w:t>
            </w:r>
          </w:p>
          <w:p w:rsidR="008D54EB" w:rsidRDefault="004860D3" w:rsidP="008D152C">
            <w:pPr>
              <w:pStyle w:val="ListNumber"/>
              <w:numPr>
                <w:ilvl w:val="0"/>
                <w:numId w:val="0"/>
              </w:numPr>
              <w:spacing w:before="120" w:after="120"/>
              <w:outlineLvl w:val="3"/>
              <w:rPr>
                <w:rFonts w:ascii="Arial" w:hAnsi="Arial" w:cs="Arial"/>
                <w:sz w:val="20"/>
                <w:szCs w:val="20"/>
                <w:lang w:val="en-US"/>
              </w:rPr>
            </w:pPr>
            <w:r w:rsidRPr="004860D3">
              <w:rPr>
                <w:rFonts w:ascii="Arial" w:hAnsi="Arial" w:cs="Arial"/>
                <w:sz w:val="20"/>
                <w:szCs w:val="20"/>
                <w:lang w:val="en-US"/>
              </w:rPr>
              <w:t>ANZECC and ARMCANZ (2000) Australian Guidelines for Water Quality Monitoring and Reporting. National Water Quality Management Strategy (NWQMS). Document 4 and 7. Australian and New Zealand Environment and Conservation Council &amp; Agriculture and Resource Management Council for Australia and New Zealand, Canberra.</w:t>
            </w:r>
          </w:p>
          <w:p w:rsidR="008D54EB" w:rsidRPr="003019FA" w:rsidRDefault="008D54EB" w:rsidP="008D152C">
            <w:pPr>
              <w:pStyle w:val="ListNumber"/>
              <w:numPr>
                <w:ilvl w:val="0"/>
                <w:numId w:val="0"/>
              </w:numPr>
              <w:spacing w:before="120" w:after="120"/>
              <w:outlineLvl w:val="3"/>
              <w:rPr>
                <w:rFonts w:ascii="Arial" w:hAnsi="Arial" w:cs="Arial"/>
                <w:sz w:val="20"/>
                <w:szCs w:val="20"/>
                <w:lang w:val="en-US"/>
              </w:rPr>
            </w:pPr>
            <w:r w:rsidRPr="008D54EB">
              <w:rPr>
                <w:rFonts w:ascii="Arial" w:hAnsi="Arial" w:cs="Arial"/>
                <w:sz w:val="20"/>
                <w:szCs w:val="20"/>
              </w:rPr>
              <w:t xml:space="preserve">Department of Environment and Heritage Protection (2013). </w:t>
            </w:r>
            <w:r w:rsidRPr="008D54EB">
              <w:rPr>
                <w:rFonts w:ascii="Arial" w:hAnsi="Arial" w:cs="Arial"/>
                <w:i/>
                <w:sz w:val="20"/>
                <w:szCs w:val="20"/>
              </w:rPr>
              <w:t xml:space="preserve">Model Water Conditions for </w:t>
            </w:r>
            <w:r w:rsidRPr="003019FA">
              <w:rPr>
                <w:rFonts w:ascii="Arial" w:hAnsi="Arial" w:cs="Arial"/>
                <w:i/>
                <w:sz w:val="20"/>
                <w:szCs w:val="20"/>
              </w:rPr>
              <w:t>Coal Mines in the Fitzroy Basin,</w:t>
            </w:r>
            <w:r w:rsidRPr="003019FA">
              <w:rPr>
                <w:rFonts w:ascii="Arial" w:hAnsi="Arial" w:cs="Arial"/>
                <w:sz w:val="20"/>
                <w:szCs w:val="20"/>
              </w:rPr>
              <w:t xml:space="preserve"> State of Queensland, Brisbane </w:t>
            </w:r>
          </w:p>
          <w:p w:rsidR="004860D3" w:rsidRPr="008D54EB" w:rsidRDefault="004860D3" w:rsidP="008D152C">
            <w:pPr>
              <w:pStyle w:val="ListNumber"/>
              <w:numPr>
                <w:ilvl w:val="0"/>
                <w:numId w:val="0"/>
              </w:numPr>
              <w:spacing w:before="120" w:after="120"/>
              <w:outlineLvl w:val="3"/>
              <w:rPr>
                <w:rFonts w:ascii="Arial" w:hAnsi="Arial" w:cs="Arial"/>
                <w:sz w:val="20"/>
                <w:szCs w:val="20"/>
              </w:rPr>
            </w:pPr>
            <w:r w:rsidRPr="003019FA">
              <w:rPr>
                <w:rFonts w:ascii="Arial" w:hAnsi="Arial" w:cs="Arial"/>
                <w:noProof/>
                <w:sz w:val="20"/>
                <w:szCs w:val="20"/>
              </w:rPr>
              <w:t xml:space="preserve">Eamus, D., </w:t>
            </w:r>
            <w:r w:rsidR="003019FA" w:rsidRPr="003019FA">
              <w:rPr>
                <w:rFonts w:ascii="Arial" w:hAnsi="Arial" w:cs="Arial"/>
                <w:noProof/>
                <w:sz w:val="20"/>
                <w:szCs w:val="20"/>
              </w:rPr>
              <w:t>Froend,R., Loomes, R., Hose, G., &amp; Murray, B</w:t>
            </w:r>
            <w:r w:rsidRPr="003019FA">
              <w:rPr>
                <w:rFonts w:ascii="Arial" w:hAnsi="Arial" w:cs="Arial"/>
                <w:noProof/>
                <w:sz w:val="20"/>
                <w:szCs w:val="20"/>
              </w:rPr>
              <w:t>. (2006). A functional methodology for determining the groundwater regime needed to maintain the health of groundwater-</w:t>
            </w:r>
            <w:r w:rsidRPr="008D54EB">
              <w:rPr>
                <w:rFonts w:ascii="Arial" w:hAnsi="Arial" w:cs="Arial"/>
                <w:noProof/>
                <w:sz w:val="20"/>
                <w:szCs w:val="20"/>
              </w:rPr>
              <w:t xml:space="preserve">dependent vegetation. </w:t>
            </w:r>
            <w:r w:rsidRPr="008D54EB">
              <w:rPr>
                <w:rFonts w:ascii="Arial" w:hAnsi="Arial" w:cs="Arial"/>
                <w:i/>
                <w:noProof/>
                <w:sz w:val="20"/>
                <w:szCs w:val="20"/>
              </w:rPr>
              <w:t>Australian Journal of Botany</w:t>
            </w:r>
            <w:r w:rsidRPr="008D54EB">
              <w:rPr>
                <w:rFonts w:ascii="Arial" w:hAnsi="Arial" w:cs="Arial"/>
                <w:noProof/>
                <w:sz w:val="20"/>
                <w:szCs w:val="20"/>
              </w:rPr>
              <w:t xml:space="preserve"> 54(2): 97-114.</w:t>
            </w:r>
          </w:p>
          <w:p w:rsidR="004860D3" w:rsidRDefault="004860D3" w:rsidP="008D152C">
            <w:pPr>
              <w:pStyle w:val="ListNumber"/>
              <w:numPr>
                <w:ilvl w:val="0"/>
                <w:numId w:val="0"/>
              </w:numPr>
              <w:spacing w:before="120" w:after="120"/>
              <w:outlineLvl w:val="3"/>
              <w:rPr>
                <w:rFonts w:ascii="Arial" w:hAnsi="Arial" w:cs="Arial"/>
                <w:sz w:val="20"/>
                <w:szCs w:val="20"/>
              </w:rPr>
            </w:pPr>
            <w:r w:rsidRPr="004860D3">
              <w:rPr>
                <w:rFonts w:ascii="Arial" w:hAnsi="Arial" w:cs="Arial"/>
                <w:sz w:val="20"/>
                <w:szCs w:val="20"/>
              </w:rPr>
              <w:t xml:space="preserve">Kennard, M.J., Pusey B.J., Olden, J.D., Mackay, S.J., Stein, J.L., &amp; Marsh, N. (2010) Classification of Natural Flow Regimes in Australia to Support Environmental Flow Management, </w:t>
            </w:r>
            <w:r w:rsidRPr="004860D3">
              <w:rPr>
                <w:rFonts w:ascii="Arial" w:hAnsi="Arial" w:cs="Arial"/>
                <w:i/>
                <w:sz w:val="20"/>
                <w:szCs w:val="20"/>
              </w:rPr>
              <w:t>Freshwater Biology</w:t>
            </w:r>
            <w:r w:rsidRPr="004860D3">
              <w:rPr>
                <w:rFonts w:ascii="Arial" w:hAnsi="Arial" w:cs="Arial"/>
                <w:sz w:val="20"/>
                <w:szCs w:val="20"/>
              </w:rPr>
              <w:t xml:space="preserve">, 55:171-193 </w:t>
            </w:r>
          </w:p>
          <w:p w:rsidR="008D54EB" w:rsidRPr="008D54EB" w:rsidRDefault="008D54EB" w:rsidP="008D152C">
            <w:pPr>
              <w:pStyle w:val="BodyText"/>
              <w:spacing w:before="120" w:after="120" w:line="240" w:lineRule="auto"/>
              <w:rPr>
                <w:rFonts w:ascii="Arial" w:hAnsi="Arial" w:cs="Arial"/>
                <w:sz w:val="20"/>
                <w:lang w:val="en-US"/>
              </w:rPr>
            </w:pPr>
            <w:r w:rsidRPr="008D54EB">
              <w:rPr>
                <w:rFonts w:ascii="Arial" w:hAnsi="Arial" w:cs="Arial"/>
                <w:sz w:val="20"/>
                <w:lang w:val="en-US"/>
              </w:rPr>
              <w:t xml:space="preserve">Kuczera G and Frank S, </w:t>
            </w:r>
            <w:r w:rsidRPr="008D54EB">
              <w:rPr>
                <w:rStyle w:val="Emphasis"/>
                <w:rFonts w:ascii="Arial" w:hAnsi="Arial" w:cs="Arial"/>
                <w:sz w:val="20"/>
                <w:lang w:val="en-US"/>
              </w:rPr>
              <w:t xml:space="preserve">Australian Rainfall and Runoff, Book IV, </w:t>
            </w:r>
            <w:r w:rsidRPr="008D54EB">
              <w:rPr>
                <w:rFonts w:ascii="Arial" w:hAnsi="Arial" w:cs="Arial"/>
                <w:sz w:val="20"/>
                <w:lang w:val="en-US"/>
              </w:rPr>
              <w:t>Estimation of Peak Discharge-Draft, Engineers Australia, Jan 2006, downloaded 17 February 2014</w:t>
            </w:r>
          </w:p>
          <w:p w:rsidR="008D54EB" w:rsidRPr="008D54EB" w:rsidRDefault="004860D3" w:rsidP="008D152C">
            <w:pPr>
              <w:pStyle w:val="ListNumber"/>
              <w:numPr>
                <w:ilvl w:val="0"/>
                <w:numId w:val="0"/>
              </w:numPr>
              <w:spacing w:before="120" w:after="120"/>
              <w:outlineLvl w:val="3"/>
              <w:rPr>
                <w:rFonts w:ascii="Arial" w:hAnsi="Arial" w:cs="Arial"/>
                <w:sz w:val="20"/>
                <w:szCs w:val="20"/>
                <w:lang w:val="en-US"/>
              </w:rPr>
            </w:pPr>
            <w:r w:rsidRPr="004860D3">
              <w:rPr>
                <w:rFonts w:ascii="Arial" w:hAnsi="Arial" w:cs="Arial"/>
                <w:sz w:val="20"/>
                <w:szCs w:val="20"/>
              </w:rPr>
              <w:t xml:space="preserve">Mackay, S., Marsh, N., Sheldon, F. &amp; Kennard, M. (2013) </w:t>
            </w:r>
            <w:r w:rsidRPr="004860D3">
              <w:rPr>
                <w:rFonts w:ascii="Arial" w:hAnsi="Arial" w:cs="Arial"/>
                <w:i/>
                <w:sz w:val="20"/>
                <w:szCs w:val="20"/>
              </w:rPr>
              <w:t>Low-flow Hydrological Classification of Australia</w:t>
            </w:r>
            <w:r w:rsidRPr="004860D3">
              <w:rPr>
                <w:rFonts w:ascii="Arial" w:hAnsi="Arial" w:cs="Arial"/>
                <w:sz w:val="20"/>
                <w:szCs w:val="20"/>
              </w:rPr>
              <w:t>, National Water Commission, Canberra</w:t>
            </w:r>
            <w:r w:rsidRPr="004860D3">
              <w:rPr>
                <w:rFonts w:ascii="Arial" w:hAnsi="Arial" w:cs="Arial"/>
                <w:sz w:val="20"/>
                <w:szCs w:val="20"/>
                <w:lang w:val="en-US"/>
              </w:rPr>
              <w:t xml:space="preserve"> </w:t>
            </w:r>
          </w:p>
          <w:p w:rsidR="008D54EB" w:rsidRDefault="008D54EB" w:rsidP="008D152C">
            <w:pPr>
              <w:pStyle w:val="BodyText"/>
              <w:spacing w:before="120" w:after="120" w:line="240" w:lineRule="auto"/>
              <w:rPr>
                <w:rFonts w:ascii="Arial" w:hAnsi="Arial" w:cs="Arial"/>
                <w:sz w:val="20"/>
              </w:rPr>
            </w:pPr>
            <w:r w:rsidRPr="008D54EB">
              <w:rPr>
                <w:rFonts w:ascii="Arial" w:hAnsi="Arial" w:cs="Arial"/>
                <w:sz w:val="20"/>
              </w:rPr>
              <w:t xml:space="preserve">Rahman, A., Haddad, K., Zaman, M., Ishak, E., Kuczera, G., and Weinman, E., </w:t>
            </w:r>
            <w:r w:rsidRPr="008D54EB">
              <w:rPr>
                <w:rStyle w:val="Emphasis"/>
                <w:rFonts w:ascii="Arial" w:hAnsi="Arial" w:cs="Arial"/>
                <w:sz w:val="20"/>
                <w:lang w:val="en-US"/>
              </w:rPr>
              <w:t xml:space="preserve">Australian Rainfall and Runoff, Revision Project 5: Regional Flood Methods, ISBN </w:t>
            </w:r>
            <w:r w:rsidRPr="008D54EB">
              <w:rPr>
                <w:rFonts w:ascii="Arial" w:hAnsi="Arial" w:cs="Arial"/>
                <w:sz w:val="20"/>
              </w:rPr>
              <w:t>978-0-85825-908-</w:t>
            </w:r>
            <w:r w:rsidRPr="008D54EB">
              <w:rPr>
                <w:rFonts w:ascii="Arial" w:hAnsi="Arial" w:cs="Arial"/>
                <w:sz w:val="20"/>
              </w:rPr>
              <w:lastRenderedPageBreak/>
              <w:t>9 downloaded 17 February 2014.</w:t>
            </w:r>
          </w:p>
          <w:p w:rsidR="008D54EB" w:rsidRPr="008D54EB" w:rsidRDefault="008D54EB" w:rsidP="008D152C">
            <w:pPr>
              <w:pStyle w:val="ListNumber"/>
              <w:numPr>
                <w:ilvl w:val="0"/>
                <w:numId w:val="0"/>
              </w:numPr>
              <w:spacing w:before="120" w:after="120"/>
              <w:outlineLvl w:val="3"/>
              <w:rPr>
                <w:rFonts w:ascii="Arial" w:hAnsi="Arial" w:cs="Arial"/>
                <w:sz w:val="20"/>
                <w:szCs w:val="20"/>
                <w:lang w:val="en-US"/>
              </w:rPr>
            </w:pPr>
            <w:r w:rsidRPr="008D54EB">
              <w:rPr>
                <w:rFonts w:ascii="Arial" w:hAnsi="Arial" w:cs="Arial"/>
                <w:sz w:val="20"/>
                <w:szCs w:val="20"/>
              </w:rPr>
              <w:t xml:space="preserve">Strata Control Technologies (2008) </w:t>
            </w:r>
            <w:r w:rsidRPr="008D54EB">
              <w:rPr>
                <w:rFonts w:ascii="Arial" w:hAnsi="Arial" w:cs="Arial"/>
                <w:i/>
                <w:sz w:val="20"/>
                <w:szCs w:val="20"/>
              </w:rPr>
              <w:t>Assessment of Longwall Panel Widths and Potential Hydraulic Connection to Bowmans Creek – Ashton Mine</w:t>
            </w:r>
            <w:r w:rsidRPr="008D54EB">
              <w:rPr>
                <w:rFonts w:ascii="Arial" w:hAnsi="Arial" w:cs="Arial"/>
                <w:sz w:val="20"/>
                <w:szCs w:val="20"/>
              </w:rPr>
              <w:t>. Report for Pikes Gully Seam Longwall 5-8 Subsidence Management Plan, Ashton Coal Mine, Ashton Coal Operations Ltd</w:t>
            </w:r>
            <w:r w:rsidR="008D152C">
              <w:rPr>
                <w:rFonts w:ascii="Arial" w:hAnsi="Arial" w:cs="Arial"/>
                <w:sz w:val="20"/>
                <w:szCs w:val="20"/>
              </w:rPr>
              <w:t xml:space="preserve"> </w:t>
            </w:r>
            <w:r w:rsidRPr="008D54EB">
              <w:rPr>
                <w:rFonts w:ascii="Arial" w:hAnsi="Arial" w:cs="Arial"/>
                <w:sz w:val="20"/>
                <w:szCs w:val="20"/>
              </w:rPr>
              <w:t xml:space="preserve"> (available at </w:t>
            </w:r>
            <w:hyperlink r:id="rId9" w:history="1">
              <w:r w:rsidRPr="008D54EB">
                <w:rPr>
                  <w:rFonts w:ascii="Arial" w:hAnsi="Arial" w:cs="Arial"/>
                  <w:sz w:val="20"/>
                  <w:szCs w:val="20"/>
                </w:rPr>
                <w:t>http://www.ashtoncoal.com.au/Resources/Reports--Publications/Subsidence-Management-Extraction-Plans/Pikes-Gully-Subsidence-Management-Extraction-Plans/Longwall-5-8/Appendix-B-Hydraulic-Connection-Assessment.pdf</w:t>
              </w:r>
            </w:hyperlink>
            <w:r w:rsidRPr="008D54EB">
              <w:rPr>
                <w:rFonts w:ascii="Arial" w:hAnsi="Arial" w:cs="Arial"/>
                <w:sz w:val="20"/>
                <w:szCs w:val="20"/>
              </w:rPr>
              <w:t xml:space="preserve"> accessed on 19/2/14).</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lastRenderedPageBreak/>
              <w:t>References cited within the Committee’s advice</w:t>
            </w:r>
          </w:p>
        </w:tc>
        <w:tc>
          <w:tcPr>
            <w:tcW w:w="8159" w:type="dxa"/>
            <w:tcBorders>
              <w:top w:val="single" w:sz="4" w:space="0" w:color="auto"/>
              <w:bottom w:val="single" w:sz="4" w:space="0" w:color="auto"/>
            </w:tcBorders>
          </w:tcPr>
          <w:p w:rsidR="007203C3" w:rsidRPr="00304CA9" w:rsidRDefault="007203C3" w:rsidP="00B1520C">
            <w:pPr>
              <w:pStyle w:val="ListNumber"/>
              <w:numPr>
                <w:ilvl w:val="0"/>
                <w:numId w:val="0"/>
              </w:numPr>
              <w:tabs>
                <w:tab w:val="left" w:pos="34"/>
              </w:tabs>
              <w:spacing w:line="276" w:lineRule="auto"/>
              <w:ind w:left="34"/>
              <w:rPr>
                <w:rFonts w:ascii="Arial" w:hAnsi="Arial" w:cs="Arial"/>
                <w:bCs/>
                <w:sz w:val="20"/>
                <w:szCs w:val="20"/>
              </w:rPr>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10" w:history="1">
              <w:r w:rsidRPr="006C4F46">
                <w:rPr>
                  <w:rStyle w:val="Hyperlink"/>
                  <w:rFonts w:ascii="Arial" w:hAnsi="Arial" w:cs="Arial"/>
                  <w:sz w:val="20"/>
                  <w:szCs w:val="20"/>
                </w:rPr>
                <w:t>http://www.environment.gov.au/coal-seam-gas-mining/project-advice/pubs/iesc-information-guidelines.pdf</w:t>
              </w:r>
            </w:hyperlink>
          </w:p>
        </w:tc>
      </w:tr>
    </w:tbl>
    <w:p w:rsidR="007203C3" w:rsidRPr="00062A46" w:rsidRDefault="007203C3" w:rsidP="00252DE0">
      <w:pPr>
        <w:spacing w:after="200" w:line="276" w:lineRule="auto"/>
      </w:pPr>
    </w:p>
    <w:sectPr w:rsidR="007203C3" w:rsidRPr="00062A46" w:rsidSect="007203C3">
      <w:head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6A9" w:rsidRDefault="00DA56A9" w:rsidP="00A60185">
      <w:r>
        <w:separator/>
      </w:r>
    </w:p>
  </w:endnote>
  <w:endnote w:type="continuationSeparator" w:id="0">
    <w:p w:rsidR="00DA56A9" w:rsidRDefault="00DA56A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BE" w:rsidRPr="00371DE5" w:rsidRDefault="00E524BE" w:rsidP="007203C3">
    <w:pPr>
      <w:pStyle w:val="Footer"/>
      <w:pBdr>
        <w:top w:val="single" w:sz="4" w:space="1" w:color="auto"/>
      </w:pBdr>
      <w:rPr>
        <w:rFonts w:ascii="Arial" w:hAnsi="Arial" w:cs="Arial"/>
        <w:sz w:val="12"/>
        <w:szCs w:val="20"/>
      </w:rPr>
    </w:pPr>
  </w:p>
  <w:p w:rsidR="00E524BE" w:rsidRPr="00371DE5" w:rsidRDefault="00E524BE" w:rsidP="007203C3">
    <w:pPr>
      <w:pStyle w:val="Footer"/>
      <w:pBdr>
        <w:top w:val="single" w:sz="4" w:space="1" w:color="auto"/>
      </w:pBdr>
      <w:rPr>
        <w:rFonts w:ascii="Arial" w:hAnsi="Arial" w:cs="Arial"/>
        <w:sz w:val="20"/>
        <w:szCs w:val="20"/>
      </w:rPr>
    </w:pPr>
    <w:r w:rsidRPr="00371DE5">
      <w:rPr>
        <w:rFonts w:ascii="Arial" w:hAnsi="Arial" w:cs="Arial"/>
        <w:sz w:val="20"/>
        <w:szCs w:val="20"/>
      </w:rPr>
      <w:t xml:space="preserve">Final Advice </w:t>
    </w:r>
    <w:r w:rsidRPr="00371DE5">
      <w:rPr>
        <w:rFonts w:ascii="Arial" w:hAnsi="Arial" w:cs="Arial"/>
        <w:sz w:val="20"/>
        <w:szCs w:val="20"/>
      </w:rPr>
      <w:ptab w:relativeTo="margin" w:alignment="right" w:leader="none"/>
    </w:r>
    <w:r w:rsidRPr="00B236A4">
      <w:rPr>
        <w:rFonts w:ascii="Arial" w:hAnsi="Arial" w:cs="Arial"/>
        <w:sz w:val="20"/>
        <w:szCs w:val="20"/>
      </w:rPr>
      <w:t>14 M</w:t>
    </w:r>
    <w:r w:rsidR="00B236A4" w:rsidRPr="00B236A4">
      <w:rPr>
        <w:rFonts w:ascii="Arial" w:hAnsi="Arial" w:cs="Arial"/>
        <w:sz w:val="20"/>
        <w:szCs w:val="20"/>
      </w:rPr>
      <w:t>arch</w:t>
    </w:r>
    <w:r w:rsidRPr="00B236A4">
      <w:rPr>
        <w:rFonts w:ascii="Arial" w:hAnsi="Arial" w:cs="Arial"/>
        <w:sz w:val="20"/>
        <w:szCs w:val="20"/>
      </w:rPr>
      <w:t xml:space="preserve"> 2014</w:t>
    </w:r>
  </w:p>
  <w:p w:rsidR="00E524BE" w:rsidRPr="00185039" w:rsidRDefault="00E93BE5">
    <w:pPr>
      <w:pStyle w:val="Footer"/>
      <w:jc w:val="center"/>
      <w:rPr>
        <w:rFonts w:ascii="Arial" w:hAnsi="Arial" w:cs="Arial"/>
        <w:sz w:val="20"/>
        <w:szCs w:val="20"/>
      </w:rPr>
    </w:pPr>
    <w:r w:rsidRPr="00185039">
      <w:rPr>
        <w:rFonts w:ascii="Arial" w:hAnsi="Arial" w:cs="Arial"/>
        <w:sz w:val="20"/>
        <w:szCs w:val="20"/>
      </w:rPr>
      <w:fldChar w:fldCharType="begin"/>
    </w:r>
    <w:r w:rsidR="00E524BE"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9917AA">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BE" w:rsidRPr="00D15280" w:rsidRDefault="00E524BE">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E524BE" w:rsidRPr="00062A46" w:rsidRDefault="00E93BE5"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E524BE"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E524BE">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6A9" w:rsidRDefault="00DA56A9" w:rsidP="00A60185">
      <w:r>
        <w:separator/>
      </w:r>
    </w:p>
  </w:footnote>
  <w:footnote w:type="continuationSeparator" w:id="0">
    <w:p w:rsidR="00DA56A9" w:rsidRDefault="00DA56A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BE" w:rsidRDefault="00E524BE"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BE" w:rsidRDefault="00E524BE"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B5340A02"/>
    <w:lvl w:ilvl="0">
      <w:start w:val="1"/>
      <w:numFmt w:val="decimal"/>
      <w:lvlText w:val="%1."/>
      <w:lvlJc w:val="left"/>
      <w:pPr>
        <w:tabs>
          <w:tab w:val="num" w:pos="643"/>
        </w:tabs>
        <w:ind w:left="643" w:hanging="360"/>
      </w:pPr>
    </w:lvl>
  </w:abstractNum>
  <w:abstractNum w:abstractNumId="2">
    <w:nsid w:val="FFFFFF88"/>
    <w:multiLevelType w:val="singleLevel"/>
    <w:tmpl w:val="E07A30B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01F5867"/>
    <w:multiLevelType w:val="hybridMultilevel"/>
    <w:tmpl w:val="76BA3DB2"/>
    <w:lvl w:ilvl="0" w:tplc="0C09001B">
      <w:start w:val="1"/>
      <w:numFmt w:val="lowerRoman"/>
      <w:lvlText w:val="%1."/>
      <w:lvlJc w:val="right"/>
      <w:pPr>
        <w:tabs>
          <w:tab w:val="num" w:pos="1080"/>
        </w:tabs>
        <w:ind w:left="1080" w:hanging="360"/>
      </w:pPr>
      <w:rPr>
        <w:rFonts w:hint="default"/>
      </w:rPr>
    </w:lvl>
    <w:lvl w:ilvl="1" w:tplc="0C090003" w:tentative="1">
      <w:start w:val="1"/>
      <w:numFmt w:val="lowerLetter"/>
      <w:lvlText w:val="%2."/>
      <w:lvlJc w:val="left"/>
      <w:pPr>
        <w:tabs>
          <w:tab w:val="num" w:pos="1080"/>
        </w:tabs>
        <w:ind w:left="1080" w:hanging="360"/>
      </w:p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5">
    <w:nsid w:val="083B6AF6"/>
    <w:multiLevelType w:val="hybridMultilevel"/>
    <w:tmpl w:val="236E93A6"/>
    <w:lvl w:ilvl="0" w:tplc="CC4AE0DE">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nsid w:val="0B4745AA"/>
    <w:multiLevelType w:val="hybridMultilevel"/>
    <w:tmpl w:val="BEE6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314FB9"/>
    <w:multiLevelType w:val="hybridMultilevel"/>
    <w:tmpl w:val="5AB41D1C"/>
    <w:lvl w:ilvl="0" w:tplc="0C09001B">
      <w:start w:val="1"/>
      <w:numFmt w:val="lowerRoman"/>
      <w:lvlText w:val="%1."/>
      <w:lvlJc w:val="right"/>
      <w:pPr>
        <w:tabs>
          <w:tab w:val="num" w:pos="1080"/>
        </w:tabs>
        <w:ind w:left="1080" w:hanging="360"/>
      </w:pPr>
      <w:rPr>
        <w:rFonts w:hint="default"/>
      </w:rPr>
    </w:lvl>
    <w:lvl w:ilvl="1" w:tplc="0C090003" w:tentative="1">
      <w:start w:val="1"/>
      <w:numFmt w:val="lowerLetter"/>
      <w:lvlText w:val="%2."/>
      <w:lvlJc w:val="left"/>
      <w:pPr>
        <w:tabs>
          <w:tab w:val="num" w:pos="1080"/>
        </w:tabs>
        <w:ind w:left="1080" w:hanging="360"/>
      </w:p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1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21510FB"/>
    <w:multiLevelType w:val="hybridMultilevel"/>
    <w:tmpl w:val="755A6A2A"/>
    <w:lvl w:ilvl="0" w:tplc="FFFFFFFF">
      <w:start w:val="1"/>
      <w:numFmt w:val="decimal"/>
      <w:lvlText w:val="%1."/>
      <w:lvlJc w:val="left"/>
      <w:pPr>
        <w:ind w:left="360" w:hanging="360"/>
      </w:pPr>
      <w:rPr>
        <w:i w:val="0"/>
      </w:rPr>
    </w:lvl>
    <w:lvl w:ilvl="1" w:tplc="FFFFFFFF">
      <w:start w:val="1"/>
      <w:numFmt w:val="lowerLetter"/>
      <w:lvlText w:val="%2."/>
      <w:lvlJc w:val="lef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6C649F"/>
    <w:multiLevelType w:val="hybridMultilevel"/>
    <w:tmpl w:val="239C653E"/>
    <w:lvl w:ilvl="0" w:tplc="F7CE24C8">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47247314"/>
    <w:multiLevelType w:val="hybridMultilevel"/>
    <w:tmpl w:val="52C601AA"/>
    <w:lvl w:ilvl="0" w:tplc="0C090019">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4A2E0192"/>
    <w:multiLevelType w:val="hybridMultilevel"/>
    <w:tmpl w:val="F76EBBB4"/>
    <w:lvl w:ilvl="0" w:tplc="9FECC41A">
      <w:start w:val="1"/>
      <w:numFmt w:val="lowerLetter"/>
      <w:lvlText w:val="%1."/>
      <w:lvlJc w:val="left"/>
      <w:pPr>
        <w:tabs>
          <w:tab w:val="num" w:pos="1440"/>
        </w:tabs>
        <w:ind w:left="1440" w:hanging="360"/>
      </w:pPr>
      <w:rPr>
        <w:rFonts w:hint="default"/>
      </w:rPr>
    </w:lvl>
    <w:lvl w:ilvl="1" w:tplc="C01EE314" w:tentative="1">
      <w:start w:val="1"/>
      <w:numFmt w:val="lowerLetter"/>
      <w:lvlText w:val="%2."/>
      <w:lvlJc w:val="left"/>
      <w:pPr>
        <w:tabs>
          <w:tab w:val="num" w:pos="1440"/>
        </w:tabs>
        <w:ind w:left="1440" w:hanging="360"/>
      </w:pPr>
    </w:lvl>
    <w:lvl w:ilvl="2" w:tplc="20FA7A3A" w:tentative="1">
      <w:start w:val="1"/>
      <w:numFmt w:val="lowerRoman"/>
      <w:lvlText w:val="%3."/>
      <w:lvlJc w:val="right"/>
      <w:pPr>
        <w:tabs>
          <w:tab w:val="num" w:pos="2160"/>
        </w:tabs>
        <w:ind w:left="2160" w:hanging="180"/>
      </w:pPr>
    </w:lvl>
    <w:lvl w:ilvl="3" w:tplc="A3A43426" w:tentative="1">
      <w:start w:val="1"/>
      <w:numFmt w:val="decimal"/>
      <w:lvlText w:val="%4."/>
      <w:lvlJc w:val="left"/>
      <w:pPr>
        <w:tabs>
          <w:tab w:val="num" w:pos="2880"/>
        </w:tabs>
        <w:ind w:left="2880" w:hanging="360"/>
      </w:pPr>
    </w:lvl>
    <w:lvl w:ilvl="4" w:tplc="02D2A37C" w:tentative="1">
      <w:start w:val="1"/>
      <w:numFmt w:val="lowerLetter"/>
      <w:lvlText w:val="%5."/>
      <w:lvlJc w:val="left"/>
      <w:pPr>
        <w:tabs>
          <w:tab w:val="num" w:pos="3600"/>
        </w:tabs>
        <w:ind w:left="3600" w:hanging="360"/>
      </w:pPr>
    </w:lvl>
    <w:lvl w:ilvl="5" w:tplc="596631DE" w:tentative="1">
      <w:start w:val="1"/>
      <w:numFmt w:val="lowerRoman"/>
      <w:lvlText w:val="%6."/>
      <w:lvlJc w:val="right"/>
      <w:pPr>
        <w:tabs>
          <w:tab w:val="num" w:pos="4320"/>
        </w:tabs>
        <w:ind w:left="4320" w:hanging="180"/>
      </w:pPr>
    </w:lvl>
    <w:lvl w:ilvl="6" w:tplc="5B9CCA62" w:tentative="1">
      <w:start w:val="1"/>
      <w:numFmt w:val="decimal"/>
      <w:lvlText w:val="%7."/>
      <w:lvlJc w:val="left"/>
      <w:pPr>
        <w:tabs>
          <w:tab w:val="num" w:pos="5040"/>
        </w:tabs>
        <w:ind w:left="5040" w:hanging="360"/>
      </w:pPr>
    </w:lvl>
    <w:lvl w:ilvl="7" w:tplc="98F456A8" w:tentative="1">
      <w:start w:val="1"/>
      <w:numFmt w:val="lowerLetter"/>
      <w:lvlText w:val="%8."/>
      <w:lvlJc w:val="left"/>
      <w:pPr>
        <w:tabs>
          <w:tab w:val="num" w:pos="5760"/>
        </w:tabs>
        <w:ind w:left="5760" w:hanging="360"/>
      </w:pPr>
    </w:lvl>
    <w:lvl w:ilvl="8" w:tplc="DD42EA16" w:tentative="1">
      <w:start w:val="1"/>
      <w:numFmt w:val="lowerRoman"/>
      <w:lvlText w:val="%9."/>
      <w:lvlJc w:val="right"/>
      <w:pPr>
        <w:tabs>
          <w:tab w:val="num" w:pos="6480"/>
        </w:tabs>
        <w:ind w:left="6480" w:hanging="180"/>
      </w:pPr>
    </w:lvl>
  </w:abstractNum>
  <w:abstractNum w:abstractNumId="17">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F7615F7"/>
    <w:multiLevelType w:val="hybridMultilevel"/>
    <w:tmpl w:val="D0E0B3A8"/>
    <w:lvl w:ilvl="0" w:tplc="DD940C8A">
      <w:start w:val="1"/>
      <w:numFmt w:val="decimal"/>
      <w:lvlText w:val="%1."/>
      <w:lvlJc w:val="left"/>
      <w:pPr>
        <w:tabs>
          <w:tab w:val="num" w:pos="720"/>
        </w:tabs>
        <w:ind w:left="720" w:hanging="360"/>
      </w:pPr>
    </w:lvl>
    <w:lvl w:ilvl="1" w:tplc="5778F706" w:tentative="1">
      <w:start w:val="1"/>
      <w:numFmt w:val="decimal"/>
      <w:lvlText w:val="%2."/>
      <w:lvlJc w:val="left"/>
      <w:pPr>
        <w:tabs>
          <w:tab w:val="num" w:pos="1440"/>
        </w:tabs>
        <w:ind w:left="1440" w:hanging="360"/>
      </w:pPr>
    </w:lvl>
    <w:lvl w:ilvl="2" w:tplc="27E01778" w:tentative="1">
      <w:start w:val="1"/>
      <w:numFmt w:val="decimal"/>
      <w:lvlText w:val="%3."/>
      <w:lvlJc w:val="left"/>
      <w:pPr>
        <w:tabs>
          <w:tab w:val="num" w:pos="2160"/>
        </w:tabs>
        <w:ind w:left="2160" w:hanging="360"/>
      </w:pPr>
    </w:lvl>
    <w:lvl w:ilvl="3" w:tplc="BF92F738" w:tentative="1">
      <w:start w:val="1"/>
      <w:numFmt w:val="decimal"/>
      <w:lvlText w:val="%4."/>
      <w:lvlJc w:val="left"/>
      <w:pPr>
        <w:tabs>
          <w:tab w:val="num" w:pos="2880"/>
        </w:tabs>
        <w:ind w:left="2880" w:hanging="360"/>
      </w:pPr>
    </w:lvl>
    <w:lvl w:ilvl="4" w:tplc="C7F22CBE" w:tentative="1">
      <w:start w:val="1"/>
      <w:numFmt w:val="decimal"/>
      <w:lvlText w:val="%5."/>
      <w:lvlJc w:val="left"/>
      <w:pPr>
        <w:tabs>
          <w:tab w:val="num" w:pos="3600"/>
        </w:tabs>
        <w:ind w:left="3600" w:hanging="360"/>
      </w:pPr>
    </w:lvl>
    <w:lvl w:ilvl="5" w:tplc="BBD2F93E" w:tentative="1">
      <w:start w:val="1"/>
      <w:numFmt w:val="decimal"/>
      <w:lvlText w:val="%6."/>
      <w:lvlJc w:val="left"/>
      <w:pPr>
        <w:tabs>
          <w:tab w:val="num" w:pos="4320"/>
        </w:tabs>
        <w:ind w:left="4320" w:hanging="360"/>
      </w:pPr>
    </w:lvl>
    <w:lvl w:ilvl="6" w:tplc="798A1BDA" w:tentative="1">
      <w:start w:val="1"/>
      <w:numFmt w:val="decimal"/>
      <w:lvlText w:val="%7."/>
      <w:lvlJc w:val="left"/>
      <w:pPr>
        <w:tabs>
          <w:tab w:val="num" w:pos="5040"/>
        </w:tabs>
        <w:ind w:left="5040" w:hanging="360"/>
      </w:pPr>
    </w:lvl>
    <w:lvl w:ilvl="7" w:tplc="017C5FB8" w:tentative="1">
      <w:start w:val="1"/>
      <w:numFmt w:val="decimal"/>
      <w:lvlText w:val="%8."/>
      <w:lvlJc w:val="left"/>
      <w:pPr>
        <w:tabs>
          <w:tab w:val="num" w:pos="5760"/>
        </w:tabs>
        <w:ind w:left="5760" w:hanging="360"/>
      </w:pPr>
    </w:lvl>
    <w:lvl w:ilvl="8" w:tplc="946454AA" w:tentative="1">
      <w:start w:val="1"/>
      <w:numFmt w:val="decimal"/>
      <w:lvlText w:val="%9."/>
      <w:lvlJc w:val="left"/>
      <w:pPr>
        <w:tabs>
          <w:tab w:val="num" w:pos="6480"/>
        </w:tabs>
        <w:ind w:left="6480" w:hanging="360"/>
      </w:pPr>
    </w:lvl>
  </w:abstractNum>
  <w:abstractNum w:abstractNumId="19">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B17A5F"/>
    <w:multiLevelType w:val="hybridMultilevel"/>
    <w:tmpl w:val="11961440"/>
    <w:lvl w:ilvl="0" w:tplc="0C09000F">
      <w:start w:val="1"/>
      <w:numFmt w:val="bullet"/>
      <w:lvlText w:val=""/>
      <w:lvlJc w:val="left"/>
      <w:pPr>
        <w:ind w:left="1944" w:hanging="360"/>
      </w:pPr>
      <w:rPr>
        <w:rFonts w:ascii="Symbol" w:hAnsi="Symbol" w:hint="default"/>
        <w:color w:val="auto"/>
      </w:rPr>
    </w:lvl>
    <w:lvl w:ilvl="1" w:tplc="0C090019">
      <w:start w:val="1"/>
      <w:numFmt w:val="bullet"/>
      <w:lvlText w:val="o"/>
      <w:lvlJc w:val="left"/>
      <w:pPr>
        <w:ind w:left="2664" w:hanging="360"/>
      </w:pPr>
      <w:rPr>
        <w:rFonts w:ascii="Courier New" w:hAnsi="Courier New" w:cs="Courier New" w:hint="default"/>
      </w:rPr>
    </w:lvl>
    <w:lvl w:ilvl="2" w:tplc="0C09001B">
      <w:start w:val="1"/>
      <w:numFmt w:val="bullet"/>
      <w:lvlText w:val=""/>
      <w:lvlJc w:val="left"/>
      <w:pPr>
        <w:ind w:left="3384" w:hanging="360"/>
      </w:pPr>
      <w:rPr>
        <w:rFonts w:ascii="Wingdings" w:hAnsi="Wingdings" w:hint="default"/>
      </w:rPr>
    </w:lvl>
    <w:lvl w:ilvl="3" w:tplc="0C09000F" w:tentative="1">
      <w:start w:val="1"/>
      <w:numFmt w:val="bullet"/>
      <w:lvlText w:val=""/>
      <w:lvlJc w:val="left"/>
      <w:pPr>
        <w:ind w:left="4104" w:hanging="360"/>
      </w:pPr>
      <w:rPr>
        <w:rFonts w:ascii="Symbol" w:hAnsi="Symbol" w:hint="default"/>
      </w:rPr>
    </w:lvl>
    <w:lvl w:ilvl="4" w:tplc="0C090019" w:tentative="1">
      <w:start w:val="1"/>
      <w:numFmt w:val="bullet"/>
      <w:lvlText w:val="o"/>
      <w:lvlJc w:val="left"/>
      <w:pPr>
        <w:ind w:left="4824" w:hanging="360"/>
      </w:pPr>
      <w:rPr>
        <w:rFonts w:ascii="Courier New" w:hAnsi="Courier New" w:cs="Courier New" w:hint="default"/>
      </w:rPr>
    </w:lvl>
    <w:lvl w:ilvl="5" w:tplc="0C09001B" w:tentative="1">
      <w:start w:val="1"/>
      <w:numFmt w:val="bullet"/>
      <w:lvlText w:val=""/>
      <w:lvlJc w:val="left"/>
      <w:pPr>
        <w:ind w:left="5544" w:hanging="360"/>
      </w:pPr>
      <w:rPr>
        <w:rFonts w:ascii="Wingdings" w:hAnsi="Wingdings" w:hint="default"/>
      </w:rPr>
    </w:lvl>
    <w:lvl w:ilvl="6" w:tplc="0C09000F" w:tentative="1">
      <w:start w:val="1"/>
      <w:numFmt w:val="bullet"/>
      <w:lvlText w:val=""/>
      <w:lvlJc w:val="left"/>
      <w:pPr>
        <w:ind w:left="6264" w:hanging="360"/>
      </w:pPr>
      <w:rPr>
        <w:rFonts w:ascii="Symbol" w:hAnsi="Symbol" w:hint="default"/>
      </w:rPr>
    </w:lvl>
    <w:lvl w:ilvl="7" w:tplc="0C090019" w:tentative="1">
      <w:start w:val="1"/>
      <w:numFmt w:val="bullet"/>
      <w:lvlText w:val="o"/>
      <w:lvlJc w:val="left"/>
      <w:pPr>
        <w:ind w:left="6984" w:hanging="360"/>
      </w:pPr>
      <w:rPr>
        <w:rFonts w:ascii="Courier New" w:hAnsi="Courier New" w:cs="Courier New" w:hint="default"/>
      </w:rPr>
    </w:lvl>
    <w:lvl w:ilvl="8" w:tplc="0C09001B" w:tentative="1">
      <w:start w:val="1"/>
      <w:numFmt w:val="bullet"/>
      <w:lvlText w:val=""/>
      <w:lvlJc w:val="left"/>
      <w:pPr>
        <w:ind w:left="7704" w:hanging="360"/>
      </w:pPr>
      <w:rPr>
        <w:rFonts w:ascii="Wingdings" w:hAnsi="Wingdings" w:hint="default"/>
      </w:rPr>
    </w:lvl>
  </w:abstractNum>
  <w:abstractNum w:abstractNumId="22">
    <w:nsid w:val="628B3D09"/>
    <w:multiLevelType w:val="hybridMultilevel"/>
    <w:tmpl w:val="72F8FA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456429"/>
    <w:multiLevelType w:val="multilevel"/>
    <w:tmpl w:val="70783556"/>
    <w:lvl w:ilvl="0">
      <w:start w:val="1"/>
      <w:numFmt w:val="decimal"/>
      <w:pStyle w:val="ListNumber"/>
      <w:lvlText w:val="%1."/>
      <w:lvlJc w:val="left"/>
      <w:pPr>
        <w:ind w:left="511" w:hanging="369"/>
      </w:pPr>
      <w:rPr>
        <w:rFonts w:ascii="Arial" w:hAnsi="Arial" w:hint="default"/>
        <w:sz w:val="20"/>
        <w:szCs w:val="20"/>
      </w:rPr>
    </w:lvl>
    <w:lvl w:ilvl="1">
      <w:start w:val="1"/>
      <w:numFmt w:val="lowerLetter"/>
      <w:pStyle w:val="ListNumber2"/>
      <w:lvlText w:val="%2."/>
      <w:lvlJc w:val="left"/>
      <w:pPr>
        <w:ind w:left="880" w:hanging="369"/>
      </w:pPr>
      <w:rPr>
        <w:rFonts w:ascii="Arial" w:hAnsi="Arial" w:cs="Arial" w:hint="default"/>
        <w:sz w:val="20"/>
        <w:szCs w:val="20"/>
      </w:rPr>
    </w:lvl>
    <w:lvl w:ilvl="2">
      <w:start w:val="1"/>
      <w:numFmt w:val="lowerRoman"/>
      <w:pStyle w:val="ListNumber3"/>
      <w:lvlText w:val="%3."/>
      <w:lvlJc w:val="left"/>
      <w:pPr>
        <w:ind w:left="1249" w:hanging="369"/>
      </w:pPr>
      <w:rPr>
        <w:rFonts w:ascii="Arial" w:hAnsi="Arial" w:cs="Arial" w:hint="default"/>
        <w:sz w:val="20"/>
        <w:szCs w:val="20"/>
      </w:rPr>
    </w:lvl>
    <w:lvl w:ilvl="3">
      <w:start w:val="1"/>
      <w:numFmt w:val="none"/>
      <w:pStyle w:val="ListNumber4"/>
      <w:lvlText w:val="%4"/>
      <w:lvlJc w:val="left"/>
      <w:pPr>
        <w:ind w:left="1618" w:hanging="369"/>
      </w:pPr>
      <w:rPr>
        <w:rFonts w:hint="default"/>
      </w:rPr>
    </w:lvl>
    <w:lvl w:ilvl="4">
      <w:start w:val="1"/>
      <w:numFmt w:val="none"/>
      <w:pStyle w:val="ListNumber5"/>
      <w:lvlText w:val=""/>
      <w:lvlJc w:val="left"/>
      <w:pPr>
        <w:ind w:left="1987" w:hanging="369"/>
      </w:pPr>
      <w:rPr>
        <w:rFonts w:hint="default"/>
      </w:rPr>
    </w:lvl>
    <w:lvl w:ilvl="5">
      <w:start w:val="1"/>
      <w:numFmt w:val="none"/>
      <w:lvlText w:val=""/>
      <w:lvlJc w:val="left"/>
      <w:pPr>
        <w:ind w:left="2356" w:hanging="369"/>
      </w:pPr>
      <w:rPr>
        <w:rFonts w:hint="default"/>
      </w:rPr>
    </w:lvl>
    <w:lvl w:ilvl="6">
      <w:start w:val="1"/>
      <w:numFmt w:val="none"/>
      <w:lvlText w:val=""/>
      <w:lvlJc w:val="left"/>
      <w:pPr>
        <w:ind w:left="2725" w:hanging="369"/>
      </w:pPr>
      <w:rPr>
        <w:rFonts w:hint="default"/>
      </w:rPr>
    </w:lvl>
    <w:lvl w:ilvl="7">
      <w:start w:val="1"/>
      <w:numFmt w:val="none"/>
      <w:lvlText w:val=""/>
      <w:lvlJc w:val="left"/>
      <w:pPr>
        <w:ind w:left="3094" w:hanging="369"/>
      </w:pPr>
      <w:rPr>
        <w:rFonts w:hint="default"/>
      </w:rPr>
    </w:lvl>
    <w:lvl w:ilvl="8">
      <w:start w:val="1"/>
      <w:numFmt w:val="none"/>
      <w:lvlText w:val=""/>
      <w:lvlJc w:val="left"/>
      <w:pPr>
        <w:ind w:left="3463" w:hanging="369"/>
      </w:pPr>
      <w:rPr>
        <w:rFonts w:hint="default"/>
      </w:rPr>
    </w:lvl>
  </w:abstractNum>
  <w:abstractNum w:abstractNumId="24">
    <w:nsid w:val="67172EBF"/>
    <w:multiLevelType w:val="hybridMultilevel"/>
    <w:tmpl w:val="29A88D8A"/>
    <w:lvl w:ilvl="0" w:tplc="0C090019">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014162"/>
    <w:multiLevelType w:val="hybridMultilevel"/>
    <w:tmpl w:val="2924D1FC"/>
    <w:lvl w:ilvl="0" w:tplc="FFFFFFFF">
      <w:start w:val="1"/>
      <w:numFmt w:val="decimal"/>
      <w:lvlText w:val="%1."/>
      <w:lvlJc w:val="left"/>
      <w:pPr>
        <w:ind w:left="360" w:hanging="360"/>
      </w:pPr>
      <w:rPr>
        <w:i w:val="0"/>
      </w:r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6F6703C7"/>
    <w:multiLevelType w:val="hybridMultilevel"/>
    <w:tmpl w:val="13AAD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2AD16D1"/>
    <w:multiLevelType w:val="hybridMultilevel"/>
    <w:tmpl w:val="2CFC3A9A"/>
    <w:lvl w:ilvl="0" w:tplc="FFFFFFFF">
      <w:start w:val="1"/>
      <w:numFmt w:val="decimal"/>
      <w:lvlText w:val="%1."/>
      <w:lvlJc w:val="left"/>
      <w:pPr>
        <w:ind w:left="360" w:hanging="360"/>
      </w:pPr>
      <w:rPr>
        <w:i w:val="0"/>
      </w:r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3862A14"/>
    <w:multiLevelType w:val="hybridMultilevel"/>
    <w:tmpl w:val="D9FEA3E2"/>
    <w:lvl w:ilvl="0" w:tplc="0C090001">
      <w:start w:val="1"/>
      <w:numFmt w:val="lowerLetter"/>
      <w:lvlText w:val="%1."/>
      <w:lvlJc w:val="left"/>
      <w:pPr>
        <w:tabs>
          <w:tab w:val="num" w:pos="2520"/>
        </w:tabs>
        <w:ind w:left="2520" w:hanging="360"/>
      </w:pPr>
      <w:rPr>
        <w:rFonts w:hint="default"/>
      </w:rPr>
    </w:lvl>
    <w:lvl w:ilvl="1" w:tplc="0C090003" w:tentative="1">
      <w:start w:val="1"/>
      <w:numFmt w:val="lowerLetter"/>
      <w:lvlText w:val="%2."/>
      <w:lvlJc w:val="left"/>
      <w:pPr>
        <w:tabs>
          <w:tab w:val="num" w:pos="2520"/>
        </w:tabs>
        <w:ind w:left="2520" w:hanging="360"/>
      </w:pPr>
    </w:lvl>
    <w:lvl w:ilvl="2" w:tplc="0C090005" w:tentative="1">
      <w:start w:val="1"/>
      <w:numFmt w:val="lowerRoman"/>
      <w:lvlText w:val="%3."/>
      <w:lvlJc w:val="right"/>
      <w:pPr>
        <w:tabs>
          <w:tab w:val="num" w:pos="3240"/>
        </w:tabs>
        <w:ind w:left="3240" w:hanging="180"/>
      </w:pPr>
    </w:lvl>
    <w:lvl w:ilvl="3" w:tplc="0C090001" w:tentative="1">
      <w:start w:val="1"/>
      <w:numFmt w:val="decimal"/>
      <w:lvlText w:val="%4."/>
      <w:lvlJc w:val="left"/>
      <w:pPr>
        <w:tabs>
          <w:tab w:val="num" w:pos="3960"/>
        </w:tabs>
        <w:ind w:left="3960" w:hanging="360"/>
      </w:pPr>
    </w:lvl>
    <w:lvl w:ilvl="4" w:tplc="0C090003" w:tentative="1">
      <w:start w:val="1"/>
      <w:numFmt w:val="lowerLetter"/>
      <w:lvlText w:val="%5."/>
      <w:lvlJc w:val="left"/>
      <w:pPr>
        <w:tabs>
          <w:tab w:val="num" w:pos="4680"/>
        </w:tabs>
        <w:ind w:left="4680" w:hanging="360"/>
      </w:pPr>
    </w:lvl>
    <w:lvl w:ilvl="5" w:tplc="0C090005" w:tentative="1">
      <w:start w:val="1"/>
      <w:numFmt w:val="lowerRoman"/>
      <w:lvlText w:val="%6."/>
      <w:lvlJc w:val="right"/>
      <w:pPr>
        <w:tabs>
          <w:tab w:val="num" w:pos="5400"/>
        </w:tabs>
        <w:ind w:left="5400" w:hanging="180"/>
      </w:pPr>
    </w:lvl>
    <w:lvl w:ilvl="6" w:tplc="0C090001" w:tentative="1">
      <w:start w:val="1"/>
      <w:numFmt w:val="decimal"/>
      <w:lvlText w:val="%7."/>
      <w:lvlJc w:val="left"/>
      <w:pPr>
        <w:tabs>
          <w:tab w:val="num" w:pos="6120"/>
        </w:tabs>
        <w:ind w:left="6120" w:hanging="360"/>
      </w:pPr>
    </w:lvl>
    <w:lvl w:ilvl="7" w:tplc="0C090003" w:tentative="1">
      <w:start w:val="1"/>
      <w:numFmt w:val="lowerLetter"/>
      <w:lvlText w:val="%8."/>
      <w:lvlJc w:val="left"/>
      <w:pPr>
        <w:tabs>
          <w:tab w:val="num" w:pos="6840"/>
        </w:tabs>
        <w:ind w:left="6840" w:hanging="360"/>
      </w:pPr>
    </w:lvl>
    <w:lvl w:ilvl="8" w:tplc="0C090005" w:tentative="1">
      <w:start w:val="1"/>
      <w:numFmt w:val="lowerRoman"/>
      <w:lvlText w:val="%9."/>
      <w:lvlJc w:val="right"/>
      <w:pPr>
        <w:tabs>
          <w:tab w:val="num" w:pos="7560"/>
        </w:tabs>
        <w:ind w:left="7560" w:hanging="180"/>
      </w:pPr>
    </w:lvl>
  </w:abstractNum>
  <w:abstractNum w:abstractNumId="31">
    <w:nsid w:val="74431097"/>
    <w:multiLevelType w:val="hybridMultilevel"/>
    <w:tmpl w:val="0DC6DC74"/>
    <w:lvl w:ilvl="0" w:tplc="5A3C3FAC">
      <w:start w:val="1"/>
      <w:numFmt w:val="decimal"/>
      <w:lvlText w:val="%1."/>
      <w:lvlJc w:val="left"/>
      <w:pPr>
        <w:tabs>
          <w:tab w:val="num" w:pos="720"/>
        </w:tabs>
        <w:ind w:left="720" w:hanging="360"/>
      </w:pPr>
      <w:rPr>
        <w:rFonts w:hint="default"/>
      </w:rPr>
    </w:lvl>
    <w:lvl w:ilvl="1" w:tplc="2EFE1C2A">
      <w:start w:val="1"/>
      <w:numFmt w:val="lowerLetter"/>
      <w:lvlText w:val="%2."/>
      <w:lvlJc w:val="left"/>
      <w:pPr>
        <w:tabs>
          <w:tab w:val="num" w:pos="1440"/>
        </w:tabs>
        <w:ind w:left="1440" w:hanging="360"/>
      </w:pPr>
      <w:rPr>
        <w:rFonts w:hint="default"/>
      </w:rPr>
    </w:lvl>
    <w:lvl w:ilvl="2" w:tplc="D43224C2" w:tentative="1">
      <w:start w:val="1"/>
      <w:numFmt w:val="bullet"/>
      <w:lvlText w:val=""/>
      <w:lvlJc w:val="left"/>
      <w:pPr>
        <w:tabs>
          <w:tab w:val="num" w:pos="2160"/>
        </w:tabs>
        <w:ind w:left="2160" w:hanging="360"/>
      </w:pPr>
      <w:rPr>
        <w:rFonts w:ascii="Wingdings" w:hAnsi="Wingdings" w:hint="default"/>
      </w:rPr>
    </w:lvl>
    <w:lvl w:ilvl="3" w:tplc="8C7CFE74" w:tentative="1">
      <w:start w:val="1"/>
      <w:numFmt w:val="bullet"/>
      <w:lvlText w:val=""/>
      <w:lvlJc w:val="left"/>
      <w:pPr>
        <w:tabs>
          <w:tab w:val="num" w:pos="2880"/>
        </w:tabs>
        <w:ind w:left="2880" w:hanging="360"/>
      </w:pPr>
      <w:rPr>
        <w:rFonts w:ascii="Symbol" w:hAnsi="Symbol" w:hint="default"/>
      </w:rPr>
    </w:lvl>
    <w:lvl w:ilvl="4" w:tplc="756ABD3C" w:tentative="1">
      <w:start w:val="1"/>
      <w:numFmt w:val="bullet"/>
      <w:lvlText w:val="o"/>
      <w:lvlJc w:val="left"/>
      <w:pPr>
        <w:tabs>
          <w:tab w:val="num" w:pos="3600"/>
        </w:tabs>
        <w:ind w:left="3600" w:hanging="360"/>
      </w:pPr>
      <w:rPr>
        <w:rFonts w:ascii="Courier New" w:hAnsi="Courier New" w:hint="default"/>
      </w:rPr>
    </w:lvl>
    <w:lvl w:ilvl="5" w:tplc="5D8C547E" w:tentative="1">
      <w:start w:val="1"/>
      <w:numFmt w:val="bullet"/>
      <w:lvlText w:val=""/>
      <w:lvlJc w:val="left"/>
      <w:pPr>
        <w:tabs>
          <w:tab w:val="num" w:pos="4320"/>
        </w:tabs>
        <w:ind w:left="4320" w:hanging="360"/>
      </w:pPr>
      <w:rPr>
        <w:rFonts w:ascii="Wingdings" w:hAnsi="Wingdings" w:hint="default"/>
      </w:rPr>
    </w:lvl>
    <w:lvl w:ilvl="6" w:tplc="FAB80600" w:tentative="1">
      <w:start w:val="1"/>
      <w:numFmt w:val="bullet"/>
      <w:lvlText w:val=""/>
      <w:lvlJc w:val="left"/>
      <w:pPr>
        <w:tabs>
          <w:tab w:val="num" w:pos="5040"/>
        </w:tabs>
        <w:ind w:left="5040" w:hanging="360"/>
      </w:pPr>
      <w:rPr>
        <w:rFonts w:ascii="Symbol" w:hAnsi="Symbol" w:hint="default"/>
      </w:rPr>
    </w:lvl>
    <w:lvl w:ilvl="7" w:tplc="B08A2712" w:tentative="1">
      <w:start w:val="1"/>
      <w:numFmt w:val="bullet"/>
      <w:lvlText w:val="o"/>
      <w:lvlJc w:val="left"/>
      <w:pPr>
        <w:tabs>
          <w:tab w:val="num" w:pos="5760"/>
        </w:tabs>
        <w:ind w:left="5760" w:hanging="360"/>
      </w:pPr>
      <w:rPr>
        <w:rFonts w:ascii="Courier New" w:hAnsi="Courier New" w:hint="default"/>
      </w:rPr>
    </w:lvl>
    <w:lvl w:ilvl="8" w:tplc="4288BB46" w:tentative="1">
      <w:start w:val="1"/>
      <w:numFmt w:val="bullet"/>
      <w:lvlText w:val=""/>
      <w:lvlJc w:val="left"/>
      <w:pPr>
        <w:tabs>
          <w:tab w:val="num" w:pos="6480"/>
        </w:tabs>
        <w:ind w:left="6480" w:hanging="360"/>
      </w:pPr>
      <w:rPr>
        <w:rFonts w:ascii="Wingdings" w:hAnsi="Wingdings" w:hint="default"/>
      </w:rPr>
    </w:lvl>
  </w:abstractNum>
  <w:abstractNum w:abstractNumId="32">
    <w:nsid w:val="754F21E0"/>
    <w:multiLevelType w:val="hybridMultilevel"/>
    <w:tmpl w:val="779C0B92"/>
    <w:lvl w:ilvl="0" w:tplc="0C090019">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nsid w:val="789D6E3B"/>
    <w:multiLevelType w:val="hybridMultilevel"/>
    <w:tmpl w:val="36A498C2"/>
    <w:lvl w:ilvl="0" w:tplc="0C090019">
      <w:start w:val="1"/>
      <w:numFmt w:val="lowerLetter"/>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3"/>
  </w:num>
  <w:num w:numId="3">
    <w:abstractNumId w:val="13"/>
  </w:num>
  <w:num w:numId="4">
    <w:abstractNumId w:val="11"/>
  </w:num>
  <w:num w:numId="5">
    <w:abstractNumId w:val="23"/>
  </w:num>
  <w:num w:numId="6">
    <w:abstractNumId w:val="29"/>
  </w:num>
  <w:num w:numId="7">
    <w:abstractNumId w:val="19"/>
  </w:num>
  <w:num w:numId="8">
    <w:abstractNumId w:val="8"/>
  </w:num>
  <w:num w:numId="9">
    <w:abstractNumId w:val="35"/>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num>
  <w:num w:numId="17">
    <w:abstractNumId w:val="20"/>
  </w:num>
  <w:num w:numId="18">
    <w:abstractNumId w:val="6"/>
  </w:num>
  <w:num w:numId="19">
    <w:abstractNumId w:val="25"/>
  </w:num>
  <w:num w:numId="20">
    <w:abstractNumId w:val="9"/>
  </w:num>
  <w:num w:numId="21">
    <w:abstractNumId w:val="17"/>
  </w:num>
  <w:num w:numId="22">
    <w:abstractNumId w:val="5"/>
  </w:num>
  <w:num w:numId="23">
    <w:abstractNumId w:val="12"/>
  </w:num>
  <w:num w:numId="24">
    <w:abstractNumId w:val="34"/>
  </w:num>
  <w:num w:numId="25">
    <w:abstractNumId w:val="26"/>
  </w:num>
  <w:num w:numId="26">
    <w:abstractNumId w:val="24"/>
  </w:num>
  <w:num w:numId="27">
    <w:abstractNumId w:val="23"/>
  </w:num>
  <w:num w:numId="28">
    <w:abstractNumId w:val="21"/>
  </w:num>
  <w:num w:numId="29">
    <w:abstractNumId w:val="32"/>
  </w:num>
  <w:num w:numId="30">
    <w:abstractNumId w:val="15"/>
  </w:num>
  <w:num w:numId="31">
    <w:abstractNumId w:val="14"/>
  </w:num>
  <w:num w:numId="32">
    <w:abstractNumId w:val="31"/>
  </w:num>
  <w:num w:numId="33">
    <w:abstractNumId w:val="16"/>
  </w:num>
  <w:num w:numId="34">
    <w:abstractNumId w:val="30"/>
  </w:num>
  <w:num w:numId="35">
    <w:abstractNumId w:val="2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7"/>
  </w:num>
  <w:num w:numId="39">
    <w:abstractNumId w:val="11"/>
  </w:num>
  <w:num w:numId="40">
    <w:abstractNumId w:val="11"/>
  </w:num>
  <w:num w:numId="41">
    <w:abstractNumId w:val="7"/>
  </w:num>
  <w:num w:numId="42">
    <w:abstractNumId w:val="18"/>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41275D"/>
    <w:rsid w:val="00000C01"/>
    <w:rsid w:val="00004AEE"/>
    <w:rsid w:val="00005CAA"/>
    <w:rsid w:val="0000682F"/>
    <w:rsid w:val="00010210"/>
    <w:rsid w:val="00010798"/>
    <w:rsid w:val="00012D66"/>
    <w:rsid w:val="00015946"/>
    <w:rsid w:val="00015ADA"/>
    <w:rsid w:val="0001600E"/>
    <w:rsid w:val="00020C99"/>
    <w:rsid w:val="0002707B"/>
    <w:rsid w:val="00031B32"/>
    <w:rsid w:val="00032993"/>
    <w:rsid w:val="0005148E"/>
    <w:rsid w:val="0005327F"/>
    <w:rsid w:val="000547F0"/>
    <w:rsid w:val="0005735C"/>
    <w:rsid w:val="000575A1"/>
    <w:rsid w:val="00062A46"/>
    <w:rsid w:val="000759E5"/>
    <w:rsid w:val="0007601C"/>
    <w:rsid w:val="00084AC6"/>
    <w:rsid w:val="00084FBA"/>
    <w:rsid w:val="00085422"/>
    <w:rsid w:val="00085814"/>
    <w:rsid w:val="000858AB"/>
    <w:rsid w:val="00091608"/>
    <w:rsid w:val="0009196E"/>
    <w:rsid w:val="00092F92"/>
    <w:rsid w:val="0009333C"/>
    <w:rsid w:val="0009704F"/>
    <w:rsid w:val="000A0F11"/>
    <w:rsid w:val="000A125A"/>
    <w:rsid w:val="000A228F"/>
    <w:rsid w:val="000A57CD"/>
    <w:rsid w:val="000A6BF7"/>
    <w:rsid w:val="000B0AFE"/>
    <w:rsid w:val="000B3758"/>
    <w:rsid w:val="000B7681"/>
    <w:rsid w:val="000B7B42"/>
    <w:rsid w:val="000C02B7"/>
    <w:rsid w:val="000C24E9"/>
    <w:rsid w:val="000C2814"/>
    <w:rsid w:val="000C451B"/>
    <w:rsid w:val="000C5342"/>
    <w:rsid w:val="000C6FE1"/>
    <w:rsid w:val="000C706A"/>
    <w:rsid w:val="000D2887"/>
    <w:rsid w:val="000D6D63"/>
    <w:rsid w:val="000D706B"/>
    <w:rsid w:val="000D7225"/>
    <w:rsid w:val="000D7810"/>
    <w:rsid w:val="000E0081"/>
    <w:rsid w:val="000E07CF"/>
    <w:rsid w:val="000F07CF"/>
    <w:rsid w:val="00100BEF"/>
    <w:rsid w:val="00102E17"/>
    <w:rsid w:val="0011498E"/>
    <w:rsid w:val="00116A89"/>
    <w:rsid w:val="00116F28"/>
    <w:rsid w:val="00117999"/>
    <w:rsid w:val="00117A45"/>
    <w:rsid w:val="001224AE"/>
    <w:rsid w:val="00123035"/>
    <w:rsid w:val="001238EC"/>
    <w:rsid w:val="001305DC"/>
    <w:rsid w:val="001337D4"/>
    <w:rsid w:val="001340EA"/>
    <w:rsid w:val="00147C12"/>
    <w:rsid w:val="00147EFC"/>
    <w:rsid w:val="001515DA"/>
    <w:rsid w:val="001527A1"/>
    <w:rsid w:val="001530DC"/>
    <w:rsid w:val="001539AF"/>
    <w:rsid w:val="00154989"/>
    <w:rsid w:val="00155316"/>
    <w:rsid w:val="00155A9F"/>
    <w:rsid w:val="0015684F"/>
    <w:rsid w:val="00160262"/>
    <w:rsid w:val="0016186F"/>
    <w:rsid w:val="0016281C"/>
    <w:rsid w:val="0016433A"/>
    <w:rsid w:val="001647AA"/>
    <w:rsid w:val="0016780A"/>
    <w:rsid w:val="001713FA"/>
    <w:rsid w:val="00173EBF"/>
    <w:rsid w:val="001765DA"/>
    <w:rsid w:val="001842A2"/>
    <w:rsid w:val="00185039"/>
    <w:rsid w:val="00185407"/>
    <w:rsid w:val="00187FA8"/>
    <w:rsid w:val="00191DD9"/>
    <w:rsid w:val="001922D0"/>
    <w:rsid w:val="00192D42"/>
    <w:rsid w:val="00192F5E"/>
    <w:rsid w:val="00194065"/>
    <w:rsid w:val="00197772"/>
    <w:rsid w:val="001A3AFD"/>
    <w:rsid w:val="001A51C8"/>
    <w:rsid w:val="001B472B"/>
    <w:rsid w:val="001B4CA8"/>
    <w:rsid w:val="001B7523"/>
    <w:rsid w:val="001C2A92"/>
    <w:rsid w:val="001C4F3D"/>
    <w:rsid w:val="001D03F6"/>
    <w:rsid w:val="001D0CDC"/>
    <w:rsid w:val="001D1D82"/>
    <w:rsid w:val="001E1182"/>
    <w:rsid w:val="001E1900"/>
    <w:rsid w:val="001E5FA4"/>
    <w:rsid w:val="001E7DE7"/>
    <w:rsid w:val="001F0E8B"/>
    <w:rsid w:val="00200944"/>
    <w:rsid w:val="00202387"/>
    <w:rsid w:val="00202C90"/>
    <w:rsid w:val="00213DE8"/>
    <w:rsid w:val="00214C04"/>
    <w:rsid w:val="00216118"/>
    <w:rsid w:val="00217C39"/>
    <w:rsid w:val="002209AB"/>
    <w:rsid w:val="00224622"/>
    <w:rsid w:val="002251E3"/>
    <w:rsid w:val="002262E6"/>
    <w:rsid w:val="002271C0"/>
    <w:rsid w:val="00227A95"/>
    <w:rsid w:val="002316BD"/>
    <w:rsid w:val="002320F1"/>
    <w:rsid w:val="002335A5"/>
    <w:rsid w:val="002336F3"/>
    <w:rsid w:val="00246F46"/>
    <w:rsid w:val="002473FC"/>
    <w:rsid w:val="00252DE0"/>
    <w:rsid w:val="00252E3C"/>
    <w:rsid w:val="00253258"/>
    <w:rsid w:val="00256E0B"/>
    <w:rsid w:val="00262198"/>
    <w:rsid w:val="002644DA"/>
    <w:rsid w:val="00282F53"/>
    <w:rsid w:val="00283A07"/>
    <w:rsid w:val="00285F1B"/>
    <w:rsid w:val="00290BA9"/>
    <w:rsid w:val="002914EE"/>
    <w:rsid w:val="00292B81"/>
    <w:rsid w:val="0029322E"/>
    <w:rsid w:val="00296477"/>
    <w:rsid w:val="002974BC"/>
    <w:rsid w:val="002A2451"/>
    <w:rsid w:val="002A5EC3"/>
    <w:rsid w:val="002B18AE"/>
    <w:rsid w:val="002B6472"/>
    <w:rsid w:val="002B67D3"/>
    <w:rsid w:val="002C1C93"/>
    <w:rsid w:val="002C3738"/>
    <w:rsid w:val="002C5066"/>
    <w:rsid w:val="002D4AAC"/>
    <w:rsid w:val="002D6C33"/>
    <w:rsid w:val="002F045A"/>
    <w:rsid w:val="002F7BD4"/>
    <w:rsid w:val="0030039D"/>
    <w:rsid w:val="00300715"/>
    <w:rsid w:val="003019FA"/>
    <w:rsid w:val="00302DAF"/>
    <w:rsid w:val="0030326F"/>
    <w:rsid w:val="00310701"/>
    <w:rsid w:val="00311510"/>
    <w:rsid w:val="003138AC"/>
    <w:rsid w:val="00315980"/>
    <w:rsid w:val="00316F7F"/>
    <w:rsid w:val="00320162"/>
    <w:rsid w:val="0032087E"/>
    <w:rsid w:val="003218E8"/>
    <w:rsid w:val="00330DCE"/>
    <w:rsid w:val="00331E11"/>
    <w:rsid w:val="00334761"/>
    <w:rsid w:val="00337EBC"/>
    <w:rsid w:val="0034033E"/>
    <w:rsid w:val="00341DCD"/>
    <w:rsid w:val="0034504D"/>
    <w:rsid w:val="0034563E"/>
    <w:rsid w:val="003504CC"/>
    <w:rsid w:val="003518D6"/>
    <w:rsid w:val="0035460C"/>
    <w:rsid w:val="003555D1"/>
    <w:rsid w:val="003556BD"/>
    <w:rsid w:val="00361B53"/>
    <w:rsid w:val="00365147"/>
    <w:rsid w:val="0037016E"/>
    <w:rsid w:val="00370E55"/>
    <w:rsid w:val="00371B60"/>
    <w:rsid w:val="00371DE5"/>
    <w:rsid w:val="00372908"/>
    <w:rsid w:val="003744B0"/>
    <w:rsid w:val="00376457"/>
    <w:rsid w:val="00381917"/>
    <w:rsid w:val="00383020"/>
    <w:rsid w:val="0039730B"/>
    <w:rsid w:val="003975FD"/>
    <w:rsid w:val="003A0593"/>
    <w:rsid w:val="003B60CC"/>
    <w:rsid w:val="003C1B25"/>
    <w:rsid w:val="003C2443"/>
    <w:rsid w:val="003C31E0"/>
    <w:rsid w:val="003C5DA3"/>
    <w:rsid w:val="003D49A6"/>
    <w:rsid w:val="003D4BCD"/>
    <w:rsid w:val="003E01D8"/>
    <w:rsid w:val="003E2100"/>
    <w:rsid w:val="003E2BDB"/>
    <w:rsid w:val="003E4219"/>
    <w:rsid w:val="003E45FA"/>
    <w:rsid w:val="003E53CA"/>
    <w:rsid w:val="003E5ED5"/>
    <w:rsid w:val="003F0CB7"/>
    <w:rsid w:val="003F6F5B"/>
    <w:rsid w:val="003F759D"/>
    <w:rsid w:val="0040342D"/>
    <w:rsid w:val="00403FB9"/>
    <w:rsid w:val="00405E1C"/>
    <w:rsid w:val="0041192D"/>
    <w:rsid w:val="00412684"/>
    <w:rsid w:val="0041275D"/>
    <w:rsid w:val="00413EE1"/>
    <w:rsid w:val="004206AD"/>
    <w:rsid w:val="0042128E"/>
    <w:rsid w:val="0042456E"/>
    <w:rsid w:val="0042465A"/>
    <w:rsid w:val="0043193E"/>
    <w:rsid w:val="00432B60"/>
    <w:rsid w:val="004333E6"/>
    <w:rsid w:val="00434EFC"/>
    <w:rsid w:val="00435187"/>
    <w:rsid w:val="00440698"/>
    <w:rsid w:val="0044404A"/>
    <w:rsid w:val="004540E2"/>
    <w:rsid w:val="00454454"/>
    <w:rsid w:val="00463EC8"/>
    <w:rsid w:val="00467924"/>
    <w:rsid w:val="004712A5"/>
    <w:rsid w:val="0047266F"/>
    <w:rsid w:val="00476D6B"/>
    <w:rsid w:val="004860D3"/>
    <w:rsid w:val="004861E6"/>
    <w:rsid w:val="0049013A"/>
    <w:rsid w:val="00492C16"/>
    <w:rsid w:val="004A0678"/>
    <w:rsid w:val="004A1237"/>
    <w:rsid w:val="004A48A3"/>
    <w:rsid w:val="004A5C35"/>
    <w:rsid w:val="004B0D92"/>
    <w:rsid w:val="004B0EC0"/>
    <w:rsid w:val="004B32B2"/>
    <w:rsid w:val="004B66F1"/>
    <w:rsid w:val="004B7D67"/>
    <w:rsid w:val="004C3B7B"/>
    <w:rsid w:val="004C3EA0"/>
    <w:rsid w:val="004C5D69"/>
    <w:rsid w:val="004E0F87"/>
    <w:rsid w:val="004E2561"/>
    <w:rsid w:val="004F21D8"/>
    <w:rsid w:val="004F3D69"/>
    <w:rsid w:val="004F7169"/>
    <w:rsid w:val="00500D66"/>
    <w:rsid w:val="005036A6"/>
    <w:rsid w:val="00507D51"/>
    <w:rsid w:val="00511E3E"/>
    <w:rsid w:val="00514C8E"/>
    <w:rsid w:val="00517F35"/>
    <w:rsid w:val="00520F7A"/>
    <w:rsid w:val="00521BB7"/>
    <w:rsid w:val="00523A57"/>
    <w:rsid w:val="00523ED3"/>
    <w:rsid w:val="00531DBF"/>
    <w:rsid w:val="005337FC"/>
    <w:rsid w:val="00541918"/>
    <w:rsid w:val="0054360B"/>
    <w:rsid w:val="00545255"/>
    <w:rsid w:val="00545759"/>
    <w:rsid w:val="00545BE0"/>
    <w:rsid w:val="00547957"/>
    <w:rsid w:val="00554C6A"/>
    <w:rsid w:val="00562E85"/>
    <w:rsid w:val="0056332F"/>
    <w:rsid w:val="005664EA"/>
    <w:rsid w:val="005748E7"/>
    <w:rsid w:val="00580DB6"/>
    <w:rsid w:val="00581C39"/>
    <w:rsid w:val="005834A4"/>
    <w:rsid w:val="00584F6B"/>
    <w:rsid w:val="00586AC1"/>
    <w:rsid w:val="005903B6"/>
    <w:rsid w:val="00592B20"/>
    <w:rsid w:val="00595AD7"/>
    <w:rsid w:val="005A0247"/>
    <w:rsid w:val="005A126E"/>
    <w:rsid w:val="005A2637"/>
    <w:rsid w:val="005A452F"/>
    <w:rsid w:val="005A6DD9"/>
    <w:rsid w:val="005A703F"/>
    <w:rsid w:val="005A75EC"/>
    <w:rsid w:val="005B140D"/>
    <w:rsid w:val="005C15A3"/>
    <w:rsid w:val="005C1FEA"/>
    <w:rsid w:val="005C3495"/>
    <w:rsid w:val="005C3785"/>
    <w:rsid w:val="005E13EA"/>
    <w:rsid w:val="005E15E0"/>
    <w:rsid w:val="005E3889"/>
    <w:rsid w:val="005E3DFC"/>
    <w:rsid w:val="005E48CF"/>
    <w:rsid w:val="005E60AF"/>
    <w:rsid w:val="005E7B4E"/>
    <w:rsid w:val="005F1DEA"/>
    <w:rsid w:val="005F4932"/>
    <w:rsid w:val="00601F90"/>
    <w:rsid w:val="00602FCB"/>
    <w:rsid w:val="00605B7E"/>
    <w:rsid w:val="00607FC9"/>
    <w:rsid w:val="00610955"/>
    <w:rsid w:val="0061490C"/>
    <w:rsid w:val="00614948"/>
    <w:rsid w:val="00616861"/>
    <w:rsid w:val="00622FE1"/>
    <w:rsid w:val="0062521C"/>
    <w:rsid w:val="00625FF9"/>
    <w:rsid w:val="00630A2B"/>
    <w:rsid w:val="00630BA2"/>
    <w:rsid w:val="0063283F"/>
    <w:rsid w:val="00632DC7"/>
    <w:rsid w:val="00633896"/>
    <w:rsid w:val="006357FB"/>
    <w:rsid w:val="006406FC"/>
    <w:rsid w:val="006434CF"/>
    <w:rsid w:val="0064407B"/>
    <w:rsid w:val="00645E53"/>
    <w:rsid w:val="00646122"/>
    <w:rsid w:val="00653E16"/>
    <w:rsid w:val="00657220"/>
    <w:rsid w:val="00657304"/>
    <w:rsid w:val="0066104B"/>
    <w:rsid w:val="00661419"/>
    <w:rsid w:val="006655EE"/>
    <w:rsid w:val="00667C10"/>
    <w:rsid w:val="00667EF4"/>
    <w:rsid w:val="00672B85"/>
    <w:rsid w:val="00673B97"/>
    <w:rsid w:val="00674E59"/>
    <w:rsid w:val="00676FCA"/>
    <w:rsid w:val="00677177"/>
    <w:rsid w:val="0068056B"/>
    <w:rsid w:val="00684395"/>
    <w:rsid w:val="0068612E"/>
    <w:rsid w:val="00687858"/>
    <w:rsid w:val="00687C92"/>
    <w:rsid w:val="006903B7"/>
    <w:rsid w:val="0069534E"/>
    <w:rsid w:val="006957E9"/>
    <w:rsid w:val="00696365"/>
    <w:rsid w:val="0069669C"/>
    <w:rsid w:val="006A1200"/>
    <w:rsid w:val="006A2C5A"/>
    <w:rsid w:val="006A4F4E"/>
    <w:rsid w:val="006A6FB0"/>
    <w:rsid w:val="006B14DB"/>
    <w:rsid w:val="006B1E35"/>
    <w:rsid w:val="006B21C4"/>
    <w:rsid w:val="006C4A1A"/>
    <w:rsid w:val="006C5A80"/>
    <w:rsid w:val="006C7DAD"/>
    <w:rsid w:val="006D0393"/>
    <w:rsid w:val="006D1A83"/>
    <w:rsid w:val="006D5D1E"/>
    <w:rsid w:val="006D7FC3"/>
    <w:rsid w:val="006E1CFE"/>
    <w:rsid w:val="006E31A2"/>
    <w:rsid w:val="006E6D10"/>
    <w:rsid w:val="006E7B5D"/>
    <w:rsid w:val="006F0CC6"/>
    <w:rsid w:val="006F10C4"/>
    <w:rsid w:val="006F34A5"/>
    <w:rsid w:val="006F40E9"/>
    <w:rsid w:val="006F5087"/>
    <w:rsid w:val="006F5603"/>
    <w:rsid w:val="00701400"/>
    <w:rsid w:val="007037CF"/>
    <w:rsid w:val="00703859"/>
    <w:rsid w:val="00703BB8"/>
    <w:rsid w:val="00716583"/>
    <w:rsid w:val="007167C0"/>
    <w:rsid w:val="007203C3"/>
    <w:rsid w:val="00720481"/>
    <w:rsid w:val="00721642"/>
    <w:rsid w:val="0072510B"/>
    <w:rsid w:val="00727C18"/>
    <w:rsid w:val="00727E2F"/>
    <w:rsid w:val="0073136C"/>
    <w:rsid w:val="00733193"/>
    <w:rsid w:val="00737CBA"/>
    <w:rsid w:val="00743DF0"/>
    <w:rsid w:val="00747A26"/>
    <w:rsid w:val="00752FF8"/>
    <w:rsid w:val="0075312E"/>
    <w:rsid w:val="00754C17"/>
    <w:rsid w:val="007572EB"/>
    <w:rsid w:val="0075732A"/>
    <w:rsid w:val="00760262"/>
    <w:rsid w:val="00760F34"/>
    <w:rsid w:val="0076310C"/>
    <w:rsid w:val="00766978"/>
    <w:rsid w:val="0076744F"/>
    <w:rsid w:val="00767BCE"/>
    <w:rsid w:val="00767EFC"/>
    <w:rsid w:val="007707DE"/>
    <w:rsid w:val="00770B5D"/>
    <w:rsid w:val="007752F1"/>
    <w:rsid w:val="007759C3"/>
    <w:rsid w:val="00776768"/>
    <w:rsid w:val="0078183E"/>
    <w:rsid w:val="007821AA"/>
    <w:rsid w:val="00782D61"/>
    <w:rsid w:val="00786723"/>
    <w:rsid w:val="00790E79"/>
    <w:rsid w:val="00791024"/>
    <w:rsid w:val="007921C6"/>
    <w:rsid w:val="00794818"/>
    <w:rsid w:val="007A0218"/>
    <w:rsid w:val="007A2573"/>
    <w:rsid w:val="007A3B9C"/>
    <w:rsid w:val="007B106C"/>
    <w:rsid w:val="007B1A4E"/>
    <w:rsid w:val="007B3D05"/>
    <w:rsid w:val="007B5503"/>
    <w:rsid w:val="007C17CB"/>
    <w:rsid w:val="007C4FC6"/>
    <w:rsid w:val="007C6BB3"/>
    <w:rsid w:val="007C72B4"/>
    <w:rsid w:val="007D14B4"/>
    <w:rsid w:val="007D3879"/>
    <w:rsid w:val="007D3AD7"/>
    <w:rsid w:val="007D539E"/>
    <w:rsid w:val="007E0DA9"/>
    <w:rsid w:val="007E24F6"/>
    <w:rsid w:val="007E6140"/>
    <w:rsid w:val="007F1ED4"/>
    <w:rsid w:val="00800333"/>
    <w:rsid w:val="00800F64"/>
    <w:rsid w:val="00802F0B"/>
    <w:rsid w:val="00804820"/>
    <w:rsid w:val="00806510"/>
    <w:rsid w:val="00810A67"/>
    <w:rsid w:val="0081315B"/>
    <w:rsid w:val="00833CF7"/>
    <w:rsid w:val="00840316"/>
    <w:rsid w:val="00845601"/>
    <w:rsid w:val="00847B67"/>
    <w:rsid w:val="008502B1"/>
    <w:rsid w:val="008524B9"/>
    <w:rsid w:val="00855C5C"/>
    <w:rsid w:val="0086233C"/>
    <w:rsid w:val="00865CFA"/>
    <w:rsid w:val="00880491"/>
    <w:rsid w:val="00883CE7"/>
    <w:rsid w:val="00885996"/>
    <w:rsid w:val="00887087"/>
    <w:rsid w:val="00895460"/>
    <w:rsid w:val="008A187F"/>
    <w:rsid w:val="008A3C96"/>
    <w:rsid w:val="008B0BBA"/>
    <w:rsid w:val="008B1627"/>
    <w:rsid w:val="008B1C47"/>
    <w:rsid w:val="008B4019"/>
    <w:rsid w:val="008B505F"/>
    <w:rsid w:val="008B65C9"/>
    <w:rsid w:val="008C0217"/>
    <w:rsid w:val="008C2329"/>
    <w:rsid w:val="008C2D4A"/>
    <w:rsid w:val="008C5000"/>
    <w:rsid w:val="008C6A05"/>
    <w:rsid w:val="008C7DBB"/>
    <w:rsid w:val="008D152C"/>
    <w:rsid w:val="008D3900"/>
    <w:rsid w:val="008D54EB"/>
    <w:rsid w:val="008D6E1D"/>
    <w:rsid w:val="008D6EDB"/>
    <w:rsid w:val="008E36FE"/>
    <w:rsid w:val="008F39B4"/>
    <w:rsid w:val="008F4162"/>
    <w:rsid w:val="008F769F"/>
    <w:rsid w:val="00903E02"/>
    <w:rsid w:val="00906FFA"/>
    <w:rsid w:val="00913175"/>
    <w:rsid w:val="00916EDB"/>
    <w:rsid w:val="00920861"/>
    <w:rsid w:val="00922B13"/>
    <w:rsid w:val="009242EF"/>
    <w:rsid w:val="00924AB9"/>
    <w:rsid w:val="00931907"/>
    <w:rsid w:val="00932291"/>
    <w:rsid w:val="00933B1B"/>
    <w:rsid w:val="0093408E"/>
    <w:rsid w:val="00940467"/>
    <w:rsid w:val="0094329C"/>
    <w:rsid w:val="00947507"/>
    <w:rsid w:val="00952DDF"/>
    <w:rsid w:val="00952EC4"/>
    <w:rsid w:val="00961617"/>
    <w:rsid w:val="00970AC5"/>
    <w:rsid w:val="00972423"/>
    <w:rsid w:val="009812D4"/>
    <w:rsid w:val="00982653"/>
    <w:rsid w:val="00982E9B"/>
    <w:rsid w:val="009869EF"/>
    <w:rsid w:val="009873F4"/>
    <w:rsid w:val="00990761"/>
    <w:rsid w:val="009917AA"/>
    <w:rsid w:val="009920D8"/>
    <w:rsid w:val="0099226F"/>
    <w:rsid w:val="0099537C"/>
    <w:rsid w:val="00997A7C"/>
    <w:rsid w:val="009A371F"/>
    <w:rsid w:val="009A47A8"/>
    <w:rsid w:val="009B1A92"/>
    <w:rsid w:val="009B38BE"/>
    <w:rsid w:val="009B4556"/>
    <w:rsid w:val="009B682F"/>
    <w:rsid w:val="009B7B2B"/>
    <w:rsid w:val="009C3D0F"/>
    <w:rsid w:val="009D6232"/>
    <w:rsid w:val="009E1B19"/>
    <w:rsid w:val="009E1D6D"/>
    <w:rsid w:val="009E29BD"/>
    <w:rsid w:val="009E67BE"/>
    <w:rsid w:val="009F35E2"/>
    <w:rsid w:val="009F438B"/>
    <w:rsid w:val="009F65F9"/>
    <w:rsid w:val="009F68BA"/>
    <w:rsid w:val="00A0118E"/>
    <w:rsid w:val="00A06277"/>
    <w:rsid w:val="00A079DC"/>
    <w:rsid w:val="00A10BAB"/>
    <w:rsid w:val="00A111C2"/>
    <w:rsid w:val="00A14976"/>
    <w:rsid w:val="00A17C39"/>
    <w:rsid w:val="00A21440"/>
    <w:rsid w:val="00A238AA"/>
    <w:rsid w:val="00A23D07"/>
    <w:rsid w:val="00A25246"/>
    <w:rsid w:val="00A338E7"/>
    <w:rsid w:val="00A35CAA"/>
    <w:rsid w:val="00A36E7F"/>
    <w:rsid w:val="00A41E65"/>
    <w:rsid w:val="00A426F9"/>
    <w:rsid w:val="00A43517"/>
    <w:rsid w:val="00A43E0A"/>
    <w:rsid w:val="00A46247"/>
    <w:rsid w:val="00A47F07"/>
    <w:rsid w:val="00A530C7"/>
    <w:rsid w:val="00A55F5B"/>
    <w:rsid w:val="00A567C7"/>
    <w:rsid w:val="00A60185"/>
    <w:rsid w:val="00A61639"/>
    <w:rsid w:val="00A661EA"/>
    <w:rsid w:val="00A66263"/>
    <w:rsid w:val="00A6775C"/>
    <w:rsid w:val="00A70A6C"/>
    <w:rsid w:val="00A830E5"/>
    <w:rsid w:val="00A84BF3"/>
    <w:rsid w:val="00A87135"/>
    <w:rsid w:val="00A93280"/>
    <w:rsid w:val="00A93C73"/>
    <w:rsid w:val="00A951EA"/>
    <w:rsid w:val="00A961A6"/>
    <w:rsid w:val="00A973E1"/>
    <w:rsid w:val="00A97F71"/>
    <w:rsid w:val="00AA1C65"/>
    <w:rsid w:val="00AA2548"/>
    <w:rsid w:val="00AA3B6E"/>
    <w:rsid w:val="00AA3B87"/>
    <w:rsid w:val="00AA44D8"/>
    <w:rsid w:val="00AA58C4"/>
    <w:rsid w:val="00AB11C8"/>
    <w:rsid w:val="00AB2248"/>
    <w:rsid w:val="00AC08A8"/>
    <w:rsid w:val="00AD20C6"/>
    <w:rsid w:val="00AD56C8"/>
    <w:rsid w:val="00AD58F2"/>
    <w:rsid w:val="00AE5A01"/>
    <w:rsid w:val="00AF369B"/>
    <w:rsid w:val="00AF5EA3"/>
    <w:rsid w:val="00AF6573"/>
    <w:rsid w:val="00AF7690"/>
    <w:rsid w:val="00B0512A"/>
    <w:rsid w:val="00B0529F"/>
    <w:rsid w:val="00B05D52"/>
    <w:rsid w:val="00B07938"/>
    <w:rsid w:val="00B13E5E"/>
    <w:rsid w:val="00B13EF0"/>
    <w:rsid w:val="00B1418B"/>
    <w:rsid w:val="00B151A0"/>
    <w:rsid w:val="00B1520C"/>
    <w:rsid w:val="00B1560E"/>
    <w:rsid w:val="00B17B9A"/>
    <w:rsid w:val="00B21195"/>
    <w:rsid w:val="00B22B3D"/>
    <w:rsid w:val="00B236A4"/>
    <w:rsid w:val="00B24B22"/>
    <w:rsid w:val="00B25310"/>
    <w:rsid w:val="00B32F8F"/>
    <w:rsid w:val="00B4690F"/>
    <w:rsid w:val="00B47C42"/>
    <w:rsid w:val="00B510B1"/>
    <w:rsid w:val="00B54DE9"/>
    <w:rsid w:val="00B553EC"/>
    <w:rsid w:val="00B55870"/>
    <w:rsid w:val="00B57B2C"/>
    <w:rsid w:val="00B62349"/>
    <w:rsid w:val="00B63B4C"/>
    <w:rsid w:val="00B70767"/>
    <w:rsid w:val="00B71969"/>
    <w:rsid w:val="00B77732"/>
    <w:rsid w:val="00B80D6D"/>
    <w:rsid w:val="00B826BB"/>
    <w:rsid w:val="00B82E96"/>
    <w:rsid w:val="00B84EE2"/>
    <w:rsid w:val="00B862C5"/>
    <w:rsid w:val="00B869CB"/>
    <w:rsid w:val="00B9154F"/>
    <w:rsid w:val="00B93DD0"/>
    <w:rsid w:val="00B97732"/>
    <w:rsid w:val="00BA56D7"/>
    <w:rsid w:val="00BA65A8"/>
    <w:rsid w:val="00BA6A97"/>
    <w:rsid w:val="00BA6D19"/>
    <w:rsid w:val="00BA7359"/>
    <w:rsid w:val="00BA7461"/>
    <w:rsid w:val="00BA7B37"/>
    <w:rsid w:val="00BA7DA9"/>
    <w:rsid w:val="00BC4215"/>
    <w:rsid w:val="00BD0396"/>
    <w:rsid w:val="00BD1A6F"/>
    <w:rsid w:val="00BD3734"/>
    <w:rsid w:val="00BD5B71"/>
    <w:rsid w:val="00BD6E25"/>
    <w:rsid w:val="00BD774A"/>
    <w:rsid w:val="00BE4C2C"/>
    <w:rsid w:val="00BE6D3C"/>
    <w:rsid w:val="00BE7852"/>
    <w:rsid w:val="00BF0391"/>
    <w:rsid w:val="00BF6D87"/>
    <w:rsid w:val="00BF7CEE"/>
    <w:rsid w:val="00C03880"/>
    <w:rsid w:val="00C122D3"/>
    <w:rsid w:val="00C135CF"/>
    <w:rsid w:val="00C21629"/>
    <w:rsid w:val="00C23BD7"/>
    <w:rsid w:val="00C2683F"/>
    <w:rsid w:val="00C3184D"/>
    <w:rsid w:val="00C43084"/>
    <w:rsid w:val="00C4714E"/>
    <w:rsid w:val="00C50941"/>
    <w:rsid w:val="00C52D48"/>
    <w:rsid w:val="00C5504F"/>
    <w:rsid w:val="00C55991"/>
    <w:rsid w:val="00C56DB4"/>
    <w:rsid w:val="00C63376"/>
    <w:rsid w:val="00C66CB4"/>
    <w:rsid w:val="00C733E7"/>
    <w:rsid w:val="00C74F97"/>
    <w:rsid w:val="00C76A08"/>
    <w:rsid w:val="00C803D7"/>
    <w:rsid w:val="00C8124D"/>
    <w:rsid w:val="00C8276E"/>
    <w:rsid w:val="00C83AD1"/>
    <w:rsid w:val="00C842AC"/>
    <w:rsid w:val="00C85B7B"/>
    <w:rsid w:val="00C92AD5"/>
    <w:rsid w:val="00C92CE0"/>
    <w:rsid w:val="00C93152"/>
    <w:rsid w:val="00C93FD9"/>
    <w:rsid w:val="00C94CA1"/>
    <w:rsid w:val="00C96688"/>
    <w:rsid w:val="00CA0723"/>
    <w:rsid w:val="00CA351F"/>
    <w:rsid w:val="00CA4542"/>
    <w:rsid w:val="00CA5316"/>
    <w:rsid w:val="00CB1690"/>
    <w:rsid w:val="00CB48D0"/>
    <w:rsid w:val="00CC1605"/>
    <w:rsid w:val="00CC2B33"/>
    <w:rsid w:val="00CC4365"/>
    <w:rsid w:val="00CD11B0"/>
    <w:rsid w:val="00CD5E0E"/>
    <w:rsid w:val="00CE71C2"/>
    <w:rsid w:val="00CF2242"/>
    <w:rsid w:val="00CF42D5"/>
    <w:rsid w:val="00CF4B7A"/>
    <w:rsid w:val="00CF4EDA"/>
    <w:rsid w:val="00CF527D"/>
    <w:rsid w:val="00CF6A1C"/>
    <w:rsid w:val="00D00281"/>
    <w:rsid w:val="00D01E11"/>
    <w:rsid w:val="00D021CB"/>
    <w:rsid w:val="00D05011"/>
    <w:rsid w:val="00D10C4C"/>
    <w:rsid w:val="00D10F1A"/>
    <w:rsid w:val="00D116F1"/>
    <w:rsid w:val="00D116F8"/>
    <w:rsid w:val="00D15280"/>
    <w:rsid w:val="00D17596"/>
    <w:rsid w:val="00D22640"/>
    <w:rsid w:val="00D24E24"/>
    <w:rsid w:val="00D26D3A"/>
    <w:rsid w:val="00D43486"/>
    <w:rsid w:val="00D45C91"/>
    <w:rsid w:val="00D45EE3"/>
    <w:rsid w:val="00D46FF9"/>
    <w:rsid w:val="00D50618"/>
    <w:rsid w:val="00D509E9"/>
    <w:rsid w:val="00D53B1C"/>
    <w:rsid w:val="00D61714"/>
    <w:rsid w:val="00D620BE"/>
    <w:rsid w:val="00D652C8"/>
    <w:rsid w:val="00D656FF"/>
    <w:rsid w:val="00D6734B"/>
    <w:rsid w:val="00D82448"/>
    <w:rsid w:val="00D83615"/>
    <w:rsid w:val="00D90F8D"/>
    <w:rsid w:val="00D9295B"/>
    <w:rsid w:val="00D95474"/>
    <w:rsid w:val="00D97037"/>
    <w:rsid w:val="00DA1B12"/>
    <w:rsid w:val="00DA4F90"/>
    <w:rsid w:val="00DA54C9"/>
    <w:rsid w:val="00DA56A9"/>
    <w:rsid w:val="00DA6739"/>
    <w:rsid w:val="00DA6CAE"/>
    <w:rsid w:val="00DA76F2"/>
    <w:rsid w:val="00DB1A9E"/>
    <w:rsid w:val="00DB31D6"/>
    <w:rsid w:val="00DB3296"/>
    <w:rsid w:val="00DB4005"/>
    <w:rsid w:val="00DB44E2"/>
    <w:rsid w:val="00DB61F1"/>
    <w:rsid w:val="00DB65A5"/>
    <w:rsid w:val="00DC325B"/>
    <w:rsid w:val="00DC34EB"/>
    <w:rsid w:val="00DC4E2E"/>
    <w:rsid w:val="00DC78C0"/>
    <w:rsid w:val="00DD5289"/>
    <w:rsid w:val="00DE03E5"/>
    <w:rsid w:val="00DE2C10"/>
    <w:rsid w:val="00DE3C7D"/>
    <w:rsid w:val="00DE45A6"/>
    <w:rsid w:val="00DF14C9"/>
    <w:rsid w:val="00DF1E5B"/>
    <w:rsid w:val="00DF2275"/>
    <w:rsid w:val="00DF3F5E"/>
    <w:rsid w:val="00DF5653"/>
    <w:rsid w:val="00E0073E"/>
    <w:rsid w:val="00E0413A"/>
    <w:rsid w:val="00E0596E"/>
    <w:rsid w:val="00E06F66"/>
    <w:rsid w:val="00E11257"/>
    <w:rsid w:val="00E2111A"/>
    <w:rsid w:val="00E21678"/>
    <w:rsid w:val="00E344AA"/>
    <w:rsid w:val="00E356E5"/>
    <w:rsid w:val="00E36F81"/>
    <w:rsid w:val="00E378A8"/>
    <w:rsid w:val="00E37D31"/>
    <w:rsid w:val="00E40B9B"/>
    <w:rsid w:val="00E43C5F"/>
    <w:rsid w:val="00E45765"/>
    <w:rsid w:val="00E5098C"/>
    <w:rsid w:val="00E524BE"/>
    <w:rsid w:val="00E54ECD"/>
    <w:rsid w:val="00E574EF"/>
    <w:rsid w:val="00E57CD8"/>
    <w:rsid w:val="00E57E07"/>
    <w:rsid w:val="00E60213"/>
    <w:rsid w:val="00E661B2"/>
    <w:rsid w:val="00E703D1"/>
    <w:rsid w:val="00E740B1"/>
    <w:rsid w:val="00E74D29"/>
    <w:rsid w:val="00E806FF"/>
    <w:rsid w:val="00E836BF"/>
    <w:rsid w:val="00E83C74"/>
    <w:rsid w:val="00E83CEE"/>
    <w:rsid w:val="00E91F18"/>
    <w:rsid w:val="00E9226D"/>
    <w:rsid w:val="00E93BE5"/>
    <w:rsid w:val="00E96424"/>
    <w:rsid w:val="00EA2A91"/>
    <w:rsid w:val="00EA39FC"/>
    <w:rsid w:val="00EA416C"/>
    <w:rsid w:val="00EA5941"/>
    <w:rsid w:val="00EB1058"/>
    <w:rsid w:val="00EB60CE"/>
    <w:rsid w:val="00EB7D53"/>
    <w:rsid w:val="00EC0926"/>
    <w:rsid w:val="00EC0BAD"/>
    <w:rsid w:val="00EC596B"/>
    <w:rsid w:val="00ED24BC"/>
    <w:rsid w:val="00ED5B04"/>
    <w:rsid w:val="00EE13C5"/>
    <w:rsid w:val="00EE2506"/>
    <w:rsid w:val="00EE3146"/>
    <w:rsid w:val="00EE365F"/>
    <w:rsid w:val="00EE76BA"/>
    <w:rsid w:val="00EE7755"/>
    <w:rsid w:val="00EF50BB"/>
    <w:rsid w:val="00EF71E4"/>
    <w:rsid w:val="00F00192"/>
    <w:rsid w:val="00F01DF6"/>
    <w:rsid w:val="00F027B8"/>
    <w:rsid w:val="00F0340D"/>
    <w:rsid w:val="00F03507"/>
    <w:rsid w:val="00F035F2"/>
    <w:rsid w:val="00F059A6"/>
    <w:rsid w:val="00F122AB"/>
    <w:rsid w:val="00F23756"/>
    <w:rsid w:val="00F2464C"/>
    <w:rsid w:val="00F2523A"/>
    <w:rsid w:val="00F25442"/>
    <w:rsid w:val="00F25D68"/>
    <w:rsid w:val="00F25FFA"/>
    <w:rsid w:val="00F310D2"/>
    <w:rsid w:val="00F36F3D"/>
    <w:rsid w:val="00F37C48"/>
    <w:rsid w:val="00F477BD"/>
    <w:rsid w:val="00F50333"/>
    <w:rsid w:val="00F529D7"/>
    <w:rsid w:val="00F53491"/>
    <w:rsid w:val="00F54656"/>
    <w:rsid w:val="00F55386"/>
    <w:rsid w:val="00F56411"/>
    <w:rsid w:val="00F60181"/>
    <w:rsid w:val="00F64AAD"/>
    <w:rsid w:val="00F65A1C"/>
    <w:rsid w:val="00F66066"/>
    <w:rsid w:val="00F66F50"/>
    <w:rsid w:val="00F77432"/>
    <w:rsid w:val="00F81162"/>
    <w:rsid w:val="00F82FF8"/>
    <w:rsid w:val="00F8330D"/>
    <w:rsid w:val="00F84305"/>
    <w:rsid w:val="00F8485C"/>
    <w:rsid w:val="00F860AE"/>
    <w:rsid w:val="00F87149"/>
    <w:rsid w:val="00F87FFE"/>
    <w:rsid w:val="00F954C9"/>
    <w:rsid w:val="00F96705"/>
    <w:rsid w:val="00F972F2"/>
    <w:rsid w:val="00FA002D"/>
    <w:rsid w:val="00FA4CF0"/>
    <w:rsid w:val="00FA61AA"/>
    <w:rsid w:val="00FA69A4"/>
    <w:rsid w:val="00FB1279"/>
    <w:rsid w:val="00FB1495"/>
    <w:rsid w:val="00FB1F4A"/>
    <w:rsid w:val="00FB6663"/>
    <w:rsid w:val="00FB791F"/>
    <w:rsid w:val="00FC20F8"/>
    <w:rsid w:val="00FD1001"/>
    <w:rsid w:val="00FD1694"/>
    <w:rsid w:val="00FD63D1"/>
    <w:rsid w:val="00FD7636"/>
    <w:rsid w:val="00FE3229"/>
    <w:rsid w:val="00FE74C3"/>
    <w:rsid w:val="00FF215C"/>
    <w:rsid w:val="00FF379E"/>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Body Text" w:uiPriority="0" w:qFormat="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5E48CF"/>
    <w:rPr>
      <w:color w:val="800080" w:themeColor="followedHyperlink"/>
      <w:u w:val="single"/>
    </w:rPr>
  </w:style>
  <w:style w:type="character" w:styleId="CommentReference">
    <w:name w:val="annotation reference"/>
    <w:basedOn w:val="DefaultParagraphFont"/>
    <w:uiPriority w:val="99"/>
    <w:semiHidden/>
    <w:unhideWhenUsed/>
    <w:rsid w:val="00541918"/>
    <w:rPr>
      <w:sz w:val="16"/>
      <w:szCs w:val="16"/>
    </w:rPr>
  </w:style>
  <w:style w:type="paragraph" w:styleId="CommentText">
    <w:name w:val="annotation text"/>
    <w:basedOn w:val="Normal"/>
    <w:link w:val="CommentTextChar"/>
    <w:uiPriority w:val="99"/>
    <w:semiHidden/>
    <w:unhideWhenUsed/>
    <w:rsid w:val="00541918"/>
    <w:rPr>
      <w:sz w:val="20"/>
      <w:szCs w:val="20"/>
    </w:rPr>
  </w:style>
  <w:style w:type="character" w:customStyle="1" w:styleId="CommentTextChar">
    <w:name w:val="Comment Text Char"/>
    <w:basedOn w:val="DefaultParagraphFont"/>
    <w:link w:val="CommentText"/>
    <w:uiPriority w:val="99"/>
    <w:semiHidden/>
    <w:rsid w:val="0054191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41918"/>
    <w:rPr>
      <w:b/>
      <w:bCs/>
    </w:rPr>
  </w:style>
  <w:style w:type="character" w:customStyle="1" w:styleId="CommentSubjectChar">
    <w:name w:val="Comment Subject Char"/>
    <w:basedOn w:val="CommentTextChar"/>
    <w:link w:val="CommentSubject"/>
    <w:uiPriority w:val="99"/>
    <w:semiHidden/>
    <w:rsid w:val="00541918"/>
    <w:rPr>
      <w:rFonts w:ascii="Times New Roman" w:eastAsia="Times New Roman" w:hAnsi="Times New Roman"/>
      <w:b/>
      <w:bCs/>
      <w:lang w:eastAsia="en-US"/>
    </w:rPr>
  </w:style>
  <w:style w:type="paragraph" w:styleId="BodyText">
    <w:name w:val="Body Text"/>
    <w:basedOn w:val="Normal"/>
    <w:link w:val="BodyTextChar"/>
    <w:qFormat/>
    <w:rsid w:val="008D54EB"/>
    <w:pPr>
      <w:spacing w:line="260" w:lineRule="atLeast"/>
      <w:jc w:val="both"/>
    </w:pPr>
    <w:rPr>
      <w:rFonts w:ascii="Verdana" w:hAnsi="Verdana"/>
      <w:sz w:val="18"/>
      <w:szCs w:val="20"/>
    </w:rPr>
  </w:style>
  <w:style w:type="character" w:customStyle="1" w:styleId="BodyTextChar">
    <w:name w:val="Body Text Char"/>
    <w:basedOn w:val="DefaultParagraphFont"/>
    <w:link w:val="BodyText"/>
    <w:rsid w:val="008D54EB"/>
    <w:rPr>
      <w:rFonts w:ascii="Verdana" w:eastAsia="Times New Roman" w:hAnsi="Verdana"/>
      <w:sz w:val="18"/>
      <w:lang w:eastAsia="en-US"/>
    </w:rPr>
  </w:style>
  <w:style w:type="character" w:styleId="Emphasis">
    <w:name w:val="Emphasis"/>
    <w:uiPriority w:val="20"/>
    <w:qFormat/>
    <w:rsid w:val="008D54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5E48CF"/>
    <w:rPr>
      <w:color w:val="800080" w:themeColor="followedHyperlink"/>
      <w:u w:val="single"/>
    </w:rPr>
  </w:style>
  <w:style w:type="character" w:styleId="CommentReference">
    <w:name w:val="annotation reference"/>
    <w:basedOn w:val="DefaultParagraphFont"/>
    <w:uiPriority w:val="99"/>
    <w:semiHidden/>
    <w:unhideWhenUsed/>
    <w:rsid w:val="00541918"/>
    <w:rPr>
      <w:sz w:val="16"/>
      <w:szCs w:val="16"/>
    </w:rPr>
  </w:style>
  <w:style w:type="paragraph" w:styleId="CommentText">
    <w:name w:val="annotation text"/>
    <w:basedOn w:val="Normal"/>
    <w:link w:val="CommentTextChar"/>
    <w:uiPriority w:val="99"/>
    <w:semiHidden/>
    <w:unhideWhenUsed/>
    <w:rsid w:val="00541918"/>
    <w:rPr>
      <w:sz w:val="20"/>
      <w:szCs w:val="20"/>
    </w:rPr>
  </w:style>
  <w:style w:type="character" w:customStyle="1" w:styleId="CommentTextChar">
    <w:name w:val="Comment Text Char"/>
    <w:basedOn w:val="DefaultParagraphFont"/>
    <w:link w:val="CommentText"/>
    <w:uiPriority w:val="99"/>
    <w:semiHidden/>
    <w:rsid w:val="0054191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41918"/>
    <w:rPr>
      <w:b/>
      <w:bCs/>
    </w:rPr>
  </w:style>
  <w:style w:type="character" w:customStyle="1" w:styleId="CommentSubjectChar">
    <w:name w:val="Comment Subject Char"/>
    <w:basedOn w:val="CommentTextChar"/>
    <w:link w:val="CommentSubject"/>
    <w:uiPriority w:val="99"/>
    <w:semiHidden/>
    <w:rsid w:val="00541918"/>
    <w:rPr>
      <w:rFonts w:ascii="Times New Roman" w:eastAsia="Times New Roman" w:hAnsi="Times New Roman"/>
      <w:b/>
      <w:bCs/>
      <w:lang w:eastAsia="en-US"/>
    </w:rPr>
  </w:style>
</w:styles>
</file>

<file path=word/webSettings.xml><?xml version="1.0" encoding="utf-8"?>
<w:webSettings xmlns:r="http://schemas.openxmlformats.org/officeDocument/2006/relationships" xmlns:w="http://schemas.openxmlformats.org/wordprocessingml/2006/main">
  <w:divs>
    <w:div w:id="28848331">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48863984">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23028011">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18657603">
      <w:bodyDiv w:val="1"/>
      <w:marLeft w:val="0"/>
      <w:marRight w:val="0"/>
      <w:marTop w:val="0"/>
      <w:marBottom w:val="0"/>
      <w:divBdr>
        <w:top w:val="none" w:sz="0" w:space="0" w:color="auto"/>
        <w:left w:val="none" w:sz="0" w:space="0" w:color="auto"/>
        <w:bottom w:val="none" w:sz="0" w:space="0" w:color="auto"/>
        <w:right w:val="none" w:sz="0" w:space="0" w:color="auto"/>
      </w:divBdr>
    </w:div>
    <w:div w:id="1545561309">
      <w:bodyDiv w:val="1"/>
      <w:marLeft w:val="0"/>
      <w:marRight w:val="0"/>
      <w:marTop w:val="0"/>
      <w:marBottom w:val="0"/>
      <w:divBdr>
        <w:top w:val="none" w:sz="0" w:space="0" w:color="auto"/>
        <w:left w:val="none" w:sz="0" w:space="0" w:color="auto"/>
        <w:bottom w:val="none" w:sz="0" w:space="0" w:color="auto"/>
        <w:right w:val="none" w:sz="0" w:space="0" w:color="auto"/>
      </w:divBdr>
      <w:divsChild>
        <w:div w:id="1244797400">
          <w:marLeft w:val="187"/>
          <w:marRight w:val="0"/>
          <w:marTop w:val="115"/>
          <w:marBottom w:val="0"/>
          <w:divBdr>
            <w:top w:val="none" w:sz="0" w:space="0" w:color="auto"/>
            <w:left w:val="none" w:sz="0" w:space="0" w:color="auto"/>
            <w:bottom w:val="none" w:sz="0" w:space="0" w:color="auto"/>
            <w:right w:val="none" w:sz="0" w:space="0" w:color="auto"/>
          </w:divBdr>
        </w:div>
        <w:div w:id="218977819">
          <w:marLeft w:val="187"/>
          <w:marRight w:val="0"/>
          <w:marTop w:val="115"/>
          <w:marBottom w:val="0"/>
          <w:divBdr>
            <w:top w:val="none" w:sz="0" w:space="0" w:color="auto"/>
            <w:left w:val="none" w:sz="0" w:space="0" w:color="auto"/>
            <w:bottom w:val="none" w:sz="0" w:space="0" w:color="auto"/>
            <w:right w:val="none" w:sz="0" w:space="0" w:color="auto"/>
          </w:divBdr>
        </w:div>
      </w:divsChild>
    </w:div>
    <w:div w:id="16779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vironment.gov.au/coal-seam-gas-mining/project-advice/pubs/iesc-information-guidelines.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ashtoncoal.com.au/Resources/Reports--Publications/Subsidence-Management-Extraction-Plans/Pikes-Gully-Subsidence-Management-Extraction-Plans/Longwall-5-8/Appendix-B-Hydraulic-Connection-Assess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7C4B6-A22D-4189-9353-63C0AE3A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7996</Words>
  <Characters>45580</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2014-09-17T03:14:00Z</dcterms:created>
  <dcterms:modified xsi:type="dcterms:W3CDTF">2014-09-17T03:14:00Z</dcterms:modified>
</cp:coreProperties>
</file>