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r w:rsidR="00F5233F">
        <w:rPr>
          <w:rFonts w:ascii="Arial" w:hAnsi="Arial" w:cs="Arial"/>
          <w:b/>
        </w:rPr>
        <w:t xml:space="preserve"> </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Pr="003138AC" w:rsidRDefault="00F027B8" w:rsidP="003138AC">
      <w:pPr>
        <w:pStyle w:val="Header"/>
        <w:keepLines/>
        <w:tabs>
          <w:tab w:val="left" w:pos="2835"/>
        </w:tabs>
        <w:spacing w:after="200" w:line="276" w:lineRule="auto"/>
        <w:ind w:right="-289"/>
        <w:rPr>
          <w:rFonts w:ascii="Arial" w:hAnsi="Arial" w:cs="Arial"/>
          <w:b/>
          <w:sz w:val="2"/>
        </w:rPr>
      </w:pPr>
    </w:p>
    <w:p w:rsidR="001765DA" w:rsidRPr="002A5EC3" w:rsidRDefault="00F027B8" w:rsidP="00B4690F">
      <w:pPr>
        <w:pStyle w:val="Header"/>
        <w:keepLines/>
        <w:tabs>
          <w:tab w:val="left" w:pos="2835"/>
        </w:tabs>
        <w:spacing w:after="200" w:line="276" w:lineRule="auto"/>
        <w:jc w:val="center"/>
        <w:rPr>
          <w:rFonts w:ascii="Arial" w:hAnsi="Arial" w:cs="Arial"/>
          <w:b/>
        </w:rPr>
      </w:pPr>
      <w:r>
        <w:rPr>
          <w:rFonts w:ascii="Arial" w:hAnsi="Arial" w:cs="Arial"/>
          <w:b/>
        </w:rPr>
        <w:t>Advi</w:t>
      </w:r>
      <w:r w:rsidR="001765DA" w:rsidRPr="002A5EC3">
        <w:rPr>
          <w:rFonts w:ascii="Arial" w:hAnsi="Arial" w:cs="Arial"/>
          <w:b/>
        </w:rPr>
        <w:t>ce to decision maker on coal mining</w:t>
      </w:r>
      <w:r w:rsidR="00E21678" w:rsidRPr="002A5EC3">
        <w:rPr>
          <w:rFonts w:ascii="Arial" w:hAnsi="Arial" w:cs="Arial"/>
          <w:b/>
        </w:rPr>
        <w:t xml:space="preserve"> project</w:t>
      </w:r>
    </w:p>
    <w:p w:rsidR="004861E6" w:rsidRPr="005767C4" w:rsidRDefault="00D10C4C" w:rsidP="00A21440">
      <w:pPr>
        <w:pStyle w:val="Header"/>
        <w:keepLines/>
        <w:tabs>
          <w:tab w:val="left" w:pos="2835"/>
        </w:tabs>
        <w:spacing w:after="200" w:line="276" w:lineRule="auto"/>
        <w:jc w:val="center"/>
        <w:rPr>
          <w:rFonts w:ascii="Arial" w:hAnsi="Arial" w:cs="Arial"/>
          <w:b/>
          <w:sz w:val="20"/>
          <w:lang w:eastAsia="en-AU"/>
        </w:rPr>
      </w:pPr>
      <w:r w:rsidRPr="005767C4">
        <w:rPr>
          <w:rFonts w:ascii="Arial" w:hAnsi="Arial" w:cs="Arial"/>
          <w:b/>
          <w:sz w:val="20"/>
          <w:lang w:eastAsia="en-AU"/>
        </w:rPr>
        <w:t xml:space="preserve">IESC </w:t>
      </w:r>
      <w:r w:rsidR="00C43084" w:rsidRPr="005767C4">
        <w:rPr>
          <w:rFonts w:ascii="Arial" w:hAnsi="Arial" w:cs="Arial"/>
          <w:b/>
          <w:sz w:val="20"/>
          <w:lang w:eastAsia="en-AU"/>
        </w:rPr>
        <w:t>201</w:t>
      </w:r>
      <w:r w:rsidR="005767C4" w:rsidRPr="005767C4">
        <w:rPr>
          <w:rFonts w:ascii="Arial" w:hAnsi="Arial" w:cs="Arial"/>
          <w:b/>
          <w:sz w:val="20"/>
          <w:lang w:eastAsia="en-AU"/>
        </w:rPr>
        <w:t>4</w:t>
      </w:r>
      <w:r w:rsidR="00CC27E7" w:rsidRPr="005767C4">
        <w:rPr>
          <w:rFonts w:ascii="Arial" w:hAnsi="Arial" w:cs="Arial"/>
          <w:b/>
          <w:sz w:val="20"/>
          <w:lang w:eastAsia="en-AU"/>
        </w:rPr>
        <w:t>-</w:t>
      </w:r>
      <w:r w:rsidR="005767C4" w:rsidRPr="005767C4">
        <w:rPr>
          <w:rFonts w:ascii="Arial" w:hAnsi="Arial" w:cs="Arial"/>
          <w:b/>
          <w:sz w:val="20"/>
          <w:lang w:eastAsia="en-AU"/>
        </w:rPr>
        <w:t>049</w:t>
      </w:r>
      <w:r w:rsidR="001765DA" w:rsidRPr="005767C4">
        <w:rPr>
          <w:rFonts w:ascii="Arial" w:hAnsi="Arial" w:cs="Arial"/>
          <w:b/>
          <w:sz w:val="20"/>
          <w:lang w:eastAsia="en-AU"/>
        </w:rPr>
        <w:t>:</w:t>
      </w:r>
      <w:r w:rsidR="002974BC" w:rsidRPr="005767C4">
        <w:rPr>
          <w:rFonts w:ascii="Arial" w:hAnsi="Arial" w:cs="Arial"/>
          <w:b/>
          <w:sz w:val="20"/>
          <w:lang w:eastAsia="en-AU"/>
        </w:rPr>
        <w:t xml:space="preserve"> </w:t>
      </w:r>
      <w:r w:rsidR="005767C4" w:rsidRPr="005767C4">
        <w:rPr>
          <w:rFonts w:ascii="Arial" w:hAnsi="Arial" w:cs="Arial"/>
          <w:b/>
          <w:sz w:val="20"/>
          <w:lang w:eastAsia="en-AU"/>
        </w:rPr>
        <w:t>Taroborah Coal Project (EPBC 2012/6262)</w:t>
      </w:r>
      <w:r w:rsidR="00C803D7" w:rsidRPr="005767C4">
        <w:rPr>
          <w:rFonts w:ascii="Arial" w:hAnsi="Arial" w:cs="Arial"/>
          <w:b/>
          <w:sz w:val="20"/>
          <w:lang w:eastAsia="en-AU"/>
        </w:rPr>
        <w:t xml:space="preserve"> </w:t>
      </w:r>
      <w:r w:rsidR="008203E0">
        <w:rPr>
          <w:rFonts w:ascii="Arial" w:hAnsi="Arial" w:cs="Arial"/>
          <w:b/>
          <w:sz w:val="20"/>
          <w:lang w:eastAsia="en-AU"/>
        </w:rPr>
        <w:t xml:space="preserve">- </w:t>
      </w:r>
      <w:r w:rsidR="00C803D7" w:rsidRPr="005767C4">
        <w:rPr>
          <w:rFonts w:ascii="Arial" w:hAnsi="Arial" w:cs="Arial"/>
          <w:b/>
          <w:sz w:val="20"/>
          <w:lang w:eastAsia="en-AU"/>
        </w:rPr>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2A5EC3" w:rsidTr="009110D5">
        <w:trPr>
          <w:trHeight w:val="563"/>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b w:val="0"/>
                <w:color w:val="FF0000"/>
                <w:sz w:val="20"/>
              </w:rPr>
            </w:pPr>
            <w:r w:rsidRPr="002A5EC3">
              <w:rPr>
                <w:rFonts w:cs="Arial"/>
                <w:sz w:val="20"/>
              </w:rPr>
              <w:t>Requesting agency</w:t>
            </w:r>
          </w:p>
        </w:tc>
        <w:tc>
          <w:tcPr>
            <w:tcW w:w="8159" w:type="dxa"/>
            <w:tcBorders>
              <w:top w:val="single" w:sz="4" w:space="0" w:color="auto"/>
              <w:bottom w:val="single" w:sz="4" w:space="0" w:color="auto"/>
            </w:tcBorders>
          </w:tcPr>
          <w:p w:rsidR="00B1520C" w:rsidRPr="00C43084" w:rsidRDefault="00B1520C" w:rsidP="009110D5">
            <w:pPr>
              <w:spacing w:line="276" w:lineRule="auto"/>
              <w:ind w:left="369" w:hanging="369"/>
              <w:rPr>
                <w:rFonts w:ascii="Arial" w:hAnsi="Arial" w:cs="Arial"/>
                <w:sz w:val="20"/>
                <w:szCs w:val="20"/>
              </w:rPr>
            </w:pPr>
            <w:r w:rsidRPr="00C43084">
              <w:rPr>
                <w:rFonts w:ascii="Arial" w:hAnsi="Arial" w:cs="Arial"/>
                <w:sz w:val="20"/>
                <w:szCs w:val="20"/>
              </w:rPr>
              <w:t xml:space="preserve">The </w:t>
            </w:r>
            <w:r w:rsidR="00C43084">
              <w:rPr>
                <w:rFonts w:ascii="Arial" w:hAnsi="Arial" w:cs="Arial"/>
                <w:sz w:val="20"/>
                <w:szCs w:val="20"/>
              </w:rPr>
              <w:t xml:space="preserve">Australian Government </w:t>
            </w:r>
            <w:r w:rsidR="001765DA" w:rsidRPr="00C43084">
              <w:rPr>
                <w:rFonts w:ascii="Arial" w:hAnsi="Arial" w:cs="Arial"/>
                <w:sz w:val="20"/>
                <w:szCs w:val="20"/>
              </w:rPr>
              <w:t>Dep</w:t>
            </w:r>
            <w:bookmarkStart w:id="0" w:name="_GoBack"/>
            <w:bookmarkEnd w:id="0"/>
            <w:r w:rsidR="001765DA" w:rsidRPr="00C43084">
              <w:rPr>
                <w:rFonts w:ascii="Arial" w:hAnsi="Arial" w:cs="Arial"/>
                <w:sz w:val="20"/>
                <w:szCs w:val="20"/>
              </w:rPr>
              <w:t xml:space="preserve">artment of </w:t>
            </w:r>
            <w:r w:rsidR="00616861" w:rsidRPr="00C43084">
              <w:rPr>
                <w:rFonts w:ascii="Arial" w:hAnsi="Arial" w:cs="Arial"/>
                <w:sz w:val="20"/>
                <w:szCs w:val="20"/>
              </w:rPr>
              <w:t>the</w:t>
            </w:r>
            <w:r w:rsidR="001765DA" w:rsidRPr="00C43084">
              <w:rPr>
                <w:rFonts w:ascii="Arial" w:hAnsi="Arial" w:cs="Arial"/>
                <w:sz w:val="20"/>
                <w:szCs w:val="20"/>
              </w:rPr>
              <w:t xml:space="preserve"> Environment</w:t>
            </w:r>
            <w:r w:rsidRPr="00C43084">
              <w:rPr>
                <w:rFonts w:ascii="Arial" w:hAnsi="Arial" w:cs="Arial"/>
                <w:sz w:val="20"/>
                <w:szCs w:val="20"/>
              </w:rPr>
              <w:t xml:space="preserve"> </w:t>
            </w:r>
          </w:p>
          <w:p w:rsidR="003E2BDB" w:rsidRPr="00C43084" w:rsidRDefault="0009196E" w:rsidP="005767C4">
            <w:pPr>
              <w:spacing w:line="276" w:lineRule="auto"/>
              <w:ind w:left="369" w:hanging="369"/>
              <w:rPr>
                <w:rFonts w:ascii="Arial" w:hAnsi="Arial" w:cs="Arial"/>
                <w:sz w:val="20"/>
                <w:szCs w:val="20"/>
              </w:rPr>
            </w:pPr>
            <w:r w:rsidRPr="00C43084">
              <w:rPr>
                <w:rFonts w:ascii="Arial" w:hAnsi="Arial" w:cs="Arial"/>
                <w:sz w:val="20"/>
                <w:szCs w:val="20"/>
              </w:rPr>
              <w:t>The</w:t>
            </w:r>
            <w:r w:rsidR="00C43084" w:rsidRPr="00C43084">
              <w:rPr>
                <w:rFonts w:ascii="Arial" w:hAnsi="Arial" w:cs="Arial"/>
                <w:sz w:val="20"/>
                <w:szCs w:val="20"/>
              </w:rPr>
              <w:t xml:space="preserve"> Queensland</w:t>
            </w:r>
            <w:r w:rsidRPr="00C43084">
              <w:rPr>
                <w:rFonts w:ascii="Arial" w:hAnsi="Arial" w:cs="Arial"/>
                <w:sz w:val="20"/>
                <w:szCs w:val="20"/>
              </w:rPr>
              <w:t xml:space="preserve"> Department of Environment and </w:t>
            </w:r>
            <w:r w:rsidR="00062A46" w:rsidRPr="00C43084">
              <w:rPr>
                <w:rFonts w:ascii="Arial" w:hAnsi="Arial" w:cs="Arial"/>
                <w:sz w:val="20"/>
                <w:szCs w:val="20"/>
              </w:rPr>
              <w:t>Heritage Protection</w:t>
            </w:r>
          </w:p>
        </w:tc>
      </w:tr>
      <w:tr w:rsidR="001765DA" w:rsidRPr="002A5EC3" w:rsidTr="009110D5">
        <w:trPr>
          <w:trHeight w:val="19"/>
        </w:trPr>
        <w:tc>
          <w:tcPr>
            <w:tcW w:w="1809" w:type="dxa"/>
            <w:tcBorders>
              <w:top w:val="single" w:sz="4" w:space="0" w:color="auto"/>
              <w:bottom w:val="single" w:sz="4" w:space="0" w:color="auto"/>
            </w:tcBorders>
          </w:tcPr>
          <w:p w:rsidR="001765DA" w:rsidRPr="002A5EC3" w:rsidRDefault="001765DA" w:rsidP="009110D5">
            <w:pPr>
              <w:pStyle w:val="tablelabel"/>
              <w:spacing w:line="276" w:lineRule="auto"/>
              <w:rPr>
                <w:rFonts w:cs="Arial"/>
                <w:sz w:val="20"/>
              </w:rPr>
            </w:pPr>
            <w:r w:rsidRPr="002A5EC3">
              <w:rPr>
                <w:rFonts w:cs="Arial"/>
                <w:sz w:val="20"/>
              </w:rPr>
              <w:t>Date of request</w:t>
            </w:r>
          </w:p>
        </w:tc>
        <w:tc>
          <w:tcPr>
            <w:tcW w:w="8159" w:type="dxa"/>
            <w:tcBorders>
              <w:top w:val="single" w:sz="4" w:space="0" w:color="auto"/>
              <w:bottom w:val="single" w:sz="4" w:space="0" w:color="auto"/>
            </w:tcBorders>
          </w:tcPr>
          <w:p w:rsidR="001765DA" w:rsidRPr="002A5EC3" w:rsidRDefault="005767C4" w:rsidP="002C0BF8">
            <w:pPr>
              <w:spacing w:line="276" w:lineRule="auto"/>
              <w:rPr>
                <w:rFonts w:ascii="Arial" w:hAnsi="Arial" w:cs="Arial"/>
                <w:sz w:val="20"/>
                <w:szCs w:val="20"/>
              </w:rPr>
            </w:pPr>
            <w:r>
              <w:rPr>
                <w:rFonts w:ascii="Arial" w:hAnsi="Arial" w:cs="Arial"/>
                <w:sz w:val="20"/>
                <w:szCs w:val="20"/>
              </w:rPr>
              <w:t>0</w:t>
            </w:r>
            <w:r w:rsidR="002C0BF8">
              <w:rPr>
                <w:rFonts w:ascii="Arial" w:hAnsi="Arial" w:cs="Arial"/>
                <w:sz w:val="20"/>
                <w:szCs w:val="20"/>
              </w:rPr>
              <w:t>7</w:t>
            </w:r>
            <w:r w:rsidR="00A10BAB" w:rsidRPr="002A5EC3">
              <w:rPr>
                <w:rFonts w:ascii="Arial" w:hAnsi="Arial" w:cs="Arial"/>
                <w:sz w:val="20"/>
                <w:szCs w:val="20"/>
              </w:rPr>
              <w:t xml:space="preserve"> </w:t>
            </w:r>
            <w:r>
              <w:rPr>
                <w:rFonts w:ascii="Arial" w:hAnsi="Arial" w:cs="Arial"/>
                <w:sz w:val="20"/>
                <w:szCs w:val="20"/>
              </w:rPr>
              <w:t>May</w:t>
            </w:r>
            <w:r w:rsidR="00A10BAB" w:rsidRPr="002A5EC3">
              <w:rPr>
                <w:rFonts w:ascii="Arial" w:hAnsi="Arial" w:cs="Arial"/>
                <w:sz w:val="20"/>
                <w:szCs w:val="20"/>
              </w:rPr>
              <w:t xml:space="preserve"> </w:t>
            </w:r>
            <w:r w:rsidR="00716583" w:rsidRPr="002A5EC3">
              <w:rPr>
                <w:rFonts w:ascii="Arial" w:hAnsi="Arial" w:cs="Arial"/>
                <w:sz w:val="20"/>
                <w:szCs w:val="20"/>
              </w:rPr>
              <w:t>201</w:t>
            </w:r>
            <w:r>
              <w:rPr>
                <w:rFonts w:ascii="Arial" w:hAnsi="Arial" w:cs="Arial"/>
                <w:sz w:val="20"/>
                <w:szCs w:val="20"/>
              </w:rPr>
              <w:t>4</w:t>
            </w:r>
          </w:p>
        </w:tc>
      </w:tr>
      <w:tr w:rsidR="00185039" w:rsidRPr="002A5EC3" w:rsidTr="009110D5">
        <w:trPr>
          <w:trHeight w:val="19"/>
        </w:trPr>
        <w:tc>
          <w:tcPr>
            <w:tcW w:w="1809" w:type="dxa"/>
            <w:tcBorders>
              <w:top w:val="single" w:sz="4" w:space="0" w:color="auto"/>
              <w:bottom w:val="single" w:sz="4" w:space="0" w:color="auto"/>
            </w:tcBorders>
          </w:tcPr>
          <w:p w:rsidR="00185039" w:rsidRPr="002A5EC3" w:rsidRDefault="00185039" w:rsidP="009110D5">
            <w:pPr>
              <w:pStyle w:val="tablelabel"/>
              <w:spacing w:line="276" w:lineRule="auto"/>
              <w:rPr>
                <w:rFonts w:cs="Arial"/>
                <w:sz w:val="20"/>
              </w:rPr>
            </w:pPr>
            <w:r w:rsidRPr="002A5EC3">
              <w:rPr>
                <w:rFonts w:cs="Arial"/>
                <w:sz w:val="20"/>
              </w:rPr>
              <w:t>Date request accepted</w:t>
            </w:r>
          </w:p>
        </w:tc>
        <w:tc>
          <w:tcPr>
            <w:tcW w:w="8159" w:type="dxa"/>
            <w:tcBorders>
              <w:top w:val="single" w:sz="4" w:space="0" w:color="auto"/>
              <w:bottom w:val="single" w:sz="4" w:space="0" w:color="auto"/>
            </w:tcBorders>
          </w:tcPr>
          <w:p w:rsidR="00185039" w:rsidRPr="002A5EC3" w:rsidRDefault="002C0BF8" w:rsidP="002C0BF8">
            <w:pPr>
              <w:spacing w:line="276" w:lineRule="auto"/>
              <w:rPr>
                <w:rFonts w:ascii="Arial" w:hAnsi="Arial" w:cs="Arial"/>
                <w:color w:val="FF0000"/>
                <w:sz w:val="20"/>
                <w:szCs w:val="20"/>
              </w:rPr>
            </w:pPr>
            <w:r>
              <w:rPr>
                <w:rFonts w:ascii="Arial" w:hAnsi="Arial" w:cs="Arial"/>
                <w:sz w:val="20"/>
                <w:szCs w:val="20"/>
              </w:rPr>
              <w:t>07</w:t>
            </w:r>
            <w:r w:rsidR="00185039" w:rsidRPr="002A5EC3">
              <w:rPr>
                <w:rFonts w:ascii="Arial" w:hAnsi="Arial" w:cs="Arial"/>
                <w:sz w:val="20"/>
                <w:szCs w:val="20"/>
              </w:rPr>
              <w:t xml:space="preserve"> </w:t>
            </w:r>
            <w:r>
              <w:rPr>
                <w:rFonts w:ascii="Arial" w:hAnsi="Arial" w:cs="Arial"/>
                <w:sz w:val="20"/>
                <w:szCs w:val="20"/>
              </w:rPr>
              <w:t>May</w:t>
            </w:r>
            <w:r w:rsidR="00185039" w:rsidRPr="002A5EC3">
              <w:rPr>
                <w:rFonts w:ascii="Arial" w:hAnsi="Arial" w:cs="Arial"/>
                <w:sz w:val="20"/>
                <w:szCs w:val="20"/>
              </w:rPr>
              <w:t xml:space="preserve"> 201</w:t>
            </w:r>
            <w:r>
              <w:rPr>
                <w:rFonts w:ascii="Arial" w:hAnsi="Arial" w:cs="Arial"/>
                <w:sz w:val="20"/>
                <w:szCs w:val="20"/>
              </w:rPr>
              <w:t>4</w:t>
            </w:r>
          </w:p>
        </w:tc>
      </w:tr>
      <w:tr w:rsidR="00062A46" w:rsidRPr="002A5EC3" w:rsidTr="009110D5">
        <w:trPr>
          <w:trHeight w:val="19"/>
        </w:trPr>
        <w:tc>
          <w:tcPr>
            <w:tcW w:w="1809" w:type="dxa"/>
            <w:tcBorders>
              <w:top w:val="single" w:sz="4" w:space="0" w:color="auto"/>
              <w:bottom w:val="single" w:sz="4" w:space="0" w:color="auto"/>
            </w:tcBorders>
          </w:tcPr>
          <w:p w:rsidR="00062A46" w:rsidRPr="00B451D3" w:rsidRDefault="00062A46" w:rsidP="009110D5">
            <w:pPr>
              <w:pStyle w:val="tablelabel"/>
              <w:spacing w:line="276" w:lineRule="auto"/>
              <w:rPr>
                <w:rFonts w:cs="Arial"/>
                <w:b w:val="0"/>
                <w:color w:val="FF0000"/>
                <w:sz w:val="20"/>
              </w:rPr>
            </w:pPr>
            <w:r>
              <w:rPr>
                <w:rFonts w:cs="Arial"/>
                <w:sz w:val="20"/>
              </w:rPr>
              <w:t xml:space="preserve">Advice stage </w:t>
            </w:r>
          </w:p>
        </w:tc>
        <w:tc>
          <w:tcPr>
            <w:tcW w:w="8159" w:type="dxa"/>
            <w:tcBorders>
              <w:top w:val="single" w:sz="4" w:space="0" w:color="auto"/>
              <w:bottom w:val="single" w:sz="4" w:space="0" w:color="auto"/>
            </w:tcBorders>
          </w:tcPr>
          <w:p w:rsidR="00062A46" w:rsidRPr="00B451D3" w:rsidRDefault="002C0BF8" w:rsidP="009110D5">
            <w:pPr>
              <w:autoSpaceDE w:val="0"/>
              <w:autoSpaceDN w:val="0"/>
              <w:adjustRightInd w:val="0"/>
              <w:spacing w:line="276" w:lineRule="auto"/>
              <w:rPr>
                <w:rFonts w:ascii="Arial" w:hAnsi="Arial" w:cs="Arial"/>
                <w:sz w:val="20"/>
                <w:szCs w:val="20"/>
                <w:lang w:eastAsia="en-AU"/>
              </w:rPr>
            </w:pPr>
            <w:r>
              <w:rPr>
                <w:rFonts w:ascii="Arial" w:hAnsi="Arial" w:cs="Arial"/>
                <w:sz w:val="20"/>
                <w:lang w:eastAsia="en-AU"/>
              </w:rPr>
              <w:t>Assessment</w:t>
            </w:r>
          </w:p>
        </w:tc>
      </w:tr>
    </w:tbl>
    <w:p w:rsidR="00A622EC" w:rsidRDefault="00A622EC" w:rsidP="007203C3">
      <w:pPr>
        <w:pStyle w:val="tablelabel"/>
        <w:spacing w:before="200" w:after="200" w:line="276" w:lineRule="auto"/>
        <w:rPr>
          <w:rFonts w:cs="Arial"/>
          <w:sz w:val="20"/>
        </w:rPr>
      </w:pPr>
      <w:r>
        <w:rPr>
          <w:rFonts w:cs="Arial"/>
          <w:sz w:val="20"/>
        </w:rPr>
        <w:t>Context</w:t>
      </w:r>
    </w:p>
    <w:p w:rsidR="00A622EC" w:rsidRPr="00EE6DE2" w:rsidRDefault="00A622EC" w:rsidP="00A622EC">
      <w:pPr>
        <w:autoSpaceDE w:val="0"/>
        <w:autoSpaceDN w:val="0"/>
        <w:adjustRightInd w:val="0"/>
        <w:spacing w:after="200" w:line="276" w:lineRule="auto"/>
        <w:rPr>
          <w:rFonts w:ascii="Arial" w:hAnsi="Arial" w:cs="Arial"/>
          <w:sz w:val="20"/>
          <w:szCs w:val="20"/>
        </w:rPr>
      </w:pPr>
      <w:r w:rsidRPr="00EE6DE2">
        <w:rPr>
          <w:rFonts w:ascii="Arial" w:hAnsi="Arial" w:cs="Arial"/>
          <w:sz w:val="20"/>
          <w:szCs w:val="20"/>
        </w:rPr>
        <w:t xml:space="preserve">The Independent Expert Scientific Committee on Coal Seam Gas and Large Coal Mining Development (the IESC) was requested by the Australian Government Department of the Environment </w:t>
      </w:r>
      <w:r w:rsidR="002C0BF8" w:rsidRPr="00EE6DE2">
        <w:rPr>
          <w:rFonts w:ascii="Arial" w:hAnsi="Arial" w:cs="Arial"/>
          <w:sz w:val="20"/>
          <w:szCs w:val="20"/>
        </w:rPr>
        <w:t>and</w:t>
      </w:r>
      <w:r w:rsidRPr="00EE6DE2">
        <w:rPr>
          <w:rFonts w:ascii="Arial" w:hAnsi="Arial" w:cs="Arial"/>
          <w:sz w:val="20"/>
          <w:szCs w:val="20"/>
        </w:rPr>
        <w:t xml:space="preserve"> </w:t>
      </w:r>
      <w:r w:rsidR="00EE6DE2" w:rsidRPr="00EE6DE2">
        <w:rPr>
          <w:rFonts w:ascii="Arial" w:hAnsi="Arial" w:cs="Arial"/>
          <w:sz w:val="20"/>
          <w:szCs w:val="20"/>
        </w:rPr>
        <w:t>t</w:t>
      </w:r>
      <w:r w:rsidRPr="00EE6DE2">
        <w:rPr>
          <w:rFonts w:ascii="Arial" w:hAnsi="Arial" w:cs="Arial"/>
          <w:sz w:val="20"/>
          <w:szCs w:val="20"/>
        </w:rPr>
        <w:t xml:space="preserve">he Queensland Department of Environment and Heritage Protection to provide advice on the </w:t>
      </w:r>
      <w:r w:rsidR="002C0BF8" w:rsidRPr="00EE6DE2">
        <w:rPr>
          <w:rFonts w:ascii="Arial" w:hAnsi="Arial" w:cs="Arial"/>
          <w:sz w:val="20"/>
          <w:szCs w:val="20"/>
        </w:rPr>
        <w:t>Shenhuo International Group Pty Ltd</w:t>
      </w:r>
      <w:r w:rsidR="00262F5A">
        <w:rPr>
          <w:rFonts w:ascii="Arial" w:hAnsi="Arial" w:cs="Arial"/>
          <w:sz w:val="20"/>
          <w:szCs w:val="20"/>
        </w:rPr>
        <w:t xml:space="preserve"> (the proponent)</w:t>
      </w:r>
      <w:r w:rsidR="00400B84" w:rsidRPr="00EE6DE2">
        <w:rPr>
          <w:rFonts w:ascii="Arial" w:hAnsi="Arial" w:cs="Arial"/>
          <w:sz w:val="20"/>
          <w:szCs w:val="20"/>
        </w:rPr>
        <w:t>,</w:t>
      </w:r>
      <w:r w:rsidRPr="00EE6DE2">
        <w:rPr>
          <w:rFonts w:ascii="Arial" w:hAnsi="Arial" w:cs="Arial"/>
          <w:sz w:val="20"/>
          <w:szCs w:val="20"/>
        </w:rPr>
        <w:t xml:space="preserve"> </w:t>
      </w:r>
      <w:r w:rsidR="00400B84" w:rsidRPr="00EE6DE2">
        <w:rPr>
          <w:rFonts w:ascii="Arial" w:hAnsi="Arial" w:cs="Arial"/>
          <w:sz w:val="20"/>
          <w:szCs w:val="20"/>
        </w:rPr>
        <w:t xml:space="preserve">Taroborah Coal </w:t>
      </w:r>
      <w:r w:rsidR="003E39BA">
        <w:rPr>
          <w:rFonts w:ascii="Arial" w:hAnsi="Arial" w:cs="Arial"/>
          <w:sz w:val="20"/>
          <w:szCs w:val="20"/>
        </w:rPr>
        <w:t>p</w:t>
      </w:r>
      <w:r w:rsidR="00400B84" w:rsidRPr="00EE6DE2">
        <w:rPr>
          <w:rFonts w:ascii="Arial" w:hAnsi="Arial" w:cs="Arial"/>
          <w:sz w:val="20"/>
          <w:szCs w:val="20"/>
        </w:rPr>
        <w:t>roject</w:t>
      </w:r>
      <w:r w:rsidR="004B5A51" w:rsidRPr="00EE6DE2">
        <w:rPr>
          <w:rFonts w:ascii="Arial" w:hAnsi="Arial" w:cs="Arial"/>
          <w:sz w:val="20"/>
          <w:szCs w:val="20"/>
        </w:rPr>
        <w:t xml:space="preserve"> </w:t>
      </w:r>
      <w:r w:rsidRPr="00EE6DE2">
        <w:rPr>
          <w:rFonts w:ascii="Arial" w:hAnsi="Arial" w:cs="Arial"/>
          <w:sz w:val="20"/>
          <w:szCs w:val="20"/>
        </w:rPr>
        <w:t xml:space="preserve">in </w:t>
      </w:r>
      <w:r w:rsidR="00400B84" w:rsidRPr="00EE6DE2">
        <w:rPr>
          <w:rFonts w:ascii="Arial" w:hAnsi="Arial" w:cs="Arial"/>
          <w:sz w:val="20"/>
          <w:szCs w:val="20"/>
        </w:rPr>
        <w:t>Queensland</w:t>
      </w:r>
      <w:r w:rsidRPr="00EE6DE2">
        <w:rPr>
          <w:rFonts w:ascii="Arial" w:hAnsi="Arial" w:cs="Arial"/>
          <w:sz w:val="20"/>
          <w:szCs w:val="20"/>
        </w:rPr>
        <w:t>.</w:t>
      </w:r>
    </w:p>
    <w:p w:rsidR="00A622EC" w:rsidRPr="00400B84" w:rsidRDefault="00A622EC" w:rsidP="00A622EC">
      <w:pPr>
        <w:autoSpaceDE w:val="0"/>
        <w:autoSpaceDN w:val="0"/>
        <w:adjustRightInd w:val="0"/>
        <w:spacing w:after="200" w:line="276" w:lineRule="auto"/>
        <w:rPr>
          <w:rFonts w:ascii="Arial" w:hAnsi="Arial" w:cs="Arial"/>
          <w:sz w:val="20"/>
          <w:szCs w:val="20"/>
        </w:rPr>
      </w:pPr>
      <w:r w:rsidRPr="00400B84">
        <w:rPr>
          <w:rFonts w:ascii="Arial" w:hAnsi="Arial" w:cs="Arial"/>
          <w:sz w:val="20"/>
          <w:szCs w:val="20"/>
        </w:rPr>
        <w:t>This advice draws upon aspects of information in the Draft Environmental Impact Statement</w:t>
      </w:r>
      <w:r w:rsidR="00400B84" w:rsidRPr="00400B84">
        <w:rPr>
          <w:rFonts w:ascii="Arial" w:hAnsi="Arial" w:cs="Arial"/>
          <w:sz w:val="20"/>
          <w:szCs w:val="20"/>
        </w:rPr>
        <w:t xml:space="preserve"> (EIS)</w:t>
      </w:r>
      <w:r w:rsidRPr="00400B84">
        <w:rPr>
          <w:rFonts w:ascii="Arial" w:hAnsi="Arial" w:cs="Arial"/>
          <w:sz w:val="20"/>
          <w:szCs w:val="20"/>
        </w:rPr>
        <w:t>, together with the expert deliberations of the IESC. The project documentation and information accessed by the IESC are listed in the source documentation at the end of this advice.</w:t>
      </w:r>
    </w:p>
    <w:p w:rsidR="0088772B" w:rsidRDefault="00262F5A" w:rsidP="0088772B">
      <w:pPr>
        <w:autoSpaceDE w:val="0"/>
        <w:autoSpaceDN w:val="0"/>
        <w:adjustRightInd w:val="0"/>
        <w:spacing w:after="200" w:line="276" w:lineRule="auto"/>
        <w:rPr>
          <w:rFonts w:ascii="Arial" w:hAnsi="Arial" w:cs="Arial"/>
          <w:sz w:val="20"/>
          <w:szCs w:val="20"/>
        </w:rPr>
      </w:pPr>
      <w:r w:rsidRPr="00F60C6D">
        <w:rPr>
          <w:rFonts w:ascii="Arial" w:hAnsi="Arial" w:cs="Arial"/>
          <w:sz w:val="20"/>
          <w:szCs w:val="20"/>
        </w:rPr>
        <w:t xml:space="preserve">The proposed Taroborah </w:t>
      </w:r>
      <w:r w:rsidR="003E39BA">
        <w:rPr>
          <w:rFonts w:ascii="Arial" w:hAnsi="Arial" w:cs="Arial"/>
          <w:sz w:val="20"/>
          <w:szCs w:val="20"/>
        </w:rPr>
        <w:t xml:space="preserve">Coal </w:t>
      </w:r>
      <w:r w:rsidRPr="00F60C6D">
        <w:rPr>
          <w:rFonts w:ascii="Arial" w:hAnsi="Arial" w:cs="Arial"/>
          <w:sz w:val="20"/>
          <w:szCs w:val="20"/>
        </w:rPr>
        <w:t>project is</w:t>
      </w:r>
      <w:r w:rsidR="0088772B" w:rsidRPr="00F60C6D">
        <w:rPr>
          <w:rFonts w:ascii="Arial" w:hAnsi="Arial" w:cs="Arial"/>
          <w:sz w:val="20"/>
          <w:szCs w:val="20"/>
        </w:rPr>
        <w:t xml:space="preserve"> a greenfield open cut and underground coal mine on the western fringe of the Bowen Basin</w:t>
      </w:r>
      <w:r w:rsidR="00FA679A" w:rsidRPr="00F60C6D">
        <w:rPr>
          <w:rFonts w:ascii="Arial" w:hAnsi="Arial" w:cs="Arial"/>
          <w:sz w:val="20"/>
          <w:szCs w:val="20"/>
        </w:rPr>
        <w:t>, approximately 22 km west of Emerald and 20 km east of Anakie,</w:t>
      </w:r>
      <w:r w:rsidR="0088772B" w:rsidRPr="00F60C6D">
        <w:rPr>
          <w:rFonts w:ascii="Arial" w:hAnsi="Arial" w:cs="Arial"/>
          <w:sz w:val="20"/>
          <w:szCs w:val="20"/>
        </w:rPr>
        <w:t xml:space="preserve"> in Queensland. </w:t>
      </w:r>
      <w:r w:rsidR="00FA679A" w:rsidRPr="00F60C6D">
        <w:rPr>
          <w:rFonts w:ascii="Arial" w:hAnsi="Arial" w:cs="Arial"/>
          <w:sz w:val="20"/>
          <w:szCs w:val="20"/>
        </w:rPr>
        <w:t xml:space="preserve">The total coal resource </w:t>
      </w:r>
      <w:r w:rsidR="00237509" w:rsidRPr="00F60C6D">
        <w:rPr>
          <w:rFonts w:ascii="Arial" w:hAnsi="Arial" w:cs="Arial"/>
          <w:sz w:val="20"/>
          <w:szCs w:val="20"/>
        </w:rPr>
        <w:t>proposed to be extracted over the 22 year life of the project is</w:t>
      </w:r>
      <w:r w:rsidR="00FA679A" w:rsidRPr="00F60C6D">
        <w:rPr>
          <w:rFonts w:ascii="Arial" w:hAnsi="Arial" w:cs="Arial"/>
          <w:sz w:val="20"/>
          <w:szCs w:val="20"/>
        </w:rPr>
        <w:t xml:space="preserve"> approximately 202 million to</w:t>
      </w:r>
      <w:r w:rsidR="00237509" w:rsidRPr="00F60C6D">
        <w:rPr>
          <w:rFonts w:ascii="Arial" w:hAnsi="Arial" w:cs="Arial"/>
          <w:sz w:val="20"/>
          <w:szCs w:val="20"/>
        </w:rPr>
        <w:t>nnes of Run of Mine (ROM) coal</w:t>
      </w:r>
      <w:r w:rsidR="00FA679A" w:rsidRPr="00F60C6D">
        <w:rPr>
          <w:rFonts w:ascii="Arial" w:hAnsi="Arial" w:cs="Arial"/>
          <w:sz w:val="20"/>
          <w:szCs w:val="20"/>
        </w:rPr>
        <w:t xml:space="preserve">. </w:t>
      </w:r>
      <w:r w:rsidR="00F60C6D" w:rsidRPr="00F60C6D">
        <w:rPr>
          <w:rFonts w:ascii="Arial" w:hAnsi="Arial" w:cs="Arial"/>
          <w:sz w:val="20"/>
          <w:szCs w:val="20"/>
        </w:rPr>
        <w:t>The project will involve a</w:t>
      </w:r>
      <w:r w:rsidR="00FA679A" w:rsidRPr="00F60C6D">
        <w:rPr>
          <w:rFonts w:ascii="Arial" w:hAnsi="Arial" w:cs="Arial"/>
          <w:sz w:val="20"/>
          <w:szCs w:val="20"/>
        </w:rPr>
        <w:t xml:space="preserve"> seven year open cut mining operation, followed by a 15 year underground longwall operati</w:t>
      </w:r>
      <w:r w:rsidR="00DB0466">
        <w:rPr>
          <w:rFonts w:ascii="Arial" w:hAnsi="Arial" w:cs="Arial"/>
          <w:sz w:val="20"/>
          <w:szCs w:val="20"/>
        </w:rPr>
        <w:t>on producing a maximum of 5.75 m</w:t>
      </w:r>
      <w:r w:rsidR="00FA679A" w:rsidRPr="00F60C6D">
        <w:rPr>
          <w:rFonts w:ascii="Arial" w:hAnsi="Arial" w:cs="Arial"/>
          <w:sz w:val="20"/>
          <w:szCs w:val="20"/>
        </w:rPr>
        <w:t xml:space="preserve">illion tonnes per annum of ROM coal. </w:t>
      </w:r>
      <w:r w:rsidR="0088772B" w:rsidRPr="00F60C6D">
        <w:rPr>
          <w:rFonts w:ascii="Arial" w:hAnsi="Arial" w:cs="Arial"/>
          <w:sz w:val="20"/>
          <w:szCs w:val="20"/>
        </w:rPr>
        <w:t xml:space="preserve">The project </w:t>
      </w:r>
      <w:r w:rsidR="00FA679A" w:rsidRPr="00F60C6D">
        <w:rPr>
          <w:rFonts w:ascii="Arial" w:hAnsi="Arial" w:cs="Arial"/>
          <w:sz w:val="20"/>
          <w:szCs w:val="20"/>
        </w:rPr>
        <w:t xml:space="preserve">disturbance </w:t>
      </w:r>
      <w:r w:rsidR="0088772B" w:rsidRPr="00F60C6D">
        <w:rPr>
          <w:rFonts w:ascii="Arial" w:hAnsi="Arial" w:cs="Arial"/>
          <w:sz w:val="20"/>
          <w:szCs w:val="20"/>
        </w:rPr>
        <w:t xml:space="preserve">area is 5195 ha in size (within the 7966 ha Mining Development License 467) and lies within the Nogoa River catchment area of the Fitzroy River Basin. The project area intersects two </w:t>
      </w:r>
      <w:r w:rsidR="006D5650" w:rsidRPr="00F60C6D">
        <w:rPr>
          <w:rFonts w:ascii="Arial" w:hAnsi="Arial" w:cs="Arial"/>
          <w:sz w:val="20"/>
          <w:szCs w:val="20"/>
        </w:rPr>
        <w:t xml:space="preserve">major </w:t>
      </w:r>
      <w:r w:rsidR="0088772B" w:rsidRPr="00F60C6D">
        <w:rPr>
          <w:rFonts w:ascii="Arial" w:hAnsi="Arial" w:cs="Arial"/>
          <w:sz w:val="20"/>
          <w:szCs w:val="20"/>
        </w:rPr>
        <w:t>tributaries of the Nogoa River; these are Retreat Creek and Taroborah Creek.</w:t>
      </w:r>
    </w:p>
    <w:p w:rsidR="00157479" w:rsidRPr="00F60C6D" w:rsidRDefault="00906CDC" w:rsidP="0088772B">
      <w:pPr>
        <w:autoSpaceDE w:val="0"/>
        <w:autoSpaceDN w:val="0"/>
        <w:adjustRightInd w:val="0"/>
        <w:spacing w:after="200" w:line="276" w:lineRule="auto"/>
        <w:rPr>
          <w:rFonts w:ascii="Arial" w:hAnsi="Arial" w:cs="Arial"/>
          <w:sz w:val="20"/>
          <w:szCs w:val="20"/>
        </w:rPr>
      </w:pPr>
      <w:r w:rsidRPr="002F2157">
        <w:rPr>
          <w:rFonts w:ascii="Arial" w:hAnsi="Arial" w:cs="Arial"/>
          <w:sz w:val="20"/>
          <w:szCs w:val="20"/>
        </w:rPr>
        <w:t>The IESC notes that, while</w:t>
      </w:r>
      <w:r w:rsidR="00BB2BC0" w:rsidRPr="002F2157">
        <w:rPr>
          <w:rFonts w:ascii="Arial" w:hAnsi="Arial" w:cs="Arial"/>
          <w:sz w:val="20"/>
          <w:szCs w:val="20"/>
        </w:rPr>
        <w:t xml:space="preserve"> </w:t>
      </w:r>
      <w:r w:rsidRPr="002F2157">
        <w:rPr>
          <w:rFonts w:ascii="Arial" w:hAnsi="Arial" w:cs="Arial"/>
          <w:sz w:val="20"/>
          <w:szCs w:val="20"/>
        </w:rPr>
        <w:t xml:space="preserve">the potential impacts of the Taroborah </w:t>
      </w:r>
      <w:r w:rsidR="006B731B">
        <w:rPr>
          <w:rFonts w:ascii="Arial" w:hAnsi="Arial" w:cs="Arial"/>
          <w:sz w:val="20"/>
          <w:szCs w:val="20"/>
        </w:rPr>
        <w:t xml:space="preserve">Coal project </w:t>
      </w:r>
      <w:r w:rsidRPr="002F2157">
        <w:rPr>
          <w:rFonts w:ascii="Arial" w:hAnsi="Arial" w:cs="Arial"/>
          <w:sz w:val="20"/>
          <w:szCs w:val="20"/>
        </w:rPr>
        <w:t>are primarily of local significance</w:t>
      </w:r>
      <w:r w:rsidR="00BB2BC0" w:rsidRPr="002F2157">
        <w:rPr>
          <w:rFonts w:ascii="Arial" w:hAnsi="Arial" w:cs="Arial"/>
          <w:sz w:val="20"/>
          <w:szCs w:val="20"/>
        </w:rPr>
        <w:t>, the documentation included within the EIS contains a high degree of uncertainty and therefore many of the potential impacts cannot be determined or quantified.</w:t>
      </w:r>
      <w:r w:rsidR="00BB2BC0">
        <w:rPr>
          <w:rFonts w:ascii="Arial" w:hAnsi="Arial" w:cs="Arial"/>
          <w:sz w:val="20"/>
          <w:szCs w:val="20"/>
        </w:rPr>
        <w:t xml:space="preserve"> </w:t>
      </w:r>
    </w:p>
    <w:p w:rsidR="004B5A51" w:rsidRPr="004B5A51" w:rsidRDefault="004B5A51" w:rsidP="0088772B">
      <w:pPr>
        <w:autoSpaceDE w:val="0"/>
        <w:autoSpaceDN w:val="0"/>
        <w:adjustRightInd w:val="0"/>
        <w:spacing w:after="200" w:line="276" w:lineRule="auto"/>
        <w:rPr>
          <w:rFonts w:ascii="Arial" w:hAnsi="Arial" w:cs="Arial"/>
          <w:sz w:val="20"/>
          <w:szCs w:val="20"/>
          <w:u w:val="single"/>
        </w:rPr>
      </w:pPr>
      <w:r w:rsidRPr="004B5A51">
        <w:rPr>
          <w:rFonts w:ascii="Arial" w:hAnsi="Arial" w:cs="Arial"/>
          <w:sz w:val="20"/>
          <w:szCs w:val="20"/>
          <w:u w:val="single"/>
        </w:rPr>
        <w:t>Assessment against information guidelines</w:t>
      </w:r>
    </w:p>
    <w:p w:rsidR="00A622EC" w:rsidRDefault="00A622EC" w:rsidP="00A622EC">
      <w:pPr>
        <w:autoSpaceDE w:val="0"/>
        <w:autoSpaceDN w:val="0"/>
        <w:adjustRightInd w:val="0"/>
        <w:spacing w:after="200" w:line="276" w:lineRule="auto"/>
        <w:rPr>
          <w:rFonts w:ascii="Arial" w:hAnsi="Arial" w:cs="Arial"/>
          <w:sz w:val="20"/>
          <w:szCs w:val="20"/>
        </w:rPr>
      </w:pPr>
      <w:r w:rsidRPr="00CC2B33">
        <w:rPr>
          <w:rFonts w:ascii="Arial" w:hAnsi="Arial" w:cs="Arial"/>
          <w:sz w:val="20"/>
          <w:szCs w:val="20"/>
        </w:rPr>
        <w:t xml:space="preserve">The </w:t>
      </w:r>
      <w:r>
        <w:rPr>
          <w:rFonts w:ascii="Arial" w:hAnsi="Arial" w:cs="Arial"/>
          <w:sz w:val="20"/>
          <w:szCs w:val="20"/>
        </w:rPr>
        <w:t>IESC</w:t>
      </w:r>
      <w:r w:rsidRPr="00CC2B33">
        <w:rPr>
          <w:rFonts w:ascii="Arial" w:hAnsi="Arial" w:cs="Arial"/>
          <w:sz w:val="20"/>
          <w:szCs w:val="20"/>
        </w:rPr>
        <w:t>, in line with its Information Guidelines</w:t>
      </w:r>
      <w:r w:rsidRPr="00CC2B33">
        <w:rPr>
          <w:rFonts w:ascii="Arial" w:hAnsi="Arial" w:cs="Arial"/>
          <w:sz w:val="20"/>
          <w:szCs w:val="20"/>
          <w:vertAlign w:val="superscript"/>
        </w:rPr>
        <w:t>1</w:t>
      </w:r>
      <w:r w:rsidRPr="00CC2B33">
        <w:rPr>
          <w:rFonts w:ascii="Arial" w:hAnsi="Arial" w:cs="Arial"/>
          <w:sz w:val="20"/>
          <w:szCs w:val="20"/>
        </w:rPr>
        <w:t>, has considered whether the proposed project assessment has used the following:</w:t>
      </w:r>
    </w:p>
    <w:p w:rsidR="00A622EC" w:rsidRPr="00E270CE" w:rsidRDefault="00A622EC" w:rsidP="00A622EC">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lastRenderedPageBreak/>
        <w:t>Relevant data and information: key conclusions</w:t>
      </w:r>
    </w:p>
    <w:p w:rsidR="00C90E1B" w:rsidRPr="001D6F7A" w:rsidRDefault="00F074AA" w:rsidP="00C90E1B">
      <w:pPr>
        <w:autoSpaceDE w:val="0"/>
        <w:autoSpaceDN w:val="0"/>
        <w:adjustRightInd w:val="0"/>
        <w:spacing w:after="200" w:line="276" w:lineRule="auto"/>
        <w:rPr>
          <w:rFonts w:ascii="Arial" w:hAnsi="Arial" w:cs="Arial"/>
          <w:sz w:val="20"/>
          <w:szCs w:val="20"/>
        </w:rPr>
      </w:pPr>
      <w:r>
        <w:rPr>
          <w:rFonts w:ascii="Arial" w:hAnsi="Arial" w:cs="Arial"/>
          <w:sz w:val="20"/>
          <w:szCs w:val="20"/>
          <w:lang w:val="en-US"/>
        </w:rPr>
        <w:t xml:space="preserve">Surface water flow and </w:t>
      </w:r>
      <w:r w:rsidR="00D65F02">
        <w:rPr>
          <w:rFonts w:ascii="Arial" w:hAnsi="Arial" w:cs="Arial"/>
          <w:sz w:val="20"/>
          <w:szCs w:val="20"/>
          <w:lang w:val="en-US"/>
        </w:rPr>
        <w:t>an assessment, or estimation, of</w:t>
      </w:r>
      <w:r>
        <w:rPr>
          <w:rFonts w:ascii="Arial" w:hAnsi="Arial" w:cs="Arial"/>
          <w:sz w:val="20"/>
          <w:szCs w:val="20"/>
          <w:lang w:val="en-US"/>
        </w:rPr>
        <w:t xml:space="preserve"> the </w:t>
      </w:r>
      <w:r w:rsidR="00F60C6D" w:rsidRPr="00C90E1B">
        <w:rPr>
          <w:rFonts w:ascii="Arial" w:hAnsi="Arial" w:cs="Arial"/>
          <w:sz w:val="20"/>
          <w:szCs w:val="20"/>
          <w:lang w:val="en-US"/>
        </w:rPr>
        <w:t xml:space="preserve">baseflow </w:t>
      </w:r>
      <w:r>
        <w:rPr>
          <w:rFonts w:ascii="Arial" w:hAnsi="Arial" w:cs="Arial"/>
          <w:sz w:val="20"/>
          <w:szCs w:val="20"/>
          <w:lang w:val="en-US"/>
        </w:rPr>
        <w:t>component</w:t>
      </w:r>
      <w:r w:rsidR="00F60C6D" w:rsidRPr="00C90E1B">
        <w:rPr>
          <w:rFonts w:ascii="Arial" w:hAnsi="Arial" w:cs="Arial"/>
          <w:sz w:val="20"/>
          <w:szCs w:val="20"/>
          <w:lang w:val="en-US"/>
        </w:rPr>
        <w:t xml:space="preserve"> </w:t>
      </w:r>
      <w:r>
        <w:rPr>
          <w:rFonts w:ascii="Arial" w:hAnsi="Arial" w:cs="Arial"/>
          <w:sz w:val="20"/>
          <w:szCs w:val="20"/>
          <w:lang w:val="en-US"/>
        </w:rPr>
        <w:t>of</w:t>
      </w:r>
      <w:r w:rsidR="00F60C6D" w:rsidRPr="00C90E1B">
        <w:rPr>
          <w:rFonts w:ascii="Arial" w:hAnsi="Arial" w:cs="Arial"/>
          <w:sz w:val="20"/>
          <w:szCs w:val="20"/>
          <w:lang w:val="en-US"/>
        </w:rPr>
        <w:t xml:space="preserve"> Retreat </w:t>
      </w:r>
      <w:r w:rsidR="00B43570" w:rsidRPr="00C90E1B">
        <w:rPr>
          <w:rFonts w:ascii="Arial" w:hAnsi="Arial" w:cs="Arial"/>
          <w:sz w:val="20"/>
          <w:szCs w:val="20"/>
          <w:lang w:val="en-US"/>
        </w:rPr>
        <w:t xml:space="preserve">and </w:t>
      </w:r>
      <w:r w:rsidR="00F60C6D" w:rsidRPr="00C90E1B">
        <w:rPr>
          <w:rFonts w:ascii="Arial" w:hAnsi="Arial" w:cs="Arial"/>
          <w:sz w:val="20"/>
          <w:szCs w:val="20"/>
          <w:lang w:val="en-US"/>
        </w:rPr>
        <w:t>Taroborah Creek</w:t>
      </w:r>
      <w:r w:rsidR="00131B33" w:rsidRPr="00C90E1B">
        <w:rPr>
          <w:rFonts w:ascii="Arial" w:hAnsi="Arial" w:cs="Arial"/>
          <w:sz w:val="20"/>
          <w:szCs w:val="20"/>
          <w:lang w:val="en-US"/>
        </w:rPr>
        <w:t xml:space="preserve">s </w:t>
      </w:r>
      <w:r w:rsidR="00D65F02">
        <w:rPr>
          <w:rFonts w:ascii="Arial" w:hAnsi="Arial" w:cs="Arial"/>
          <w:sz w:val="20"/>
          <w:szCs w:val="20"/>
          <w:lang w:val="en-US"/>
        </w:rPr>
        <w:t>are</w:t>
      </w:r>
      <w:r w:rsidR="00131B33" w:rsidRPr="00C90E1B">
        <w:rPr>
          <w:rFonts w:ascii="Arial" w:hAnsi="Arial" w:cs="Arial"/>
          <w:sz w:val="20"/>
          <w:szCs w:val="20"/>
          <w:lang w:val="en-US"/>
        </w:rPr>
        <w:t xml:space="preserve"> not provided</w:t>
      </w:r>
      <w:r w:rsidR="00F60C6D" w:rsidRPr="00C90E1B">
        <w:rPr>
          <w:rFonts w:ascii="Arial" w:hAnsi="Arial" w:cs="Arial"/>
          <w:sz w:val="20"/>
          <w:szCs w:val="20"/>
          <w:lang w:val="en-US"/>
        </w:rPr>
        <w:t xml:space="preserve">. </w:t>
      </w:r>
      <w:r w:rsidR="00B43570" w:rsidRPr="00C90E1B">
        <w:rPr>
          <w:rFonts w:ascii="Arial" w:hAnsi="Arial" w:cs="Arial"/>
          <w:sz w:val="20"/>
          <w:szCs w:val="20"/>
          <w:lang w:val="en-US"/>
        </w:rPr>
        <w:t>Th</w:t>
      </w:r>
      <w:r w:rsidR="00F60C6D" w:rsidRPr="00C90E1B">
        <w:rPr>
          <w:rFonts w:ascii="Arial" w:hAnsi="Arial" w:cs="Arial"/>
          <w:sz w:val="20"/>
          <w:szCs w:val="20"/>
          <w:lang w:val="en-US"/>
        </w:rPr>
        <w:t xml:space="preserve">is data is needed to enable prediction of impacts to seasonal flows within, and interactions between, surface </w:t>
      </w:r>
      <w:r w:rsidR="004C616A">
        <w:rPr>
          <w:rFonts w:ascii="Arial" w:hAnsi="Arial" w:cs="Arial"/>
          <w:sz w:val="20"/>
          <w:szCs w:val="20"/>
          <w:lang w:val="en-US"/>
        </w:rPr>
        <w:t xml:space="preserve">water </w:t>
      </w:r>
      <w:r w:rsidR="00F60C6D" w:rsidRPr="00C90E1B">
        <w:rPr>
          <w:rFonts w:ascii="Arial" w:hAnsi="Arial" w:cs="Arial"/>
          <w:sz w:val="20"/>
          <w:szCs w:val="20"/>
          <w:lang w:val="en-US"/>
        </w:rPr>
        <w:t>and groundwater systems, including</w:t>
      </w:r>
      <w:r w:rsidR="00F87498">
        <w:rPr>
          <w:rFonts w:ascii="Arial" w:hAnsi="Arial" w:cs="Arial"/>
          <w:sz w:val="20"/>
          <w:szCs w:val="20"/>
          <w:lang w:val="en-US"/>
        </w:rPr>
        <w:t xml:space="preserve"> predictions of surface water</w:t>
      </w:r>
      <w:r w:rsidR="00F60C6D" w:rsidRPr="00C90E1B">
        <w:rPr>
          <w:rFonts w:ascii="Arial" w:hAnsi="Arial" w:cs="Arial"/>
          <w:sz w:val="20"/>
          <w:szCs w:val="20"/>
          <w:lang w:val="en-US"/>
        </w:rPr>
        <w:t xml:space="preserve"> baseflow </w:t>
      </w:r>
      <w:r w:rsidR="00F87498">
        <w:rPr>
          <w:rFonts w:ascii="Arial" w:hAnsi="Arial" w:cs="Arial"/>
          <w:sz w:val="20"/>
          <w:szCs w:val="20"/>
          <w:lang w:val="en-US"/>
        </w:rPr>
        <w:t>losses</w:t>
      </w:r>
      <w:r w:rsidR="00F60C6D" w:rsidRPr="00C90E1B">
        <w:rPr>
          <w:rFonts w:ascii="Arial" w:hAnsi="Arial" w:cs="Arial"/>
          <w:sz w:val="20"/>
          <w:szCs w:val="20"/>
          <w:lang w:val="en-US"/>
        </w:rPr>
        <w:t>.</w:t>
      </w:r>
      <w:r w:rsidR="00500472">
        <w:rPr>
          <w:rFonts w:ascii="Arial" w:hAnsi="Arial" w:cs="Arial"/>
          <w:sz w:val="20"/>
          <w:szCs w:val="20"/>
          <w:lang w:val="en-US"/>
        </w:rPr>
        <w:t xml:space="preserve"> </w:t>
      </w:r>
      <w:r w:rsidR="00F87498">
        <w:rPr>
          <w:rFonts w:ascii="Arial" w:hAnsi="Arial" w:cs="Arial"/>
          <w:sz w:val="20"/>
          <w:szCs w:val="20"/>
          <w:lang w:val="en-US"/>
        </w:rPr>
        <w:t>A</w:t>
      </w:r>
      <w:r w:rsidR="00500472" w:rsidRPr="00EB787C">
        <w:rPr>
          <w:rFonts w:ascii="Arial" w:hAnsi="Arial" w:cs="Arial"/>
          <w:sz w:val="20"/>
          <w:szCs w:val="20"/>
        </w:rPr>
        <w:t xml:space="preserve"> description of boundary conditions used within the groundwater model</w:t>
      </w:r>
      <w:r w:rsidR="00500472">
        <w:rPr>
          <w:rFonts w:ascii="Arial" w:hAnsi="Arial" w:cs="Arial"/>
          <w:sz w:val="20"/>
          <w:szCs w:val="20"/>
        </w:rPr>
        <w:t xml:space="preserve"> is needed to improve confidence in the model’s impact predictions</w:t>
      </w:r>
      <w:r w:rsidR="00500472" w:rsidRPr="00EB787C">
        <w:rPr>
          <w:rFonts w:ascii="Arial" w:hAnsi="Arial" w:cs="Arial"/>
          <w:sz w:val="20"/>
          <w:szCs w:val="20"/>
        </w:rPr>
        <w:t>.</w:t>
      </w:r>
      <w:r w:rsidR="00500472">
        <w:rPr>
          <w:rFonts w:ascii="Arial" w:hAnsi="Arial" w:cs="Arial"/>
          <w:sz w:val="20"/>
          <w:szCs w:val="20"/>
        </w:rPr>
        <w:t xml:space="preserve"> </w:t>
      </w:r>
      <w:r w:rsidR="00C90E1B" w:rsidRPr="00C90E1B">
        <w:rPr>
          <w:rFonts w:ascii="Arial" w:hAnsi="Arial" w:cs="Arial"/>
          <w:sz w:val="20"/>
          <w:szCs w:val="20"/>
          <w:lang w:val="en-US"/>
        </w:rPr>
        <w:t xml:space="preserve">A targeted assessment of water dependent ecosystems is needed. This should include identification of springs and semi permanent pool locations, depth to water table mapping and representative </w:t>
      </w:r>
      <w:r w:rsidR="00F87498">
        <w:rPr>
          <w:rFonts w:ascii="Arial" w:hAnsi="Arial" w:cs="Arial"/>
          <w:sz w:val="20"/>
          <w:szCs w:val="20"/>
          <w:lang w:val="en-US"/>
        </w:rPr>
        <w:t xml:space="preserve">ecosystem </w:t>
      </w:r>
      <w:r w:rsidR="00C90E1B" w:rsidRPr="00C90E1B">
        <w:rPr>
          <w:rFonts w:ascii="Arial" w:hAnsi="Arial" w:cs="Arial"/>
          <w:sz w:val="20"/>
          <w:szCs w:val="20"/>
          <w:lang w:val="en-US"/>
        </w:rPr>
        <w:t>sampling.</w:t>
      </w:r>
    </w:p>
    <w:p w:rsidR="00A622EC" w:rsidRPr="00EB787C" w:rsidRDefault="00F60C6D" w:rsidP="00500472">
      <w:pPr>
        <w:autoSpaceDE w:val="0"/>
        <w:autoSpaceDN w:val="0"/>
        <w:adjustRightInd w:val="0"/>
        <w:spacing w:after="200" w:line="276" w:lineRule="auto"/>
        <w:rPr>
          <w:rFonts w:ascii="Arial" w:hAnsi="Arial" w:cs="Arial"/>
          <w:sz w:val="20"/>
          <w:szCs w:val="20"/>
        </w:rPr>
      </w:pPr>
      <w:r w:rsidRPr="00C90E1B">
        <w:rPr>
          <w:rFonts w:ascii="Arial" w:hAnsi="Arial" w:cs="Arial"/>
          <w:sz w:val="20"/>
          <w:szCs w:val="20"/>
          <w:lang w:val="en-US"/>
        </w:rPr>
        <w:t xml:space="preserve">All inputs and outputs </w:t>
      </w:r>
      <w:r w:rsidR="004C616A">
        <w:rPr>
          <w:rFonts w:ascii="Arial" w:hAnsi="Arial" w:cs="Arial"/>
          <w:sz w:val="20"/>
          <w:szCs w:val="20"/>
          <w:lang w:val="en-US"/>
        </w:rPr>
        <w:t>for</w:t>
      </w:r>
      <w:r w:rsidRPr="00C90E1B">
        <w:rPr>
          <w:rFonts w:ascii="Arial" w:hAnsi="Arial" w:cs="Arial"/>
          <w:sz w:val="20"/>
          <w:szCs w:val="20"/>
          <w:lang w:val="en-US"/>
        </w:rPr>
        <w:t xml:space="preserve"> the site water balance </w:t>
      </w:r>
      <w:r w:rsidR="001D6F7A">
        <w:rPr>
          <w:rFonts w:ascii="Arial" w:hAnsi="Arial" w:cs="Arial"/>
          <w:sz w:val="20"/>
          <w:szCs w:val="20"/>
          <w:lang w:val="en-US"/>
        </w:rPr>
        <w:t>including</w:t>
      </w:r>
      <w:r w:rsidRPr="00C90E1B">
        <w:rPr>
          <w:rFonts w:ascii="Arial" w:hAnsi="Arial" w:cs="Arial"/>
          <w:sz w:val="20"/>
          <w:szCs w:val="20"/>
          <w:lang w:val="en-US"/>
        </w:rPr>
        <w:t xml:space="preserve"> their seasonal and annual variation</w:t>
      </w:r>
      <w:r w:rsidR="00500472" w:rsidRPr="00C90E1B">
        <w:rPr>
          <w:rFonts w:ascii="Arial" w:hAnsi="Arial" w:cs="Arial"/>
          <w:sz w:val="20"/>
          <w:szCs w:val="20"/>
          <w:lang w:val="en-US"/>
        </w:rPr>
        <w:t xml:space="preserve"> </w:t>
      </w:r>
      <w:r w:rsidR="004C616A">
        <w:rPr>
          <w:rFonts w:ascii="Arial" w:hAnsi="Arial" w:cs="Arial"/>
          <w:sz w:val="20"/>
          <w:szCs w:val="20"/>
          <w:lang w:val="en-US"/>
        </w:rPr>
        <w:t>are</w:t>
      </w:r>
      <w:r w:rsidR="00500472" w:rsidRPr="00C90E1B">
        <w:rPr>
          <w:rFonts w:ascii="Arial" w:hAnsi="Arial" w:cs="Arial"/>
          <w:sz w:val="20"/>
          <w:szCs w:val="20"/>
          <w:lang w:val="en-US"/>
        </w:rPr>
        <w:t xml:space="preserve"> necessary to improve confidence in pred</w:t>
      </w:r>
      <w:r w:rsidR="00500472">
        <w:rPr>
          <w:rFonts w:ascii="Arial" w:hAnsi="Arial" w:cs="Arial"/>
          <w:sz w:val="20"/>
          <w:szCs w:val="20"/>
          <w:lang w:val="en-US"/>
        </w:rPr>
        <w:t xml:space="preserve">icted water availability onsite, </w:t>
      </w:r>
      <w:r w:rsidR="00500472" w:rsidRPr="00C90E1B">
        <w:rPr>
          <w:rFonts w:ascii="Arial" w:hAnsi="Arial" w:cs="Arial"/>
          <w:sz w:val="20"/>
          <w:szCs w:val="20"/>
          <w:lang w:val="en-US"/>
        </w:rPr>
        <w:t xml:space="preserve">the spill risk for mine water storages </w:t>
      </w:r>
      <w:r w:rsidR="00500472">
        <w:rPr>
          <w:rFonts w:ascii="Arial" w:hAnsi="Arial" w:cs="Arial"/>
          <w:sz w:val="20"/>
          <w:szCs w:val="20"/>
          <w:lang w:val="en-US"/>
        </w:rPr>
        <w:t>and</w:t>
      </w:r>
      <w:r w:rsidR="00500472" w:rsidRPr="00C90E1B">
        <w:rPr>
          <w:rFonts w:ascii="Arial" w:hAnsi="Arial" w:cs="Arial"/>
          <w:sz w:val="20"/>
          <w:szCs w:val="20"/>
          <w:lang w:val="en-US"/>
        </w:rPr>
        <w:t xml:space="preserve"> the proposed mine site water management system</w:t>
      </w:r>
      <w:r w:rsidR="00500472">
        <w:rPr>
          <w:rFonts w:ascii="Arial" w:hAnsi="Arial" w:cs="Arial"/>
          <w:sz w:val="20"/>
          <w:szCs w:val="20"/>
          <w:lang w:val="en-US"/>
        </w:rPr>
        <w:t>’s</w:t>
      </w:r>
      <w:r w:rsidR="00500472" w:rsidRPr="00C90E1B">
        <w:rPr>
          <w:rFonts w:ascii="Arial" w:hAnsi="Arial" w:cs="Arial"/>
          <w:sz w:val="20"/>
          <w:szCs w:val="20"/>
          <w:lang w:val="en-US"/>
        </w:rPr>
        <w:t xml:space="preserve"> performance under wet and dry conditions.</w:t>
      </w:r>
      <w:r w:rsidR="00C90E1B">
        <w:rPr>
          <w:rFonts w:ascii="Arial" w:hAnsi="Arial" w:cs="Arial"/>
          <w:sz w:val="20"/>
          <w:szCs w:val="20"/>
          <w:lang w:val="en-US"/>
        </w:rPr>
        <w:t xml:space="preserve"> </w:t>
      </w:r>
    </w:p>
    <w:p w:rsidR="00A622EC" w:rsidRPr="00E270CE" w:rsidRDefault="00A622EC" w:rsidP="00A622EC">
      <w:pPr>
        <w:pStyle w:val="PlainText"/>
        <w:spacing w:after="200" w:line="276" w:lineRule="auto"/>
        <w:rPr>
          <w:rFonts w:ascii="Arial" w:hAnsi="Arial" w:cs="Arial"/>
          <w:i/>
          <w:sz w:val="20"/>
          <w:szCs w:val="20"/>
        </w:rPr>
      </w:pPr>
      <w:r w:rsidRPr="00E270CE">
        <w:rPr>
          <w:rFonts w:ascii="Arial" w:hAnsi="Arial" w:cs="Arial"/>
          <w:i/>
          <w:sz w:val="20"/>
          <w:szCs w:val="20"/>
        </w:rPr>
        <w:t>Application of appropriate methodologies: key conclusions</w:t>
      </w:r>
    </w:p>
    <w:p w:rsidR="00EB787C" w:rsidRPr="009D76ED" w:rsidRDefault="00EB787C" w:rsidP="00E9479A">
      <w:pPr>
        <w:autoSpaceDE w:val="0"/>
        <w:autoSpaceDN w:val="0"/>
        <w:adjustRightInd w:val="0"/>
        <w:spacing w:after="200" w:line="276" w:lineRule="auto"/>
        <w:rPr>
          <w:rFonts w:ascii="Arial" w:hAnsi="Arial" w:cs="Arial"/>
          <w:sz w:val="20"/>
          <w:szCs w:val="20"/>
          <w:lang w:val="en-US"/>
        </w:rPr>
      </w:pPr>
      <w:r w:rsidRPr="00EB787C">
        <w:rPr>
          <w:rFonts w:ascii="Arial" w:hAnsi="Arial" w:cs="Arial"/>
          <w:sz w:val="20"/>
          <w:szCs w:val="20"/>
        </w:rPr>
        <w:t xml:space="preserve">The proponent’s </w:t>
      </w:r>
      <w:r w:rsidR="00F942E0">
        <w:rPr>
          <w:rFonts w:ascii="Arial" w:hAnsi="Arial" w:cs="Arial"/>
          <w:sz w:val="20"/>
          <w:szCs w:val="20"/>
        </w:rPr>
        <w:t xml:space="preserve">groundwater </w:t>
      </w:r>
      <w:r w:rsidR="00EE5FF8">
        <w:rPr>
          <w:rFonts w:ascii="Arial" w:hAnsi="Arial" w:cs="Arial"/>
          <w:sz w:val="20"/>
          <w:szCs w:val="20"/>
        </w:rPr>
        <w:t xml:space="preserve">model is </w:t>
      </w:r>
      <w:r w:rsidR="00F942E0">
        <w:rPr>
          <w:rFonts w:ascii="Arial" w:hAnsi="Arial" w:cs="Arial"/>
          <w:sz w:val="20"/>
          <w:szCs w:val="20"/>
        </w:rPr>
        <w:t xml:space="preserve">based on a groundwater conceptualisation that </w:t>
      </w:r>
      <w:r w:rsidR="00275B0F">
        <w:rPr>
          <w:rFonts w:ascii="Arial" w:hAnsi="Arial" w:cs="Arial"/>
          <w:sz w:val="20"/>
          <w:szCs w:val="20"/>
        </w:rPr>
        <w:t>prevents lateral groundwater flow across the eastern and western bounding faults, which restricts groundwater drawdown extent</w:t>
      </w:r>
      <w:r w:rsidR="00F942E0">
        <w:rPr>
          <w:rFonts w:ascii="Arial" w:hAnsi="Arial" w:cs="Arial"/>
          <w:sz w:val="20"/>
          <w:szCs w:val="20"/>
        </w:rPr>
        <w:t>. The groundwater model would benefit from d</w:t>
      </w:r>
      <w:r w:rsidRPr="00EB787C">
        <w:rPr>
          <w:rFonts w:ascii="Arial" w:hAnsi="Arial" w:cs="Arial"/>
          <w:sz w:val="20"/>
          <w:szCs w:val="20"/>
          <w:lang w:val="en-US"/>
        </w:rPr>
        <w:t>ata to support the approach of “turning off” cells within layers three to ten.</w:t>
      </w:r>
      <w:r w:rsidR="009D76ED">
        <w:rPr>
          <w:rFonts w:ascii="Arial" w:hAnsi="Arial" w:cs="Arial"/>
          <w:sz w:val="20"/>
          <w:szCs w:val="20"/>
          <w:lang w:val="en-US"/>
        </w:rPr>
        <w:t xml:space="preserve"> Additionally, </w:t>
      </w:r>
      <w:r w:rsidR="007C7620">
        <w:rPr>
          <w:rFonts w:ascii="Arial" w:hAnsi="Arial" w:cs="Arial"/>
          <w:sz w:val="20"/>
          <w:szCs w:val="20"/>
          <w:lang w:val="en-US"/>
        </w:rPr>
        <w:t>Retreat and Taroborah Creeks</w:t>
      </w:r>
      <w:r w:rsidR="009D76ED">
        <w:rPr>
          <w:rFonts w:ascii="Arial" w:hAnsi="Arial" w:cs="Arial"/>
          <w:sz w:val="20"/>
          <w:szCs w:val="20"/>
          <w:lang w:val="en-US"/>
        </w:rPr>
        <w:t xml:space="preserve"> </w:t>
      </w:r>
      <w:r w:rsidR="007C7620">
        <w:rPr>
          <w:rFonts w:ascii="Arial" w:hAnsi="Arial" w:cs="Arial"/>
          <w:sz w:val="20"/>
          <w:szCs w:val="20"/>
          <w:lang w:val="en-US"/>
        </w:rPr>
        <w:t xml:space="preserve">in </w:t>
      </w:r>
      <w:r w:rsidR="009D76ED">
        <w:rPr>
          <w:rFonts w:ascii="Arial" w:hAnsi="Arial" w:cs="Arial"/>
          <w:sz w:val="20"/>
          <w:szCs w:val="20"/>
          <w:lang w:val="en-US"/>
        </w:rPr>
        <w:t xml:space="preserve">proximity </w:t>
      </w:r>
      <w:r w:rsidR="00842769">
        <w:rPr>
          <w:rFonts w:ascii="Arial" w:hAnsi="Arial" w:cs="Arial"/>
          <w:sz w:val="20"/>
          <w:szCs w:val="20"/>
          <w:lang w:val="en-US"/>
        </w:rPr>
        <w:t>to</w:t>
      </w:r>
      <w:r w:rsidR="009D76ED">
        <w:rPr>
          <w:rFonts w:ascii="Arial" w:hAnsi="Arial" w:cs="Arial"/>
          <w:sz w:val="20"/>
          <w:szCs w:val="20"/>
          <w:lang w:val="en-US"/>
        </w:rPr>
        <w:t xml:space="preserve"> the project area are represented</w:t>
      </w:r>
      <w:r w:rsidR="007C7620">
        <w:rPr>
          <w:rFonts w:ascii="Arial" w:hAnsi="Arial" w:cs="Arial"/>
          <w:sz w:val="20"/>
          <w:szCs w:val="20"/>
          <w:lang w:val="en-US"/>
        </w:rPr>
        <w:t xml:space="preserve"> by large cells (up to 500 m)</w:t>
      </w:r>
      <w:r w:rsidR="00A5424C">
        <w:rPr>
          <w:rFonts w:ascii="Arial" w:hAnsi="Arial" w:cs="Arial"/>
          <w:sz w:val="20"/>
          <w:szCs w:val="20"/>
          <w:lang w:val="en-US"/>
        </w:rPr>
        <w:t>, which limit</w:t>
      </w:r>
      <w:r w:rsidR="007C7620" w:rsidRPr="009D76ED">
        <w:rPr>
          <w:rFonts w:ascii="Arial" w:hAnsi="Arial" w:cs="Arial"/>
          <w:sz w:val="20"/>
          <w:szCs w:val="20"/>
          <w:lang w:val="en-US"/>
        </w:rPr>
        <w:t xml:space="preserve"> </w:t>
      </w:r>
      <w:r w:rsidR="00A5424C">
        <w:rPr>
          <w:rFonts w:ascii="Arial" w:hAnsi="Arial" w:cs="Arial"/>
          <w:sz w:val="20"/>
          <w:szCs w:val="20"/>
          <w:lang w:val="en-US"/>
        </w:rPr>
        <w:t>the groundwater model’s ability to predict impacts</w:t>
      </w:r>
      <w:r w:rsidR="007C7620" w:rsidRPr="009D76ED">
        <w:rPr>
          <w:rFonts w:ascii="Arial" w:hAnsi="Arial" w:cs="Arial"/>
          <w:sz w:val="20"/>
          <w:szCs w:val="20"/>
          <w:lang w:val="en-US"/>
        </w:rPr>
        <w:t xml:space="preserve"> to surface and groundwater interactions</w:t>
      </w:r>
      <w:r w:rsidR="007C7620">
        <w:rPr>
          <w:rFonts w:ascii="Arial" w:hAnsi="Arial" w:cs="Arial"/>
          <w:sz w:val="20"/>
          <w:szCs w:val="20"/>
          <w:lang w:val="en-US"/>
        </w:rPr>
        <w:t xml:space="preserve">. </w:t>
      </w:r>
    </w:p>
    <w:p w:rsidR="00B3051F" w:rsidRPr="00A8341B" w:rsidRDefault="00EB787C" w:rsidP="00A8341B">
      <w:pPr>
        <w:autoSpaceDE w:val="0"/>
        <w:autoSpaceDN w:val="0"/>
        <w:adjustRightInd w:val="0"/>
        <w:spacing w:after="200" w:line="276" w:lineRule="auto"/>
        <w:rPr>
          <w:rFonts w:ascii="Arial" w:hAnsi="Arial" w:cs="Arial"/>
          <w:sz w:val="20"/>
          <w:szCs w:val="20"/>
          <w:lang w:val="en-US"/>
        </w:rPr>
      </w:pPr>
      <w:r w:rsidRPr="00A8341B">
        <w:rPr>
          <w:rFonts w:ascii="Arial" w:hAnsi="Arial" w:cs="Arial"/>
          <w:sz w:val="20"/>
          <w:szCs w:val="20"/>
          <w:lang w:val="en-US"/>
        </w:rPr>
        <w:t>The cumulative impact assessment</w:t>
      </w:r>
      <w:r w:rsidR="00E47440">
        <w:rPr>
          <w:rFonts w:ascii="Arial" w:hAnsi="Arial" w:cs="Arial"/>
          <w:sz w:val="20"/>
          <w:szCs w:val="20"/>
          <w:lang w:val="en-US"/>
        </w:rPr>
        <w:t xml:space="preserve"> </w:t>
      </w:r>
      <w:r w:rsidR="002F2157">
        <w:rPr>
          <w:rFonts w:ascii="Arial" w:hAnsi="Arial" w:cs="Arial"/>
          <w:sz w:val="20"/>
          <w:szCs w:val="20"/>
          <w:lang w:val="en-US"/>
        </w:rPr>
        <w:t xml:space="preserve">is limited and </w:t>
      </w:r>
      <w:r w:rsidR="00E47440">
        <w:rPr>
          <w:rFonts w:ascii="Arial" w:hAnsi="Arial" w:cs="Arial"/>
          <w:sz w:val="20"/>
          <w:szCs w:val="20"/>
          <w:lang w:val="en-US"/>
        </w:rPr>
        <w:t xml:space="preserve">does not </w:t>
      </w:r>
      <w:r w:rsidR="002F2157">
        <w:rPr>
          <w:rFonts w:ascii="Arial" w:hAnsi="Arial" w:cs="Arial"/>
          <w:sz w:val="20"/>
          <w:szCs w:val="20"/>
          <w:lang w:val="en-US"/>
        </w:rPr>
        <w:t>adequately</w:t>
      </w:r>
      <w:r w:rsidR="00E47440">
        <w:rPr>
          <w:rFonts w:ascii="Arial" w:hAnsi="Arial" w:cs="Arial"/>
          <w:sz w:val="20"/>
          <w:szCs w:val="20"/>
          <w:lang w:val="en-US"/>
        </w:rPr>
        <w:t xml:space="preserve"> consider</w:t>
      </w:r>
      <w:r w:rsidRPr="00A8341B">
        <w:rPr>
          <w:rFonts w:ascii="Arial" w:hAnsi="Arial" w:cs="Arial"/>
          <w:sz w:val="20"/>
          <w:szCs w:val="20"/>
          <w:lang w:val="en-US"/>
        </w:rPr>
        <w:t xml:space="preserve"> impacts </w:t>
      </w:r>
      <w:r w:rsidR="00E47440">
        <w:rPr>
          <w:rFonts w:ascii="Arial" w:hAnsi="Arial" w:cs="Arial"/>
          <w:sz w:val="20"/>
          <w:szCs w:val="20"/>
          <w:lang w:val="en-US"/>
        </w:rPr>
        <w:t>associated with</w:t>
      </w:r>
      <w:r w:rsidRPr="00A8341B">
        <w:rPr>
          <w:rFonts w:ascii="Arial" w:hAnsi="Arial" w:cs="Arial"/>
          <w:sz w:val="20"/>
          <w:szCs w:val="20"/>
          <w:lang w:val="en-US"/>
        </w:rPr>
        <w:t xml:space="preserve"> nearby coal mines, in particular the Teresa Coal Mine project, which </w:t>
      </w:r>
      <w:r w:rsidR="00447790">
        <w:rPr>
          <w:rFonts w:ascii="Arial" w:hAnsi="Arial" w:cs="Arial"/>
          <w:sz w:val="20"/>
          <w:szCs w:val="20"/>
          <w:lang w:val="en-US"/>
        </w:rPr>
        <w:t>may</w:t>
      </w:r>
      <w:r w:rsidRPr="00A8341B">
        <w:rPr>
          <w:rFonts w:ascii="Arial" w:hAnsi="Arial" w:cs="Arial"/>
          <w:sz w:val="20"/>
          <w:szCs w:val="20"/>
          <w:lang w:val="en-US"/>
        </w:rPr>
        <w:t xml:space="preserve"> have groundwater drawdown </w:t>
      </w:r>
      <w:r w:rsidR="00A5424C">
        <w:rPr>
          <w:rFonts w:ascii="Arial" w:hAnsi="Arial" w:cs="Arial"/>
          <w:sz w:val="20"/>
          <w:szCs w:val="20"/>
          <w:lang w:val="en-US"/>
        </w:rPr>
        <w:t>contours that overlap with</w:t>
      </w:r>
      <w:r w:rsidRPr="00A8341B">
        <w:rPr>
          <w:rFonts w:ascii="Arial" w:hAnsi="Arial" w:cs="Arial"/>
          <w:sz w:val="20"/>
          <w:szCs w:val="20"/>
          <w:lang w:val="en-US"/>
        </w:rPr>
        <w:t xml:space="preserve"> the Taroborah </w:t>
      </w:r>
      <w:r w:rsidR="003E39BA">
        <w:rPr>
          <w:rFonts w:ascii="Arial" w:hAnsi="Arial" w:cs="Arial"/>
          <w:sz w:val="20"/>
          <w:szCs w:val="20"/>
          <w:lang w:val="en-US"/>
        </w:rPr>
        <w:t xml:space="preserve">Coal </w:t>
      </w:r>
      <w:r w:rsidRPr="00A8341B">
        <w:rPr>
          <w:rFonts w:ascii="Arial" w:hAnsi="Arial" w:cs="Arial"/>
          <w:sz w:val="20"/>
          <w:szCs w:val="20"/>
          <w:lang w:val="en-US"/>
        </w:rPr>
        <w:t>project.</w:t>
      </w:r>
    </w:p>
    <w:p w:rsidR="00A622EC" w:rsidRPr="00E270CE" w:rsidRDefault="00A622EC" w:rsidP="00A622EC">
      <w:pPr>
        <w:pStyle w:val="PlainText"/>
        <w:spacing w:after="200" w:line="276" w:lineRule="auto"/>
        <w:rPr>
          <w:rFonts w:ascii="Arial" w:eastAsia="Times New Roman" w:hAnsi="Arial" w:cs="Arial"/>
          <w:i/>
          <w:sz w:val="20"/>
          <w:szCs w:val="20"/>
        </w:rPr>
      </w:pPr>
      <w:r w:rsidRPr="00E270CE">
        <w:rPr>
          <w:rFonts w:ascii="Arial" w:eastAsia="Times New Roman" w:hAnsi="Arial" w:cs="Arial"/>
          <w:i/>
          <w:sz w:val="20"/>
          <w:szCs w:val="20"/>
        </w:rPr>
        <w:t>Reasonable values and parameters in calculation: key conclusions</w:t>
      </w:r>
    </w:p>
    <w:p w:rsidR="00B3051F" w:rsidRPr="003E39BA" w:rsidRDefault="00EB787C" w:rsidP="003E39BA">
      <w:pPr>
        <w:autoSpaceDE w:val="0"/>
        <w:autoSpaceDN w:val="0"/>
        <w:adjustRightInd w:val="0"/>
        <w:spacing w:after="200" w:line="276" w:lineRule="auto"/>
        <w:rPr>
          <w:rFonts w:ascii="Arial" w:hAnsi="Arial" w:cs="Arial"/>
          <w:sz w:val="20"/>
          <w:szCs w:val="20"/>
        </w:rPr>
      </w:pPr>
      <w:r w:rsidRPr="003E39BA">
        <w:rPr>
          <w:rFonts w:ascii="Arial" w:hAnsi="Arial" w:cs="Arial"/>
          <w:sz w:val="20"/>
          <w:szCs w:val="20"/>
        </w:rPr>
        <w:t xml:space="preserve">Justification and scientific evidence is needed to support the proponent’s </w:t>
      </w:r>
      <w:r w:rsidR="00ED3F4C" w:rsidRPr="003E39BA">
        <w:rPr>
          <w:rFonts w:ascii="Arial" w:hAnsi="Arial" w:cs="Arial"/>
          <w:sz w:val="20"/>
          <w:szCs w:val="20"/>
        </w:rPr>
        <w:t>parameterisation of the</w:t>
      </w:r>
      <w:r w:rsidRPr="003E39BA">
        <w:rPr>
          <w:rFonts w:ascii="Arial" w:hAnsi="Arial" w:cs="Arial"/>
          <w:sz w:val="20"/>
          <w:szCs w:val="20"/>
        </w:rPr>
        <w:t xml:space="preserve"> subsidence fracturing and enhanced permeability </w:t>
      </w:r>
      <w:r w:rsidR="00ED3F4C" w:rsidRPr="003E39BA">
        <w:rPr>
          <w:rFonts w:ascii="Arial" w:hAnsi="Arial" w:cs="Arial"/>
          <w:sz w:val="20"/>
          <w:szCs w:val="20"/>
        </w:rPr>
        <w:t xml:space="preserve">extents </w:t>
      </w:r>
      <w:r w:rsidRPr="003E39BA">
        <w:rPr>
          <w:rFonts w:ascii="Arial" w:hAnsi="Arial" w:cs="Arial"/>
          <w:sz w:val="20"/>
          <w:szCs w:val="20"/>
        </w:rPr>
        <w:t>utilised in the groundwater model. T</w:t>
      </w:r>
      <w:r w:rsidR="00275B0F">
        <w:rPr>
          <w:rFonts w:ascii="Arial" w:hAnsi="Arial" w:cs="Arial"/>
          <w:sz w:val="20"/>
          <w:szCs w:val="20"/>
        </w:rPr>
        <w:t xml:space="preserve">he current extent may result in </w:t>
      </w:r>
      <w:r w:rsidRPr="003E39BA">
        <w:rPr>
          <w:rFonts w:ascii="Arial" w:hAnsi="Arial" w:cs="Arial"/>
          <w:sz w:val="20"/>
          <w:szCs w:val="20"/>
        </w:rPr>
        <w:t>an underestimation of groundwater and surface water impacts.</w:t>
      </w:r>
    </w:p>
    <w:p w:rsidR="007203C3" w:rsidRDefault="007203C3" w:rsidP="007203C3">
      <w:pPr>
        <w:pStyle w:val="tablelabel"/>
        <w:spacing w:before="200" w:after="200" w:line="276" w:lineRule="auto"/>
        <w:rPr>
          <w:rFonts w:cs="Arial"/>
          <w:sz w:val="20"/>
        </w:rPr>
      </w:pPr>
      <w:r w:rsidRPr="00F37C48">
        <w:rPr>
          <w:rFonts w:cs="Arial"/>
          <w:sz w:val="20"/>
        </w:rPr>
        <w:t>Advice</w:t>
      </w:r>
    </w:p>
    <w:p w:rsidR="007203C3" w:rsidRPr="00B3051F" w:rsidRDefault="007203C3" w:rsidP="00B3051F">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 xml:space="preserve">The </w:t>
      </w:r>
      <w:r w:rsidR="00CF562A">
        <w:rPr>
          <w:rFonts w:ascii="Arial" w:eastAsia="Times New Roman" w:hAnsi="Arial" w:cs="Arial"/>
          <w:color w:val="auto"/>
          <w:sz w:val="20"/>
          <w:szCs w:val="20"/>
          <w:lang w:eastAsia="en-US"/>
        </w:rPr>
        <w:t>IESC</w:t>
      </w:r>
      <w:r>
        <w:rPr>
          <w:rFonts w:ascii="Arial" w:eastAsia="Times New Roman" w:hAnsi="Arial" w:cs="Arial"/>
          <w:color w:val="auto"/>
          <w:sz w:val="20"/>
          <w:szCs w:val="20"/>
          <w:lang w:eastAsia="en-US"/>
        </w:rPr>
        <w:t xml:space="preserve">’s advice, in response to the </w:t>
      </w:r>
      <w:r w:rsidR="004C1053">
        <w:rPr>
          <w:rFonts w:ascii="Arial" w:eastAsia="Times New Roman" w:hAnsi="Arial" w:cs="Arial"/>
          <w:color w:val="auto"/>
          <w:sz w:val="20"/>
          <w:szCs w:val="20"/>
          <w:lang w:eastAsia="en-US"/>
        </w:rPr>
        <w:t>requesting agencies’</w:t>
      </w:r>
      <w:r>
        <w:rPr>
          <w:rFonts w:ascii="Arial" w:eastAsia="Times New Roman" w:hAnsi="Arial" w:cs="Arial"/>
          <w:color w:val="auto"/>
          <w:sz w:val="20"/>
          <w:szCs w:val="20"/>
          <w:lang w:eastAsia="en-US"/>
        </w:rPr>
        <w:t xml:space="preserve"> specific questions</w:t>
      </w:r>
      <w:r w:rsidR="00B207E6">
        <w:rPr>
          <w:rFonts w:ascii="Arial" w:eastAsia="Times New Roman" w:hAnsi="Arial" w:cs="Arial"/>
          <w:color w:val="auto"/>
          <w:sz w:val="20"/>
          <w:szCs w:val="20"/>
          <w:lang w:eastAsia="en-US"/>
        </w:rPr>
        <w:t>,</w:t>
      </w:r>
      <w:r>
        <w:rPr>
          <w:rFonts w:ascii="Arial" w:eastAsia="Times New Roman" w:hAnsi="Arial" w:cs="Arial"/>
          <w:color w:val="auto"/>
          <w:sz w:val="20"/>
          <w:szCs w:val="20"/>
          <w:lang w:eastAsia="en-US"/>
        </w:rPr>
        <w:t xml:space="preserve"> is provided below. </w:t>
      </w:r>
    </w:p>
    <w:p w:rsidR="007203C3" w:rsidRPr="00CF5929" w:rsidRDefault="007203C3" w:rsidP="004756EB">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color w:val="FF0000"/>
          <w:sz w:val="20"/>
          <w:szCs w:val="20"/>
          <w:lang w:eastAsia="en-AU"/>
        </w:rPr>
      </w:pPr>
      <w:r w:rsidRPr="00CF5929">
        <w:rPr>
          <w:rFonts w:ascii="Arial" w:hAnsi="Arial" w:cs="Arial"/>
          <w:sz w:val="20"/>
          <w:szCs w:val="20"/>
        </w:rPr>
        <w:t xml:space="preserve">Question 1: </w:t>
      </w:r>
      <w:r w:rsidR="00B3051F" w:rsidRPr="00B3051F">
        <w:rPr>
          <w:rFonts w:ascii="Arial" w:hAnsi="Arial" w:cs="Arial"/>
          <w:sz w:val="20"/>
          <w:szCs w:val="20"/>
        </w:rPr>
        <w:t>What does the Committee consider are the key uncertainties and risks of the project in relation to water resources and water-related assets?</w:t>
      </w:r>
    </w:p>
    <w:p w:rsidR="007203C3" w:rsidRPr="009110D5"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Response</w:t>
      </w:r>
    </w:p>
    <w:p w:rsidR="00E9479A" w:rsidRPr="00E9479A" w:rsidRDefault="00E9479A" w:rsidP="00E9479A">
      <w:pPr>
        <w:pStyle w:val="ListNumber"/>
        <w:spacing w:after="200" w:line="276" w:lineRule="auto"/>
        <w:rPr>
          <w:rFonts w:ascii="Arial" w:hAnsi="Arial" w:cs="Arial"/>
          <w:sz w:val="20"/>
          <w:szCs w:val="20"/>
        </w:rPr>
      </w:pPr>
      <w:r w:rsidRPr="00E9479A">
        <w:rPr>
          <w:rFonts w:ascii="Arial" w:hAnsi="Arial" w:cs="Arial"/>
          <w:sz w:val="20"/>
          <w:szCs w:val="20"/>
        </w:rPr>
        <w:t>There are uncertainties within the Taroborah</w:t>
      </w:r>
      <w:r w:rsidR="005E3250">
        <w:rPr>
          <w:rFonts w:ascii="Arial" w:hAnsi="Arial" w:cs="Arial"/>
          <w:sz w:val="20"/>
          <w:szCs w:val="20"/>
        </w:rPr>
        <w:t xml:space="preserve"> Coal</w:t>
      </w:r>
      <w:r w:rsidRPr="00E9479A">
        <w:rPr>
          <w:rFonts w:ascii="Arial" w:hAnsi="Arial" w:cs="Arial"/>
          <w:sz w:val="20"/>
          <w:szCs w:val="20"/>
        </w:rPr>
        <w:t xml:space="preserve"> project assessment documentation including: </w:t>
      </w:r>
    </w:p>
    <w:p w:rsidR="00E9479A" w:rsidRPr="00E9479A" w:rsidRDefault="00E9479A" w:rsidP="00E9479A">
      <w:pPr>
        <w:pStyle w:val="ListNumber2"/>
        <w:spacing w:after="200" w:line="276" w:lineRule="auto"/>
        <w:rPr>
          <w:rFonts w:ascii="Arial" w:hAnsi="Arial" w:cs="Arial"/>
          <w:sz w:val="20"/>
          <w:szCs w:val="20"/>
        </w:rPr>
      </w:pPr>
      <w:r w:rsidRPr="00E9479A">
        <w:rPr>
          <w:rFonts w:ascii="Arial" w:hAnsi="Arial" w:cs="Arial"/>
          <w:sz w:val="20"/>
          <w:szCs w:val="20"/>
        </w:rPr>
        <w:t xml:space="preserve">The </w:t>
      </w:r>
      <w:r w:rsidR="00FB6E87">
        <w:rPr>
          <w:rFonts w:ascii="Arial" w:hAnsi="Arial" w:cs="Arial"/>
          <w:sz w:val="20"/>
          <w:szCs w:val="20"/>
        </w:rPr>
        <w:t>hydro</w:t>
      </w:r>
      <w:r w:rsidRPr="00E9479A">
        <w:rPr>
          <w:rFonts w:ascii="Arial" w:hAnsi="Arial" w:cs="Arial"/>
          <w:sz w:val="20"/>
          <w:szCs w:val="20"/>
        </w:rPr>
        <w:t xml:space="preserve">geological conceptualisation (including the understanding of faults </w:t>
      </w:r>
      <w:r>
        <w:rPr>
          <w:rFonts w:ascii="Arial" w:hAnsi="Arial" w:cs="Arial"/>
          <w:sz w:val="20"/>
          <w:szCs w:val="20"/>
        </w:rPr>
        <w:t xml:space="preserve">and </w:t>
      </w:r>
      <w:r w:rsidRPr="00E9479A">
        <w:rPr>
          <w:rFonts w:ascii="Arial" w:hAnsi="Arial" w:cs="Arial"/>
          <w:sz w:val="20"/>
          <w:szCs w:val="20"/>
        </w:rPr>
        <w:t>flow paths</w:t>
      </w:r>
      <w:r>
        <w:rPr>
          <w:rFonts w:ascii="Arial" w:hAnsi="Arial" w:cs="Arial"/>
          <w:sz w:val="20"/>
          <w:szCs w:val="20"/>
        </w:rPr>
        <w:t>, boundary conditions,</w:t>
      </w:r>
      <w:r w:rsidRPr="00E9479A">
        <w:rPr>
          <w:rFonts w:ascii="Arial" w:hAnsi="Arial" w:cs="Arial"/>
          <w:sz w:val="20"/>
          <w:szCs w:val="20"/>
        </w:rPr>
        <w:t xml:space="preserve"> connectivity and recharge), </w:t>
      </w:r>
      <w:r w:rsidR="00FB6E87">
        <w:rPr>
          <w:rFonts w:ascii="Arial" w:hAnsi="Arial" w:cs="Arial"/>
          <w:sz w:val="20"/>
          <w:szCs w:val="20"/>
        </w:rPr>
        <w:t xml:space="preserve">representation of faults as boundaries, </w:t>
      </w:r>
      <w:r w:rsidRPr="00E9479A">
        <w:rPr>
          <w:rFonts w:ascii="Arial" w:hAnsi="Arial" w:cs="Arial"/>
          <w:sz w:val="20"/>
          <w:szCs w:val="20"/>
        </w:rPr>
        <w:t xml:space="preserve">the incorporation of subsidence induced fracturing, seasonality, and surface </w:t>
      </w:r>
      <w:r>
        <w:rPr>
          <w:rFonts w:ascii="Arial" w:hAnsi="Arial" w:cs="Arial"/>
          <w:sz w:val="20"/>
          <w:szCs w:val="20"/>
        </w:rPr>
        <w:t xml:space="preserve">water </w:t>
      </w:r>
      <w:r w:rsidRPr="00E9479A">
        <w:rPr>
          <w:rFonts w:ascii="Arial" w:hAnsi="Arial" w:cs="Arial"/>
          <w:sz w:val="20"/>
          <w:szCs w:val="20"/>
        </w:rPr>
        <w:t>and groundwater interaction within the groundwater model.</w:t>
      </w:r>
    </w:p>
    <w:p w:rsidR="00E9479A" w:rsidRPr="00E9479A" w:rsidRDefault="00E9479A" w:rsidP="00E9479A">
      <w:pPr>
        <w:pStyle w:val="ListNumber2"/>
        <w:spacing w:after="200" w:line="276" w:lineRule="auto"/>
        <w:rPr>
          <w:rFonts w:ascii="Arial" w:hAnsi="Arial" w:cs="Arial"/>
          <w:sz w:val="20"/>
          <w:szCs w:val="20"/>
        </w:rPr>
      </w:pPr>
      <w:r w:rsidRPr="00E9479A">
        <w:rPr>
          <w:rFonts w:ascii="Arial" w:hAnsi="Arial" w:cs="Arial"/>
          <w:sz w:val="20"/>
          <w:szCs w:val="20"/>
        </w:rPr>
        <w:t xml:space="preserve">The performance of the site water balance under a range of climatic scenarios. </w:t>
      </w:r>
    </w:p>
    <w:p w:rsidR="00E9479A" w:rsidRPr="00E9479A" w:rsidRDefault="00E9479A" w:rsidP="00E9479A">
      <w:pPr>
        <w:pStyle w:val="ListNumber2"/>
        <w:spacing w:after="200" w:line="276" w:lineRule="auto"/>
        <w:rPr>
          <w:rFonts w:ascii="Arial" w:hAnsi="Arial" w:cs="Arial"/>
          <w:sz w:val="20"/>
          <w:szCs w:val="20"/>
        </w:rPr>
      </w:pPr>
      <w:r w:rsidRPr="00E9479A">
        <w:rPr>
          <w:rFonts w:ascii="Arial" w:hAnsi="Arial" w:cs="Arial"/>
          <w:sz w:val="20"/>
          <w:szCs w:val="20"/>
        </w:rPr>
        <w:t>The total impact of subsidence on surface water flow and quality</w:t>
      </w:r>
      <w:r w:rsidR="00521092">
        <w:rPr>
          <w:rFonts w:ascii="Arial" w:hAnsi="Arial" w:cs="Arial"/>
          <w:sz w:val="20"/>
          <w:szCs w:val="20"/>
        </w:rPr>
        <w:t xml:space="preserve">, including </w:t>
      </w:r>
      <w:r w:rsidR="002F1E35">
        <w:rPr>
          <w:rFonts w:ascii="Arial" w:hAnsi="Arial" w:cs="Arial"/>
          <w:sz w:val="20"/>
          <w:szCs w:val="20"/>
        </w:rPr>
        <w:t>the ability to determine variations</w:t>
      </w:r>
      <w:r w:rsidR="00521092">
        <w:rPr>
          <w:rFonts w:ascii="Arial" w:hAnsi="Arial" w:cs="Arial"/>
          <w:sz w:val="20"/>
          <w:szCs w:val="20"/>
        </w:rPr>
        <w:t xml:space="preserve"> from </w:t>
      </w:r>
      <w:r w:rsidR="002F1E35">
        <w:rPr>
          <w:rFonts w:ascii="Arial" w:hAnsi="Arial" w:cs="Arial"/>
          <w:sz w:val="20"/>
          <w:szCs w:val="20"/>
        </w:rPr>
        <w:t xml:space="preserve">the </w:t>
      </w:r>
      <w:r w:rsidR="00521092">
        <w:rPr>
          <w:rFonts w:ascii="Arial" w:hAnsi="Arial" w:cs="Arial"/>
          <w:sz w:val="20"/>
          <w:szCs w:val="20"/>
        </w:rPr>
        <w:t>pr</w:t>
      </w:r>
      <w:r w:rsidR="002F1E35">
        <w:rPr>
          <w:rFonts w:ascii="Arial" w:hAnsi="Arial" w:cs="Arial"/>
          <w:sz w:val="20"/>
          <w:szCs w:val="20"/>
        </w:rPr>
        <w:t>e-development condition</w:t>
      </w:r>
      <w:r w:rsidRPr="00E9479A">
        <w:rPr>
          <w:rFonts w:ascii="Arial" w:hAnsi="Arial" w:cs="Arial"/>
          <w:sz w:val="20"/>
          <w:szCs w:val="20"/>
        </w:rPr>
        <w:t>.</w:t>
      </w:r>
    </w:p>
    <w:p w:rsidR="009110D5" w:rsidRPr="00D32EC2" w:rsidRDefault="00D32EC2" w:rsidP="00D32EC2">
      <w:pPr>
        <w:pStyle w:val="ListNumber"/>
        <w:spacing w:after="200" w:line="276" w:lineRule="auto"/>
        <w:rPr>
          <w:rFonts w:ascii="Arial" w:hAnsi="Arial" w:cs="Arial"/>
          <w:sz w:val="20"/>
          <w:szCs w:val="20"/>
        </w:rPr>
      </w:pPr>
      <w:r w:rsidRPr="00D32EC2">
        <w:rPr>
          <w:rFonts w:ascii="Arial" w:hAnsi="Arial" w:cs="Arial"/>
          <w:sz w:val="20"/>
          <w:szCs w:val="20"/>
        </w:rPr>
        <w:lastRenderedPageBreak/>
        <w:t xml:space="preserve">The Taroborah </w:t>
      </w:r>
      <w:r w:rsidR="00FC31E3">
        <w:rPr>
          <w:rFonts w:ascii="Arial" w:hAnsi="Arial" w:cs="Arial"/>
          <w:sz w:val="20"/>
          <w:szCs w:val="20"/>
        </w:rPr>
        <w:t xml:space="preserve">Coal </w:t>
      </w:r>
      <w:r w:rsidRPr="00D32EC2">
        <w:rPr>
          <w:rFonts w:ascii="Arial" w:hAnsi="Arial" w:cs="Arial"/>
          <w:sz w:val="20"/>
          <w:szCs w:val="20"/>
        </w:rPr>
        <w:t xml:space="preserve">project poses a risk to </w:t>
      </w:r>
      <w:r w:rsidR="00FC31E3">
        <w:rPr>
          <w:rFonts w:ascii="Arial" w:hAnsi="Arial" w:cs="Arial"/>
          <w:sz w:val="20"/>
          <w:szCs w:val="20"/>
        </w:rPr>
        <w:t xml:space="preserve">the flow regimes of </w:t>
      </w:r>
      <w:r w:rsidR="00FC31E3" w:rsidRPr="00D32EC2">
        <w:rPr>
          <w:rFonts w:ascii="Arial" w:hAnsi="Arial" w:cs="Arial"/>
          <w:sz w:val="20"/>
          <w:szCs w:val="20"/>
        </w:rPr>
        <w:t>Retreat Creek, Taroborah Creek</w:t>
      </w:r>
      <w:r w:rsidR="00FC31E3">
        <w:rPr>
          <w:rFonts w:ascii="Arial" w:hAnsi="Arial" w:cs="Arial"/>
          <w:sz w:val="20"/>
          <w:szCs w:val="20"/>
        </w:rPr>
        <w:t xml:space="preserve">, </w:t>
      </w:r>
      <w:r w:rsidR="00D50033">
        <w:rPr>
          <w:rFonts w:ascii="Arial" w:hAnsi="Arial" w:cs="Arial"/>
          <w:sz w:val="20"/>
          <w:szCs w:val="20"/>
        </w:rPr>
        <w:t>and the</w:t>
      </w:r>
      <w:r w:rsidR="00FC31E3">
        <w:rPr>
          <w:rFonts w:ascii="Arial" w:hAnsi="Arial" w:cs="Arial"/>
          <w:sz w:val="20"/>
          <w:szCs w:val="20"/>
        </w:rPr>
        <w:t xml:space="preserve"> lower reaches of Centre Creek</w:t>
      </w:r>
      <w:r w:rsidR="00FC31E3" w:rsidRPr="00D32EC2">
        <w:rPr>
          <w:rFonts w:ascii="Arial" w:hAnsi="Arial" w:cs="Arial"/>
          <w:sz w:val="20"/>
          <w:szCs w:val="20"/>
        </w:rPr>
        <w:t xml:space="preserve"> and to water dependent ecosystems which rely upon these </w:t>
      </w:r>
      <w:r w:rsidR="00005ED0">
        <w:rPr>
          <w:rFonts w:ascii="Arial" w:hAnsi="Arial" w:cs="Arial"/>
          <w:sz w:val="20"/>
          <w:szCs w:val="20"/>
        </w:rPr>
        <w:t>surface water systems</w:t>
      </w:r>
      <w:r w:rsidR="00FC31E3">
        <w:rPr>
          <w:rFonts w:ascii="Arial" w:hAnsi="Arial" w:cs="Arial"/>
          <w:sz w:val="20"/>
          <w:szCs w:val="20"/>
        </w:rPr>
        <w:t>.</w:t>
      </w:r>
      <w:r w:rsidR="00FC31E3" w:rsidRPr="00D32EC2">
        <w:rPr>
          <w:rFonts w:ascii="Arial" w:hAnsi="Arial" w:cs="Arial"/>
          <w:sz w:val="20"/>
          <w:szCs w:val="20"/>
        </w:rPr>
        <w:t xml:space="preserve"> </w:t>
      </w:r>
      <w:r w:rsidR="00FC31E3">
        <w:rPr>
          <w:rFonts w:ascii="Arial" w:hAnsi="Arial" w:cs="Arial"/>
          <w:sz w:val="20"/>
          <w:szCs w:val="20"/>
        </w:rPr>
        <w:t>P</w:t>
      </w:r>
      <w:r w:rsidRPr="00D32EC2">
        <w:rPr>
          <w:rFonts w:ascii="Arial" w:hAnsi="Arial" w:cs="Arial"/>
          <w:sz w:val="20"/>
          <w:szCs w:val="20"/>
        </w:rPr>
        <w:t xml:space="preserve">rivate groundwater bores, which are predicted to experience drawdown of up to 29.7 m, </w:t>
      </w:r>
      <w:r w:rsidR="00FC31E3">
        <w:rPr>
          <w:rFonts w:ascii="Arial" w:hAnsi="Arial" w:cs="Arial"/>
          <w:sz w:val="20"/>
          <w:szCs w:val="20"/>
        </w:rPr>
        <w:t>are also at risk.</w:t>
      </w:r>
    </w:p>
    <w:p w:rsidR="00CF5929"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9110D5">
        <w:rPr>
          <w:rFonts w:ascii="Arial" w:hAnsi="Arial" w:cs="Arial"/>
          <w:sz w:val="20"/>
          <w:szCs w:val="20"/>
          <w:u w:val="single"/>
        </w:rPr>
        <w:t>Explanation</w:t>
      </w:r>
    </w:p>
    <w:p w:rsidR="00782C1E" w:rsidRPr="00782C1E" w:rsidRDefault="006D5181" w:rsidP="00CF5929">
      <w:pPr>
        <w:pStyle w:val="ListNumber"/>
        <w:numPr>
          <w:ilvl w:val="0"/>
          <w:numId w:val="0"/>
        </w:numPr>
        <w:spacing w:after="200" w:line="276" w:lineRule="auto"/>
        <w:ind w:left="369" w:hanging="369"/>
        <w:rPr>
          <w:rFonts w:ascii="Arial" w:hAnsi="Arial" w:cs="Arial"/>
          <w:i/>
          <w:sz w:val="20"/>
          <w:szCs w:val="20"/>
        </w:rPr>
      </w:pPr>
      <w:r>
        <w:rPr>
          <w:rFonts w:ascii="Arial" w:hAnsi="Arial" w:cs="Arial"/>
          <w:i/>
          <w:sz w:val="20"/>
          <w:szCs w:val="20"/>
        </w:rPr>
        <w:t>G</w:t>
      </w:r>
      <w:r w:rsidR="00782C1E" w:rsidRPr="00782C1E">
        <w:rPr>
          <w:rFonts w:ascii="Arial" w:hAnsi="Arial" w:cs="Arial"/>
          <w:i/>
          <w:sz w:val="20"/>
          <w:szCs w:val="20"/>
        </w:rPr>
        <w:t>roundwater model</w:t>
      </w:r>
    </w:p>
    <w:p w:rsidR="005A70C6" w:rsidRPr="002779CD" w:rsidRDefault="00461F29" w:rsidP="00CF5929">
      <w:pPr>
        <w:pStyle w:val="ListNumber"/>
        <w:spacing w:after="200" w:line="276" w:lineRule="auto"/>
        <w:rPr>
          <w:rFonts w:ascii="Arial" w:hAnsi="Arial" w:cs="Arial"/>
          <w:sz w:val="20"/>
          <w:szCs w:val="20"/>
        </w:rPr>
      </w:pPr>
      <w:r w:rsidRPr="002779CD">
        <w:rPr>
          <w:rFonts w:ascii="Arial" w:hAnsi="Arial" w:cs="Arial"/>
          <w:sz w:val="20"/>
          <w:szCs w:val="20"/>
        </w:rPr>
        <w:t>The following uncertainties red</w:t>
      </w:r>
      <w:r w:rsidR="00480A54" w:rsidRPr="002779CD">
        <w:rPr>
          <w:rFonts w:ascii="Arial" w:hAnsi="Arial" w:cs="Arial"/>
          <w:sz w:val="20"/>
          <w:szCs w:val="20"/>
        </w:rPr>
        <w:t xml:space="preserve">uce confidence in </w:t>
      </w:r>
      <w:r w:rsidR="00447790" w:rsidRPr="002779CD">
        <w:rPr>
          <w:rFonts w:ascii="Arial" w:hAnsi="Arial" w:cs="Arial"/>
          <w:sz w:val="20"/>
          <w:szCs w:val="20"/>
        </w:rPr>
        <w:t>the groundwater model predictions</w:t>
      </w:r>
      <w:r w:rsidR="00480A54" w:rsidRPr="002779CD">
        <w:rPr>
          <w:rFonts w:ascii="Arial" w:hAnsi="Arial" w:cs="Arial"/>
          <w:sz w:val="20"/>
          <w:szCs w:val="20"/>
        </w:rPr>
        <w:t>:</w:t>
      </w:r>
    </w:p>
    <w:p w:rsidR="00480A54" w:rsidRDefault="00480A54" w:rsidP="00480A54">
      <w:pPr>
        <w:pStyle w:val="ListNumber2"/>
        <w:spacing w:after="200" w:line="276" w:lineRule="auto"/>
        <w:rPr>
          <w:rFonts w:ascii="Arial" w:hAnsi="Arial" w:cs="Arial"/>
          <w:sz w:val="20"/>
        </w:rPr>
      </w:pPr>
      <w:r>
        <w:rPr>
          <w:rFonts w:ascii="Arial" w:hAnsi="Arial" w:cs="Arial"/>
          <w:sz w:val="20"/>
        </w:rPr>
        <w:t xml:space="preserve">The draft Environmental Impact Statement (EIS) does not contain any </w:t>
      </w:r>
      <w:r w:rsidR="00991146">
        <w:rPr>
          <w:rFonts w:ascii="Arial" w:hAnsi="Arial" w:cs="Arial"/>
          <w:sz w:val="20"/>
        </w:rPr>
        <w:t>pre-existing or recent exploration data to justify that there is no hydraulic connectivity across the faults.</w:t>
      </w:r>
      <w:r w:rsidR="00F52D15">
        <w:rPr>
          <w:rFonts w:ascii="Arial" w:hAnsi="Arial" w:cs="Arial"/>
          <w:sz w:val="20"/>
        </w:rPr>
        <w:t xml:space="preserve"> The effect of “turning off” cells may result in an unrealistic lack of c</w:t>
      </w:r>
      <w:r w:rsidR="00470AD2">
        <w:rPr>
          <w:rFonts w:ascii="Arial" w:hAnsi="Arial" w:cs="Arial"/>
          <w:sz w:val="20"/>
        </w:rPr>
        <w:t xml:space="preserve">onnectivity between upper (layers one and two) and lower (three to ten) layers, resulting in an </w:t>
      </w:r>
      <w:r w:rsidR="00743388">
        <w:rPr>
          <w:rFonts w:ascii="Arial" w:hAnsi="Arial" w:cs="Arial"/>
          <w:sz w:val="20"/>
        </w:rPr>
        <w:t>under-estimation</w:t>
      </w:r>
      <w:r w:rsidR="00470AD2">
        <w:rPr>
          <w:rFonts w:ascii="Arial" w:hAnsi="Arial" w:cs="Arial"/>
          <w:sz w:val="20"/>
        </w:rPr>
        <w:t xml:space="preserve"> of groundwater drawdown extent.</w:t>
      </w:r>
    </w:p>
    <w:p w:rsidR="006F30B8" w:rsidRPr="00EE5FE3" w:rsidRDefault="00C83C03" w:rsidP="00EE5FE3">
      <w:pPr>
        <w:pStyle w:val="ListNumber2"/>
        <w:spacing w:after="200" w:line="276" w:lineRule="auto"/>
        <w:rPr>
          <w:rFonts w:ascii="Arial" w:hAnsi="Arial" w:cs="Arial"/>
          <w:sz w:val="20"/>
        </w:rPr>
      </w:pPr>
      <w:r>
        <w:rPr>
          <w:rFonts w:ascii="Arial" w:hAnsi="Arial" w:cs="Arial"/>
          <w:sz w:val="20"/>
        </w:rPr>
        <w:t>It is unclear how the fault boundary conditions</w:t>
      </w:r>
      <w:r w:rsidR="00991146">
        <w:rPr>
          <w:rFonts w:ascii="Arial" w:hAnsi="Arial" w:cs="Arial"/>
          <w:sz w:val="20"/>
        </w:rPr>
        <w:t xml:space="preserve"> have been </w:t>
      </w:r>
      <w:r>
        <w:rPr>
          <w:rFonts w:ascii="Arial" w:hAnsi="Arial" w:cs="Arial"/>
          <w:sz w:val="20"/>
        </w:rPr>
        <w:t>incorporated</w:t>
      </w:r>
      <w:r w:rsidR="00F52D15">
        <w:rPr>
          <w:rFonts w:ascii="Arial" w:hAnsi="Arial" w:cs="Arial"/>
          <w:sz w:val="20"/>
        </w:rPr>
        <w:t xml:space="preserve"> </w:t>
      </w:r>
      <w:r w:rsidR="00EE5FE3">
        <w:rPr>
          <w:rFonts w:ascii="Arial" w:hAnsi="Arial" w:cs="Arial"/>
          <w:sz w:val="20"/>
        </w:rPr>
        <w:t xml:space="preserve">into the groundwater model </w:t>
      </w:r>
      <w:r w:rsidR="00F52D15">
        <w:rPr>
          <w:rFonts w:ascii="Arial" w:hAnsi="Arial" w:cs="Arial"/>
          <w:sz w:val="20"/>
        </w:rPr>
        <w:t xml:space="preserve">and there is no description of </w:t>
      </w:r>
      <w:r w:rsidR="00C042E6">
        <w:rPr>
          <w:rFonts w:ascii="Arial" w:hAnsi="Arial" w:cs="Arial"/>
          <w:sz w:val="20"/>
        </w:rPr>
        <w:t xml:space="preserve">any </w:t>
      </w:r>
      <w:r w:rsidR="00470AD2">
        <w:rPr>
          <w:rFonts w:ascii="Arial" w:hAnsi="Arial" w:cs="Arial"/>
          <w:sz w:val="20"/>
        </w:rPr>
        <w:t xml:space="preserve">groundwater </w:t>
      </w:r>
      <w:r w:rsidR="00F52D15">
        <w:rPr>
          <w:rFonts w:ascii="Arial" w:hAnsi="Arial" w:cs="Arial"/>
          <w:sz w:val="20"/>
        </w:rPr>
        <w:t>flow boundaries</w:t>
      </w:r>
      <w:r w:rsidR="00422832">
        <w:rPr>
          <w:rFonts w:ascii="Arial" w:hAnsi="Arial" w:cs="Arial"/>
          <w:sz w:val="20"/>
        </w:rPr>
        <w:t xml:space="preserve"> throughout the model domain,</w:t>
      </w:r>
      <w:r w:rsidR="00F52D15" w:rsidRPr="00F52D15">
        <w:rPr>
          <w:rFonts w:ascii="Arial" w:hAnsi="Arial" w:cs="Arial"/>
          <w:sz w:val="20"/>
        </w:rPr>
        <w:t xml:space="preserve"> </w:t>
      </w:r>
      <w:r w:rsidR="00470AD2">
        <w:rPr>
          <w:rFonts w:ascii="Arial" w:hAnsi="Arial" w:cs="Arial"/>
          <w:sz w:val="20"/>
        </w:rPr>
        <w:t xml:space="preserve">or their influence </w:t>
      </w:r>
      <w:r w:rsidR="00EE5FE3">
        <w:rPr>
          <w:rFonts w:ascii="Arial" w:hAnsi="Arial" w:cs="Arial"/>
          <w:sz w:val="20"/>
        </w:rPr>
        <w:t>on model predictions</w:t>
      </w:r>
      <w:r w:rsidR="00470AD2">
        <w:rPr>
          <w:rFonts w:ascii="Arial" w:hAnsi="Arial" w:cs="Arial"/>
          <w:sz w:val="20"/>
        </w:rPr>
        <w:t>.</w:t>
      </w:r>
    </w:p>
    <w:p w:rsidR="007203C3" w:rsidRDefault="006B10E7" w:rsidP="00CF5929">
      <w:pPr>
        <w:pStyle w:val="ListNumber"/>
        <w:spacing w:after="200" w:line="276" w:lineRule="auto"/>
        <w:rPr>
          <w:rFonts w:ascii="Arial" w:hAnsi="Arial" w:cs="Arial"/>
          <w:sz w:val="20"/>
          <w:szCs w:val="20"/>
        </w:rPr>
      </w:pPr>
      <w:r>
        <w:rPr>
          <w:rFonts w:ascii="Arial" w:hAnsi="Arial" w:cs="Arial"/>
          <w:sz w:val="20"/>
          <w:szCs w:val="20"/>
        </w:rPr>
        <w:t xml:space="preserve">Confidence in groundwater model predictions is reduced </w:t>
      </w:r>
      <w:r w:rsidR="006C7F2C">
        <w:rPr>
          <w:rFonts w:ascii="Arial" w:hAnsi="Arial" w:cs="Arial"/>
          <w:sz w:val="20"/>
          <w:szCs w:val="20"/>
        </w:rPr>
        <w:t xml:space="preserve">by </w:t>
      </w:r>
      <w:r w:rsidR="00EE5FE3">
        <w:rPr>
          <w:rFonts w:ascii="Arial" w:hAnsi="Arial" w:cs="Arial"/>
          <w:sz w:val="20"/>
          <w:szCs w:val="20"/>
        </w:rPr>
        <w:t>the</w:t>
      </w:r>
      <w:r w:rsidR="006C7F2C">
        <w:rPr>
          <w:rFonts w:ascii="Arial" w:hAnsi="Arial" w:cs="Arial"/>
          <w:sz w:val="20"/>
          <w:szCs w:val="20"/>
        </w:rPr>
        <w:t xml:space="preserve"> low number (three listed within the EIS) of </w:t>
      </w:r>
      <w:r w:rsidR="006C7F2C" w:rsidRPr="007F506E">
        <w:rPr>
          <w:rFonts w:ascii="Arial" w:hAnsi="Arial" w:cs="Arial"/>
          <w:sz w:val="20"/>
          <w:szCs w:val="20"/>
        </w:rPr>
        <w:t>hydraulic cond</w:t>
      </w:r>
      <w:r w:rsidR="006C7F2C">
        <w:rPr>
          <w:rFonts w:ascii="Arial" w:hAnsi="Arial" w:cs="Arial"/>
          <w:sz w:val="20"/>
          <w:szCs w:val="20"/>
        </w:rPr>
        <w:t>uctivity</w:t>
      </w:r>
      <w:r w:rsidR="006C7F2C" w:rsidRPr="007F506E">
        <w:rPr>
          <w:rFonts w:ascii="Arial" w:hAnsi="Arial" w:cs="Arial"/>
          <w:sz w:val="20"/>
          <w:szCs w:val="20"/>
        </w:rPr>
        <w:t xml:space="preserve"> </w:t>
      </w:r>
      <w:r w:rsidR="007F506E" w:rsidRPr="007F506E">
        <w:rPr>
          <w:rFonts w:ascii="Arial" w:hAnsi="Arial" w:cs="Arial"/>
          <w:sz w:val="20"/>
          <w:szCs w:val="20"/>
        </w:rPr>
        <w:t xml:space="preserve">measurements </w:t>
      </w:r>
      <w:r w:rsidR="006C7F2C">
        <w:rPr>
          <w:rFonts w:ascii="Arial" w:hAnsi="Arial" w:cs="Arial"/>
          <w:sz w:val="20"/>
          <w:szCs w:val="20"/>
        </w:rPr>
        <w:t>within the coal seams</w:t>
      </w:r>
      <w:r w:rsidR="007F506E" w:rsidRPr="007F506E">
        <w:rPr>
          <w:rFonts w:ascii="Arial" w:hAnsi="Arial" w:cs="Arial"/>
          <w:sz w:val="20"/>
          <w:szCs w:val="20"/>
        </w:rPr>
        <w:t xml:space="preserve">. </w:t>
      </w:r>
      <w:r w:rsidR="00E47440">
        <w:rPr>
          <w:rFonts w:ascii="Arial" w:hAnsi="Arial" w:cs="Arial"/>
          <w:sz w:val="20"/>
          <w:szCs w:val="20"/>
        </w:rPr>
        <w:t>Confidence in the model is further reduced by the prescription of c</w:t>
      </w:r>
      <w:r w:rsidR="006C7F2C">
        <w:rPr>
          <w:rFonts w:ascii="Arial" w:hAnsi="Arial" w:cs="Arial"/>
          <w:sz w:val="20"/>
          <w:szCs w:val="20"/>
        </w:rPr>
        <w:t xml:space="preserve">alibrated horizontal </w:t>
      </w:r>
      <w:r w:rsidR="006C7F2C" w:rsidRPr="007F506E">
        <w:rPr>
          <w:rFonts w:ascii="Arial" w:hAnsi="Arial" w:cs="Arial"/>
          <w:sz w:val="20"/>
          <w:szCs w:val="20"/>
        </w:rPr>
        <w:t xml:space="preserve">hydraulic conductivity values </w:t>
      </w:r>
      <w:r w:rsidR="00CB16D1" w:rsidRPr="007F506E">
        <w:rPr>
          <w:rFonts w:ascii="Arial" w:hAnsi="Arial" w:cs="Arial"/>
          <w:sz w:val="20"/>
          <w:szCs w:val="20"/>
        </w:rPr>
        <w:t>for the coal seams</w:t>
      </w:r>
      <w:r w:rsidR="00E47440">
        <w:rPr>
          <w:rFonts w:ascii="Arial" w:hAnsi="Arial" w:cs="Arial"/>
          <w:sz w:val="20"/>
          <w:szCs w:val="20"/>
        </w:rPr>
        <w:t xml:space="preserve"> that are </w:t>
      </w:r>
      <w:r w:rsidR="006C7F2C" w:rsidRPr="007F506E">
        <w:rPr>
          <w:rFonts w:ascii="Arial" w:hAnsi="Arial" w:cs="Arial"/>
          <w:sz w:val="20"/>
          <w:szCs w:val="20"/>
        </w:rPr>
        <w:t>an order of magnitude lower than the values identified during the field study.</w:t>
      </w:r>
      <w:r w:rsidR="006C7F2C">
        <w:rPr>
          <w:rFonts w:ascii="Arial" w:hAnsi="Arial" w:cs="Arial"/>
          <w:sz w:val="20"/>
          <w:szCs w:val="20"/>
        </w:rPr>
        <w:t xml:space="preserve"> Significantly l</w:t>
      </w:r>
      <w:r w:rsidR="007F506E" w:rsidRPr="007F506E">
        <w:rPr>
          <w:rFonts w:ascii="Arial" w:hAnsi="Arial" w:cs="Arial"/>
          <w:sz w:val="20"/>
          <w:szCs w:val="20"/>
        </w:rPr>
        <w:t xml:space="preserve">ower calibrated hydraulic conductivity values than those measured </w:t>
      </w:r>
      <w:r w:rsidR="005A70C6">
        <w:rPr>
          <w:rFonts w:ascii="Arial" w:hAnsi="Arial" w:cs="Arial"/>
          <w:sz w:val="20"/>
          <w:szCs w:val="20"/>
        </w:rPr>
        <w:t xml:space="preserve">in the field </w:t>
      </w:r>
      <w:r w:rsidR="00D52EB4">
        <w:rPr>
          <w:rFonts w:ascii="Arial" w:hAnsi="Arial" w:cs="Arial"/>
          <w:sz w:val="20"/>
          <w:szCs w:val="20"/>
        </w:rPr>
        <w:t xml:space="preserve">may </w:t>
      </w:r>
      <w:r w:rsidR="007F506E" w:rsidRPr="007F506E">
        <w:rPr>
          <w:rFonts w:ascii="Arial" w:hAnsi="Arial" w:cs="Arial"/>
          <w:sz w:val="20"/>
          <w:szCs w:val="20"/>
        </w:rPr>
        <w:t>result in an underestimation of the drawdown extent</w:t>
      </w:r>
      <w:r w:rsidR="00D52EB4">
        <w:rPr>
          <w:rFonts w:ascii="Arial" w:hAnsi="Arial" w:cs="Arial"/>
          <w:sz w:val="20"/>
          <w:szCs w:val="20"/>
        </w:rPr>
        <w:t xml:space="preserve"> </w:t>
      </w:r>
      <w:r w:rsidR="005A70C6">
        <w:rPr>
          <w:rFonts w:ascii="Arial" w:hAnsi="Arial" w:cs="Arial"/>
          <w:sz w:val="20"/>
          <w:szCs w:val="20"/>
        </w:rPr>
        <w:t xml:space="preserve">and </w:t>
      </w:r>
      <w:r w:rsidR="00D52EB4">
        <w:rPr>
          <w:rFonts w:ascii="Arial" w:hAnsi="Arial" w:cs="Arial"/>
          <w:sz w:val="20"/>
          <w:szCs w:val="20"/>
        </w:rPr>
        <w:t xml:space="preserve">groundwater </w:t>
      </w:r>
      <w:r w:rsidR="006F30B8">
        <w:rPr>
          <w:rFonts w:ascii="Arial" w:hAnsi="Arial" w:cs="Arial"/>
          <w:sz w:val="20"/>
          <w:szCs w:val="20"/>
        </w:rPr>
        <w:t xml:space="preserve">mine </w:t>
      </w:r>
      <w:r w:rsidR="00D52EB4">
        <w:rPr>
          <w:rFonts w:ascii="Arial" w:hAnsi="Arial" w:cs="Arial"/>
          <w:sz w:val="20"/>
          <w:szCs w:val="20"/>
        </w:rPr>
        <w:t>inflow</w:t>
      </w:r>
      <w:r w:rsidR="005A70C6">
        <w:rPr>
          <w:rFonts w:ascii="Arial" w:hAnsi="Arial" w:cs="Arial"/>
          <w:sz w:val="20"/>
          <w:szCs w:val="20"/>
        </w:rPr>
        <w:t xml:space="preserve"> predictions</w:t>
      </w:r>
      <w:r w:rsidR="007F506E" w:rsidRPr="007F506E">
        <w:rPr>
          <w:rFonts w:ascii="Arial" w:hAnsi="Arial" w:cs="Arial"/>
          <w:sz w:val="20"/>
          <w:szCs w:val="20"/>
        </w:rPr>
        <w:t xml:space="preserve">. </w:t>
      </w:r>
    </w:p>
    <w:p w:rsidR="00E07D0F" w:rsidRPr="00E07D0F" w:rsidRDefault="00E07D0F" w:rsidP="00E07D0F">
      <w:pPr>
        <w:pStyle w:val="ListNumber"/>
        <w:numPr>
          <w:ilvl w:val="0"/>
          <w:numId w:val="0"/>
        </w:numPr>
        <w:spacing w:after="200" w:line="276" w:lineRule="auto"/>
        <w:rPr>
          <w:rFonts w:ascii="Arial" w:hAnsi="Arial" w:cs="Arial"/>
          <w:i/>
          <w:sz w:val="20"/>
          <w:szCs w:val="20"/>
        </w:rPr>
      </w:pPr>
      <w:r w:rsidRPr="00E07D0F">
        <w:rPr>
          <w:rFonts w:ascii="Arial" w:hAnsi="Arial" w:cs="Arial"/>
          <w:i/>
          <w:sz w:val="20"/>
          <w:szCs w:val="20"/>
        </w:rPr>
        <w:t>Subsidence induced fracturing</w:t>
      </w:r>
    </w:p>
    <w:p w:rsidR="00FA599F" w:rsidRDefault="00FA599F" w:rsidP="00FA599F">
      <w:pPr>
        <w:pStyle w:val="ListNumber"/>
        <w:spacing w:after="200" w:line="276" w:lineRule="auto"/>
        <w:rPr>
          <w:rFonts w:ascii="Arial" w:hAnsi="Arial" w:cs="Arial"/>
          <w:sz w:val="20"/>
          <w:szCs w:val="20"/>
        </w:rPr>
      </w:pPr>
      <w:r w:rsidRPr="00FA599F">
        <w:rPr>
          <w:rFonts w:ascii="Arial" w:hAnsi="Arial" w:cs="Arial"/>
          <w:sz w:val="20"/>
          <w:szCs w:val="20"/>
        </w:rPr>
        <w:t xml:space="preserve">The proponent’s approach to modelling subsidence induced fracturing and deformations in the </w:t>
      </w:r>
      <w:r w:rsidR="00B207E6">
        <w:rPr>
          <w:rFonts w:ascii="Arial" w:hAnsi="Arial" w:cs="Arial"/>
          <w:sz w:val="20"/>
          <w:szCs w:val="20"/>
        </w:rPr>
        <w:t>strata</w:t>
      </w:r>
      <w:r w:rsidRPr="00FA599F">
        <w:rPr>
          <w:rFonts w:ascii="Arial" w:hAnsi="Arial" w:cs="Arial"/>
          <w:sz w:val="20"/>
          <w:szCs w:val="20"/>
        </w:rPr>
        <w:t xml:space="preserve"> overlying longwall panels </w:t>
      </w:r>
      <w:r w:rsidR="00F87498">
        <w:rPr>
          <w:rFonts w:ascii="Arial" w:hAnsi="Arial" w:cs="Arial"/>
          <w:sz w:val="20"/>
          <w:szCs w:val="20"/>
        </w:rPr>
        <w:t>presents</w:t>
      </w:r>
      <w:r w:rsidRPr="00FA599F">
        <w:rPr>
          <w:rFonts w:ascii="Arial" w:hAnsi="Arial" w:cs="Arial"/>
          <w:sz w:val="20"/>
          <w:szCs w:val="20"/>
        </w:rPr>
        <w:t xml:space="preserve"> the following concerns:</w:t>
      </w:r>
    </w:p>
    <w:p w:rsidR="00FA599F" w:rsidRDefault="00C11198" w:rsidP="00C11198">
      <w:pPr>
        <w:pStyle w:val="ListNumber2"/>
        <w:spacing w:after="200" w:line="276" w:lineRule="auto"/>
        <w:rPr>
          <w:rFonts w:ascii="Arial" w:hAnsi="Arial" w:cs="Arial"/>
          <w:sz w:val="20"/>
        </w:rPr>
      </w:pPr>
      <w:r w:rsidRPr="00C11198">
        <w:rPr>
          <w:rFonts w:ascii="Arial" w:hAnsi="Arial" w:cs="Arial"/>
          <w:sz w:val="20"/>
        </w:rPr>
        <w:t>The influence of subsidence cracking</w:t>
      </w:r>
      <w:r w:rsidR="00BA49B5">
        <w:rPr>
          <w:rFonts w:ascii="Arial" w:hAnsi="Arial" w:cs="Arial"/>
          <w:sz w:val="20"/>
        </w:rPr>
        <w:t xml:space="preserve"> on</w:t>
      </w:r>
      <w:r w:rsidR="005E3964">
        <w:rPr>
          <w:rFonts w:ascii="Arial" w:hAnsi="Arial" w:cs="Arial"/>
          <w:sz w:val="20"/>
        </w:rPr>
        <w:t xml:space="preserve"> groundwater flow</w:t>
      </w:r>
      <w:r w:rsidRPr="00C11198">
        <w:rPr>
          <w:rFonts w:ascii="Arial" w:hAnsi="Arial" w:cs="Arial"/>
          <w:sz w:val="20"/>
        </w:rPr>
        <w:t xml:space="preserve"> is likely to be under represented in the groundwater model. Fracturing induced by subsidence has been represented up to 90 m above the base of layer eight. However, evidence from</w:t>
      </w:r>
      <w:r w:rsidR="00ED251E">
        <w:rPr>
          <w:rFonts w:ascii="Arial" w:hAnsi="Arial" w:cs="Arial"/>
          <w:sz w:val="20"/>
        </w:rPr>
        <w:t xml:space="preserve"> other</w:t>
      </w:r>
      <w:r w:rsidRPr="00C11198">
        <w:rPr>
          <w:rFonts w:ascii="Arial" w:hAnsi="Arial" w:cs="Arial"/>
          <w:sz w:val="20"/>
        </w:rPr>
        <w:t xml:space="preserve"> longwall mines and research</w:t>
      </w:r>
      <w:r w:rsidR="00905530" w:rsidRPr="00905530">
        <w:rPr>
          <w:rFonts w:ascii="Arial" w:hAnsi="Arial" w:cs="Arial"/>
          <w:sz w:val="20"/>
          <w:vertAlign w:val="superscript"/>
        </w:rPr>
        <w:t>2</w:t>
      </w:r>
      <w:r w:rsidRPr="00C11198">
        <w:rPr>
          <w:rFonts w:ascii="Arial" w:hAnsi="Arial" w:cs="Arial"/>
          <w:sz w:val="20"/>
        </w:rPr>
        <w:t xml:space="preserve"> suggests that subsidence induced deformations above longwall panels can extend up to 60 times the mined longwall panel height towards the surface, which in this case </w:t>
      </w:r>
      <w:r w:rsidR="00F87498">
        <w:rPr>
          <w:rFonts w:ascii="Arial" w:hAnsi="Arial" w:cs="Arial"/>
          <w:sz w:val="20"/>
        </w:rPr>
        <w:t>w</w:t>
      </w:r>
      <w:r w:rsidRPr="00C11198">
        <w:rPr>
          <w:rFonts w:ascii="Arial" w:hAnsi="Arial" w:cs="Arial"/>
          <w:sz w:val="20"/>
        </w:rPr>
        <w:t xml:space="preserve">ould be up to </w:t>
      </w:r>
      <w:r w:rsidRPr="00905530">
        <w:rPr>
          <w:rFonts w:ascii="Arial" w:hAnsi="Arial" w:cs="Arial"/>
          <w:sz w:val="20"/>
        </w:rPr>
        <w:t>210 m</w:t>
      </w:r>
      <w:r w:rsidRPr="00C11198">
        <w:rPr>
          <w:rFonts w:ascii="Arial" w:hAnsi="Arial" w:cs="Arial"/>
          <w:sz w:val="20"/>
        </w:rPr>
        <w:t>.</w:t>
      </w:r>
    </w:p>
    <w:p w:rsidR="00F72A98" w:rsidRPr="002D7024" w:rsidRDefault="00F72A98" w:rsidP="00C11198">
      <w:pPr>
        <w:pStyle w:val="ListNumber2"/>
        <w:spacing w:after="200" w:line="276" w:lineRule="auto"/>
        <w:rPr>
          <w:rFonts w:ascii="Arial" w:hAnsi="Arial" w:cs="Arial"/>
          <w:sz w:val="20"/>
        </w:rPr>
      </w:pPr>
      <w:r w:rsidRPr="002D7024">
        <w:rPr>
          <w:rFonts w:ascii="Arial" w:hAnsi="Arial" w:cs="Arial"/>
          <w:sz w:val="20"/>
        </w:rPr>
        <w:t>The proponent has not provided an assessment of the impact of fracturing within the Tertiary clay/mud units which act as an aquitard between the Terti</w:t>
      </w:r>
      <w:r w:rsidR="00B207E6">
        <w:rPr>
          <w:rFonts w:ascii="Arial" w:hAnsi="Arial" w:cs="Arial"/>
          <w:sz w:val="20"/>
        </w:rPr>
        <w:t>ary B</w:t>
      </w:r>
      <w:r w:rsidRPr="002D7024">
        <w:rPr>
          <w:rFonts w:ascii="Arial" w:hAnsi="Arial" w:cs="Arial"/>
          <w:sz w:val="20"/>
        </w:rPr>
        <w:t>asalt and Aldebaran Sandstone.</w:t>
      </w:r>
      <w:r w:rsidR="006C0A49" w:rsidRPr="002D7024">
        <w:rPr>
          <w:rFonts w:ascii="Arial" w:hAnsi="Arial" w:cs="Arial"/>
          <w:sz w:val="20"/>
        </w:rPr>
        <w:t xml:space="preserve"> These units have been mapped with opposing flow directions. An increase in connectivity between the Tertiary Basalt </w:t>
      </w:r>
      <w:r w:rsidR="00F074AA">
        <w:rPr>
          <w:rFonts w:ascii="Arial" w:hAnsi="Arial" w:cs="Arial"/>
          <w:sz w:val="20"/>
        </w:rPr>
        <w:t xml:space="preserve">and </w:t>
      </w:r>
      <w:r w:rsidR="00CB16D1" w:rsidRPr="002D7024">
        <w:rPr>
          <w:rFonts w:ascii="Arial" w:hAnsi="Arial" w:cs="Arial"/>
          <w:sz w:val="20"/>
        </w:rPr>
        <w:t xml:space="preserve">the Aldebraran Sandstone </w:t>
      </w:r>
      <w:r w:rsidR="00924A16" w:rsidRPr="002D7024">
        <w:rPr>
          <w:rFonts w:ascii="Arial" w:hAnsi="Arial" w:cs="Arial"/>
          <w:sz w:val="20"/>
        </w:rPr>
        <w:t>m</w:t>
      </w:r>
      <w:r w:rsidR="002D7024" w:rsidRPr="002D7024">
        <w:rPr>
          <w:rFonts w:ascii="Arial" w:hAnsi="Arial" w:cs="Arial"/>
          <w:sz w:val="20"/>
        </w:rPr>
        <w:t xml:space="preserve">ay result in changes to groundwater </w:t>
      </w:r>
      <w:r w:rsidR="00447790">
        <w:rPr>
          <w:rFonts w:ascii="Arial" w:hAnsi="Arial" w:cs="Arial"/>
          <w:sz w:val="20"/>
        </w:rPr>
        <w:t xml:space="preserve">flow, </w:t>
      </w:r>
      <w:r w:rsidR="002D7024" w:rsidRPr="002D7024">
        <w:rPr>
          <w:rFonts w:ascii="Arial" w:hAnsi="Arial" w:cs="Arial"/>
          <w:sz w:val="20"/>
        </w:rPr>
        <w:t>quality and quantity within these hydrogeological units.</w:t>
      </w:r>
    </w:p>
    <w:p w:rsidR="00C11198" w:rsidRPr="002D7024" w:rsidRDefault="002A08B5" w:rsidP="00C11198">
      <w:pPr>
        <w:pStyle w:val="ListNumber2"/>
        <w:spacing w:after="200" w:line="276" w:lineRule="auto"/>
        <w:rPr>
          <w:rFonts w:ascii="Arial" w:hAnsi="Arial" w:cs="Arial"/>
          <w:sz w:val="20"/>
        </w:rPr>
      </w:pPr>
      <w:r w:rsidRPr="002D7024">
        <w:rPr>
          <w:rFonts w:ascii="Arial" w:hAnsi="Arial" w:cs="Arial"/>
          <w:sz w:val="20"/>
        </w:rPr>
        <w:t xml:space="preserve">Groundwater flow within the Aldebaran Sandstone is predicted to be in a southward direction, which is attributed to recharge </w:t>
      </w:r>
      <w:r w:rsidR="00B207E6">
        <w:rPr>
          <w:rFonts w:ascii="Arial" w:hAnsi="Arial" w:cs="Arial"/>
          <w:sz w:val="20"/>
        </w:rPr>
        <w:t>by leakage from the Quaternary A</w:t>
      </w:r>
      <w:r w:rsidRPr="002D7024">
        <w:rPr>
          <w:rFonts w:ascii="Arial" w:hAnsi="Arial" w:cs="Arial"/>
          <w:sz w:val="20"/>
        </w:rPr>
        <w:t>lluvium associated with Retreat Creek.</w:t>
      </w:r>
      <w:r w:rsidR="00BA49B5" w:rsidRPr="002D7024">
        <w:rPr>
          <w:rFonts w:ascii="Arial" w:hAnsi="Arial" w:cs="Arial"/>
          <w:sz w:val="20"/>
        </w:rPr>
        <w:t xml:space="preserve"> </w:t>
      </w:r>
      <w:r w:rsidR="002D7024" w:rsidRPr="002D7024">
        <w:rPr>
          <w:rFonts w:ascii="Arial" w:hAnsi="Arial" w:cs="Arial"/>
          <w:sz w:val="20"/>
        </w:rPr>
        <w:t>S</w:t>
      </w:r>
      <w:r w:rsidR="005E3964" w:rsidRPr="002D7024">
        <w:rPr>
          <w:rFonts w:ascii="Arial" w:hAnsi="Arial" w:cs="Arial"/>
          <w:sz w:val="20"/>
        </w:rPr>
        <w:t xml:space="preserve">ubsidence induced fracturing </w:t>
      </w:r>
      <w:r w:rsidR="002D7024" w:rsidRPr="002D7024">
        <w:rPr>
          <w:rFonts w:ascii="Arial" w:hAnsi="Arial" w:cs="Arial"/>
          <w:sz w:val="20"/>
        </w:rPr>
        <w:t>may increase</w:t>
      </w:r>
      <w:r w:rsidR="005E3964" w:rsidRPr="002D7024">
        <w:rPr>
          <w:rFonts w:ascii="Arial" w:hAnsi="Arial" w:cs="Arial"/>
          <w:sz w:val="20"/>
        </w:rPr>
        <w:t xml:space="preserve"> recharge </w:t>
      </w:r>
      <w:r w:rsidR="002D7024" w:rsidRPr="002D7024">
        <w:rPr>
          <w:rFonts w:ascii="Arial" w:hAnsi="Arial" w:cs="Arial"/>
          <w:sz w:val="20"/>
        </w:rPr>
        <w:t xml:space="preserve">rates within the Aldebaran Sandstone and subsequently increase mine water inflows beyond those predicted by the groundwater model. </w:t>
      </w:r>
    </w:p>
    <w:p w:rsidR="002F4CCB" w:rsidRPr="002F4CCB" w:rsidRDefault="002F4CCB" w:rsidP="002F4CCB">
      <w:pPr>
        <w:pStyle w:val="ListNumber"/>
        <w:numPr>
          <w:ilvl w:val="0"/>
          <w:numId w:val="0"/>
        </w:numPr>
        <w:spacing w:after="200" w:line="276" w:lineRule="auto"/>
        <w:rPr>
          <w:rFonts w:ascii="Arial" w:hAnsi="Arial" w:cs="Arial"/>
          <w:i/>
          <w:sz w:val="20"/>
          <w:szCs w:val="20"/>
        </w:rPr>
      </w:pPr>
      <w:r w:rsidRPr="002F4CCB">
        <w:rPr>
          <w:rFonts w:ascii="Arial" w:hAnsi="Arial" w:cs="Arial"/>
          <w:i/>
          <w:sz w:val="20"/>
          <w:szCs w:val="20"/>
        </w:rPr>
        <w:t>Surface water and groundwate</w:t>
      </w:r>
      <w:r w:rsidR="00E50A45">
        <w:rPr>
          <w:rFonts w:ascii="Arial" w:hAnsi="Arial" w:cs="Arial"/>
          <w:i/>
          <w:sz w:val="20"/>
          <w:szCs w:val="20"/>
        </w:rPr>
        <w:t>r</w:t>
      </w:r>
      <w:r w:rsidRPr="002F4CCB">
        <w:rPr>
          <w:rFonts w:ascii="Arial" w:hAnsi="Arial" w:cs="Arial"/>
          <w:i/>
          <w:sz w:val="20"/>
          <w:szCs w:val="20"/>
        </w:rPr>
        <w:t xml:space="preserve"> interaction</w:t>
      </w:r>
    </w:p>
    <w:p w:rsidR="00657F1B" w:rsidRDefault="00757807" w:rsidP="007D7215">
      <w:pPr>
        <w:pStyle w:val="ListNumber"/>
        <w:spacing w:after="200" w:line="276" w:lineRule="auto"/>
        <w:rPr>
          <w:rFonts w:ascii="Arial" w:hAnsi="Arial" w:cs="Arial"/>
          <w:sz w:val="20"/>
          <w:szCs w:val="20"/>
        </w:rPr>
      </w:pPr>
      <w:r>
        <w:rPr>
          <w:rFonts w:ascii="Arial" w:hAnsi="Arial" w:cs="Arial"/>
          <w:sz w:val="20"/>
          <w:szCs w:val="20"/>
        </w:rPr>
        <w:t xml:space="preserve">There is a low level of confidence in the proponent’s prediction of impacts to surface water and groundwater interactions. </w:t>
      </w:r>
      <w:r w:rsidR="007D7215" w:rsidRPr="00657F1B">
        <w:rPr>
          <w:rFonts w:ascii="Arial" w:hAnsi="Arial" w:cs="Arial"/>
          <w:sz w:val="20"/>
          <w:szCs w:val="20"/>
        </w:rPr>
        <w:t>The groundwater model</w:t>
      </w:r>
      <w:r>
        <w:rPr>
          <w:rFonts w:ascii="Arial" w:hAnsi="Arial" w:cs="Arial"/>
          <w:sz w:val="20"/>
          <w:szCs w:val="20"/>
        </w:rPr>
        <w:t xml:space="preserve"> is unable</w:t>
      </w:r>
      <w:r w:rsidR="007D7215" w:rsidRPr="00657F1B">
        <w:rPr>
          <w:rFonts w:ascii="Arial" w:hAnsi="Arial" w:cs="Arial"/>
          <w:sz w:val="20"/>
          <w:szCs w:val="20"/>
        </w:rPr>
        <w:t xml:space="preserve"> to predict</w:t>
      </w:r>
      <w:r w:rsidR="00046A33">
        <w:rPr>
          <w:rFonts w:ascii="Arial" w:hAnsi="Arial" w:cs="Arial"/>
          <w:sz w:val="20"/>
          <w:szCs w:val="20"/>
        </w:rPr>
        <w:t xml:space="preserve"> impacts to</w:t>
      </w:r>
      <w:r w:rsidR="007D7215" w:rsidRPr="00657F1B">
        <w:rPr>
          <w:rFonts w:ascii="Arial" w:hAnsi="Arial" w:cs="Arial"/>
          <w:sz w:val="20"/>
          <w:szCs w:val="20"/>
        </w:rPr>
        <w:t xml:space="preserve"> seasonal </w:t>
      </w:r>
      <w:r w:rsidR="00046A33">
        <w:rPr>
          <w:rFonts w:ascii="Arial" w:hAnsi="Arial" w:cs="Arial"/>
          <w:sz w:val="20"/>
          <w:szCs w:val="20"/>
        </w:rPr>
        <w:lastRenderedPageBreak/>
        <w:t>variations</w:t>
      </w:r>
      <w:r w:rsidR="007D7215" w:rsidRPr="00657F1B">
        <w:rPr>
          <w:rFonts w:ascii="Arial" w:hAnsi="Arial" w:cs="Arial"/>
          <w:sz w:val="20"/>
          <w:szCs w:val="20"/>
        </w:rPr>
        <w:t xml:space="preserve"> in surf</w:t>
      </w:r>
      <w:r w:rsidR="00871DF5" w:rsidRPr="00657F1B">
        <w:rPr>
          <w:rFonts w:ascii="Arial" w:hAnsi="Arial" w:cs="Arial"/>
          <w:sz w:val="20"/>
          <w:szCs w:val="20"/>
        </w:rPr>
        <w:t>ace and groundwater interactions</w:t>
      </w:r>
      <w:r w:rsidR="00046A33">
        <w:rPr>
          <w:rFonts w:ascii="Arial" w:hAnsi="Arial" w:cs="Arial"/>
          <w:sz w:val="20"/>
          <w:szCs w:val="20"/>
        </w:rPr>
        <w:t xml:space="preserve">. Additionally, </w:t>
      </w:r>
      <w:r w:rsidR="00871DF5" w:rsidRPr="00657F1B">
        <w:rPr>
          <w:rFonts w:ascii="Arial" w:hAnsi="Arial" w:cs="Arial"/>
          <w:sz w:val="20"/>
          <w:szCs w:val="20"/>
        </w:rPr>
        <w:t>the EIS presents conflicting evidence as to whether creeks within the model domain are ephemeral or perennial</w:t>
      </w:r>
      <w:r w:rsidR="007D7215" w:rsidRPr="00657F1B">
        <w:rPr>
          <w:rFonts w:ascii="Arial" w:hAnsi="Arial" w:cs="Arial"/>
          <w:sz w:val="20"/>
          <w:szCs w:val="20"/>
        </w:rPr>
        <w:t xml:space="preserve">. </w:t>
      </w:r>
      <w:r w:rsidR="005E3250" w:rsidRPr="002779CD">
        <w:rPr>
          <w:rFonts w:ascii="Arial" w:hAnsi="Arial" w:cs="Arial"/>
          <w:sz w:val="20"/>
          <w:szCs w:val="20"/>
        </w:rPr>
        <w:t>Confidence in the</w:t>
      </w:r>
      <w:r w:rsidR="00871DF5" w:rsidRPr="002779CD">
        <w:rPr>
          <w:rFonts w:ascii="Arial" w:hAnsi="Arial" w:cs="Arial"/>
          <w:sz w:val="20"/>
          <w:szCs w:val="20"/>
        </w:rPr>
        <w:t xml:space="preserve"> groundwater model’s ability to characterise surface and groundwater interactions is </w:t>
      </w:r>
      <w:r w:rsidR="005E3250" w:rsidRPr="002779CD">
        <w:rPr>
          <w:rFonts w:ascii="Arial" w:hAnsi="Arial" w:cs="Arial"/>
          <w:sz w:val="20"/>
          <w:szCs w:val="20"/>
        </w:rPr>
        <w:t>further reduced</w:t>
      </w:r>
      <w:r w:rsidR="00871DF5" w:rsidRPr="002779CD">
        <w:rPr>
          <w:rFonts w:ascii="Arial" w:hAnsi="Arial" w:cs="Arial"/>
          <w:sz w:val="20"/>
          <w:szCs w:val="20"/>
        </w:rPr>
        <w:t xml:space="preserve"> by </w:t>
      </w:r>
      <w:r w:rsidR="002C36AA" w:rsidRPr="002779CD">
        <w:rPr>
          <w:rFonts w:ascii="Arial" w:hAnsi="Arial" w:cs="Arial"/>
          <w:sz w:val="20"/>
          <w:szCs w:val="20"/>
        </w:rPr>
        <w:t xml:space="preserve">the uncertainties surrounding groundwater flow boundaries and </w:t>
      </w:r>
      <w:r w:rsidR="00871DF5" w:rsidRPr="002779CD">
        <w:rPr>
          <w:rFonts w:ascii="Arial" w:hAnsi="Arial" w:cs="Arial"/>
          <w:sz w:val="20"/>
          <w:szCs w:val="20"/>
        </w:rPr>
        <w:t>the size of river cells</w:t>
      </w:r>
      <w:r w:rsidR="00871DF5" w:rsidRPr="00657F1B">
        <w:rPr>
          <w:rFonts w:ascii="Arial" w:hAnsi="Arial" w:cs="Arial"/>
          <w:sz w:val="20"/>
          <w:szCs w:val="20"/>
        </w:rPr>
        <w:t xml:space="preserve">. In particular, cells representing Retreat Creek and a large proportion of Taroborah Creek have grid sizes of up to 500 m in proximity to the project area. </w:t>
      </w:r>
    </w:p>
    <w:p w:rsidR="002779CD" w:rsidRPr="002779CD" w:rsidRDefault="00757807" w:rsidP="00D35F54">
      <w:pPr>
        <w:pStyle w:val="ListNumber"/>
        <w:spacing w:after="200" w:line="276" w:lineRule="auto"/>
        <w:rPr>
          <w:rFonts w:ascii="Arial" w:hAnsi="Arial" w:cs="Arial"/>
          <w:i/>
          <w:sz w:val="20"/>
          <w:szCs w:val="20"/>
        </w:rPr>
      </w:pPr>
      <w:r w:rsidRPr="00E22DDC">
        <w:rPr>
          <w:rFonts w:ascii="Arial" w:hAnsi="Arial" w:cs="Arial"/>
          <w:sz w:val="20"/>
          <w:szCs w:val="20"/>
        </w:rPr>
        <w:t>The</w:t>
      </w:r>
      <w:r w:rsidR="007D7215" w:rsidRPr="00E22DDC">
        <w:rPr>
          <w:rFonts w:ascii="Arial" w:hAnsi="Arial" w:cs="Arial"/>
          <w:sz w:val="20"/>
          <w:szCs w:val="20"/>
        </w:rPr>
        <w:t xml:space="preserve"> groundwater model predicts that the Taroborah</w:t>
      </w:r>
      <w:r w:rsidR="005E3250" w:rsidRPr="00E22DDC">
        <w:rPr>
          <w:rFonts w:ascii="Arial" w:hAnsi="Arial" w:cs="Arial"/>
          <w:sz w:val="20"/>
          <w:szCs w:val="20"/>
        </w:rPr>
        <w:t xml:space="preserve"> Coal</w:t>
      </w:r>
      <w:r w:rsidR="007D7215" w:rsidRPr="00E22DDC">
        <w:rPr>
          <w:rFonts w:ascii="Arial" w:hAnsi="Arial" w:cs="Arial"/>
          <w:sz w:val="20"/>
          <w:szCs w:val="20"/>
        </w:rPr>
        <w:t xml:space="preserve"> </w:t>
      </w:r>
      <w:r w:rsidR="005E3250" w:rsidRPr="00E22DDC">
        <w:rPr>
          <w:rFonts w:ascii="Arial" w:hAnsi="Arial" w:cs="Arial"/>
          <w:sz w:val="20"/>
          <w:szCs w:val="20"/>
        </w:rPr>
        <w:t>p</w:t>
      </w:r>
      <w:r w:rsidR="007D7215" w:rsidRPr="00E22DDC">
        <w:rPr>
          <w:rFonts w:ascii="Arial" w:hAnsi="Arial" w:cs="Arial"/>
          <w:sz w:val="20"/>
          <w:szCs w:val="20"/>
        </w:rPr>
        <w:t>roject will result in a reduction in baseflow to rivers across the model domain of approximately 0.9 ML/day and will result in an increased leakage from rivers in the model domain of 0.9 ML/day.</w:t>
      </w:r>
      <w:r w:rsidR="00657F1B" w:rsidRPr="00E22DDC">
        <w:rPr>
          <w:rFonts w:ascii="Arial" w:hAnsi="Arial" w:cs="Arial"/>
          <w:sz w:val="20"/>
          <w:szCs w:val="20"/>
        </w:rPr>
        <w:t xml:space="preserve"> </w:t>
      </w:r>
      <w:r w:rsidR="007D7215" w:rsidRPr="00E22DDC">
        <w:rPr>
          <w:rFonts w:ascii="Arial" w:hAnsi="Arial" w:cs="Arial"/>
          <w:sz w:val="20"/>
          <w:szCs w:val="20"/>
        </w:rPr>
        <w:t xml:space="preserve">Both of these functions will result in </w:t>
      </w:r>
      <w:r w:rsidR="00657F1B" w:rsidRPr="00E22DDC">
        <w:rPr>
          <w:rFonts w:ascii="Arial" w:hAnsi="Arial" w:cs="Arial"/>
          <w:sz w:val="20"/>
          <w:szCs w:val="20"/>
        </w:rPr>
        <w:t>a decrease of</w:t>
      </w:r>
      <w:r w:rsidR="007D7215" w:rsidRPr="00E22DDC">
        <w:rPr>
          <w:rFonts w:ascii="Arial" w:hAnsi="Arial" w:cs="Arial"/>
          <w:sz w:val="20"/>
          <w:szCs w:val="20"/>
        </w:rPr>
        <w:t xml:space="preserve"> </w:t>
      </w:r>
      <w:r w:rsidR="0065341F" w:rsidRPr="00E22DDC">
        <w:rPr>
          <w:rFonts w:ascii="Arial" w:hAnsi="Arial" w:cs="Arial"/>
          <w:sz w:val="20"/>
          <w:szCs w:val="20"/>
        </w:rPr>
        <w:t xml:space="preserve">657.44 ML/year of </w:t>
      </w:r>
      <w:r w:rsidR="007D7215" w:rsidRPr="00E22DDC">
        <w:rPr>
          <w:rFonts w:ascii="Arial" w:hAnsi="Arial" w:cs="Arial"/>
          <w:sz w:val="20"/>
          <w:szCs w:val="20"/>
        </w:rPr>
        <w:t>water</w:t>
      </w:r>
      <w:r w:rsidR="0065341F" w:rsidRPr="00E22DDC">
        <w:rPr>
          <w:rFonts w:ascii="Arial" w:hAnsi="Arial" w:cs="Arial"/>
          <w:sz w:val="20"/>
          <w:szCs w:val="20"/>
        </w:rPr>
        <w:t xml:space="preserve"> </w:t>
      </w:r>
      <w:r w:rsidR="007D7215" w:rsidRPr="00E22DDC">
        <w:rPr>
          <w:rFonts w:ascii="Arial" w:hAnsi="Arial" w:cs="Arial"/>
          <w:sz w:val="20"/>
          <w:szCs w:val="20"/>
        </w:rPr>
        <w:t xml:space="preserve">provided to downstream reaches of surface water </w:t>
      </w:r>
      <w:r w:rsidR="00657F1B" w:rsidRPr="00E22DDC">
        <w:rPr>
          <w:rFonts w:ascii="Arial" w:hAnsi="Arial" w:cs="Arial"/>
          <w:sz w:val="20"/>
          <w:szCs w:val="20"/>
        </w:rPr>
        <w:t>systems</w:t>
      </w:r>
      <w:r w:rsidR="007D7215" w:rsidRPr="00E22DDC">
        <w:rPr>
          <w:rFonts w:ascii="Arial" w:hAnsi="Arial" w:cs="Arial"/>
          <w:sz w:val="20"/>
          <w:szCs w:val="20"/>
        </w:rPr>
        <w:t>.</w:t>
      </w:r>
      <w:r w:rsidR="00354408" w:rsidRPr="00E22DDC">
        <w:rPr>
          <w:rFonts w:ascii="Arial" w:hAnsi="Arial" w:cs="Arial"/>
          <w:sz w:val="20"/>
          <w:szCs w:val="20"/>
        </w:rPr>
        <w:t xml:space="preserve"> However, the scale of this impact </w:t>
      </w:r>
      <w:r w:rsidR="00F074AA" w:rsidRPr="00E22DDC">
        <w:rPr>
          <w:rFonts w:ascii="Arial" w:hAnsi="Arial" w:cs="Arial"/>
          <w:sz w:val="20"/>
          <w:szCs w:val="20"/>
        </w:rPr>
        <w:t>cannot</w:t>
      </w:r>
      <w:r w:rsidR="00354408" w:rsidRPr="00E22DDC">
        <w:rPr>
          <w:rFonts w:ascii="Arial" w:hAnsi="Arial" w:cs="Arial"/>
          <w:sz w:val="20"/>
          <w:szCs w:val="20"/>
        </w:rPr>
        <w:t xml:space="preserve"> be quantified</w:t>
      </w:r>
      <w:r w:rsidR="007D7215" w:rsidRPr="00E22DDC">
        <w:rPr>
          <w:rFonts w:ascii="Arial" w:hAnsi="Arial" w:cs="Arial"/>
          <w:sz w:val="20"/>
          <w:szCs w:val="20"/>
        </w:rPr>
        <w:t xml:space="preserve"> </w:t>
      </w:r>
      <w:r w:rsidR="00354408" w:rsidRPr="00E22DDC">
        <w:rPr>
          <w:rFonts w:ascii="Arial" w:hAnsi="Arial" w:cs="Arial"/>
          <w:sz w:val="20"/>
          <w:szCs w:val="20"/>
        </w:rPr>
        <w:t xml:space="preserve">because surface water flow or baseflow data for surface water courses has not been provided within the EIS. </w:t>
      </w:r>
    </w:p>
    <w:p w:rsidR="00CB16D1" w:rsidRPr="00E22DDC" w:rsidRDefault="00CB16D1" w:rsidP="002779CD">
      <w:pPr>
        <w:pStyle w:val="ListNumber"/>
        <w:numPr>
          <w:ilvl w:val="0"/>
          <w:numId w:val="0"/>
        </w:numPr>
        <w:spacing w:after="200" w:line="276" w:lineRule="auto"/>
        <w:ind w:left="369"/>
        <w:rPr>
          <w:rFonts w:ascii="Arial" w:hAnsi="Arial" w:cs="Arial"/>
          <w:i/>
          <w:sz w:val="20"/>
          <w:szCs w:val="20"/>
        </w:rPr>
      </w:pPr>
      <w:r w:rsidRPr="00E22DDC">
        <w:rPr>
          <w:rFonts w:ascii="Arial" w:hAnsi="Arial" w:cs="Arial"/>
          <w:i/>
          <w:sz w:val="20"/>
          <w:szCs w:val="20"/>
        </w:rPr>
        <w:t>Water related ecological assets</w:t>
      </w:r>
    </w:p>
    <w:p w:rsidR="00CB16D1" w:rsidRPr="00422CAC" w:rsidRDefault="00CB16D1" w:rsidP="00CB16D1">
      <w:pPr>
        <w:pStyle w:val="ListNumber"/>
        <w:spacing w:after="200" w:line="276" w:lineRule="auto"/>
        <w:rPr>
          <w:rFonts w:ascii="Arial" w:hAnsi="Arial" w:cs="Arial"/>
          <w:sz w:val="20"/>
        </w:rPr>
      </w:pPr>
      <w:r w:rsidRPr="00422CAC">
        <w:rPr>
          <w:rFonts w:ascii="Arial" w:hAnsi="Arial" w:cs="Arial"/>
          <w:sz w:val="20"/>
          <w:szCs w:val="20"/>
        </w:rPr>
        <w:t xml:space="preserve">Many of the ecological water related assets within the project area and surrounding region are not clearly identified and therefore the full suite </w:t>
      </w:r>
      <w:r w:rsidR="0050024C" w:rsidRPr="00422CAC">
        <w:rPr>
          <w:rFonts w:ascii="Arial" w:hAnsi="Arial" w:cs="Arial"/>
          <w:sz w:val="20"/>
          <w:szCs w:val="20"/>
        </w:rPr>
        <w:t>of</w:t>
      </w:r>
      <w:r w:rsidR="0050024C">
        <w:rPr>
          <w:rFonts w:ascii="Arial" w:hAnsi="Arial" w:cs="Arial"/>
          <w:sz w:val="20"/>
          <w:szCs w:val="20"/>
        </w:rPr>
        <w:t xml:space="preserve"> </w:t>
      </w:r>
      <w:r w:rsidR="0050024C" w:rsidRPr="00422CAC">
        <w:rPr>
          <w:rFonts w:ascii="Arial" w:hAnsi="Arial" w:cs="Arial"/>
          <w:sz w:val="20"/>
          <w:szCs w:val="20"/>
        </w:rPr>
        <w:t>potential</w:t>
      </w:r>
      <w:r w:rsidR="00E82D79">
        <w:rPr>
          <w:rFonts w:ascii="Arial" w:hAnsi="Arial" w:cs="Arial"/>
          <w:sz w:val="20"/>
          <w:szCs w:val="20"/>
        </w:rPr>
        <w:t xml:space="preserve"> ecological impacts cannot be determined</w:t>
      </w:r>
      <w:r w:rsidR="00422CAC">
        <w:rPr>
          <w:rFonts w:ascii="Arial" w:hAnsi="Arial" w:cs="Arial"/>
          <w:sz w:val="20"/>
          <w:szCs w:val="20"/>
        </w:rPr>
        <w:t xml:space="preserve">. </w:t>
      </w:r>
      <w:r w:rsidR="00422CAC" w:rsidRPr="00422CAC">
        <w:rPr>
          <w:rFonts w:ascii="Arial" w:hAnsi="Arial" w:cs="Arial"/>
          <w:sz w:val="20"/>
        </w:rPr>
        <w:t xml:space="preserve">Total existing and post mining baseflow provision to </w:t>
      </w:r>
      <w:r w:rsidR="00422CAC">
        <w:rPr>
          <w:rFonts w:ascii="Arial" w:hAnsi="Arial" w:cs="Arial"/>
          <w:sz w:val="20"/>
        </w:rPr>
        <w:t>Retreat, Centre and Taroborah Creeks</w:t>
      </w:r>
      <w:r w:rsidR="00422CAC" w:rsidRPr="00422CAC">
        <w:rPr>
          <w:rFonts w:ascii="Arial" w:hAnsi="Arial" w:cs="Arial"/>
          <w:sz w:val="20"/>
        </w:rPr>
        <w:t xml:space="preserve"> has not been estimated or measured</w:t>
      </w:r>
      <w:r w:rsidR="007F4C61">
        <w:rPr>
          <w:rFonts w:ascii="Arial" w:hAnsi="Arial" w:cs="Arial"/>
          <w:sz w:val="20"/>
        </w:rPr>
        <w:t>. Given the</w:t>
      </w:r>
      <w:r w:rsidR="00422CAC" w:rsidRPr="00422CAC">
        <w:rPr>
          <w:rFonts w:ascii="Arial" w:hAnsi="Arial" w:cs="Arial"/>
          <w:sz w:val="20"/>
        </w:rPr>
        <w:t xml:space="preserve"> groundwater model is unable to predict </w:t>
      </w:r>
      <w:r w:rsidRPr="00422CAC">
        <w:rPr>
          <w:rFonts w:ascii="Arial" w:hAnsi="Arial" w:cs="Arial"/>
          <w:sz w:val="20"/>
        </w:rPr>
        <w:t>seasonal reductions in groundwater availability</w:t>
      </w:r>
      <w:r w:rsidR="007F4C61">
        <w:rPr>
          <w:rFonts w:ascii="Arial" w:hAnsi="Arial" w:cs="Arial"/>
          <w:sz w:val="20"/>
        </w:rPr>
        <w:t>, baseflow related impacts</w:t>
      </w:r>
      <w:r w:rsidRPr="00422CAC">
        <w:rPr>
          <w:rFonts w:ascii="Arial" w:hAnsi="Arial" w:cs="Arial"/>
          <w:sz w:val="20"/>
        </w:rPr>
        <w:t xml:space="preserve"> to riparian vegetation and groundwater dependent ecosystems</w:t>
      </w:r>
      <w:r w:rsidR="00427C77" w:rsidRPr="00422CAC">
        <w:rPr>
          <w:rFonts w:ascii="Arial" w:hAnsi="Arial" w:cs="Arial"/>
          <w:sz w:val="20"/>
        </w:rPr>
        <w:t xml:space="preserve"> (GDEs)</w:t>
      </w:r>
      <w:r w:rsidRPr="00422CAC">
        <w:rPr>
          <w:rFonts w:ascii="Arial" w:hAnsi="Arial" w:cs="Arial"/>
          <w:sz w:val="20"/>
        </w:rPr>
        <w:t xml:space="preserve"> associated with the alluvium of Retreat, Centre and Taroborah Creeks</w:t>
      </w:r>
      <w:r w:rsidR="00D65F02">
        <w:rPr>
          <w:rFonts w:ascii="Arial" w:hAnsi="Arial" w:cs="Arial"/>
          <w:sz w:val="20"/>
        </w:rPr>
        <w:t xml:space="preserve"> cannot</w:t>
      </w:r>
      <w:r w:rsidR="00422CAC">
        <w:rPr>
          <w:rFonts w:ascii="Arial" w:hAnsi="Arial" w:cs="Arial"/>
          <w:sz w:val="20"/>
        </w:rPr>
        <w:t xml:space="preserve"> be determined</w:t>
      </w:r>
      <w:r w:rsidRPr="00422CAC">
        <w:rPr>
          <w:rFonts w:ascii="Arial" w:hAnsi="Arial" w:cs="Arial"/>
          <w:sz w:val="20"/>
        </w:rPr>
        <w:t xml:space="preserve">. </w:t>
      </w:r>
    </w:p>
    <w:p w:rsidR="00CB16D1" w:rsidRPr="007F4C61" w:rsidRDefault="007F4C61" w:rsidP="007F4C61">
      <w:pPr>
        <w:pStyle w:val="ListNumber"/>
        <w:spacing w:after="200" w:line="276" w:lineRule="auto"/>
        <w:rPr>
          <w:rFonts w:ascii="Arial" w:hAnsi="Arial" w:cs="Arial"/>
          <w:sz w:val="20"/>
          <w:szCs w:val="20"/>
        </w:rPr>
      </w:pPr>
      <w:r w:rsidRPr="007F4C61">
        <w:rPr>
          <w:rFonts w:ascii="Arial" w:hAnsi="Arial" w:cs="Arial"/>
          <w:sz w:val="20"/>
          <w:szCs w:val="20"/>
        </w:rPr>
        <w:t>The location of springs and semi-permanent pools has not been identified within the EIS</w:t>
      </w:r>
      <w:r w:rsidR="002547AB">
        <w:rPr>
          <w:rFonts w:ascii="Arial" w:hAnsi="Arial" w:cs="Arial"/>
          <w:sz w:val="20"/>
          <w:szCs w:val="20"/>
        </w:rPr>
        <w:t>, and therefore impacts to these water related assets</w:t>
      </w:r>
      <w:r w:rsidR="00D65F02">
        <w:rPr>
          <w:rFonts w:ascii="Arial" w:hAnsi="Arial" w:cs="Arial"/>
          <w:sz w:val="20"/>
          <w:szCs w:val="20"/>
        </w:rPr>
        <w:t xml:space="preserve"> and ecosystems</w:t>
      </w:r>
      <w:r w:rsidR="002547AB">
        <w:rPr>
          <w:rFonts w:ascii="Arial" w:hAnsi="Arial" w:cs="Arial"/>
          <w:sz w:val="20"/>
          <w:szCs w:val="20"/>
        </w:rPr>
        <w:t xml:space="preserve"> are unknown</w:t>
      </w:r>
      <w:r>
        <w:rPr>
          <w:rFonts w:ascii="Arial" w:hAnsi="Arial" w:cs="Arial"/>
          <w:sz w:val="20"/>
          <w:szCs w:val="20"/>
        </w:rPr>
        <w:t xml:space="preserve">. </w:t>
      </w:r>
      <w:r w:rsidR="00BA5FA4">
        <w:rPr>
          <w:rFonts w:ascii="Arial" w:hAnsi="Arial" w:cs="Arial"/>
          <w:sz w:val="20"/>
          <w:szCs w:val="20"/>
        </w:rPr>
        <w:t>The EIS (Appendix 19, p. 97) indicates that s</w:t>
      </w:r>
      <w:r w:rsidR="00CB16D1" w:rsidRPr="007F4C61">
        <w:rPr>
          <w:rFonts w:ascii="Arial" w:hAnsi="Arial" w:cs="Arial"/>
          <w:sz w:val="20"/>
          <w:szCs w:val="20"/>
        </w:rPr>
        <w:t>prings and semi-permanent pools occur</w:t>
      </w:r>
      <w:r w:rsidR="002547AB">
        <w:rPr>
          <w:rFonts w:ascii="Arial" w:hAnsi="Arial" w:cs="Arial"/>
          <w:sz w:val="20"/>
          <w:szCs w:val="20"/>
        </w:rPr>
        <w:t xml:space="preserve">ring </w:t>
      </w:r>
      <w:r w:rsidR="00CB16D1" w:rsidRPr="007F4C61">
        <w:rPr>
          <w:rFonts w:ascii="Arial" w:hAnsi="Arial" w:cs="Arial"/>
          <w:sz w:val="20"/>
          <w:szCs w:val="20"/>
        </w:rPr>
        <w:t xml:space="preserve">on </w:t>
      </w:r>
      <w:r w:rsidR="002547AB">
        <w:rPr>
          <w:rFonts w:ascii="Arial" w:hAnsi="Arial" w:cs="Arial"/>
          <w:sz w:val="20"/>
          <w:szCs w:val="20"/>
        </w:rPr>
        <w:t xml:space="preserve">the tributary to Retreat Creek </w:t>
      </w:r>
      <w:r w:rsidR="00CB16D1" w:rsidRPr="007F4C61">
        <w:rPr>
          <w:rFonts w:ascii="Arial" w:hAnsi="Arial" w:cs="Arial"/>
          <w:sz w:val="20"/>
          <w:szCs w:val="20"/>
        </w:rPr>
        <w:t>provide refugia for macroinv</w:t>
      </w:r>
      <w:r w:rsidR="00BA5FA4">
        <w:rPr>
          <w:rFonts w:ascii="Arial" w:hAnsi="Arial" w:cs="Arial"/>
          <w:sz w:val="20"/>
          <w:szCs w:val="20"/>
        </w:rPr>
        <w:t>ertebrates, amphibians and fish. This tributary</w:t>
      </w:r>
      <w:r w:rsidR="009C0030">
        <w:rPr>
          <w:rFonts w:ascii="Arial" w:hAnsi="Arial" w:cs="Arial"/>
          <w:sz w:val="20"/>
          <w:szCs w:val="20"/>
        </w:rPr>
        <w:t xml:space="preserve"> also</w:t>
      </w:r>
      <w:r w:rsidR="00BA5FA4">
        <w:rPr>
          <w:rFonts w:ascii="Arial" w:hAnsi="Arial" w:cs="Arial"/>
          <w:sz w:val="20"/>
          <w:szCs w:val="20"/>
        </w:rPr>
        <w:t xml:space="preserve"> </w:t>
      </w:r>
      <w:r w:rsidR="00CB16D1" w:rsidRPr="007F4C61">
        <w:rPr>
          <w:rFonts w:ascii="Arial" w:hAnsi="Arial" w:cs="Arial"/>
          <w:sz w:val="20"/>
          <w:szCs w:val="20"/>
        </w:rPr>
        <w:t>support</w:t>
      </w:r>
      <w:r w:rsidR="00BA5FA4">
        <w:rPr>
          <w:rFonts w:ascii="Arial" w:hAnsi="Arial" w:cs="Arial"/>
          <w:sz w:val="20"/>
          <w:szCs w:val="20"/>
        </w:rPr>
        <w:t>s</w:t>
      </w:r>
      <w:r w:rsidR="00CB16D1" w:rsidRPr="007F4C61">
        <w:rPr>
          <w:rFonts w:ascii="Arial" w:hAnsi="Arial" w:cs="Arial"/>
          <w:sz w:val="20"/>
          <w:szCs w:val="20"/>
        </w:rPr>
        <w:t xml:space="preserve"> the </w:t>
      </w:r>
      <w:r w:rsidR="009C0030">
        <w:rPr>
          <w:rFonts w:ascii="Arial" w:hAnsi="Arial" w:cs="Arial"/>
          <w:sz w:val="20"/>
          <w:szCs w:val="20"/>
        </w:rPr>
        <w:t xml:space="preserve">riparian </w:t>
      </w:r>
      <w:r w:rsidR="00CB16D1" w:rsidRPr="007F4C61">
        <w:rPr>
          <w:rFonts w:ascii="Arial" w:hAnsi="Arial" w:cs="Arial"/>
          <w:sz w:val="20"/>
          <w:szCs w:val="20"/>
        </w:rPr>
        <w:t>Silver-leaved Ironbark Woodland community</w:t>
      </w:r>
      <w:r w:rsidR="009C0030">
        <w:rPr>
          <w:rFonts w:ascii="Arial" w:hAnsi="Arial" w:cs="Arial"/>
          <w:sz w:val="20"/>
          <w:szCs w:val="20"/>
        </w:rPr>
        <w:t xml:space="preserve"> which may be dependent on groundwater</w:t>
      </w:r>
      <w:r w:rsidR="00CB16D1" w:rsidRPr="007F4C61">
        <w:rPr>
          <w:rFonts w:ascii="Arial" w:hAnsi="Arial" w:cs="Arial"/>
          <w:sz w:val="20"/>
          <w:szCs w:val="20"/>
        </w:rPr>
        <w:t xml:space="preserve">. </w:t>
      </w:r>
      <w:r w:rsidR="00CB16D1" w:rsidRPr="002779CD">
        <w:rPr>
          <w:rFonts w:ascii="Arial" w:hAnsi="Arial" w:cs="Arial"/>
          <w:sz w:val="20"/>
          <w:szCs w:val="20"/>
        </w:rPr>
        <w:t>Impacts would be expected to include,</w:t>
      </w:r>
      <w:r w:rsidR="00D65F02" w:rsidRPr="002779CD">
        <w:rPr>
          <w:rFonts w:ascii="Arial" w:hAnsi="Arial" w:cs="Arial"/>
          <w:sz w:val="20"/>
          <w:szCs w:val="20"/>
        </w:rPr>
        <w:t xml:space="preserve"> a reduction in</w:t>
      </w:r>
      <w:r w:rsidR="00CB16D1" w:rsidRPr="002779CD">
        <w:rPr>
          <w:rFonts w:ascii="Arial" w:hAnsi="Arial" w:cs="Arial"/>
          <w:sz w:val="20"/>
          <w:szCs w:val="20"/>
        </w:rPr>
        <w:t xml:space="preserve"> </w:t>
      </w:r>
      <w:r w:rsidR="00D65F02" w:rsidRPr="002779CD">
        <w:rPr>
          <w:rFonts w:ascii="Arial" w:hAnsi="Arial" w:cs="Arial"/>
          <w:sz w:val="20"/>
          <w:szCs w:val="20"/>
        </w:rPr>
        <w:t xml:space="preserve">groundwater availability for springs </w:t>
      </w:r>
      <w:r w:rsidR="00CB16D1" w:rsidRPr="002779CD">
        <w:rPr>
          <w:rFonts w:ascii="Arial" w:hAnsi="Arial" w:cs="Arial"/>
          <w:sz w:val="20"/>
          <w:szCs w:val="20"/>
        </w:rPr>
        <w:t xml:space="preserve">due to drawdown; changes to the </w:t>
      </w:r>
      <w:r w:rsidR="00D65F02" w:rsidRPr="002779CD">
        <w:rPr>
          <w:rFonts w:ascii="Arial" w:hAnsi="Arial" w:cs="Arial"/>
          <w:sz w:val="20"/>
          <w:szCs w:val="20"/>
        </w:rPr>
        <w:t xml:space="preserve">surface </w:t>
      </w:r>
      <w:r w:rsidR="00CB16D1" w:rsidRPr="002779CD">
        <w:rPr>
          <w:rFonts w:ascii="Arial" w:hAnsi="Arial" w:cs="Arial"/>
          <w:sz w:val="20"/>
          <w:szCs w:val="20"/>
        </w:rPr>
        <w:t>flow regi</w:t>
      </w:r>
      <w:r w:rsidR="00D65F02" w:rsidRPr="002779CD">
        <w:rPr>
          <w:rFonts w:ascii="Arial" w:hAnsi="Arial" w:cs="Arial"/>
          <w:sz w:val="20"/>
          <w:szCs w:val="20"/>
        </w:rPr>
        <w:t>me and timing of flows for semi-</w:t>
      </w:r>
      <w:r w:rsidR="00CB16D1" w:rsidRPr="002779CD">
        <w:rPr>
          <w:rFonts w:ascii="Arial" w:hAnsi="Arial" w:cs="Arial"/>
          <w:sz w:val="20"/>
          <w:szCs w:val="20"/>
        </w:rPr>
        <w:t xml:space="preserve">permanent pool replenishment; increased periods of drying out within semi-permanent pools; and scouring of </w:t>
      </w:r>
      <w:r w:rsidR="00E57829" w:rsidRPr="002779CD">
        <w:rPr>
          <w:rFonts w:ascii="Arial" w:hAnsi="Arial" w:cs="Arial"/>
          <w:sz w:val="20"/>
          <w:szCs w:val="20"/>
        </w:rPr>
        <w:t xml:space="preserve">surface drainage </w:t>
      </w:r>
      <w:r w:rsidR="00CB16D1" w:rsidRPr="002779CD">
        <w:rPr>
          <w:rFonts w:ascii="Arial" w:hAnsi="Arial" w:cs="Arial"/>
          <w:sz w:val="20"/>
          <w:szCs w:val="20"/>
        </w:rPr>
        <w:t>flow channels leading to incr</w:t>
      </w:r>
      <w:r w:rsidR="00D65F02" w:rsidRPr="002779CD">
        <w:rPr>
          <w:rFonts w:ascii="Arial" w:hAnsi="Arial" w:cs="Arial"/>
          <w:sz w:val="20"/>
          <w:szCs w:val="20"/>
        </w:rPr>
        <w:t>eased sedimentation within semi-</w:t>
      </w:r>
      <w:r w:rsidR="00CB16D1" w:rsidRPr="002779CD">
        <w:rPr>
          <w:rFonts w:ascii="Arial" w:hAnsi="Arial" w:cs="Arial"/>
          <w:sz w:val="20"/>
          <w:szCs w:val="20"/>
        </w:rPr>
        <w:t>permanent pools.</w:t>
      </w:r>
    </w:p>
    <w:p w:rsidR="00CB16D1" w:rsidRPr="00421F61" w:rsidRDefault="00CB16D1" w:rsidP="00CB16D1">
      <w:pPr>
        <w:pStyle w:val="ListNumber"/>
        <w:numPr>
          <w:ilvl w:val="0"/>
          <w:numId w:val="0"/>
        </w:numPr>
        <w:spacing w:after="200" w:line="276" w:lineRule="auto"/>
        <w:ind w:left="369" w:hanging="369"/>
        <w:rPr>
          <w:rFonts w:ascii="Arial" w:hAnsi="Arial" w:cs="Arial"/>
          <w:i/>
          <w:sz w:val="20"/>
          <w:szCs w:val="20"/>
        </w:rPr>
      </w:pPr>
      <w:r w:rsidRPr="00421F61">
        <w:rPr>
          <w:rFonts w:ascii="Arial" w:hAnsi="Arial" w:cs="Arial"/>
          <w:i/>
          <w:sz w:val="20"/>
          <w:szCs w:val="20"/>
        </w:rPr>
        <w:t>Private groundwater users</w:t>
      </w:r>
    </w:p>
    <w:p w:rsidR="00CB16D1" w:rsidRPr="00421F61" w:rsidRDefault="00CB16D1" w:rsidP="00285545">
      <w:pPr>
        <w:pStyle w:val="ListNumber"/>
        <w:spacing w:after="200" w:line="276" w:lineRule="auto"/>
        <w:ind w:right="-188"/>
        <w:rPr>
          <w:rFonts w:ascii="Arial" w:hAnsi="Arial" w:cs="Arial"/>
          <w:sz w:val="20"/>
          <w:szCs w:val="20"/>
        </w:rPr>
      </w:pPr>
      <w:r w:rsidRPr="00421F61">
        <w:rPr>
          <w:rFonts w:ascii="Arial" w:hAnsi="Arial" w:cs="Arial"/>
          <w:sz w:val="20"/>
          <w:szCs w:val="20"/>
        </w:rPr>
        <w:t xml:space="preserve">The project poses a risk to private users of groundwater. Drawdown </w:t>
      </w:r>
      <w:r w:rsidR="00F074AA">
        <w:rPr>
          <w:rFonts w:ascii="Arial" w:hAnsi="Arial" w:cs="Arial"/>
          <w:sz w:val="20"/>
          <w:szCs w:val="20"/>
        </w:rPr>
        <w:t>within</w:t>
      </w:r>
      <w:r w:rsidRPr="00421F61">
        <w:rPr>
          <w:rFonts w:ascii="Arial" w:hAnsi="Arial" w:cs="Arial"/>
          <w:sz w:val="20"/>
          <w:szCs w:val="20"/>
        </w:rPr>
        <w:t xml:space="preserve"> privately owned bores is predicted to reach a maximum of 29.7 m below the existing water table, which includes bores that are utilised as domestic, stock and irrigation water sources. </w:t>
      </w:r>
    </w:p>
    <w:p w:rsidR="007D7215" w:rsidRPr="00445C3C" w:rsidRDefault="007D7215" w:rsidP="00445C3C">
      <w:pPr>
        <w:pStyle w:val="ListNumber"/>
        <w:numPr>
          <w:ilvl w:val="0"/>
          <w:numId w:val="0"/>
        </w:numPr>
        <w:spacing w:after="200" w:line="276" w:lineRule="auto"/>
        <w:rPr>
          <w:rFonts w:ascii="Arial" w:hAnsi="Arial" w:cs="Arial"/>
          <w:i/>
          <w:sz w:val="20"/>
          <w:szCs w:val="20"/>
        </w:rPr>
      </w:pPr>
      <w:r w:rsidRPr="00445C3C">
        <w:rPr>
          <w:rFonts w:ascii="Arial" w:hAnsi="Arial" w:cs="Arial"/>
          <w:i/>
          <w:sz w:val="20"/>
          <w:szCs w:val="20"/>
        </w:rPr>
        <w:t xml:space="preserve">Water balance </w:t>
      </w:r>
    </w:p>
    <w:p w:rsidR="007F506E" w:rsidRDefault="002547AB" w:rsidP="00445C3C">
      <w:pPr>
        <w:pStyle w:val="ListNumber"/>
        <w:spacing w:after="200" w:line="276" w:lineRule="auto"/>
        <w:rPr>
          <w:rFonts w:ascii="Arial" w:hAnsi="Arial" w:cs="Arial"/>
          <w:sz w:val="20"/>
          <w:szCs w:val="20"/>
        </w:rPr>
      </w:pPr>
      <w:r>
        <w:rPr>
          <w:rFonts w:ascii="Arial" w:hAnsi="Arial" w:cs="Arial"/>
          <w:sz w:val="20"/>
          <w:szCs w:val="20"/>
        </w:rPr>
        <w:t xml:space="preserve">There is uncertainty surrounding the Taroborah Coal project’s mine water requirements under a range of climatic conditions, which </w:t>
      </w:r>
      <w:r w:rsidR="008626B2">
        <w:rPr>
          <w:rFonts w:ascii="Arial" w:hAnsi="Arial" w:cs="Arial"/>
          <w:sz w:val="20"/>
          <w:szCs w:val="20"/>
        </w:rPr>
        <w:t>may result</w:t>
      </w:r>
      <w:r>
        <w:rPr>
          <w:rFonts w:ascii="Arial" w:hAnsi="Arial" w:cs="Arial"/>
          <w:sz w:val="20"/>
          <w:szCs w:val="20"/>
        </w:rPr>
        <w:t xml:space="preserve"> in </w:t>
      </w:r>
      <w:r w:rsidR="008626B2">
        <w:rPr>
          <w:rFonts w:ascii="Arial" w:hAnsi="Arial" w:cs="Arial"/>
          <w:sz w:val="20"/>
          <w:szCs w:val="20"/>
        </w:rPr>
        <w:t>the potential risk</w:t>
      </w:r>
      <w:r>
        <w:rPr>
          <w:rFonts w:ascii="Arial" w:hAnsi="Arial" w:cs="Arial"/>
          <w:sz w:val="20"/>
          <w:szCs w:val="20"/>
        </w:rPr>
        <w:t xml:space="preserve"> of uncontrolled discharges and requirements for supplementary water supplies. Specifically, t</w:t>
      </w:r>
      <w:r w:rsidR="00354408">
        <w:rPr>
          <w:rFonts w:ascii="Arial" w:hAnsi="Arial" w:cs="Arial"/>
          <w:sz w:val="20"/>
          <w:szCs w:val="20"/>
        </w:rPr>
        <w:t>he water balance has been modelled under mean rainfall conditi</w:t>
      </w:r>
      <w:r w:rsidR="00DE50B6">
        <w:rPr>
          <w:rFonts w:ascii="Arial" w:hAnsi="Arial" w:cs="Arial"/>
          <w:sz w:val="20"/>
          <w:szCs w:val="20"/>
        </w:rPr>
        <w:t xml:space="preserve">ons, </w:t>
      </w:r>
      <w:r w:rsidR="00354408">
        <w:rPr>
          <w:rFonts w:ascii="Arial" w:hAnsi="Arial" w:cs="Arial"/>
          <w:sz w:val="20"/>
          <w:szCs w:val="20"/>
        </w:rPr>
        <w:t>does not identify mine water requirements during dry or wet conditions and under-represents early and recent climatic data, includ</w:t>
      </w:r>
      <w:r w:rsidR="001D39A6">
        <w:rPr>
          <w:rFonts w:ascii="Arial" w:hAnsi="Arial" w:cs="Arial"/>
          <w:sz w:val="20"/>
          <w:szCs w:val="20"/>
        </w:rPr>
        <w:t>ing</w:t>
      </w:r>
      <w:r w:rsidR="00354408">
        <w:rPr>
          <w:rFonts w:ascii="Arial" w:hAnsi="Arial" w:cs="Arial"/>
          <w:sz w:val="20"/>
          <w:szCs w:val="20"/>
        </w:rPr>
        <w:t xml:space="preserve"> significant flood events in 2008 and 2011.</w:t>
      </w:r>
      <w:r w:rsidR="00DE50B6">
        <w:rPr>
          <w:rFonts w:ascii="Arial" w:hAnsi="Arial" w:cs="Arial"/>
          <w:sz w:val="20"/>
          <w:szCs w:val="20"/>
        </w:rPr>
        <w:t xml:space="preserve"> </w:t>
      </w:r>
    </w:p>
    <w:p w:rsidR="007F506E" w:rsidRPr="00E50A45" w:rsidRDefault="006D5181" w:rsidP="007F506E">
      <w:pPr>
        <w:pStyle w:val="ListNumber"/>
        <w:numPr>
          <w:ilvl w:val="0"/>
          <w:numId w:val="0"/>
        </w:numPr>
        <w:spacing w:after="200" w:line="276" w:lineRule="auto"/>
        <w:ind w:left="369" w:hanging="369"/>
        <w:rPr>
          <w:rFonts w:ascii="Arial" w:hAnsi="Arial" w:cs="Arial"/>
          <w:i/>
          <w:sz w:val="20"/>
          <w:szCs w:val="20"/>
        </w:rPr>
      </w:pPr>
      <w:r w:rsidRPr="00E50A45">
        <w:rPr>
          <w:rFonts w:ascii="Arial" w:hAnsi="Arial" w:cs="Arial"/>
          <w:i/>
          <w:sz w:val="20"/>
          <w:szCs w:val="20"/>
        </w:rPr>
        <w:t xml:space="preserve">Subsidence </w:t>
      </w:r>
      <w:r w:rsidR="00E0034B">
        <w:rPr>
          <w:rFonts w:ascii="Arial" w:hAnsi="Arial" w:cs="Arial"/>
          <w:i/>
          <w:sz w:val="20"/>
          <w:szCs w:val="20"/>
        </w:rPr>
        <w:t>impacts</w:t>
      </w:r>
      <w:r w:rsidRPr="00E50A45">
        <w:rPr>
          <w:rFonts w:ascii="Arial" w:hAnsi="Arial" w:cs="Arial"/>
          <w:i/>
          <w:sz w:val="20"/>
          <w:szCs w:val="20"/>
        </w:rPr>
        <w:t xml:space="preserve"> </w:t>
      </w:r>
      <w:r w:rsidR="00E0034B">
        <w:rPr>
          <w:rFonts w:ascii="Arial" w:hAnsi="Arial" w:cs="Arial"/>
          <w:i/>
          <w:sz w:val="20"/>
          <w:szCs w:val="20"/>
        </w:rPr>
        <w:t>to</w:t>
      </w:r>
      <w:r w:rsidRPr="00E50A45">
        <w:rPr>
          <w:rFonts w:ascii="Arial" w:hAnsi="Arial" w:cs="Arial"/>
          <w:i/>
          <w:sz w:val="20"/>
          <w:szCs w:val="20"/>
        </w:rPr>
        <w:t xml:space="preserve"> surface water</w:t>
      </w:r>
    </w:p>
    <w:p w:rsidR="006D5181" w:rsidRDefault="00E50A45" w:rsidP="008031AF">
      <w:pPr>
        <w:pStyle w:val="ListNumber"/>
        <w:spacing w:after="200" w:line="276" w:lineRule="auto"/>
        <w:rPr>
          <w:rFonts w:ascii="Arial" w:hAnsi="Arial" w:cs="Arial"/>
          <w:sz w:val="20"/>
          <w:szCs w:val="20"/>
        </w:rPr>
      </w:pPr>
      <w:r>
        <w:rPr>
          <w:rFonts w:ascii="Arial" w:hAnsi="Arial" w:cs="Arial"/>
          <w:sz w:val="20"/>
          <w:szCs w:val="20"/>
        </w:rPr>
        <w:t xml:space="preserve">Subsidence </w:t>
      </w:r>
      <w:r w:rsidR="008031AF">
        <w:rPr>
          <w:rFonts w:ascii="Arial" w:hAnsi="Arial" w:cs="Arial"/>
          <w:sz w:val="20"/>
          <w:szCs w:val="20"/>
        </w:rPr>
        <w:t>modelling predicts surface depressions will develop and will form ponds with volumes up to 12.5</w:t>
      </w:r>
      <w:r w:rsidR="004C1053">
        <w:rPr>
          <w:rFonts w:ascii="Arial" w:hAnsi="Arial" w:cs="Arial"/>
          <w:sz w:val="20"/>
          <w:szCs w:val="20"/>
        </w:rPr>
        <w:t xml:space="preserve"> </w:t>
      </w:r>
      <w:r w:rsidR="008031AF">
        <w:rPr>
          <w:rFonts w:ascii="Arial" w:hAnsi="Arial" w:cs="Arial"/>
          <w:sz w:val="20"/>
          <w:szCs w:val="20"/>
        </w:rPr>
        <w:t xml:space="preserve">ML, covering approximately 28.8 ha of the proposed project area. When at full capacity, </w:t>
      </w:r>
      <w:r w:rsidR="00CB2218">
        <w:rPr>
          <w:rFonts w:ascii="Arial" w:hAnsi="Arial" w:cs="Arial"/>
          <w:sz w:val="20"/>
          <w:szCs w:val="20"/>
        </w:rPr>
        <w:t xml:space="preserve">combined </w:t>
      </w:r>
      <w:r w:rsidR="008031AF">
        <w:rPr>
          <w:rFonts w:ascii="Arial" w:hAnsi="Arial" w:cs="Arial"/>
          <w:sz w:val="20"/>
          <w:szCs w:val="20"/>
        </w:rPr>
        <w:t xml:space="preserve">pond </w:t>
      </w:r>
      <w:r w:rsidR="000719FE">
        <w:rPr>
          <w:rFonts w:ascii="Arial" w:hAnsi="Arial" w:cs="Arial"/>
          <w:sz w:val="20"/>
          <w:szCs w:val="20"/>
        </w:rPr>
        <w:t>volumes</w:t>
      </w:r>
      <w:r w:rsidR="008031AF">
        <w:rPr>
          <w:rFonts w:ascii="Arial" w:hAnsi="Arial" w:cs="Arial"/>
          <w:sz w:val="20"/>
          <w:szCs w:val="20"/>
        </w:rPr>
        <w:t xml:space="preserve"> are predicted to total 53</w:t>
      </w:r>
      <w:r w:rsidR="004C1053">
        <w:rPr>
          <w:rFonts w:ascii="Arial" w:hAnsi="Arial" w:cs="Arial"/>
          <w:sz w:val="20"/>
          <w:szCs w:val="20"/>
        </w:rPr>
        <w:t xml:space="preserve"> </w:t>
      </w:r>
      <w:r w:rsidR="008031AF">
        <w:rPr>
          <w:rFonts w:ascii="Arial" w:hAnsi="Arial" w:cs="Arial"/>
          <w:sz w:val="20"/>
          <w:szCs w:val="20"/>
        </w:rPr>
        <w:t xml:space="preserve">ML, or </w:t>
      </w:r>
      <w:r w:rsidR="000719FE">
        <w:rPr>
          <w:rFonts w:ascii="Arial" w:hAnsi="Arial" w:cs="Arial"/>
          <w:sz w:val="20"/>
          <w:szCs w:val="20"/>
        </w:rPr>
        <w:t xml:space="preserve">a surface runoff capture of </w:t>
      </w:r>
      <w:r w:rsidR="008031AF">
        <w:rPr>
          <w:rFonts w:ascii="Arial" w:hAnsi="Arial" w:cs="Arial"/>
          <w:sz w:val="20"/>
          <w:szCs w:val="20"/>
        </w:rPr>
        <w:t xml:space="preserve">six per cent </w:t>
      </w:r>
      <w:r w:rsidR="000719FE">
        <w:rPr>
          <w:rFonts w:ascii="Arial" w:hAnsi="Arial" w:cs="Arial"/>
          <w:sz w:val="20"/>
          <w:szCs w:val="20"/>
        </w:rPr>
        <w:t xml:space="preserve">across the project area. The proponent’s assessment of subsidence impacts does not include </w:t>
      </w:r>
      <w:r w:rsidR="00301FD7">
        <w:rPr>
          <w:rFonts w:ascii="Arial" w:hAnsi="Arial" w:cs="Arial"/>
          <w:sz w:val="20"/>
          <w:szCs w:val="20"/>
        </w:rPr>
        <w:t>consideration of scouring of subsided surface drainages; storage within surface tension cracks</w:t>
      </w:r>
      <w:r w:rsidR="00936CE3">
        <w:rPr>
          <w:rFonts w:ascii="Arial" w:hAnsi="Arial" w:cs="Arial"/>
          <w:sz w:val="20"/>
          <w:szCs w:val="20"/>
        </w:rPr>
        <w:t>;</w:t>
      </w:r>
      <w:r w:rsidR="00936CE3" w:rsidRPr="00936CE3">
        <w:rPr>
          <w:rFonts w:ascii="Arial" w:hAnsi="Arial" w:cs="Arial"/>
          <w:sz w:val="20"/>
          <w:szCs w:val="20"/>
        </w:rPr>
        <w:t xml:space="preserve"> </w:t>
      </w:r>
      <w:r w:rsidR="00936CE3">
        <w:rPr>
          <w:rFonts w:ascii="Arial" w:hAnsi="Arial" w:cs="Arial"/>
          <w:sz w:val="20"/>
          <w:szCs w:val="20"/>
        </w:rPr>
        <w:t>increased capacity within surface water infrastructure</w:t>
      </w:r>
      <w:r w:rsidR="00301FD7">
        <w:rPr>
          <w:rFonts w:ascii="Arial" w:hAnsi="Arial" w:cs="Arial"/>
          <w:sz w:val="20"/>
          <w:szCs w:val="20"/>
        </w:rPr>
        <w:t xml:space="preserve">; and surface water runoff reductions from drainage lines impacted by subsidence. </w:t>
      </w:r>
      <w:r w:rsidR="003045B2" w:rsidRPr="00732EA7">
        <w:rPr>
          <w:rFonts w:ascii="Arial" w:hAnsi="Arial" w:cs="Arial"/>
          <w:sz w:val="20"/>
          <w:szCs w:val="20"/>
        </w:rPr>
        <w:t xml:space="preserve">Given the above, there is low confidence in the </w:t>
      </w:r>
      <w:r w:rsidR="00E27073" w:rsidRPr="00732EA7">
        <w:rPr>
          <w:rFonts w:ascii="Arial" w:hAnsi="Arial" w:cs="Arial"/>
          <w:sz w:val="20"/>
          <w:szCs w:val="20"/>
        </w:rPr>
        <w:t xml:space="preserve">assessment of </w:t>
      </w:r>
      <w:r w:rsidR="003045B2" w:rsidRPr="00732EA7">
        <w:rPr>
          <w:rFonts w:ascii="Arial" w:hAnsi="Arial" w:cs="Arial"/>
          <w:sz w:val="20"/>
          <w:szCs w:val="20"/>
        </w:rPr>
        <w:t>subsidence impacts</w:t>
      </w:r>
      <w:r w:rsidR="00E27073" w:rsidRPr="00732EA7">
        <w:rPr>
          <w:rFonts w:ascii="Arial" w:hAnsi="Arial" w:cs="Arial"/>
          <w:sz w:val="20"/>
          <w:szCs w:val="20"/>
        </w:rPr>
        <w:t xml:space="preserve"> to Retreat </w:t>
      </w:r>
      <w:r w:rsidR="00E57829" w:rsidRPr="00732EA7">
        <w:rPr>
          <w:rFonts w:ascii="Arial" w:hAnsi="Arial" w:cs="Arial"/>
          <w:sz w:val="20"/>
          <w:szCs w:val="20"/>
        </w:rPr>
        <w:t>C</w:t>
      </w:r>
      <w:r w:rsidR="00E27073" w:rsidRPr="00732EA7">
        <w:rPr>
          <w:rFonts w:ascii="Arial" w:hAnsi="Arial" w:cs="Arial"/>
          <w:sz w:val="20"/>
          <w:szCs w:val="20"/>
        </w:rPr>
        <w:t xml:space="preserve">reek </w:t>
      </w:r>
      <w:r w:rsidR="003045B2" w:rsidRPr="00732EA7">
        <w:rPr>
          <w:rFonts w:ascii="Arial" w:hAnsi="Arial" w:cs="Arial"/>
          <w:sz w:val="20"/>
          <w:szCs w:val="20"/>
        </w:rPr>
        <w:t xml:space="preserve">as </w:t>
      </w:r>
      <w:r w:rsidR="00D11C5C" w:rsidRPr="00732EA7">
        <w:rPr>
          <w:rFonts w:ascii="Arial" w:hAnsi="Arial" w:cs="Arial"/>
          <w:sz w:val="20"/>
          <w:szCs w:val="20"/>
        </w:rPr>
        <w:t>impacts</w:t>
      </w:r>
      <w:r w:rsidR="003045B2" w:rsidRPr="00732EA7">
        <w:rPr>
          <w:rFonts w:ascii="Arial" w:hAnsi="Arial" w:cs="Arial"/>
          <w:sz w:val="20"/>
          <w:szCs w:val="20"/>
        </w:rPr>
        <w:t xml:space="preserve"> may be </w:t>
      </w:r>
      <w:r w:rsidR="00E27073" w:rsidRPr="00732EA7">
        <w:rPr>
          <w:rFonts w:ascii="Arial" w:hAnsi="Arial" w:cs="Arial"/>
          <w:sz w:val="20"/>
          <w:szCs w:val="20"/>
        </w:rPr>
        <w:t>underestimat</w:t>
      </w:r>
      <w:r w:rsidR="00D11C5C" w:rsidRPr="00732EA7">
        <w:rPr>
          <w:rFonts w:ascii="Arial" w:hAnsi="Arial" w:cs="Arial"/>
          <w:sz w:val="20"/>
          <w:szCs w:val="20"/>
        </w:rPr>
        <w:t>ed</w:t>
      </w:r>
      <w:r w:rsidR="00DE6BBE" w:rsidRPr="00732EA7">
        <w:rPr>
          <w:rFonts w:ascii="Arial" w:hAnsi="Arial" w:cs="Arial"/>
          <w:sz w:val="20"/>
          <w:szCs w:val="20"/>
        </w:rPr>
        <w:t xml:space="preserve">. Further, </w:t>
      </w:r>
      <w:r w:rsidR="00D11C5C" w:rsidRPr="00732EA7">
        <w:rPr>
          <w:rFonts w:ascii="Arial" w:hAnsi="Arial" w:cs="Arial"/>
          <w:sz w:val="20"/>
          <w:szCs w:val="20"/>
        </w:rPr>
        <w:t>the assessment does</w:t>
      </w:r>
      <w:r w:rsidR="00E27073" w:rsidRPr="00732EA7">
        <w:rPr>
          <w:rFonts w:ascii="Arial" w:hAnsi="Arial" w:cs="Arial"/>
          <w:sz w:val="20"/>
          <w:szCs w:val="20"/>
        </w:rPr>
        <w:t xml:space="preserve"> not consider</w:t>
      </w:r>
      <w:r w:rsidR="00B75B8D" w:rsidRPr="00732EA7">
        <w:rPr>
          <w:rFonts w:ascii="Arial" w:hAnsi="Arial" w:cs="Arial"/>
          <w:sz w:val="20"/>
          <w:szCs w:val="20"/>
        </w:rPr>
        <w:t xml:space="preserve"> the</w:t>
      </w:r>
      <w:r w:rsidR="00E27073" w:rsidRPr="00732EA7">
        <w:rPr>
          <w:rFonts w:ascii="Arial" w:hAnsi="Arial" w:cs="Arial"/>
          <w:sz w:val="20"/>
          <w:szCs w:val="20"/>
        </w:rPr>
        <w:t xml:space="preserve"> potential</w:t>
      </w:r>
      <w:r w:rsidR="001D016B" w:rsidRPr="00732EA7">
        <w:rPr>
          <w:rFonts w:ascii="Arial" w:hAnsi="Arial" w:cs="Arial"/>
          <w:sz w:val="20"/>
          <w:szCs w:val="20"/>
        </w:rPr>
        <w:t xml:space="preserve"> </w:t>
      </w:r>
      <w:r w:rsidR="00B75B8D" w:rsidRPr="00732EA7">
        <w:rPr>
          <w:rFonts w:ascii="Arial" w:hAnsi="Arial" w:cs="Arial"/>
          <w:sz w:val="20"/>
          <w:szCs w:val="20"/>
        </w:rPr>
        <w:t xml:space="preserve">for </w:t>
      </w:r>
      <w:r w:rsidR="00DE6BBE" w:rsidRPr="00732EA7">
        <w:rPr>
          <w:rFonts w:ascii="Arial" w:hAnsi="Arial" w:cs="Arial"/>
          <w:sz w:val="20"/>
          <w:szCs w:val="20"/>
        </w:rPr>
        <w:t xml:space="preserve">scouring to cause increased sedimentation and a </w:t>
      </w:r>
      <w:r w:rsidR="00B75B8D" w:rsidRPr="00732EA7">
        <w:rPr>
          <w:rFonts w:ascii="Arial" w:hAnsi="Arial" w:cs="Arial"/>
          <w:sz w:val="20"/>
          <w:szCs w:val="20"/>
        </w:rPr>
        <w:t>deterioration</w:t>
      </w:r>
      <w:r w:rsidR="001D016B" w:rsidRPr="00732EA7">
        <w:rPr>
          <w:rFonts w:ascii="Arial" w:hAnsi="Arial" w:cs="Arial"/>
          <w:sz w:val="20"/>
          <w:szCs w:val="20"/>
        </w:rPr>
        <w:t xml:space="preserve"> </w:t>
      </w:r>
      <w:r w:rsidR="00B75B8D" w:rsidRPr="00732EA7">
        <w:rPr>
          <w:rFonts w:ascii="Arial" w:hAnsi="Arial" w:cs="Arial"/>
          <w:sz w:val="20"/>
          <w:szCs w:val="20"/>
        </w:rPr>
        <w:t>of</w:t>
      </w:r>
      <w:r w:rsidR="00E27073" w:rsidRPr="00732EA7">
        <w:rPr>
          <w:rFonts w:ascii="Arial" w:hAnsi="Arial" w:cs="Arial"/>
          <w:sz w:val="20"/>
          <w:szCs w:val="20"/>
        </w:rPr>
        <w:t xml:space="preserve"> </w:t>
      </w:r>
      <w:r w:rsidR="001D016B" w:rsidRPr="00732EA7">
        <w:rPr>
          <w:rFonts w:ascii="Arial" w:hAnsi="Arial" w:cs="Arial"/>
          <w:sz w:val="20"/>
          <w:szCs w:val="20"/>
        </w:rPr>
        <w:t>water quality.</w:t>
      </w:r>
    </w:p>
    <w:p w:rsidR="007203C3" w:rsidRPr="00CF5929" w:rsidRDefault="007203C3" w:rsidP="004756EB">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Question 2:</w:t>
      </w:r>
      <w:r w:rsidR="00B3051F" w:rsidRPr="00B3051F">
        <w:rPr>
          <w:rFonts w:ascii="Arial" w:hAnsi="Arial" w:cs="Arial"/>
          <w:sz w:val="20"/>
          <w:szCs w:val="20"/>
        </w:rPr>
        <w:t xml:space="preserve"> What does the Committee consider are the features of a monitoring and management framework that would address these uncertainties and risks?</w:t>
      </w:r>
    </w:p>
    <w:p w:rsidR="00CF5929" w:rsidRPr="00CF5929"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937917" w:rsidRPr="00937917" w:rsidRDefault="00937917" w:rsidP="00937917">
      <w:pPr>
        <w:pStyle w:val="ListNumber"/>
        <w:spacing w:after="200" w:line="276" w:lineRule="auto"/>
        <w:rPr>
          <w:rFonts w:ascii="Arial" w:hAnsi="Arial" w:cs="Arial"/>
          <w:sz w:val="20"/>
          <w:szCs w:val="20"/>
        </w:rPr>
      </w:pPr>
      <w:r w:rsidRPr="00937917">
        <w:rPr>
          <w:rFonts w:ascii="Arial" w:hAnsi="Arial" w:cs="Arial"/>
          <w:sz w:val="20"/>
          <w:szCs w:val="20"/>
        </w:rPr>
        <w:t>The proponent’s monitoring and management frame</w:t>
      </w:r>
      <w:r w:rsidR="00E57829">
        <w:rPr>
          <w:rFonts w:ascii="Arial" w:hAnsi="Arial" w:cs="Arial"/>
          <w:sz w:val="20"/>
          <w:szCs w:val="20"/>
        </w:rPr>
        <w:t>work is still under development. T</w:t>
      </w:r>
      <w:r w:rsidRPr="00937917">
        <w:rPr>
          <w:rFonts w:ascii="Arial" w:hAnsi="Arial" w:cs="Arial"/>
          <w:sz w:val="20"/>
          <w:szCs w:val="20"/>
        </w:rPr>
        <w:t xml:space="preserve">he inclusion of the following components would aid in addressing the residual uncertainties and risks: </w:t>
      </w:r>
    </w:p>
    <w:p w:rsidR="00937917" w:rsidRPr="00937917" w:rsidRDefault="00937917" w:rsidP="00937917">
      <w:pPr>
        <w:pStyle w:val="ListNumber2"/>
        <w:spacing w:after="200" w:line="276" w:lineRule="auto"/>
        <w:rPr>
          <w:rFonts w:ascii="Arial" w:hAnsi="Arial" w:cs="Arial"/>
          <w:sz w:val="20"/>
          <w:szCs w:val="20"/>
        </w:rPr>
      </w:pPr>
      <w:r w:rsidRPr="00937917">
        <w:rPr>
          <w:rFonts w:ascii="Arial" w:hAnsi="Arial" w:cs="Arial"/>
          <w:sz w:val="20"/>
          <w:szCs w:val="20"/>
        </w:rPr>
        <w:t>A complete water balance informed by adequate data and tested against ongoing monitoring.</w:t>
      </w:r>
    </w:p>
    <w:p w:rsidR="00937917" w:rsidRPr="00937917" w:rsidRDefault="00937917" w:rsidP="00937917">
      <w:pPr>
        <w:pStyle w:val="ListNumber2"/>
        <w:spacing w:after="200" w:line="276" w:lineRule="auto"/>
        <w:rPr>
          <w:rFonts w:ascii="Arial" w:hAnsi="Arial" w:cs="Arial"/>
          <w:sz w:val="20"/>
          <w:szCs w:val="20"/>
        </w:rPr>
      </w:pPr>
      <w:r w:rsidRPr="00937917">
        <w:rPr>
          <w:rFonts w:ascii="Arial" w:hAnsi="Arial" w:cs="Arial"/>
          <w:sz w:val="20"/>
          <w:szCs w:val="20"/>
        </w:rPr>
        <w:t xml:space="preserve">A detailed sampling programme for surface water, groundwater and sediment, including regular monitoring, water quality targets, groundwater level triggers, corrective actions and reporting requirements. </w:t>
      </w:r>
    </w:p>
    <w:p w:rsidR="00937917" w:rsidRDefault="00937917" w:rsidP="00937917">
      <w:pPr>
        <w:pStyle w:val="ListNumber2"/>
        <w:spacing w:after="200" w:line="276" w:lineRule="auto"/>
        <w:rPr>
          <w:rFonts w:ascii="Arial" w:hAnsi="Arial" w:cs="Arial"/>
          <w:sz w:val="20"/>
          <w:szCs w:val="20"/>
        </w:rPr>
      </w:pPr>
      <w:r w:rsidRPr="00937917">
        <w:rPr>
          <w:rFonts w:ascii="Arial" w:hAnsi="Arial" w:cs="Arial"/>
          <w:sz w:val="20"/>
          <w:szCs w:val="20"/>
        </w:rPr>
        <w:t xml:space="preserve">A systematic approach to identification of </w:t>
      </w:r>
      <w:r w:rsidR="00427C77">
        <w:rPr>
          <w:rFonts w:ascii="Arial" w:hAnsi="Arial" w:cs="Arial"/>
          <w:sz w:val="20"/>
          <w:szCs w:val="20"/>
        </w:rPr>
        <w:t>GDEs</w:t>
      </w:r>
      <w:r w:rsidR="00E57829">
        <w:rPr>
          <w:rFonts w:ascii="Arial" w:hAnsi="Arial" w:cs="Arial"/>
          <w:sz w:val="20"/>
          <w:szCs w:val="20"/>
        </w:rPr>
        <w:t xml:space="preserve"> in which </w:t>
      </w:r>
      <w:r w:rsidRPr="00937917">
        <w:rPr>
          <w:rFonts w:ascii="Arial" w:hAnsi="Arial" w:cs="Arial"/>
          <w:sz w:val="20"/>
          <w:szCs w:val="20"/>
        </w:rPr>
        <w:t xml:space="preserve">the groundwater conceptualisation </w:t>
      </w:r>
      <w:r w:rsidR="00E57829">
        <w:rPr>
          <w:rFonts w:ascii="Arial" w:hAnsi="Arial" w:cs="Arial"/>
          <w:sz w:val="20"/>
          <w:szCs w:val="20"/>
        </w:rPr>
        <w:t xml:space="preserve">is used </w:t>
      </w:r>
      <w:r w:rsidRPr="00937917">
        <w:rPr>
          <w:rFonts w:ascii="Arial" w:hAnsi="Arial" w:cs="Arial"/>
          <w:sz w:val="20"/>
          <w:szCs w:val="20"/>
        </w:rPr>
        <w:t>to identify areas of shallow groundwater</w:t>
      </w:r>
      <w:r w:rsidR="00E57829">
        <w:rPr>
          <w:rFonts w:ascii="Arial" w:hAnsi="Arial" w:cs="Arial"/>
          <w:sz w:val="20"/>
          <w:szCs w:val="20"/>
        </w:rPr>
        <w:t xml:space="preserve"> and groundwater discharge</w:t>
      </w:r>
      <w:r w:rsidRPr="00937917">
        <w:rPr>
          <w:rFonts w:ascii="Arial" w:hAnsi="Arial" w:cs="Arial"/>
          <w:sz w:val="20"/>
          <w:szCs w:val="20"/>
        </w:rPr>
        <w:t>.</w:t>
      </w:r>
    </w:p>
    <w:p w:rsidR="009110D5" w:rsidRPr="00937917" w:rsidRDefault="00937917" w:rsidP="00937917">
      <w:pPr>
        <w:pStyle w:val="ListNumber2"/>
        <w:spacing w:after="200" w:line="276" w:lineRule="auto"/>
        <w:rPr>
          <w:rFonts w:ascii="Arial" w:hAnsi="Arial" w:cs="Arial"/>
          <w:sz w:val="20"/>
          <w:szCs w:val="20"/>
        </w:rPr>
      </w:pPr>
      <w:r w:rsidRPr="00937917">
        <w:rPr>
          <w:rFonts w:ascii="Arial" w:hAnsi="Arial" w:cs="Arial"/>
          <w:sz w:val="20"/>
          <w:szCs w:val="20"/>
        </w:rPr>
        <w:t>A final landform management plan.</w:t>
      </w:r>
    </w:p>
    <w:p w:rsidR="00CF5929" w:rsidRDefault="00CF5929" w:rsidP="00CF5929">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2547AB" w:rsidRPr="00F71365" w:rsidRDefault="002547AB" w:rsidP="002547AB">
      <w:pPr>
        <w:pStyle w:val="ListNumber"/>
        <w:numPr>
          <w:ilvl w:val="0"/>
          <w:numId w:val="0"/>
        </w:numPr>
        <w:spacing w:after="200" w:line="276" w:lineRule="auto"/>
        <w:ind w:left="369" w:hanging="369"/>
        <w:rPr>
          <w:rFonts w:ascii="Arial" w:hAnsi="Arial" w:cs="Arial"/>
          <w:i/>
          <w:sz w:val="20"/>
          <w:szCs w:val="20"/>
        </w:rPr>
      </w:pPr>
      <w:r w:rsidRPr="00F71365">
        <w:rPr>
          <w:rFonts w:ascii="Arial" w:hAnsi="Arial" w:cs="Arial"/>
          <w:i/>
          <w:sz w:val="20"/>
          <w:szCs w:val="20"/>
        </w:rPr>
        <w:t>Water Balance</w:t>
      </w:r>
    </w:p>
    <w:p w:rsidR="002547AB" w:rsidRDefault="002547AB" w:rsidP="002547AB">
      <w:pPr>
        <w:pStyle w:val="ListNumber"/>
        <w:spacing w:after="200" w:line="276" w:lineRule="auto"/>
        <w:rPr>
          <w:rFonts w:ascii="Arial" w:hAnsi="Arial" w:cs="Arial"/>
          <w:sz w:val="20"/>
          <w:szCs w:val="20"/>
        </w:rPr>
      </w:pPr>
      <w:r w:rsidRPr="00F71365">
        <w:rPr>
          <w:rFonts w:ascii="Arial" w:hAnsi="Arial" w:cs="Arial"/>
          <w:sz w:val="20"/>
          <w:szCs w:val="20"/>
        </w:rPr>
        <w:t>A complete site water balance should be presented, showing all inputs and outputs and stores of water in the system over the whole mine life. The water management system perform</w:t>
      </w:r>
      <w:r>
        <w:rPr>
          <w:rFonts w:ascii="Arial" w:hAnsi="Arial" w:cs="Arial"/>
          <w:sz w:val="20"/>
          <w:szCs w:val="20"/>
        </w:rPr>
        <w:t xml:space="preserve">ance under </w:t>
      </w:r>
      <w:r w:rsidR="00FB6E87">
        <w:rPr>
          <w:rFonts w:ascii="Arial" w:hAnsi="Arial" w:cs="Arial"/>
          <w:sz w:val="20"/>
          <w:szCs w:val="20"/>
        </w:rPr>
        <w:t xml:space="preserve">a </w:t>
      </w:r>
      <w:r>
        <w:rPr>
          <w:rFonts w:ascii="Arial" w:hAnsi="Arial" w:cs="Arial"/>
          <w:sz w:val="20"/>
          <w:szCs w:val="20"/>
        </w:rPr>
        <w:t>variety of conditions, including</w:t>
      </w:r>
      <w:r w:rsidRPr="00F71365">
        <w:rPr>
          <w:rFonts w:ascii="Arial" w:hAnsi="Arial" w:cs="Arial"/>
          <w:sz w:val="20"/>
          <w:szCs w:val="20"/>
        </w:rPr>
        <w:t xml:space="preserve"> seasonal </w:t>
      </w:r>
      <w:r>
        <w:rPr>
          <w:rFonts w:ascii="Arial" w:hAnsi="Arial" w:cs="Arial"/>
          <w:sz w:val="20"/>
          <w:szCs w:val="20"/>
        </w:rPr>
        <w:t>wet/dry and</w:t>
      </w:r>
      <w:r w:rsidRPr="00F71365">
        <w:rPr>
          <w:rFonts w:ascii="Arial" w:hAnsi="Arial" w:cs="Arial"/>
          <w:sz w:val="20"/>
          <w:szCs w:val="20"/>
        </w:rPr>
        <w:t xml:space="preserve"> long-term climate</w:t>
      </w:r>
      <w:r>
        <w:rPr>
          <w:rFonts w:ascii="Arial" w:hAnsi="Arial" w:cs="Arial"/>
          <w:sz w:val="20"/>
          <w:szCs w:val="20"/>
        </w:rPr>
        <w:t xml:space="preserve"> trends,</w:t>
      </w:r>
      <w:r w:rsidRPr="00F71365">
        <w:rPr>
          <w:rFonts w:ascii="Arial" w:hAnsi="Arial" w:cs="Arial"/>
          <w:sz w:val="20"/>
          <w:szCs w:val="20"/>
        </w:rPr>
        <w:t xml:space="preserve"> should be provided and the potential for water</w:t>
      </w:r>
      <w:r>
        <w:rPr>
          <w:rFonts w:ascii="Arial" w:hAnsi="Arial" w:cs="Arial"/>
          <w:sz w:val="20"/>
          <w:szCs w:val="20"/>
        </w:rPr>
        <w:t xml:space="preserve"> excesses or</w:t>
      </w:r>
      <w:r w:rsidRPr="00F71365">
        <w:rPr>
          <w:rFonts w:ascii="Arial" w:hAnsi="Arial" w:cs="Arial"/>
          <w:sz w:val="20"/>
          <w:szCs w:val="20"/>
        </w:rPr>
        <w:t xml:space="preserve"> shortages assessed. If additional sources of water supply could be required, they should be clearly identified. The preferred discharge option for excess water from site should be confirmed and appropriate infrastructure designed, </w:t>
      </w:r>
      <w:r>
        <w:rPr>
          <w:rFonts w:ascii="Arial" w:hAnsi="Arial" w:cs="Arial"/>
          <w:sz w:val="20"/>
          <w:szCs w:val="20"/>
        </w:rPr>
        <w:t>for example,</w:t>
      </w:r>
      <w:r w:rsidRPr="00F71365">
        <w:rPr>
          <w:rFonts w:ascii="Arial" w:hAnsi="Arial" w:cs="Arial"/>
          <w:sz w:val="20"/>
          <w:szCs w:val="20"/>
        </w:rPr>
        <w:t xml:space="preserve"> location and sizing of pumps. Ongoing monitoring of climate (rainfall and evaporation), groundwater inflows and onsite water use should be carried out, and the results used to verify and</w:t>
      </w:r>
      <w:r w:rsidR="00E57829">
        <w:rPr>
          <w:rFonts w:ascii="Arial" w:hAnsi="Arial" w:cs="Arial"/>
          <w:sz w:val="20"/>
          <w:szCs w:val="20"/>
        </w:rPr>
        <w:t>,</w:t>
      </w:r>
      <w:r w:rsidRPr="00F71365">
        <w:rPr>
          <w:rFonts w:ascii="Arial" w:hAnsi="Arial" w:cs="Arial"/>
          <w:sz w:val="20"/>
          <w:szCs w:val="20"/>
        </w:rPr>
        <w:t xml:space="preserve"> if necessary, update the water balance during the mine life.</w:t>
      </w:r>
    </w:p>
    <w:p w:rsidR="00521092" w:rsidRPr="00521092" w:rsidRDefault="00521092" w:rsidP="00521092">
      <w:pPr>
        <w:pStyle w:val="ListNumber"/>
        <w:numPr>
          <w:ilvl w:val="0"/>
          <w:numId w:val="0"/>
        </w:numPr>
        <w:spacing w:after="200" w:line="276" w:lineRule="auto"/>
        <w:rPr>
          <w:rFonts w:ascii="Arial" w:hAnsi="Arial" w:cs="Arial"/>
          <w:i/>
          <w:sz w:val="20"/>
          <w:szCs w:val="20"/>
        </w:rPr>
      </w:pPr>
      <w:r w:rsidRPr="00521092">
        <w:rPr>
          <w:rFonts w:ascii="Arial" w:hAnsi="Arial" w:cs="Arial"/>
          <w:i/>
          <w:sz w:val="20"/>
          <w:szCs w:val="20"/>
        </w:rPr>
        <w:t>Surface water</w:t>
      </w:r>
      <w:r w:rsidR="00CB34B4">
        <w:rPr>
          <w:rFonts w:ascii="Arial" w:hAnsi="Arial" w:cs="Arial"/>
          <w:i/>
          <w:sz w:val="20"/>
          <w:szCs w:val="20"/>
        </w:rPr>
        <w:t xml:space="preserve"> and groundwater</w:t>
      </w:r>
    </w:p>
    <w:p w:rsidR="00521092" w:rsidRDefault="00521092" w:rsidP="00F71365">
      <w:pPr>
        <w:pStyle w:val="ListNumber"/>
        <w:spacing w:after="200" w:line="276" w:lineRule="auto"/>
        <w:rPr>
          <w:rFonts w:ascii="Arial" w:hAnsi="Arial" w:cs="Arial"/>
          <w:sz w:val="20"/>
          <w:szCs w:val="20"/>
        </w:rPr>
      </w:pPr>
      <w:r>
        <w:rPr>
          <w:rFonts w:ascii="Arial" w:hAnsi="Arial" w:cs="Arial"/>
          <w:sz w:val="20"/>
          <w:szCs w:val="20"/>
        </w:rPr>
        <w:t>Features of a monitoring and management framework, not including measures already committed to by the proponent, should</w:t>
      </w:r>
      <w:r w:rsidR="0013346C">
        <w:rPr>
          <w:rFonts w:ascii="Arial" w:hAnsi="Arial" w:cs="Arial"/>
          <w:sz w:val="20"/>
          <w:szCs w:val="20"/>
        </w:rPr>
        <w:t xml:space="preserve"> include</w:t>
      </w:r>
      <w:r>
        <w:rPr>
          <w:rFonts w:ascii="Arial" w:hAnsi="Arial" w:cs="Arial"/>
          <w:sz w:val="20"/>
          <w:szCs w:val="20"/>
        </w:rPr>
        <w:t>:</w:t>
      </w:r>
    </w:p>
    <w:p w:rsidR="004E2524" w:rsidRPr="00614208" w:rsidRDefault="0013346C" w:rsidP="00551BA4">
      <w:pPr>
        <w:pStyle w:val="ListNumber2"/>
        <w:spacing w:after="200" w:line="276" w:lineRule="auto"/>
        <w:rPr>
          <w:rFonts w:ascii="Arial" w:hAnsi="Arial" w:cs="Arial"/>
          <w:sz w:val="20"/>
          <w:szCs w:val="20"/>
        </w:rPr>
      </w:pPr>
      <w:r w:rsidRPr="00614208">
        <w:rPr>
          <w:rFonts w:ascii="Arial" w:hAnsi="Arial" w:cs="Arial"/>
          <w:sz w:val="20"/>
          <w:szCs w:val="20"/>
        </w:rPr>
        <w:t>R</w:t>
      </w:r>
      <w:r w:rsidR="004E2524" w:rsidRPr="00614208">
        <w:rPr>
          <w:rFonts w:ascii="Arial" w:hAnsi="Arial" w:cs="Arial"/>
          <w:sz w:val="20"/>
          <w:szCs w:val="20"/>
        </w:rPr>
        <w:t>evisi</w:t>
      </w:r>
      <w:r w:rsidRPr="00614208">
        <w:rPr>
          <w:rFonts w:ascii="Arial" w:hAnsi="Arial" w:cs="Arial"/>
          <w:sz w:val="20"/>
          <w:szCs w:val="20"/>
        </w:rPr>
        <w:t>on of</w:t>
      </w:r>
      <w:r w:rsidR="004E2524" w:rsidRPr="00614208">
        <w:rPr>
          <w:rFonts w:ascii="Arial" w:hAnsi="Arial" w:cs="Arial"/>
          <w:sz w:val="20"/>
          <w:szCs w:val="20"/>
        </w:rPr>
        <w:t xml:space="preserve"> the </w:t>
      </w:r>
      <w:r w:rsidR="00BA62CF" w:rsidRPr="00614208">
        <w:rPr>
          <w:rFonts w:ascii="Arial" w:hAnsi="Arial" w:cs="Arial"/>
          <w:sz w:val="20"/>
          <w:szCs w:val="20"/>
        </w:rPr>
        <w:t>proposed</w:t>
      </w:r>
      <w:r w:rsidR="004E2524" w:rsidRPr="00614208">
        <w:rPr>
          <w:rFonts w:ascii="Arial" w:hAnsi="Arial" w:cs="Arial"/>
          <w:sz w:val="20"/>
          <w:szCs w:val="20"/>
        </w:rPr>
        <w:t xml:space="preserve"> </w:t>
      </w:r>
      <w:r w:rsidR="00BA62CF" w:rsidRPr="00614208">
        <w:rPr>
          <w:rFonts w:ascii="Arial" w:hAnsi="Arial" w:cs="Arial"/>
          <w:sz w:val="20"/>
          <w:szCs w:val="20"/>
        </w:rPr>
        <w:t xml:space="preserve">surface </w:t>
      </w:r>
      <w:r w:rsidR="004E2524" w:rsidRPr="00614208">
        <w:rPr>
          <w:rFonts w:ascii="Arial" w:hAnsi="Arial" w:cs="Arial"/>
          <w:sz w:val="20"/>
          <w:szCs w:val="20"/>
        </w:rPr>
        <w:t xml:space="preserve">water </w:t>
      </w:r>
      <w:r w:rsidR="00BA62CF" w:rsidRPr="00614208">
        <w:rPr>
          <w:rFonts w:ascii="Arial" w:hAnsi="Arial" w:cs="Arial"/>
          <w:sz w:val="20"/>
          <w:szCs w:val="20"/>
        </w:rPr>
        <w:t>monitoring locations</w:t>
      </w:r>
      <w:r w:rsidR="00140A61" w:rsidRPr="00614208">
        <w:rPr>
          <w:rFonts w:ascii="Arial" w:hAnsi="Arial" w:cs="Arial"/>
          <w:sz w:val="20"/>
          <w:szCs w:val="20"/>
        </w:rPr>
        <w:t xml:space="preserve"> to</w:t>
      </w:r>
      <w:r w:rsidR="00BA62CF" w:rsidRPr="00614208">
        <w:rPr>
          <w:rFonts w:ascii="Arial" w:hAnsi="Arial" w:cs="Arial"/>
          <w:sz w:val="20"/>
          <w:szCs w:val="20"/>
        </w:rPr>
        <w:t xml:space="preserve"> </w:t>
      </w:r>
      <w:r w:rsidR="00D11C5C" w:rsidRPr="00614208">
        <w:rPr>
          <w:rFonts w:ascii="Arial" w:hAnsi="Arial" w:cs="Arial"/>
          <w:sz w:val="20"/>
          <w:szCs w:val="20"/>
        </w:rPr>
        <w:t xml:space="preserve">un-impacted </w:t>
      </w:r>
      <w:r w:rsidR="00444556" w:rsidRPr="00614208">
        <w:rPr>
          <w:rFonts w:ascii="Arial" w:hAnsi="Arial" w:cs="Arial"/>
          <w:sz w:val="20"/>
          <w:szCs w:val="20"/>
        </w:rPr>
        <w:t xml:space="preserve">surface </w:t>
      </w:r>
      <w:r w:rsidR="00BA62CF" w:rsidRPr="00614208">
        <w:rPr>
          <w:rFonts w:ascii="Arial" w:hAnsi="Arial" w:cs="Arial"/>
          <w:sz w:val="20"/>
          <w:szCs w:val="20"/>
        </w:rPr>
        <w:t>water course reaches</w:t>
      </w:r>
      <w:r w:rsidR="00E57829" w:rsidRPr="00614208">
        <w:rPr>
          <w:rFonts w:ascii="Arial" w:hAnsi="Arial" w:cs="Arial"/>
          <w:sz w:val="20"/>
          <w:szCs w:val="20"/>
        </w:rPr>
        <w:t xml:space="preserve">. This </w:t>
      </w:r>
      <w:r w:rsidR="005700E7" w:rsidRPr="00614208">
        <w:rPr>
          <w:rFonts w:ascii="Arial" w:hAnsi="Arial" w:cs="Arial"/>
          <w:sz w:val="20"/>
          <w:szCs w:val="20"/>
        </w:rPr>
        <w:t xml:space="preserve">would improve </w:t>
      </w:r>
      <w:r w:rsidR="0041537A" w:rsidRPr="00614208">
        <w:rPr>
          <w:rFonts w:ascii="Arial" w:hAnsi="Arial" w:cs="Arial"/>
          <w:sz w:val="20"/>
          <w:szCs w:val="20"/>
        </w:rPr>
        <w:t>the suitability</w:t>
      </w:r>
      <w:r w:rsidR="00BA62CF" w:rsidRPr="00614208">
        <w:rPr>
          <w:rFonts w:ascii="Arial" w:hAnsi="Arial" w:cs="Arial"/>
          <w:sz w:val="20"/>
          <w:szCs w:val="20"/>
        </w:rPr>
        <w:t xml:space="preserve"> </w:t>
      </w:r>
      <w:r w:rsidR="0041537A" w:rsidRPr="00614208">
        <w:rPr>
          <w:rFonts w:ascii="Arial" w:hAnsi="Arial" w:cs="Arial"/>
          <w:sz w:val="20"/>
          <w:szCs w:val="20"/>
        </w:rPr>
        <w:t xml:space="preserve">of </w:t>
      </w:r>
      <w:r w:rsidR="00BA62CF" w:rsidRPr="00614208">
        <w:rPr>
          <w:rFonts w:ascii="Arial" w:hAnsi="Arial" w:cs="Arial"/>
          <w:sz w:val="20"/>
          <w:szCs w:val="20"/>
        </w:rPr>
        <w:t>baseline surface water quality data.</w:t>
      </w:r>
    </w:p>
    <w:p w:rsidR="0013346C" w:rsidRPr="00614208" w:rsidRDefault="00FB6E87" w:rsidP="00551BA4">
      <w:pPr>
        <w:pStyle w:val="ListNumber2"/>
        <w:spacing w:after="200" w:line="276" w:lineRule="auto"/>
        <w:rPr>
          <w:rFonts w:ascii="Arial" w:hAnsi="Arial" w:cs="Arial"/>
          <w:sz w:val="20"/>
          <w:szCs w:val="20"/>
        </w:rPr>
      </w:pPr>
      <w:r w:rsidRPr="00614208">
        <w:rPr>
          <w:rFonts w:ascii="Arial" w:hAnsi="Arial" w:cs="Arial"/>
          <w:sz w:val="20"/>
          <w:szCs w:val="20"/>
        </w:rPr>
        <w:t>I</w:t>
      </w:r>
      <w:r w:rsidR="001E7006" w:rsidRPr="00614208">
        <w:rPr>
          <w:rFonts w:ascii="Arial" w:hAnsi="Arial" w:cs="Arial"/>
          <w:sz w:val="20"/>
          <w:szCs w:val="20"/>
        </w:rPr>
        <w:t xml:space="preserve">nstallation of </w:t>
      </w:r>
      <w:r w:rsidR="0013346C" w:rsidRPr="00614208">
        <w:rPr>
          <w:rFonts w:ascii="Arial" w:hAnsi="Arial" w:cs="Arial"/>
          <w:sz w:val="20"/>
          <w:szCs w:val="20"/>
        </w:rPr>
        <w:t>surface water flow meters within Retreat Creek and Taroborah Creek to determine existing seasonal flow dynamics</w:t>
      </w:r>
      <w:r w:rsidR="001C3119" w:rsidRPr="00614208">
        <w:rPr>
          <w:rFonts w:ascii="Arial" w:hAnsi="Arial" w:cs="Arial"/>
          <w:sz w:val="20"/>
          <w:szCs w:val="20"/>
        </w:rPr>
        <w:t xml:space="preserve"> and baseflow estimates</w:t>
      </w:r>
      <w:r w:rsidR="0013346C" w:rsidRPr="00614208">
        <w:rPr>
          <w:rFonts w:ascii="Arial" w:hAnsi="Arial" w:cs="Arial"/>
          <w:sz w:val="20"/>
          <w:szCs w:val="20"/>
        </w:rPr>
        <w:t xml:space="preserve">. </w:t>
      </w:r>
    </w:p>
    <w:p w:rsidR="00521092" w:rsidRDefault="004E2524" w:rsidP="00551BA4">
      <w:pPr>
        <w:pStyle w:val="ListNumber2"/>
        <w:spacing w:after="200" w:line="276" w:lineRule="auto"/>
        <w:rPr>
          <w:rFonts w:ascii="Arial" w:hAnsi="Arial" w:cs="Arial"/>
          <w:sz w:val="20"/>
          <w:szCs w:val="20"/>
        </w:rPr>
      </w:pPr>
      <w:r w:rsidRPr="00BA62CF">
        <w:rPr>
          <w:rFonts w:ascii="Arial" w:hAnsi="Arial" w:cs="Arial"/>
          <w:sz w:val="20"/>
          <w:szCs w:val="20"/>
        </w:rPr>
        <w:t>Continu</w:t>
      </w:r>
      <w:r w:rsidR="0013346C">
        <w:rPr>
          <w:rFonts w:ascii="Arial" w:hAnsi="Arial" w:cs="Arial"/>
          <w:sz w:val="20"/>
          <w:szCs w:val="20"/>
        </w:rPr>
        <w:t>ed</w:t>
      </w:r>
      <w:r w:rsidRPr="00BA62CF">
        <w:rPr>
          <w:rFonts w:ascii="Arial" w:hAnsi="Arial" w:cs="Arial"/>
          <w:sz w:val="20"/>
          <w:szCs w:val="20"/>
        </w:rPr>
        <w:t xml:space="preserve"> water quality </w:t>
      </w:r>
      <w:r w:rsidR="00401F19">
        <w:rPr>
          <w:rFonts w:ascii="Arial" w:hAnsi="Arial" w:cs="Arial"/>
          <w:sz w:val="20"/>
          <w:szCs w:val="20"/>
        </w:rPr>
        <w:t xml:space="preserve">and quantity </w:t>
      </w:r>
      <w:r w:rsidRPr="00BA62CF">
        <w:rPr>
          <w:rFonts w:ascii="Arial" w:hAnsi="Arial" w:cs="Arial"/>
          <w:sz w:val="20"/>
          <w:szCs w:val="20"/>
        </w:rPr>
        <w:t>m</w:t>
      </w:r>
      <w:r w:rsidR="00BA62CF">
        <w:rPr>
          <w:rFonts w:ascii="Arial" w:hAnsi="Arial" w:cs="Arial"/>
          <w:sz w:val="20"/>
          <w:szCs w:val="20"/>
        </w:rPr>
        <w:t xml:space="preserve">onitoring for a period </w:t>
      </w:r>
      <w:r w:rsidR="002071FB">
        <w:rPr>
          <w:rFonts w:ascii="Arial" w:hAnsi="Arial" w:cs="Arial"/>
          <w:sz w:val="20"/>
          <w:szCs w:val="20"/>
        </w:rPr>
        <w:t>that will provide a comprehensive baseline (</w:t>
      </w:r>
      <w:r w:rsidR="00BA62CF">
        <w:rPr>
          <w:rFonts w:ascii="Arial" w:hAnsi="Arial" w:cs="Arial"/>
          <w:sz w:val="20"/>
          <w:szCs w:val="20"/>
        </w:rPr>
        <w:t>24 months</w:t>
      </w:r>
      <w:r w:rsidR="002071FB">
        <w:rPr>
          <w:rFonts w:ascii="Arial" w:hAnsi="Arial" w:cs="Arial"/>
          <w:sz w:val="20"/>
          <w:szCs w:val="20"/>
        </w:rPr>
        <w:t>)</w:t>
      </w:r>
      <w:r w:rsidR="00BA62CF">
        <w:rPr>
          <w:rFonts w:ascii="Arial" w:hAnsi="Arial" w:cs="Arial"/>
          <w:sz w:val="20"/>
          <w:szCs w:val="20"/>
        </w:rPr>
        <w:t xml:space="preserve"> </w:t>
      </w:r>
      <w:r w:rsidR="00140A61">
        <w:rPr>
          <w:rFonts w:ascii="Arial" w:hAnsi="Arial" w:cs="Arial"/>
          <w:sz w:val="20"/>
          <w:szCs w:val="20"/>
        </w:rPr>
        <w:t xml:space="preserve">prior to the commencement of construction activities, </w:t>
      </w:r>
      <w:r w:rsidR="00BA62CF">
        <w:rPr>
          <w:rFonts w:ascii="Arial" w:hAnsi="Arial" w:cs="Arial"/>
          <w:sz w:val="20"/>
          <w:szCs w:val="20"/>
        </w:rPr>
        <w:t xml:space="preserve">to provide </w:t>
      </w:r>
      <w:r w:rsidR="00140A61">
        <w:rPr>
          <w:rFonts w:ascii="Arial" w:hAnsi="Arial" w:cs="Arial"/>
          <w:sz w:val="20"/>
          <w:szCs w:val="20"/>
        </w:rPr>
        <w:t>representative existing surface water</w:t>
      </w:r>
      <w:r w:rsidR="001E7006">
        <w:rPr>
          <w:rFonts w:ascii="Arial" w:hAnsi="Arial" w:cs="Arial"/>
          <w:sz w:val="20"/>
          <w:szCs w:val="20"/>
        </w:rPr>
        <w:t xml:space="preserve"> and groundwater</w:t>
      </w:r>
      <w:r w:rsidR="00140A61">
        <w:rPr>
          <w:rFonts w:ascii="Arial" w:hAnsi="Arial" w:cs="Arial"/>
          <w:sz w:val="20"/>
          <w:szCs w:val="20"/>
        </w:rPr>
        <w:t xml:space="preserve"> quality </w:t>
      </w:r>
      <w:r w:rsidR="001E7006">
        <w:rPr>
          <w:rFonts w:ascii="Arial" w:hAnsi="Arial" w:cs="Arial"/>
          <w:sz w:val="20"/>
          <w:szCs w:val="20"/>
        </w:rPr>
        <w:t xml:space="preserve">and quantity </w:t>
      </w:r>
      <w:r w:rsidR="00140A61">
        <w:rPr>
          <w:rFonts w:ascii="Arial" w:hAnsi="Arial" w:cs="Arial"/>
          <w:sz w:val="20"/>
          <w:szCs w:val="20"/>
        </w:rPr>
        <w:t xml:space="preserve">conditions. </w:t>
      </w:r>
    </w:p>
    <w:p w:rsidR="00C86C80" w:rsidRPr="00614208" w:rsidRDefault="00B75B8D" w:rsidP="00551BA4">
      <w:pPr>
        <w:pStyle w:val="ListNumber2"/>
        <w:spacing w:after="200" w:line="276" w:lineRule="auto"/>
        <w:rPr>
          <w:rFonts w:ascii="Arial" w:hAnsi="Arial" w:cs="Arial"/>
          <w:sz w:val="20"/>
          <w:szCs w:val="20"/>
        </w:rPr>
      </w:pPr>
      <w:r w:rsidRPr="00614208">
        <w:rPr>
          <w:rFonts w:ascii="Arial" w:hAnsi="Arial" w:cs="Arial"/>
          <w:sz w:val="20"/>
          <w:szCs w:val="20"/>
        </w:rPr>
        <w:t>Regular</w:t>
      </w:r>
      <w:r w:rsidR="0093555D" w:rsidRPr="00614208">
        <w:rPr>
          <w:rFonts w:ascii="Arial" w:hAnsi="Arial" w:cs="Arial"/>
          <w:sz w:val="20"/>
          <w:szCs w:val="20"/>
        </w:rPr>
        <w:t xml:space="preserve"> </w:t>
      </w:r>
      <w:r w:rsidR="001E7006" w:rsidRPr="00614208">
        <w:rPr>
          <w:rFonts w:ascii="Arial" w:hAnsi="Arial" w:cs="Arial"/>
          <w:sz w:val="20"/>
          <w:szCs w:val="20"/>
        </w:rPr>
        <w:t xml:space="preserve">surface water sampling </w:t>
      </w:r>
      <w:r w:rsidR="0093555D" w:rsidRPr="00614208">
        <w:rPr>
          <w:rFonts w:ascii="Arial" w:hAnsi="Arial" w:cs="Arial"/>
          <w:sz w:val="20"/>
          <w:szCs w:val="20"/>
        </w:rPr>
        <w:t xml:space="preserve">for </w:t>
      </w:r>
      <w:r w:rsidR="009D5286" w:rsidRPr="00614208">
        <w:rPr>
          <w:rFonts w:ascii="Arial" w:hAnsi="Arial" w:cs="Arial"/>
          <w:sz w:val="20"/>
          <w:szCs w:val="20"/>
        </w:rPr>
        <w:t>physi</w:t>
      </w:r>
      <w:r w:rsidR="00D35F54" w:rsidRPr="00614208">
        <w:rPr>
          <w:rFonts w:ascii="Arial" w:hAnsi="Arial" w:cs="Arial"/>
          <w:sz w:val="20"/>
          <w:szCs w:val="20"/>
        </w:rPr>
        <w:t>co</w:t>
      </w:r>
      <w:r w:rsidR="009D5286" w:rsidRPr="00614208">
        <w:rPr>
          <w:rFonts w:ascii="Arial" w:hAnsi="Arial" w:cs="Arial"/>
          <w:sz w:val="20"/>
          <w:szCs w:val="20"/>
        </w:rPr>
        <w:t xml:space="preserve">chemical properties, for example, </w:t>
      </w:r>
      <w:r w:rsidR="00D35F54" w:rsidRPr="00614208">
        <w:rPr>
          <w:rFonts w:ascii="Arial" w:hAnsi="Arial" w:cs="Arial"/>
          <w:sz w:val="20"/>
          <w:szCs w:val="20"/>
        </w:rPr>
        <w:t>pH, dissolved oxygen</w:t>
      </w:r>
      <w:r w:rsidR="00C86C80" w:rsidRPr="00614208">
        <w:rPr>
          <w:rFonts w:ascii="Arial" w:hAnsi="Arial" w:cs="Arial"/>
          <w:sz w:val="20"/>
          <w:szCs w:val="20"/>
        </w:rPr>
        <w:t xml:space="preserve">, suspended and dissolved sediments. </w:t>
      </w:r>
      <w:r w:rsidR="001E7006" w:rsidRPr="00614208">
        <w:rPr>
          <w:rFonts w:ascii="Arial" w:hAnsi="Arial" w:cs="Arial"/>
          <w:sz w:val="20"/>
          <w:szCs w:val="20"/>
        </w:rPr>
        <w:t>Monitoring should be conducted in accordance with published guidelines</w:t>
      </w:r>
      <w:r w:rsidR="001E7006" w:rsidRPr="00614208">
        <w:rPr>
          <w:rFonts w:ascii="Arial" w:hAnsi="Arial" w:cs="Arial"/>
          <w:sz w:val="20"/>
          <w:szCs w:val="20"/>
          <w:vertAlign w:val="superscript"/>
        </w:rPr>
        <w:t>3</w:t>
      </w:r>
      <w:r w:rsidR="001E7006" w:rsidRPr="00614208">
        <w:rPr>
          <w:rFonts w:ascii="Arial" w:hAnsi="Arial" w:cs="Arial"/>
          <w:sz w:val="20"/>
          <w:szCs w:val="20"/>
        </w:rPr>
        <w:t>.</w:t>
      </w:r>
    </w:p>
    <w:p w:rsidR="00CB34B4" w:rsidRDefault="00450B09" w:rsidP="00551BA4">
      <w:pPr>
        <w:pStyle w:val="ListNumber2"/>
        <w:spacing w:after="200" w:line="276" w:lineRule="auto"/>
        <w:rPr>
          <w:rFonts w:ascii="Arial" w:hAnsi="Arial" w:cs="Arial"/>
          <w:sz w:val="20"/>
          <w:szCs w:val="20"/>
        </w:rPr>
      </w:pPr>
      <w:r>
        <w:rPr>
          <w:rFonts w:ascii="Arial" w:hAnsi="Arial" w:cs="Arial"/>
          <w:sz w:val="20"/>
          <w:szCs w:val="20"/>
        </w:rPr>
        <w:t>Implementation</w:t>
      </w:r>
      <w:r w:rsidR="0013346C">
        <w:rPr>
          <w:rFonts w:ascii="Arial" w:hAnsi="Arial" w:cs="Arial"/>
          <w:sz w:val="20"/>
          <w:szCs w:val="20"/>
        </w:rPr>
        <w:t xml:space="preserve"> of</w:t>
      </w:r>
      <w:r>
        <w:rPr>
          <w:rFonts w:ascii="Arial" w:hAnsi="Arial" w:cs="Arial"/>
          <w:sz w:val="20"/>
          <w:szCs w:val="20"/>
        </w:rPr>
        <w:t xml:space="preserve"> a</w:t>
      </w:r>
      <w:r w:rsidR="000B4AF2">
        <w:rPr>
          <w:rFonts w:ascii="Arial" w:hAnsi="Arial" w:cs="Arial"/>
          <w:sz w:val="20"/>
          <w:szCs w:val="20"/>
        </w:rPr>
        <w:t xml:space="preserve"> regular</w:t>
      </w:r>
      <w:r w:rsidR="0013346C">
        <w:rPr>
          <w:rFonts w:ascii="Arial" w:hAnsi="Arial" w:cs="Arial"/>
          <w:sz w:val="20"/>
          <w:szCs w:val="20"/>
        </w:rPr>
        <w:t xml:space="preserve"> </w:t>
      </w:r>
      <w:r>
        <w:rPr>
          <w:rFonts w:ascii="Arial" w:hAnsi="Arial" w:cs="Arial"/>
          <w:sz w:val="20"/>
          <w:szCs w:val="20"/>
        </w:rPr>
        <w:t>schedule</w:t>
      </w:r>
      <w:r w:rsidR="0013346C">
        <w:rPr>
          <w:rFonts w:ascii="Arial" w:hAnsi="Arial" w:cs="Arial"/>
          <w:sz w:val="20"/>
          <w:szCs w:val="20"/>
        </w:rPr>
        <w:t xml:space="preserve"> </w:t>
      </w:r>
      <w:r w:rsidR="007B30E2">
        <w:rPr>
          <w:rFonts w:ascii="Arial" w:hAnsi="Arial" w:cs="Arial"/>
          <w:sz w:val="20"/>
          <w:szCs w:val="20"/>
        </w:rPr>
        <w:t>for</w:t>
      </w:r>
      <w:r w:rsidR="00BB214A">
        <w:rPr>
          <w:rFonts w:ascii="Arial" w:hAnsi="Arial" w:cs="Arial"/>
          <w:sz w:val="20"/>
          <w:szCs w:val="20"/>
        </w:rPr>
        <w:t xml:space="preserve"> </w:t>
      </w:r>
      <w:r>
        <w:rPr>
          <w:rFonts w:ascii="Arial" w:hAnsi="Arial" w:cs="Arial"/>
          <w:sz w:val="20"/>
          <w:szCs w:val="20"/>
        </w:rPr>
        <w:t xml:space="preserve">monitoring of </w:t>
      </w:r>
      <w:r w:rsidR="00BB214A">
        <w:rPr>
          <w:rFonts w:ascii="Arial" w:hAnsi="Arial" w:cs="Arial"/>
          <w:sz w:val="20"/>
          <w:szCs w:val="20"/>
        </w:rPr>
        <w:t xml:space="preserve">groundwater quality </w:t>
      </w:r>
      <w:r>
        <w:rPr>
          <w:rFonts w:ascii="Arial" w:hAnsi="Arial" w:cs="Arial"/>
          <w:sz w:val="20"/>
          <w:szCs w:val="20"/>
        </w:rPr>
        <w:t xml:space="preserve">and quantity parameters throughout </w:t>
      </w:r>
      <w:r w:rsidR="0013346C">
        <w:rPr>
          <w:rFonts w:ascii="Arial" w:hAnsi="Arial" w:cs="Arial"/>
          <w:sz w:val="20"/>
          <w:szCs w:val="20"/>
        </w:rPr>
        <w:t xml:space="preserve">the life of the project. </w:t>
      </w:r>
    </w:p>
    <w:p w:rsidR="000B4AF2" w:rsidRDefault="000B4AF2" w:rsidP="00551BA4">
      <w:pPr>
        <w:pStyle w:val="ListNumber2"/>
        <w:spacing w:after="200" w:line="276" w:lineRule="auto"/>
        <w:rPr>
          <w:rFonts w:ascii="Arial" w:hAnsi="Arial" w:cs="Arial"/>
          <w:sz w:val="20"/>
          <w:szCs w:val="20"/>
        </w:rPr>
      </w:pPr>
      <w:r>
        <w:rPr>
          <w:rFonts w:ascii="Arial" w:hAnsi="Arial" w:cs="Arial"/>
          <w:sz w:val="20"/>
          <w:szCs w:val="20"/>
        </w:rPr>
        <w:t>Identification of surface water and groundwater quality trigger levels with associated remedial actions to be undertaken should these triggers be exceeded.</w:t>
      </w:r>
    </w:p>
    <w:p w:rsidR="007B30E2" w:rsidRDefault="007B30E2" w:rsidP="00551BA4">
      <w:pPr>
        <w:pStyle w:val="ListNumber2"/>
        <w:spacing w:after="200" w:line="276" w:lineRule="auto"/>
        <w:rPr>
          <w:rFonts w:ascii="Arial" w:hAnsi="Arial" w:cs="Arial"/>
          <w:sz w:val="20"/>
          <w:szCs w:val="20"/>
        </w:rPr>
      </w:pPr>
      <w:r>
        <w:rPr>
          <w:rFonts w:ascii="Arial" w:hAnsi="Arial" w:cs="Arial"/>
          <w:sz w:val="20"/>
          <w:szCs w:val="20"/>
        </w:rPr>
        <w:t xml:space="preserve">Commitments to monitor, mitigate and manage impacts to private groundwater users resulting from </w:t>
      </w:r>
      <w:r w:rsidR="003B7682">
        <w:rPr>
          <w:rFonts w:ascii="Arial" w:hAnsi="Arial" w:cs="Arial"/>
          <w:sz w:val="20"/>
          <w:szCs w:val="20"/>
        </w:rPr>
        <w:t xml:space="preserve">bore </w:t>
      </w:r>
      <w:r>
        <w:rPr>
          <w:rFonts w:ascii="Arial" w:hAnsi="Arial" w:cs="Arial"/>
          <w:sz w:val="20"/>
          <w:szCs w:val="20"/>
        </w:rPr>
        <w:t>drawdown.</w:t>
      </w:r>
    </w:p>
    <w:p w:rsidR="00140A61" w:rsidRPr="00BA62CF" w:rsidRDefault="007B30E2" w:rsidP="00551BA4">
      <w:pPr>
        <w:pStyle w:val="ListNumber2"/>
        <w:spacing w:after="200" w:line="276" w:lineRule="auto"/>
        <w:rPr>
          <w:rFonts w:ascii="Arial" w:hAnsi="Arial" w:cs="Arial"/>
          <w:sz w:val="20"/>
          <w:szCs w:val="20"/>
        </w:rPr>
      </w:pPr>
      <w:r>
        <w:rPr>
          <w:rFonts w:ascii="Arial" w:hAnsi="Arial" w:cs="Arial"/>
          <w:sz w:val="20"/>
          <w:szCs w:val="20"/>
        </w:rPr>
        <w:t>O</w:t>
      </w:r>
      <w:r w:rsidR="00AE0EE2">
        <w:rPr>
          <w:rFonts w:ascii="Arial" w:hAnsi="Arial" w:cs="Arial"/>
          <w:sz w:val="20"/>
          <w:szCs w:val="20"/>
        </w:rPr>
        <w:t>ngoing visual and photographic monitoring of subsidence within and in the vici</w:t>
      </w:r>
      <w:r w:rsidR="00347012">
        <w:rPr>
          <w:rFonts w:ascii="Arial" w:hAnsi="Arial" w:cs="Arial"/>
          <w:sz w:val="20"/>
          <w:szCs w:val="20"/>
        </w:rPr>
        <w:t>nity of surface drainages, semi-</w:t>
      </w:r>
      <w:r w:rsidR="00AE0EE2">
        <w:rPr>
          <w:rFonts w:ascii="Arial" w:hAnsi="Arial" w:cs="Arial"/>
          <w:sz w:val="20"/>
          <w:szCs w:val="20"/>
        </w:rPr>
        <w:t xml:space="preserve">permanent pools, springs and the large dam located within the predicted extent of subsidence. Subsidence monitoring is needed to </w:t>
      </w:r>
      <w:r w:rsidR="00AE0EE2" w:rsidRPr="00AE0EE2">
        <w:rPr>
          <w:rFonts w:ascii="Arial" w:hAnsi="Arial" w:cs="Arial"/>
          <w:sz w:val="20"/>
          <w:szCs w:val="20"/>
        </w:rPr>
        <w:t>identify any necessary mitigation or remediation, confirm that land subsidence does not appreciably increase with time and that the</w:t>
      </w:r>
      <w:r w:rsidR="00347012">
        <w:rPr>
          <w:rFonts w:ascii="Arial" w:hAnsi="Arial" w:cs="Arial"/>
          <w:sz w:val="20"/>
          <w:szCs w:val="20"/>
        </w:rPr>
        <w:t xml:space="preserve"> proposed</w:t>
      </w:r>
      <w:r w:rsidR="00AE0EE2" w:rsidRPr="00AE0EE2">
        <w:rPr>
          <w:rFonts w:ascii="Arial" w:hAnsi="Arial" w:cs="Arial"/>
          <w:sz w:val="20"/>
          <w:szCs w:val="20"/>
        </w:rPr>
        <w:t xml:space="preserve"> remedial works are effective. Monitoring should be conducted in accordance with the requirements of a </w:t>
      </w:r>
      <w:r w:rsidR="00687783">
        <w:rPr>
          <w:rFonts w:ascii="Arial" w:hAnsi="Arial" w:cs="Arial"/>
          <w:sz w:val="20"/>
          <w:szCs w:val="20"/>
        </w:rPr>
        <w:t>s</w:t>
      </w:r>
      <w:r w:rsidR="00AE0EE2" w:rsidRPr="00AE0EE2">
        <w:rPr>
          <w:rFonts w:ascii="Arial" w:hAnsi="Arial" w:cs="Arial"/>
          <w:sz w:val="20"/>
          <w:szCs w:val="20"/>
        </w:rPr>
        <w:t xml:space="preserve">ubsidence </w:t>
      </w:r>
      <w:r w:rsidR="00687783">
        <w:rPr>
          <w:rFonts w:ascii="Arial" w:hAnsi="Arial" w:cs="Arial"/>
          <w:sz w:val="20"/>
          <w:szCs w:val="20"/>
        </w:rPr>
        <w:t>m</w:t>
      </w:r>
      <w:r w:rsidR="00AE0EE2" w:rsidRPr="00AE0EE2">
        <w:rPr>
          <w:rFonts w:ascii="Arial" w:hAnsi="Arial" w:cs="Arial"/>
          <w:sz w:val="20"/>
          <w:szCs w:val="20"/>
        </w:rPr>
        <w:t xml:space="preserve">anagement </w:t>
      </w:r>
      <w:r w:rsidR="00687783">
        <w:rPr>
          <w:rFonts w:ascii="Arial" w:hAnsi="Arial" w:cs="Arial"/>
          <w:sz w:val="20"/>
          <w:szCs w:val="20"/>
        </w:rPr>
        <w:t>p</w:t>
      </w:r>
      <w:r w:rsidR="00AE0EE2" w:rsidRPr="00AE0EE2">
        <w:rPr>
          <w:rFonts w:ascii="Arial" w:hAnsi="Arial" w:cs="Arial"/>
          <w:sz w:val="20"/>
          <w:szCs w:val="20"/>
        </w:rPr>
        <w:t>lan.</w:t>
      </w:r>
    </w:p>
    <w:p w:rsidR="007203C3" w:rsidRPr="00D2435F" w:rsidRDefault="001857DF" w:rsidP="00362ACD">
      <w:pPr>
        <w:pStyle w:val="ListNumber2"/>
        <w:numPr>
          <w:ilvl w:val="0"/>
          <w:numId w:val="0"/>
        </w:numPr>
        <w:spacing w:after="200" w:line="276" w:lineRule="auto"/>
        <w:rPr>
          <w:rFonts w:ascii="Arial" w:hAnsi="Arial" w:cs="Arial"/>
          <w:i/>
          <w:sz w:val="20"/>
          <w:szCs w:val="20"/>
        </w:rPr>
      </w:pPr>
      <w:r w:rsidRPr="00D2435F">
        <w:rPr>
          <w:rFonts w:ascii="Arial" w:hAnsi="Arial" w:cs="Arial"/>
          <w:i/>
          <w:sz w:val="20"/>
          <w:szCs w:val="20"/>
        </w:rPr>
        <w:t>Water related ecological assets</w:t>
      </w:r>
    </w:p>
    <w:p w:rsidR="00A568B1" w:rsidRDefault="00A568B1" w:rsidP="00A568B1">
      <w:pPr>
        <w:pStyle w:val="ListNumber"/>
        <w:spacing w:after="200" w:line="276" w:lineRule="auto"/>
        <w:rPr>
          <w:rFonts w:ascii="Arial" w:hAnsi="Arial" w:cs="Arial"/>
          <w:sz w:val="20"/>
          <w:szCs w:val="20"/>
        </w:rPr>
      </w:pPr>
      <w:r>
        <w:rPr>
          <w:rFonts w:ascii="Arial" w:hAnsi="Arial" w:cs="Arial"/>
          <w:sz w:val="20"/>
          <w:szCs w:val="20"/>
        </w:rPr>
        <w:t xml:space="preserve">Details of </w:t>
      </w:r>
      <w:r w:rsidR="00C11E22">
        <w:rPr>
          <w:rFonts w:ascii="Arial" w:hAnsi="Arial" w:cs="Arial"/>
          <w:sz w:val="20"/>
          <w:szCs w:val="20"/>
        </w:rPr>
        <w:t xml:space="preserve">ongoing </w:t>
      </w:r>
      <w:r>
        <w:rPr>
          <w:rFonts w:ascii="Arial" w:hAnsi="Arial" w:cs="Arial"/>
          <w:sz w:val="20"/>
          <w:szCs w:val="20"/>
        </w:rPr>
        <w:t>GDE and/or spring monitoring locations</w:t>
      </w:r>
      <w:r w:rsidR="00724DA2">
        <w:rPr>
          <w:rFonts w:ascii="Arial" w:hAnsi="Arial" w:cs="Arial"/>
          <w:sz w:val="20"/>
          <w:szCs w:val="20"/>
        </w:rPr>
        <w:t>,</w:t>
      </w:r>
      <w:r>
        <w:rPr>
          <w:rFonts w:ascii="Arial" w:hAnsi="Arial" w:cs="Arial"/>
          <w:sz w:val="20"/>
          <w:szCs w:val="20"/>
        </w:rPr>
        <w:t xml:space="preserve"> </w:t>
      </w:r>
      <w:r w:rsidR="00347012">
        <w:rPr>
          <w:rFonts w:ascii="Arial" w:hAnsi="Arial" w:cs="Arial"/>
          <w:sz w:val="20"/>
          <w:szCs w:val="20"/>
        </w:rPr>
        <w:t>and</w:t>
      </w:r>
      <w:r>
        <w:rPr>
          <w:rFonts w:ascii="Arial" w:hAnsi="Arial" w:cs="Arial"/>
          <w:sz w:val="20"/>
          <w:szCs w:val="20"/>
        </w:rPr>
        <w:t xml:space="preserve"> monitoring frequency</w:t>
      </w:r>
      <w:r w:rsidR="00724DA2">
        <w:rPr>
          <w:rFonts w:ascii="Arial" w:hAnsi="Arial" w:cs="Arial"/>
          <w:sz w:val="20"/>
          <w:szCs w:val="20"/>
        </w:rPr>
        <w:t>,</w:t>
      </w:r>
      <w:r>
        <w:rPr>
          <w:rFonts w:ascii="Arial" w:hAnsi="Arial" w:cs="Arial"/>
          <w:sz w:val="20"/>
          <w:szCs w:val="20"/>
        </w:rPr>
        <w:t xml:space="preserve"> have not been provided. </w:t>
      </w:r>
      <w:r w:rsidR="00C11E22">
        <w:rPr>
          <w:rFonts w:ascii="Arial" w:hAnsi="Arial" w:cs="Arial"/>
          <w:sz w:val="20"/>
          <w:szCs w:val="20"/>
        </w:rPr>
        <w:t>A</w:t>
      </w:r>
      <w:r w:rsidR="00724DA2">
        <w:rPr>
          <w:rFonts w:ascii="Arial" w:hAnsi="Arial" w:cs="Arial"/>
          <w:sz w:val="20"/>
          <w:szCs w:val="20"/>
        </w:rPr>
        <w:t xml:space="preserve"> GDE and spring monitoring program</w:t>
      </w:r>
      <w:r w:rsidR="0004478C">
        <w:rPr>
          <w:rFonts w:ascii="Arial" w:hAnsi="Arial" w:cs="Arial"/>
          <w:sz w:val="20"/>
          <w:szCs w:val="20"/>
        </w:rPr>
        <w:t>me</w:t>
      </w:r>
      <w:r w:rsidR="00724DA2">
        <w:rPr>
          <w:rFonts w:ascii="Arial" w:hAnsi="Arial" w:cs="Arial"/>
          <w:sz w:val="20"/>
          <w:szCs w:val="20"/>
        </w:rPr>
        <w:t xml:space="preserve"> </w:t>
      </w:r>
      <w:r w:rsidR="00C11E22">
        <w:rPr>
          <w:rFonts w:ascii="Arial" w:hAnsi="Arial" w:cs="Arial"/>
          <w:sz w:val="20"/>
          <w:szCs w:val="20"/>
        </w:rPr>
        <w:t xml:space="preserve">would need to include </w:t>
      </w:r>
      <w:r w:rsidR="00724DA2">
        <w:rPr>
          <w:rFonts w:ascii="Arial" w:hAnsi="Arial" w:cs="Arial"/>
          <w:sz w:val="20"/>
          <w:szCs w:val="20"/>
        </w:rPr>
        <w:t>regular groundwater and surface water</w:t>
      </w:r>
      <w:r w:rsidR="00724DA2" w:rsidRPr="00724DA2">
        <w:rPr>
          <w:rFonts w:ascii="Arial" w:hAnsi="Arial" w:cs="Arial"/>
          <w:sz w:val="20"/>
          <w:szCs w:val="20"/>
        </w:rPr>
        <w:t xml:space="preserve"> </w:t>
      </w:r>
      <w:r w:rsidR="00724DA2">
        <w:rPr>
          <w:rFonts w:ascii="Arial" w:hAnsi="Arial" w:cs="Arial"/>
          <w:sz w:val="20"/>
          <w:szCs w:val="20"/>
        </w:rPr>
        <w:t xml:space="preserve">monitoring, including flow and water persistence within semi-permanent pools, to aid an assessment of the importance of seasonal water variations to these assets. A </w:t>
      </w:r>
      <w:r w:rsidR="0004478C">
        <w:rPr>
          <w:rFonts w:ascii="Arial" w:hAnsi="Arial" w:cs="Arial"/>
          <w:sz w:val="20"/>
          <w:szCs w:val="20"/>
        </w:rPr>
        <w:t>programme</w:t>
      </w:r>
      <w:r w:rsidR="00724DA2">
        <w:rPr>
          <w:rFonts w:ascii="Arial" w:hAnsi="Arial" w:cs="Arial"/>
          <w:sz w:val="20"/>
          <w:szCs w:val="20"/>
        </w:rPr>
        <w:t xml:space="preserve"> such as this would allow the development of stress indicators and trigger values to determine when </w:t>
      </w:r>
      <w:r w:rsidR="00750AE9">
        <w:rPr>
          <w:rFonts w:ascii="Arial" w:hAnsi="Arial" w:cs="Arial"/>
          <w:sz w:val="20"/>
          <w:szCs w:val="20"/>
        </w:rPr>
        <w:t xml:space="preserve">impact </w:t>
      </w:r>
      <w:r w:rsidR="00724DA2">
        <w:rPr>
          <w:rFonts w:ascii="Arial" w:hAnsi="Arial" w:cs="Arial"/>
          <w:sz w:val="20"/>
          <w:szCs w:val="20"/>
        </w:rPr>
        <w:t xml:space="preserve">mitigation </w:t>
      </w:r>
      <w:r w:rsidR="00AD227C">
        <w:rPr>
          <w:rFonts w:ascii="Arial" w:hAnsi="Arial" w:cs="Arial"/>
          <w:sz w:val="20"/>
          <w:szCs w:val="20"/>
        </w:rPr>
        <w:t xml:space="preserve">and management </w:t>
      </w:r>
      <w:r w:rsidR="00724DA2">
        <w:rPr>
          <w:rFonts w:ascii="Arial" w:hAnsi="Arial" w:cs="Arial"/>
          <w:sz w:val="20"/>
          <w:szCs w:val="20"/>
        </w:rPr>
        <w:t>measures should be introduced.</w:t>
      </w:r>
    </w:p>
    <w:p w:rsidR="000B4AF2" w:rsidRPr="000B4AF2" w:rsidRDefault="000B4AF2" w:rsidP="000B4AF2">
      <w:pPr>
        <w:pStyle w:val="ListNumber"/>
        <w:spacing w:after="200" w:line="276" w:lineRule="auto"/>
        <w:rPr>
          <w:rFonts w:ascii="Arial" w:hAnsi="Arial" w:cs="Arial"/>
          <w:sz w:val="20"/>
          <w:szCs w:val="20"/>
        </w:rPr>
      </w:pPr>
      <w:r w:rsidRPr="000B4AF2">
        <w:rPr>
          <w:rFonts w:ascii="Arial" w:hAnsi="Arial" w:cs="Arial"/>
          <w:sz w:val="20"/>
          <w:szCs w:val="20"/>
        </w:rPr>
        <w:t xml:space="preserve">A systematic approach to identification of </w:t>
      </w:r>
      <w:r w:rsidR="00427C77">
        <w:rPr>
          <w:rFonts w:ascii="Arial" w:hAnsi="Arial" w:cs="Arial"/>
          <w:sz w:val="20"/>
          <w:szCs w:val="20"/>
        </w:rPr>
        <w:t>GDEs</w:t>
      </w:r>
      <w:r w:rsidRPr="000B4AF2">
        <w:rPr>
          <w:rFonts w:ascii="Arial" w:hAnsi="Arial" w:cs="Arial"/>
          <w:sz w:val="20"/>
          <w:szCs w:val="20"/>
        </w:rPr>
        <w:t xml:space="preserve"> should be taken in which </w:t>
      </w:r>
      <w:r>
        <w:rPr>
          <w:rFonts w:ascii="Arial" w:hAnsi="Arial" w:cs="Arial"/>
          <w:sz w:val="20"/>
          <w:szCs w:val="20"/>
        </w:rPr>
        <w:t>the</w:t>
      </w:r>
      <w:r w:rsidRPr="000B4AF2">
        <w:rPr>
          <w:rFonts w:ascii="Arial" w:hAnsi="Arial" w:cs="Arial"/>
          <w:sz w:val="20"/>
          <w:szCs w:val="20"/>
        </w:rPr>
        <w:t xml:space="preserve"> hydrogeological conceptualisation is used to identify areas of shallow groundwater (less than 20 metres below ground level) and groundwater discharge.</w:t>
      </w:r>
      <w:r w:rsidR="00750AE9">
        <w:rPr>
          <w:rFonts w:ascii="Arial" w:hAnsi="Arial" w:cs="Arial"/>
          <w:sz w:val="20"/>
          <w:szCs w:val="20"/>
        </w:rPr>
        <w:t xml:space="preserve"> The location of springs needs to be incorporated in future assessment documentation or management plans.</w:t>
      </w:r>
    </w:p>
    <w:p w:rsidR="00585599" w:rsidRPr="00B752F4" w:rsidRDefault="00A2735E" w:rsidP="00B752F4">
      <w:pPr>
        <w:pStyle w:val="ListNumber"/>
        <w:spacing w:after="200" w:line="276" w:lineRule="auto"/>
        <w:rPr>
          <w:rFonts w:ascii="Arial" w:hAnsi="Arial" w:cs="Arial"/>
          <w:sz w:val="20"/>
          <w:szCs w:val="20"/>
        </w:rPr>
      </w:pPr>
      <w:r w:rsidRPr="00B752F4">
        <w:rPr>
          <w:rFonts w:ascii="Arial" w:hAnsi="Arial" w:cs="Arial"/>
          <w:sz w:val="20"/>
          <w:szCs w:val="20"/>
        </w:rPr>
        <w:t xml:space="preserve">Stygofaunal sampling carried out </w:t>
      </w:r>
      <w:r w:rsidR="00B752F4">
        <w:rPr>
          <w:rFonts w:ascii="Arial" w:hAnsi="Arial" w:cs="Arial"/>
          <w:sz w:val="20"/>
          <w:szCs w:val="20"/>
        </w:rPr>
        <w:t>in</w:t>
      </w:r>
      <w:r w:rsidRPr="00B752F4">
        <w:rPr>
          <w:rFonts w:ascii="Arial" w:hAnsi="Arial" w:cs="Arial"/>
          <w:sz w:val="20"/>
          <w:szCs w:val="20"/>
        </w:rPr>
        <w:t xml:space="preserve"> 2011</w:t>
      </w:r>
      <w:r w:rsidR="00B752F4" w:rsidRPr="00B752F4">
        <w:rPr>
          <w:rFonts w:ascii="Arial" w:hAnsi="Arial" w:cs="Arial"/>
          <w:sz w:val="20"/>
          <w:szCs w:val="20"/>
        </w:rPr>
        <w:t xml:space="preserve"> did not identify stygofauna</w:t>
      </w:r>
      <w:r w:rsidRPr="00B752F4">
        <w:rPr>
          <w:rFonts w:ascii="Arial" w:hAnsi="Arial" w:cs="Arial"/>
          <w:sz w:val="20"/>
          <w:szCs w:val="20"/>
        </w:rPr>
        <w:t xml:space="preserve">. </w:t>
      </w:r>
      <w:r w:rsidR="00B752F4" w:rsidRPr="00B752F4">
        <w:rPr>
          <w:rFonts w:ascii="Arial" w:hAnsi="Arial" w:cs="Arial"/>
          <w:sz w:val="20"/>
          <w:szCs w:val="20"/>
        </w:rPr>
        <w:t>However, t</w:t>
      </w:r>
      <w:r w:rsidRPr="00B752F4">
        <w:rPr>
          <w:rFonts w:ascii="Arial" w:hAnsi="Arial" w:cs="Arial"/>
          <w:sz w:val="20"/>
          <w:szCs w:val="20"/>
        </w:rPr>
        <w:t>hese samples were taken from deep</w:t>
      </w:r>
      <w:r w:rsidR="00B752F4" w:rsidRPr="00B752F4">
        <w:rPr>
          <w:rFonts w:ascii="Arial" w:hAnsi="Arial" w:cs="Arial"/>
          <w:sz w:val="20"/>
          <w:szCs w:val="20"/>
        </w:rPr>
        <w:t>er, consolidated,</w:t>
      </w:r>
      <w:r w:rsidRPr="00B752F4">
        <w:rPr>
          <w:rFonts w:ascii="Arial" w:hAnsi="Arial" w:cs="Arial"/>
          <w:sz w:val="20"/>
          <w:szCs w:val="20"/>
        </w:rPr>
        <w:t xml:space="preserve"> hydroge</w:t>
      </w:r>
      <w:r w:rsidR="00B752F4" w:rsidRPr="00B752F4">
        <w:rPr>
          <w:rFonts w:ascii="Arial" w:hAnsi="Arial" w:cs="Arial"/>
          <w:sz w:val="20"/>
          <w:szCs w:val="20"/>
        </w:rPr>
        <w:t xml:space="preserve">ological units </w:t>
      </w:r>
      <w:r w:rsidRPr="00B752F4">
        <w:rPr>
          <w:rFonts w:ascii="Arial" w:hAnsi="Arial" w:cs="Arial"/>
          <w:sz w:val="20"/>
          <w:szCs w:val="20"/>
        </w:rPr>
        <w:t xml:space="preserve">and did not include sampling from likely stygofauna habitat in alluvium. </w:t>
      </w:r>
      <w:r w:rsidRPr="00614208">
        <w:rPr>
          <w:rFonts w:ascii="Arial" w:hAnsi="Arial" w:cs="Arial"/>
          <w:sz w:val="20"/>
          <w:szCs w:val="20"/>
        </w:rPr>
        <w:t xml:space="preserve">Recent bores have been installed within the alluvium </w:t>
      </w:r>
      <w:r w:rsidR="00B752F4" w:rsidRPr="00614208">
        <w:rPr>
          <w:rFonts w:ascii="Arial" w:hAnsi="Arial" w:cs="Arial"/>
          <w:sz w:val="20"/>
          <w:szCs w:val="20"/>
        </w:rPr>
        <w:t xml:space="preserve">which </w:t>
      </w:r>
      <w:r w:rsidRPr="00614208">
        <w:rPr>
          <w:rFonts w:ascii="Arial" w:hAnsi="Arial" w:cs="Arial"/>
          <w:sz w:val="20"/>
          <w:szCs w:val="20"/>
        </w:rPr>
        <w:t xml:space="preserve">should be sampled to </w:t>
      </w:r>
      <w:r w:rsidR="003B0F56" w:rsidRPr="00614208">
        <w:rPr>
          <w:rFonts w:ascii="Arial" w:hAnsi="Arial" w:cs="Arial"/>
          <w:sz w:val="20"/>
          <w:szCs w:val="20"/>
        </w:rPr>
        <w:t>determine</w:t>
      </w:r>
      <w:r w:rsidRPr="00614208">
        <w:rPr>
          <w:rFonts w:ascii="Arial" w:hAnsi="Arial" w:cs="Arial"/>
          <w:sz w:val="20"/>
          <w:szCs w:val="20"/>
        </w:rPr>
        <w:t xml:space="preserve"> the </w:t>
      </w:r>
      <w:r w:rsidR="003B0F56" w:rsidRPr="00614208">
        <w:rPr>
          <w:rFonts w:ascii="Arial" w:hAnsi="Arial" w:cs="Arial"/>
          <w:sz w:val="20"/>
          <w:szCs w:val="20"/>
        </w:rPr>
        <w:t>presence</w:t>
      </w:r>
      <w:r w:rsidRPr="00614208">
        <w:rPr>
          <w:rFonts w:ascii="Arial" w:hAnsi="Arial" w:cs="Arial"/>
          <w:sz w:val="20"/>
          <w:szCs w:val="20"/>
        </w:rPr>
        <w:t xml:space="preserve"> </w:t>
      </w:r>
      <w:r w:rsidR="00B752F4" w:rsidRPr="00614208">
        <w:rPr>
          <w:rFonts w:ascii="Arial" w:hAnsi="Arial" w:cs="Arial"/>
          <w:sz w:val="20"/>
          <w:szCs w:val="20"/>
        </w:rPr>
        <w:t>of stygofauna.</w:t>
      </w:r>
    </w:p>
    <w:p w:rsidR="001857DF" w:rsidRPr="00CB34B4" w:rsidRDefault="009D5286" w:rsidP="00362ACD">
      <w:pPr>
        <w:pStyle w:val="ListNumber2"/>
        <w:numPr>
          <w:ilvl w:val="0"/>
          <w:numId w:val="0"/>
        </w:numPr>
        <w:spacing w:after="200" w:line="276" w:lineRule="auto"/>
        <w:rPr>
          <w:rFonts w:ascii="Arial" w:hAnsi="Arial" w:cs="Arial"/>
          <w:i/>
          <w:sz w:val="20"/>
          <w:szCs w:val="20"/>
        </w:rPr>
      </w:pPr>
      <w:r w:rsidRPr="00CB34B4">
        <w:rPr>
          <w:rFonts w:ascii="Arial" w:hAnsi="Arial" w:cs="Arial"/>
          <w:i/>
          <w:sz w:val="20"/>
          <w:szCs w:val="20"/>
        </w:rPr>
        <w:t>Final Landform</w:t>
      </w:r>
    </w:p>
    <w:p w:rsidR="00CB34B4" w:rsidRPr="00CB34B4" w:rsidRDefault="00CB34B4" w:rsidP="00CB34B4">
      <w:pPr>
        <w:pStyle w:val="ListNumber"/>
        <w:spacing w:after="200" w:line="276" w:lineRule="auto"/>
        <w:rPr>
          <w:rFonts w:ascii="Arial" w:hAnsi="Arial" w:cs="Arial"/>
          <w:sz w:val="20"/>
          <w:szCs w:val="20"/>
        </w:rPr>
      </w:pPr>
      <w:r w:rsidRPr="00CB34B4">
        <w:rPr>
          <w:rFonts w:ascii="Arial" w:hAnsi="Arial" w:cs="Arial"/>
          <w:sz w:val="20"/>
          <w:szCs w:val="20"/>
        </w:rPr>
        <w:t>The proponent has</w:t>
      </w:r>
      <w:r w:rsidR="00444556">
        <w:rPr>
          <w:rFonts w:ascii="Arial" w:hAnsi="Arial" w:cs="Arial"/>
          <w:sz w:val="20"/>
          <w:szCs w:val="20"/>
        </w:rPr>
        <w:t xml:space="preserve"> not</w:t>
      </w:r>
      <w:r w:rsidRPr="00CB34B4">
        <w:rPr>
          <w:rFonts w:ascii="Arial" w:hAnsi="Arial" w:cs="Arial"/>
          <w:sz w:val="20"/>
          <w:szCs w:val="20"/>
        </w:rPr>
        <w:t xml:space="preserve"> detail</w:t>
      </w:r>
      <w:r w:rsidR="0041537A">
        <w:rPr>
          <w:rFonts w:ascii="Arial" w:hAnsi="Arial" w:cs="Arial"/>
          <w:sz w:val="20"/>
          <w:szCs w:val="20"/>
        </w:rPr>
        <w:t>ed</w:t>
      </w:r>
      <w:r w:rsidRPr="00CB34B4">
        <w:rPr>
          <w:rFonts w:ascii="Arial" w:hAnsi="Arial" w:cs="Arial"/>
          <w:sz w:val="20"/>
          <w:szCs w:val="20"/>
        </w:rPr>
        <w:t xml:space="preserve"> </w:t>
      </w:r>
      <w:r w:rsidR="0041537A">
        <w:rPr>
          <w:rFonts w:ascii="Arial" w:hAnsi="Arial" w:cs="Arial"/>
          <w:sz w:val="20"/>
          <w:szCs w:val="20"/>
        </w:rPr>
        <w:t>the</w:t>
      </w:r>
      <w:r w:rsidRPr="00CB34B4">
        <w:rPr>
          <w:rFonts w:ascii="Arial" w:hAnsi="Arial" w:cs="Arial"/>
          <w:sz w:val="20"/>
          <w:szCs w:val="20"/>
        </w:rPr>
        <w:t xml:space="preserve"> proposed measures to manage and mitigate the risks posed by the final landform following the completion of the proposed project. The proponent should demonstrate that the legacy issues and risks to water resources as a result of the final landform have been assessed, will be mitigated and managed, including: </w:t>
      </w:r>
    </w:p>
    <w:p w:rsidR="00CB34B4" w:rsidRPr="00CB34B4" w:rsidRDefault="00CB34B4" w:rsidP="00CB34B4">
      <w:pPr>
        <w:pStyle w:val="ListNumber2"/>
        <w:spacing w:after="200" w:line="276" w:lineRule="auto"/>
        <w:rPr>
          <w:rFonts w:ascii="Arial" w:hAnsi="Arial" w:cs="Arial"/>
          <w:sz w:val="20"/>
          <w:szCs w:val="20"/>
        </w:rPr>
      </w:pPr>
      <w:r w:rsidRPr="00CB34B4">
        <w:rPr>
          <w:rFonts w:ascii="Arial" w:hAnsi="Arial" w:cs="Arial"/>
          <w:sz w:val="20"/>
          <w:szCs w:val="20"/>
        </w:rPr>
        <w:t>Design of a monitoring bore network within emplacement areas surrounding the final pit lake</w:t>
      </w:r>
      <w:r w:rsidR="00444556">
        <w:rPr>
          <w:rFonts w:ascii="Arial" w:hAnsi="Arial" w:cs="Arial"/>
          <w:sz w:val="20"/>
          <w:szCs w:val="20"/>
        </w:rPr>
        <w:t>s</w:t>
      </w:r>
      <w:r w:rsidRPr="00CB34B4">
        <w:rPr>
          <w:rFonts w:ascii="Arial" w:hAnsi="Arial" w:cs="Arial"/>
          <w:sz w:val="20"/>
          <w:szCs w:val="20"/>
        </w:rPr>
        <w:t xml:space="preserve"> to provide a representative indication of groundwater quality </w:t>
      </w:r>
      <w:r w:rsidR="00687783">
        <w:rPr>
          <w:rFonts w:ascii="Arial" w:hAnsi="Arial" w:cs="Arial"/>
          <w:sz w:val="20"/>
          <w:szCs w:val="20"/>
        </w:rPr>
        <w:t>and</w:t>
      </w:r>
      <w:r w:rsidRPr="00CB34B4">
        <w:rPr>
          <w:rFonts w:ascii="Arial" w:hAnsi="Arial" w:cs="Arial"/>
          <w:sz w:val="20"/>
          <w:szCs w:val="20"/>
        </w:rPr>
        <w:t xml:space="preserve"> identify any leaching of highly saline or acidic material. </w:t>
      </w:r>
    </w:p>
    <w:p w:rsidR="00CB34B4" w:rsidRDefault="00CB34B4" w:rsidP="00CB34B4">
      <w:pPr>
        <w:pStyle w:val="ListNumber2"/>
        <w:spacing w:after="200" w:line="276" w:lineRule="auto"/>
        <w:rPr>
          <w:rFonts w:ascii="Arial" w:hAnsi="Arial" w:cs="Arial"/>
          <w:sz w:val="20"/>
          <w:szCs w:val="20"/>
        </w:rPr>
      </w:pPr>
      <w:r w:rsidRPr="00CB34B4">
        <w:rPr>
          <w:rFonts w:ascii="Arial" w:hAnsi="Arial" w:cs="Arial"/>
          <w:sz w:val="20"/>
          <w:szCs w:val="20"/>
        </w:rPr>
        <w:t xml:space="preserve">Modelling of salt stratification </w:t>
      </w:r>
      <w:r w:rsidR="00444556">
        <w:rPr>
          <w:rFonts w:ascii="Arial" w:hAnsi="Arial" w:cs="Arial"/>
          <w:sz w:val="20"/>
          <w:szCs w:val="20"/>
        </w:rPr>
        <w:t xml:space="preserve">and contaminant enrichment </w:t>
      </w:r>
      <w:r w:rsidRPr="00CB34B4">
        <w:rPr>
          <w:rFonts w:ascii="Arial" w:hAnsi="Arial" w:cs="Arial"/>
          <w:sz w:val="20"/>
          <w:szCs w:val="20"/>
        </w:rPr>
        <w:t>within the final void lake</w:t>
      </w:r>
      <w:r w:rsidR="00444556">
        <w:rPr>
          <w:rFonts w:ascii="Arial" w:hAnsi="Arial" w:cs="Arial"/>
          <w:sz w:val="20"/>
          <w:szCs w:val="20"/>
        </w:rPr>
        <w:t>s</w:t>
      </w:r>
      <w:r w:rsidRPr="00CB34B4">
        <w:rPr>
          <w:rFonts w:ascii="Arial" w:hAnsi="Arial" w:cs="Arial"/>
          <w:sz w:val="20"/>
          <w:szCs w:val="20"/>
        </w:rPr>
        <w:t xml:space="preserve">. </w:t>
      </w:r>
    </w:p>
    <w:p w:rsidR="00B752F4" w:rsidRDefault="007B30E2" w:rsidP="00CB34B4">
      <w:pPr>
        <w:pStyle w:val="ListNumber2"/>
        <w:spacing w:after="200" w:line="276" w:lineRule="auto"/>
        <w:rPr>
          <w:rFonts w:ascii="Arial" w:hAnsi="Arial" w:cs="Arial"/>
          <w:sz w:val="20"/>
          <w:szCs w:val="20"/>
        </w:rPr>
      </w:pPr>
      <w:r>
        <w:rPr>
          <w:rFonts w:ascii="Arial" w:hAnsi="Arial" w:cs="Arial"/>
          <w:sz w:val="20"/>
          <w:szCs w:val="20"/>
        </w:rPr>
        <w:t>Water quality criteria for the final void lake.</w:t>
      </w:r>
    </w:p>
    <w:p w:rsidR="00113998" w:rsidRDefault="00113998" w:rsidP="00CB34B4">
      <w:pPr>
        <w:pStyle w:val="ListNumber2"/>
        <w:spacing w:after="200" w:line="276" w:lineRule="auto"/>
        <w:rPr>
          <w:rFonts w:ascii="Arial" w:hAnsi="Arial" w:cs="Arial"/>
          <w:sz w:val="20"/>
          <w:szCs w:val="20"/>
        </w:rPr>
      </w:pPr>
      <w:r>
        <w:rPr>
          <w:rFonts w:ascii="Arial" w:hAnsi="Arial" w:cs="Arial"/>
          <w:sz w:val="20"/>
          <w:szCs w:val="20"/>
        </w:rPr>
        <w:t xml:space="preserve">Development of a final void management plan, prior to the completion of open cut </w:t>
      </w:r>
      <w:r w:rsidR="0050024C">
        <w:rPr>
          <w:rFonts w:ascii="Arial" w:hAnsi="Arial" w:cs="Arial"/>
          <w:sz w:val="20"/>
          <w:szCs w:val="20"/>
        </w:rPr>
        <w:t>mining, which</w:t>
      </w:r>
      <w:r>
        <w:rPr>
          <w:rFonts w:ascii="Arial" w:hAnsi="Arial" w:cs="Arial"/>
          <w:sz w:val="20"/>
          <w:szCs w:val="20"/>
        </w:rPr>
        <w:t xml:space="preserve"> incorporate</w:t>
      </w:r>
      <w:r w:rsidR="00E80C84">
        <w:rPr>
          <w:rFonts w:ascii="Arial" w:hAnsi="Arial" w:cs="Arial"/>
          <w:sz w:val="20"/>
          <w:szCs w:val="20"/>
        </w:rPr>
        <w:t>s</w:t>
      </w:r>
      <w:r>
        <w:rPr>
          <w:rFonts w:ascii="Arial" w:hAnsi="Arial" w:cs="Arial"/>
          <w:sz w:val="20"/>
          <w:szCs w:val="20"/>
        </w:rPr>
        <w:t xml:space="preserve"> the above measures. </w:t>
      </w:r>
    </w:p>
    <w:p w:rsidR="00B3051F" w:rsidRPr="00CF5929" w:rsidRDefault="00B3051F" w:rsidP="00B3051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3</w:t>
      </w:r>
      <w:r w:rsidRPr="00CF5929">
        <w:rPr>
          <w:rFonts w:ascii="Arial" w:hAnsi="Arial" w:cs="Arial"/>
          <w:sz w:val="20"/>
          <w:szCs w:val="20"/>
        </w:rPr>
        <w:t>:</w:t>
      </w:r>
      <w:r w:rsidRPr="00B3051F">
        <w:rPr>
          <w:rFonts w:ascii="Arial" w:hAnsi="Arial" w:cs="Arial"/>
          <w:sz w:val="20"/>
          <w:szCs w:val="20"/>
        </w:rPr>
        <w:t xml:space="preserve"> </w:t>
      </w:r>
      <w:r w:rsidR="0065359E">
        <w:rPr>
          <w:rFonts w:ascii="Arial" w:hAnsi="Arial" w:cs="Arial"/>
          <w:sz w:val="20"/>
          <w:szCs w:val="20"/>
        </w:rPr>
        <w:t>Have cumulative impacts with other developments on a local scale that impact water resources been sufficiently addressed?</w:t>
      </w:r>
    </w:p>
    <w:p w:rsidR="005166F8" w:rsidRPr="00CF5929" w:rsidRDefault="005166F8" w:rsidP="005166F8">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937917" w:rsidRPr="00937917" w:rsidRDefault="00937917" w:rsidP="00937917">
      <w:pPr>
        <w:pStyle w:val="ListNumber"/>
        <w:spacing w:after="200" w:line="276" w:lineRule="auto"/>
        <w:rPr>
          <w:rFonts w:ascii="Arial" w:hAnsi="Arial" w:cs="Arial"/>
          <w:sz w:val="20"/>
          <w:szCs w:val="20"/>
        </w:rPr>
      </w:pPr>
      <w:r w:rsidRPr="00937917">
        <w:rPr>
          <w:rFonts w:ascii="Arial" w:hAnsi="Arial" w:cs="Arial"/>
          <w:sz w:val="20"/>
          <w:szCs w:val="20"/>
        </w:rPr>
        <w:t xml:space="preserve">The cumulative impact assessment does not </w:t>
      </w:r>
      <w:r w:rsidR="00614208">
        <w:rPr>
          <w:rFonts w:ascii="Arial" w:hAnsi="Arial" w:cs="Arial"/>
          <w:sz w:val="20"/>
          <w:szCs w:val="20"/>
        </w:rPr>
        <w:t>adequately</w:t>
      </w:r>
      <w:r w:rsidRPr="00937917">
        <w:rPr>
          <w:rFonts w:ascii="Arial" w:hAnsi="Arial" w:cs="Arial"/>
          <w:sz w:val="20"/>
          <w:szCs w:val="20"/>
        </w:rPr>
        <w:t xml:space="preserve"> consider </w:t>
      </w:r>
      <w:r>
        <w:rPr>
          <w:rFonts w:ascii="Arial" w:hAnsi="Arial" w:cs="Arial"/>
          <w:sz w:val="20"/>
          <w:szCs w:val="20"/>
        </w:rPr>
        <w:t xml:space="preserve">local scale </w:t>
      </w:r>
      <w:r w:rsidRPr="00937917">
        <w:rPr>
          <w:rFonts w:ascii="Arial" w:hAnsi="Arial" w:cs="Arial"/>
          <w:sz w:val="20"/>
          <w:szCs w:val="20"/>
        </w:rPr>
        <w:t xml:space="preserve">cumulative impacts to water resources from coal mines </w:t>
      </w:r>
      <w:r w:rsidR="00724399">
        <w:rPr>
          <w:rFonts w:ascii="Arial" w:hAnsi="Arial" w:cs="Arial"/>
          <w:sz w:val="20"/>
          <w:szCs w:val="20"/>
        </w:rPr>
        <w:t xml:space="preserve">located </w:t>
      </w:r>
      <w:r w:rsidRPr="00937917">
        <w:rPr>
          <w:rFonts w:ascii="Arial" w:hAnsi="Arial" w:cs="Arial"/>
          <w:sz w:val="20"/>
          <w:szCs w:val="20"/>
        </w:rPr>
        <w:t xml:space="preserve">within the </w:t>
      </w:r>
      <w:r w:rsidR="00724399">
        <w:rPr>
          <w:rFonts w:ascii="Arial" w:hAnsi="Arial" w:cs="Arial"/>
          <w:sz w:val="20"/>
          <w:szCs w:val="20"/>
        </w:rPr>
        <w:t>Nogoa River Catchment</w:t>
      </w:r>
      <w:r w:rsidRPr="00937917">
        <w:rPr>
          <w:rFonts w:ascii="Arial" w:hAnsi="Arial" w:cs="Arial"/>
          <w:sz w:val="20"/>
          <w:szCs w:val="20"/>
        </w:rPr>
        <w:t>.</w:t>
      </w:r>
    </w:p>
    <w:p w:rsidR="005166F8" w:rsidRPr="00CF5929" w:rsidRDefault="005166F8" w:rsidP="005166F8">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113998" w:rsidRPr="00B26D45" w:rsidRDefault="00E15B62" w:rsidP="00056193">
      <w:pPr>
        <w:pStyle w:val="ListNumber"/>
        <w:spacing w:after="200" w:line="276" w:lineRule="auto"/>
        <w:rPr>
          <w:rFonts w:ascii="Arial" w:hAnsi="Arial" w:cs="Arial"/>
          <w:sz w:val="20"/>
          <w:szCs w:val="20"/>
        </w:rPr>
      </w:pPr>
      <w:r w:rsidRPr="00B26D45">
        <w:rPr>
          <w:rFonts w:ascii="Arial" w:hAnsi="Arial" w:cs="Arial"/>
          <w:sz w:val="20"/>
          <w:szCs w:val="20"/>
        </w:rPr>
        <w:t xml:space="preserve">Six </w:t>
      </w:r>
      <w:r w:rsidR="00113998" w:rsidRPr="00B26D45">
        <w:rPr>
          <w:rFonts w:ascii="Arial" w:hAnsi="Arial" w:cs="Arial"/>
          <w:sz w:val="20"/>
          <w:szCs w:val="20"/>
        </w:rPr>
        <w:t xml:space="preserve">projects at varying stages of </w:t>
      </w:r>
      <w:r w:rsidR="00537B83">
        <w:rPr>
          <w:rFonts w:ascii="Arial" w:hAnsi="Arial" w:cs="Arial"/>
          <w:sz w:val="20"/>
          <w:szCs w:val="20"/>
        </w:rPr>
        <w:t>development</w:t>
      </w:r>
      <w:r w:rsidR="00113998" w:rsidRPr="00B26D45">
        <w:rPr>
          <w:rFonts w:ascii="Arial" w:hAnsi="Arial" w:cs="Arial"/>
          <w:sz w:val="20"/>
          <w:szCs w:val="20"/>
        </w:rPr>
        <w:t xml:space="preserve"> </w:t>
      </w:r>
      <w:r w:rsidRPr="00B26D45">
        <w:rPr>
          <w:rFonts w:ascii="Arial" w:hAnsi="Arial" w:cs="Arial"/>
          <w:sz w:val="20"/>
          <w:szCs w:val="20"/>
        </w:rPr>
        <w:t xml:space="preserve">are located </w:t>
      </w:r>
      <w:r w:rsidR="00113998" w:rsidRPr="00B26D45">
        <w:rPr>
          <w:rFonts w:ascii="Arial" w:hAnsi="Arial" w:cs="Arial"/>
          <w:sz w:val="20"/>
          <w:szCs w:val="20"/>
        </w:rPr>
        <w:t>within 50 km of the Tar</w:t>
      </w:r>
      <w:r w:rsidR="00BA5FA4">
        <w:rPr>
          <w:rFonts w:ascii="Arial" w:hAnsi="Arial" w:cs="Arial"/>
          <w:sz w:val="20"/>
          <w:szCs w:val="20"/>
        </w:rPr>
        <w:t>o</w:t>
      </w:r>
      <w:r w:rsidR="00113998" w:rsidRPr="00B26D45">
        <w:rPr>
          <w:rFonts w:ascii="Arial" w:hAnsi="Arial" w:cs="Arial"/>
          <w:sz w:val="20"/>
          <w:szCs w:val="20"/>
        </w:rPr>
        <w:t xml:space="preserve">borah </w:t>
      </w:r>
      <w:r w:rsidRPr="00B26D45">
        <w:rPr>
          <w:rFonts w:ascii="Arial" w:hAnsi="Arial" w:cs="Arial"/>
          <w:sz w:val="20"/>
          <w:szCs w:val="20"/>
        </w:rPr>
        <w:t xml:space="preserve">Coal </w:t>
      </w:r>
      <w:r w:rsidR="00113998" w:rsidRPr="00B26D45">
        <w:rPr>
          <w:rFonts w:ascii="Arial" w:hAnsi="Arial" w:cs="Arial"/>
          <w:sz w:val="20"/>
          <w:szCs w:val="20"/>
        </w:rPr>
        <w:t>project (in order of proximity)</w:t>
      </w:r>
      <w:r w:rsidR="00450B09">
        <w:rPr>
          <w:rFonts w:ascii="Arial" w:hAnsi="Arial" w:cs="Arial"/>
          <w:sz w:val="20"/>
          <w:szCs w:val="20"/>
        </w:rPr>
        <w:t>:</w:t>
      </w:r>
      <w:r w:rsidR="00113998" w:rsidRPr="00B26D45">
        <w:rPr>
          <w:rFonts w:ascii="Arial" w:hAnsi="Arial" w:cs="Arial"/>
          <w:sz w:val="20"/>
          <w:szCs w:val="20"/>
        </w:rPr>
        <w:t xml:space="preserve"> </w:t>
      </w:r>
      <w:r w:rsidRPr="00B26D45">
        <w:rPr>
          <w:rFonts w:ascii="Arial" w:hAnsi="Arial" w:cs="Arial"/>
          <w:sz w:val="20"/>
          <w:szCs w:val="20"/>
        </w:rPr>
        <w:t xml:space="preserve">Teresa, </w:t>
      </w:r>
      <w:r w:rsidR="00113998" w:rsidRPr="00B26D45">
        <w:rPr>
          <w:rFonts w:ascii="Arial" w:hAnsi="Arial" w:cs="Arial"/>
          <w:sz w:val="20"/>
          <w:szCs w:val="20"/>
        </w:rPr>
        <w:t xml:space="preserve">Valeria, West Emerald, Athena, Kestrel and Minerva. </w:t>
      </w:r>
      <w:r w:rsidR="00B26D45" w:rsidRPr="00B26D45">
        <w:rPr>
          <w:rFonts w:ascii="Arial" w:hAnsi="Arial" w:cs="Arial"/>
          <w:sz w:val="20"/>
          <w:szCs w:val="20"/>
        </w:rPr>
        <w:t>Other than the Teresa Coal project, t</w:t>
      </w:r>
      <w:r w:rsidR="00113998" w:rsidRPr="00B26D45">
        <w:rPr>
          <w:rFonts w:ascii="Arial" w:hAnsi="Arial" w:cs="Arial"/>
          <w:sz w:val="20"/>
          <w:szCs w:val="20"/>
        </w:rPr>
        <w:t xml:space="preserve">he proponent has not provided an assessment of whether impacts from these mines are likely to contribute to cumulative impacts </w:t>
      </w:r>
      <w:r w:rsidR="00450B09">
        <w:rPr>
          <w:rFonts w:ascii="Arial" w:hAnsi="Arial" w:cs="Arial"/>
          <w:sz w:val="20"/>
          <w:szCs w:val="20"/>
        </w:rPr>
        <w:t xml:space="preserve">associated </w:t>
      </w:r>
      <w:r w:rsidR="00113998" w:rsidRPr="00B26D45">
        <w:rPr>
          <w:rFonts w:ascii="Arial" w:hAnsi="Arial" w:cs="Arial"/>
          <w:sz w:val="20"/>
          <w:szCs w:val="20"/>
        </w:rPr>
        <w:t xml:space="preserve">with the Taroborah </w:t>
      </w:r>
      <w:r w:rsidR="00B26D45" w:rsidRPr="00B26D45">
        <w:rPr>
          <w:rFonts w:ascii="Arial" w:hAnsi="Arial" w:cs="Arial"/>
          <w:sz w:val="20"/>
          <w:szCs w:val="20"/>
        </w:rPr>
        <w:t xml:space="preserve">Coal </w:t>
      </w:r>
      <w:r w:rsidR="00113998" w:rsidRPr="00B26D45">
        <w:rPr>
          <w:rFonts w:ascii="Arial" w:hAnsi="Arial" w:cs="Arial"/>
          <w:sz w:val="20"/>
          <w:szCs w:val="20"/>
        </w:rPr>
        <w:t xml:space="preserve">project. </w:t>
      </w:r>
    </w:p>
    <w:p w:rsidR="002D208B" w:rsidRDefault="001D496C" w:rsidP="00056193">
      <w:pPr>
        <w:pStyle w:val="ListNumber"/>
        <w:spacing w:after="200" w:line="276" w:lineRule="auto"/>
        <w:rPr>
          <w:rFonts w:ascii="Arial" w:hAnsi="Arial" w:cs="Arial"/>
          <w:sz w:val="20"/>
          <w:szCs w:val="20"/>
        </w:rPr>
      </w:pPr>
      <w:r w:rsidRPr="002D208B">
        <w:rPr>
          <w:rFonts w:ascii="Arial" w:hAnsi="Arial" w:cs="Arial"/>
          <w:sz w:val="20"/>
          <w:szCs w:val="20"/>
        </w:rPr>
        <w:t xml:space="preserve">The consideration of cumulative impacts between the proposed project and the Teresa Coal project is limited to a statement of distances between drawdown extents that </w:t>
      </w:r>
      <w:r w:rsidR="00F4269F">
        <w:rPr>
          <w:rFonts w:ascii="Arial" w:hAnsi="Arial" w:cs="Arial"/>
          <w:sz w:val="20"/>
          <w:szCs w:val="20"/>
        </w:rPr>
        <w:t>are</w:t>
      </w:r>
      <w:r w:rsidRPr="002D208B">
        <w:rPr>
          <w:rFonts w:ascii="Arial" w:hAnsi="Arial" w:cs="Arial"/>
          <w:sz w:val="20"/>
          <w:szCs w:val="20"/>
        </w:rPr>
        <w:t xml:space="preserve"> not substantiated by do</w:t>
      </w:r>
      <w:r w:rsidR="0041537A">
        <w:rPr>
          <w:rFonts w:ascii="Arial" w:hAnsi="Arial" w:cs="Arial"/>
          <w:sz w:val="20"/>
          <w:szCs w:val="20"/>
        </w:rPr>
        <w:t>cumented evidence or reference</w:t>
      </w:r>
      <w:r w:rsidRPr="002D208B">
        <w:rPr>
          <w:rFonts w:ascii="Arial" w:hAnsi="Arial" w:cs="Arial"/>
          <w:sz w:val="20"/>
          <w:szCs w:val="20"/>
        </w:rPr>
        <w:t xml:space="preserve"> to the Teresa Coal EIS.</w:t>
      </w:r>
      <w:r w:rsidR="002D208B">
        <w:rPr>
          <w:rFonts w:ascii="Arial" w:hAnsi="Arial" w:cs="Arial"/>
          <w:sz w:val="20"/>
          <w:szCs w:val="20"/>
        </w:rPr>
        <w:t xml:space="preserve"> This approach does not consider </w:t>
      </w:r>
      <w:r w:rsidR="00B10DCD">
        <w:rPr>
          <w:rFonts w:ascii="Arial" w:hAnsi="Arial" w:cs="Arial"/>
          <w:sz w:val="20"/>
          <w:szCs w:val="20"/>
        </w:rPr>
        <w:t>cumulative losses</w:t>
      </w:r>
      <w:r w:rsidR="00117A01">
        <w:rPr>
          <w:rFonts w:ascii="Arial" w:hAnsi="Arial" w:cs="Arial"/>
          <w:sz w:val="20"/>
          <w:szCs w:val="20"/>
        </w:rPr>
        <w:t>,</w:t>
      </w:r>
      <w:r w:rsidR="00B10DCD">
        <w:rPr>
          <w:rFonts w:ascii="Arial" w:hAnsi="Arial" w:cs="Arial"/>
          <w:sz w:val="20"/>
          <w:szCs w:val="20"/>
        </w:rPr>
        <w:t xml:space="preserve"> </w:t>
      </w:r>
      <w:r w:rsidR="00117A01">
        <w:rPr>
          <w:rFonts w:ascii="Arial" w:hAnsi="Arial" w:cs="Arial"/>
          <w:sz w:val="20"/>
          <w:szCs w:val="20"/>
        </w:rPr>
        <w:t xml:space="preserve">or </w:t>
      </w:r>
      <w:r w:rsidR="00B10DCD">
        <w:rPr>
          <w:rFonts w:ascii="Arial" w:hAnsi="Arial" w:cs="Arial"/>
          <w:sz w:val="20"/>
          <w:szCs w:val="20"/>
        </w:rPr>
        <w:t>seasonal losses</w:t>
      </w:r>
      <w:r w:rsidR="00117A01">
        <w:rPr>
          <w:rFonts w:ascii="Arial" w:hAnsi="Arial" w:cs="Arial"/>
          <w:sz w:val="20"/>
          <w:szCs w:val="20"/>
        </w:rPr>
        <w:t>,</w:t>
      </w:r>
      <w:r w:rsidR="00B10DCD">
        <w:rPr>
          <w:rFonts w:ascii="Arial" w:hAnsi="Arial" w:cs="Arial"/>
          <w:sz w:val="20"/>
          <w:szCs w:val="20"/>
        </w:rPr>
        <w:t xml:space="preserve"> in baseflow </w:t>
      </w:r>
      <w:r w:rsidR="002D208B">
        <w:rPr>
          <w:rFonts w:ascii="Arial" w:hAnsi="Arial" w:cs="Arial"/>
          <w:sz w:val="20"/>
          <w:szCs w:val="20"/>
        </w:rPr>
        <w:t>to surface water systems of the Nogoa River Catchment</w:t>
      </w:r>
      <w:r w:rsidR="00B10DCD">
        <w:rPr>
          <w:rFonts w:ascii="Arial" w:hAnsi="Arial" w:cs="Arial"/>
          <w:sz w:val="20"/>
          <w:szCs w:val="20"/>
        </w:rPr>
        <w:t xml:space="preserve">, which </w:t>
      </w:r>
      <w:r w:rsidR="00F4269F">
        <w:rPr>
          <w:rFonts w:ascii="Arial" w:hAnsi="Arial" w:cs="Arial"/>
          <w:sz w:val="20"/>
          <w:szCs w:val="20"/>
        </w:rPr>
        <w:t>are</w:t>
      </w:r>
      <w:r w:rsidR="00B10DCD">
        <w:rPr>
          <w:rFonts w:ascii="Arial" w:hAnsi="Arial" w:cs="Arial"/>
          <w:sz w:val="20"/>
          <w:szCs w:val="20"/>
        </w:rPr>
        <w:t xml:space="preserve"> likely to be most noticeable during the dry season</w:t>
      </w:r>
      <w:r w:rsidR="002D208B">
        <w:rPr>
          <w:rFonts w:ascii="Arial" w:hAnsi="Arial" w:cs="Arial"/>
          <w:sz w:val="20"/>
          <w:szCs w:val="20"/>
        </w:rPr>
        <w:t>.</w:t>
      </w:r>
    </w:p>
    <w:p w:rsidR="00056193" w:rsidRPr="002D208B" w:rsidRDefault="002D208B" w:rsidP="00056193">
      <w:pPr>
        <w:pStyle w:val="ListNumber"/>
        <w:spacing w:after="200" w:line="276" w:lineRule="auto"/>
        <w:rPr>
          <w:rFonts w:ascii="Arial" w:hAnsi="Arial" w:cs="Arial"/>
          <w:sz w:val="20"/>
          <w:szCs w:val="20"/>
        </w:rPr>
      </w:pPr>
      <w:r w:rsidRPr="00614208">
        <w:rPr>
          <w:rFonts w:ascii="Arial" w:hAnsi="Arial" w:cs="Arial"/>
          <w:sz w:val="20"/>
          <w:szCs w:val="20"/>
        </w:rPr>
        <w:t>T</w:t>
      </w:r>
      <w:r w:rsidR="00056193" w:rsidRPr="00614208">
        <w:rPr>
          <w:rFonts w:ascii="Arial" w:hAnsi="Arial" w:cs="Arial"/>
          <w:sz w:val="20"/>
          <w:szCs w:val="20"/>
        </w:rPr>
        <w:t xml:space="preserve">he groundwater model for the Taroborah </w:t>
      </w:r>
      <w:r w:rsidR="00B14EA4" w:rsidRPr="00614208">
        <w:rPr>
          <w:rFonts w:ascii="Arial" w:hAnsi="Arial" w:cs="Arial"/>
          <w:sz w:val="20"/>
          <w:szCs w:val="20"/>
        </w:rPr>
        <w:t xml:space="preserve">Coal </w:t>
      </w:r>
      <w:r w:rsidR="00056193" w:rsidRPr="00614208">
        <w:rPr>
          <w:rFonts w:ascii="Arial" w:hAnsi="Arial" w:cs="Arial"/>
          <w:sz w:val="20"/>
          <w:szCs w:val="20"/>
        </w:rPr>
        <w:t xml:space="preserve">project is 40 km by 40 km and is oriented such that the Teresa Coal project area does not fall within the </w:t>
      </w:r>
      <w:r w:rsidR="00F4269F" w:rsidRPr="00614208">
        <w:rPr>
          <w:rFonts w:ascii="Arial" w:hAnsi="Arial" w:cs="Arial"/>
          <w:sz w:val="20"/>
          <w:szCs w:val="20"/>
        </w:rPr>
        <w:t xml:space="preserve">model </w:t>
      </w:r>
      <w:r w:rsidR="00056193" w:rsidRPr="00614208">
        <w:rPr>
          <w:rFonts w:ascii="Arial" w:hAnsi="Arial" w:cs="Arial"/>
          <w:sz w:val="20"/>
          <w:szCs w:val="20"/>
        </w:rPr>
        <w:t>domain</w:t>
      </w:r>
      <w:r w:rsidR="00056193" w:rsidRPr="002D208B">
        <w:rPr>
          <w:rFonts w:ascii="Arial" w:hAnsi="Arial" w:cs="Arial"/>
          <w:sz w:val="20"/>
          <w:szCs w:val="20"/>
        </w:rPr>
        <w:t>. How</w:t>
      </w:r>
      <w:r w:rsidR="00A62774">
        <w:rPr>
          <w:rFonts w:ascii="Arial" w:hAnsi="Arial" w:cs="Arial"/>
          <w:sz w:val="20"/>
          <w:szCs w:val="20"/>
        </w:rPr>
        <w:t>ever, based on the Teresa Coal p</w:t>
      </w:r>
      <w:r w:rsidR="00056193" w:rsidRPr="002D208B">
        <w:rPr>
          <w:rFonts w:ascii="Arial" w:hAnsi="Arial" w:cs="Arial"/>
          <w:sz w:val="20"/>
          <w:szCs w:val="20"/>
        </w:rPr>
        <w:t xml:space="preserve">roject’s existing </w:t>
      </w:r>
      <w:r w:rsidR="00153894" w:rsidRPr="002D208B">
        <w:rPr>
          <w:rFonts w:ascii="Arial" w:hAnsi="Arial" w:cs="Arial"/>
          <w:sz w:val="20"/>
          <w:szCs w:val="20"/>
        </w:rPr>
        <w:t xml:space="preserve">publicly available </w:t>
      </w:r>
      <w:r w:rsidR="00056193" w:rsidRPr="002D208B">
        <w:rPr>
          <w:rFonts w:ascii="Arial" w:hAnsi="Arial" w:cs="Arial"/>
          <w:sz w:val="20"/>
          <w:szCs w:val="20"/>
        </w:rPr>
        <w:t>groundwater model</w:t>
      </w:r>
      <w:r w:rsidR="00153894" w:rsidRPr="002D208B">
        <w:rPr>
          <w:rFonts w:ascii="Arial" w:hAnsi="Arial" w:cs="Arial"/>
          <w:sz w:val="20"/>
          <w:szCs w:val="20"/>
        </w:rPr>
        <w:t xml:space="preserve"> report</w:t>
      </w:r>
      <w:r w:rsidR="00781332">
        <w:rPr>
          <w:rFonts w:ascii="Arial" w:hAnsi="Arial" w:cs="Arial"/>
          <w:sz w:val="20"/>
          <w:szCs w:val="20"/>
          <w:vertAlign w:val="superscript"/>
        </w:rPr>
        <w:t>4</w:t>
      </w:r>
      <w:r w:rsidR="00056193" w:rsidRPr="002D208B">
        <w:rPr>
          <w:rFonts w:ascii="Arial" w:hAnsi="Arial" w:cs="Arial"/>
          <w:sz w:val="20"/>
          <w:szCs w:val="20"/>
        </w:rPr>
        <w:t xml:space="preserve">, groundwater drawdown caused by that project extends into the Taroborah </w:t>
      </w:r>
      <w:r w:rsidR="00E80C84">
        <w:rPr>
          <w:rFonts w:ascii="Arial" w:hAnsi="Arial" w:cs="Arial"/>
          <w:sz w:val="20"/>
          <w:szCs w:val="20"/>
        </w:rPr>
        <w:t xml:space="preserve">Coal </w:t>
      </w:r>
      <w:r w:rsidR="00056193" w:rsidRPr="002D208B">
        <w:rPr>
          <w:rFonts w:ascii="Arial" w:hAnsi="Arial" w:cs="Arial"/>
          <w:sz w:val="20"/>
          <w:szCs w:val="20"/>
        </w:rPr>
        <w:t>project's groundwater model domain and should therefore be represented in the Taroborah</w:t>
      </w:r>
      <w:r w:rsidR="00E80C84">
        <w:rPr>
          <w:rFonts w:ascii="Arial" w:hAnsi="Arial" w:cs="Arial"/>
          <w:sz w:val="20"/>
          <w:szCs w:val="20"/>
        </w:rPr>
        <w:t xml:space="preserve"> Coal</w:t>
      </w:r>
      <w:r w:rsidR="00056193" w:rsidRPr="002D208B">
        <w:rPr>
          <w:rFonts w:ascii="Arial" w:hAnsi="Arial" w:cs="Arial"/>
          <w:sz w:val="20"/>
          <w:szCs w:val="20"/>
        </w:rPr>
        <w:t xml:space="preserve"> </w:t>
      </w:r>
      <w:r w:rsidR="00E80C84">
        <w:rPr>
          <w:rFonts w:ascii="Arial" w:hAnsi="Arial" w:cs="Arial"/>
          <w:sz w:val="20"/>
          <w:szCs w:val="20"/>
        </w:rPr>
        <w:t>p</w:t>
      </w:r>
      <w:r w:rsidR="00056193" w:rsidRPr="002D208B">
        <w:rPr>
          <w:rFonts w:ascii="Arial" w:hAnsi="Arial" w:cs="Arial"/>
          <w:sz w:val="20"/>
          <w:szCs w:val="20"/>
        </w:rPr>
        <w:t>roject’s groundwater model.</w:t>
      </w:r>
      <w:r w:rsidR="00153894" w:rsidRPr="002D208B">
        <w:rPr>
          <w:rFonts w:ascii="Arial" w:hAnsi="Arial" w:cs="Arial"/>
          <w:sz w:val="20"/>
          <w:szCs w:val="20"/>
        </w:rPr>
        <w:t xml:space="preserve"> Given the above,</w:t>
      </w:r>
      <w:r w:rsidR="00056193" w:rsidRPr="002D208B">
        <w:rPr>
          <w:rFonts w:ascii="Arial" w:hAnsi="Arial" w:cs="Arial"/>
          <w:sz w:val="20"/>
          <w:szCs w:val="20"/>
        </w:rPr>
        <w:t xml:space="preserve"> cumulative groundwater drawdown impacts of the two projects </w:t>
      </w:r>
      <w:r w:rsidR="00117A01">
        <w:rPr>
          <w:rFonts w:ascii="Arial" w:hAnsi="Arial" w:cs="Arial"/>
          <w:sz w:val="20"/>
          <w:szCs w:val="20"/>
        </w:rPr>
        <w:t>are unable to</w:t>
      </w:r>
      <w:r w:rsidR="00056193" w:rsidRPr="002D208B">
        <w:rPr>
          <w:rFonts w:ascii="Arial" w:hAnsi="Arial" w:cs="Arial"/>
          <w:sz w:val="20"/>
          <w:szCs w:val="20"/>
        </w:rPr>
        <w:t xml:space="preserve"> be quantified unless the Taroborah groundwater model takes into account the Teresa Coal project. </w:t>
      </w:r>
    </w:p>
    <w:p w:rsidR="00056193" w:rsidRPr="00537B83" w:rsidRDefault="00056193" w:rsidP="00056193">
      <w:pPr>
        <w:pStyle w:val="ListNumber"/>
        <w:spacing w:after="200" w:line="276" w:lineRule="auto"/>
        <w:rPr>
          <w:rFonts w:ascii="Arial" w:hAnsi="Arial" w:cs="Arial"/>
          <w:sz w:val="20"/>
          <w:szCs w:val="20"/>
        </w:rPr>
      </w:pPr>
      <w:r w:rsidRPr="00537B83">
        <w:rPr>
          <w:rFonts w:ascii="Arial" w:hAnsi="Arial" w:cs="Arial"/>
          <w:sz w:val="20"/>
          <w:szCs w:val="20"/>
        </w:rPr>
        <w:t>The following features would enable a</w:t>
      </w:r>
      <w:r w:rsidR="00537B83" w:rsidRPr="00537B83">
        <w:rPr>
          <w:rFonts w:ascii="Arial" w:hAnsi="Arial" w:cs="Arial"/>
          <w:sz w:val="20"/>
          <w:szCs w:val="20"/>
        </w:rPr>
        <w:t xml:space="preserve"> more</w:t>
      </w:r>
      <w:r w:rsidRPr="00537B83">
        <w:rPr>
          <w:rFonts w:ascii="Arial" w:hAnsi="Arial" w:cs="Arial"/>
          <w:sz w:val="20"/>
          <w:szCs w:val="20"/>
        </w:rPr>
        <w:t xml:space="preserve"> comprehensive cumulative impact assessment within the Nog</w:t>
      </w:r>
      <w:r w:rsidR="005E7BB7">
        <w:rPr>
          <w:rFonts w:ascii="Arial" w:hAnsi="Arial" w:cs="Arial"/>
          <w:sz w:val="20"/>
          <w:szCs w:val="20"/>
        </w:rPr>
        <w:t>oa River catchment</w:t>
      </w:r>
      <w:r w:rsidRPr="00537B83">
        <w:rPr>
          <w:rFonts w:ascii="Arial" w:hAnsi="Arial" w:cs="Arial"/>
          <w:sz w:val="20"/>
          <w:szCs w:val="20"/>
        </w:rPr>
        <w:t>:</w:t>
      </w:r>
    </w:p>
    <w:p w:rsidR="00056193" w:rsidRPr="00537B83" w:rsidRDefault="00056193" w:rsidP="00056193">
      <w:pPr>
        <w:pStyle w:val="ListNumber2"/>
        <w:spacing w:after="200" w:line="276" w:lineRule="auto"/>
        <w:rPr>
          <w:rFonts w:ascii="Arial" w:hAnsi="Arial" w:cs="Arial"/>
          <w:sz w:val="20"/>
          <w:szCs w:val="20"/>
        </w:rPr>
      </w:pPr>
      <w:r w:rsidRPr="00537B83">
        <w:rPr>
          <w:rFonts w:ascii="Arial" w:hAnsi="Arial" w:cs="Arial"/>
          <w:sz w:val="20"/>
          <w:szCs w:val="20"/>
        </w:rPr>
        <w:t>Identification of the regional geology, hydrogeological regime and hydrogeological connectivity between project areas.</w:t>
      </w:r>
    </w:p>
    <w:p w:rsidR="00056193" w:rsidRPr="00537B83" w:rsidRDefault="00056193" w:rsidP="00056193">
      <w:pPr>
        <w:pStyle w:val="ListNumber2"/>
        <w:spacing w:after="200" w:line="276" w:lineRule="auto"/>
        <w:rPr>
          <w:rFonts w:ascii="Arial" w:hAnsi="Arial" w:cs="Arial"/>
          <w:sz w:val="20"/>
          <w:szCs w:val="20"/>
        </w:rPr>
      </w:pPr>
      <w:r w:rsidRPr="00537B83">
        <w:rPr>
          <w:rFonts w:ascii="Arial" w:hAnsi="Arial" w:cs="Arial"/>
          <w:sz w:val="20"/>
          <w:szCs w:val="20"/>
        </w:rPr>
        <w:t>Collection of data from other projects in relation to groundwater drawdown, water tables, surface water hydrology and surface and groundwater interactions.</w:t>
      </w:r>
    </w:p>
    <w:p w:rsidR="00056193" w:rsidRPr="00537B83" w:rsidRDefault="00056193" w:rsidP="00056193">
      <w:pPr>
        <w:pStyle w:val="ListNumber2"/>
        <w:spacing w:after="200" w:line="276" w:lineRule="auto"/>
        <w:rPr>
          <w:rFonts w:ascii="Arial" w:hAnsi="Arial" w:cs="Arial"/>
          <w:sz w:val="20"/>
          <w:szCs w:val="20"/>
        </w:rPr>
      </w:pPr>
      <w:r w:rsidRPr="00537B83">
        <w:rPr>
          <w:rFonts w:ascii="Arial" w:hAnsi="Arial" w:cs="Arial"/>
          <w:sz w:val="20"/>
          <w:szCs w:val="20"/>
        </w:rPr>
        <w:t>Utilisation of appropriately robust and repeatable methodologies to determine the significance of impacts.</w:t>
      </w:r>
    </w:p>
    <w:p w:rsidR="00056193" w:rsidRPr="00537B83" w:rsidRDefault="00056193" w:rsidP="00056193">
      <w:pPr>
        <w:pStyle w:val="ListNumber2"/>
        <w:spacing w:after="200" w:line="276" w:lineRule="auto"/>
        <w:rPr>
          <w:rFonts w:ascii="Arial" w:hAnsi="Arial" w:cs="Arial"/>
          <w:sz w:val="20"/>
          <w:szCs w:val="20"/>
        </w:rPr>
      </w:pPr>
      <w:r w:rsidRPr="00537B83">
        <w:rPr>
          <w:rFonts w:ascii="Arial" w:hAnsi="Arial" w:cs="Arial"/>
          <w:sz w:val="20"/>
          <w:szCs w:val="20"/>
        </w:rPr>
        <w:t>Determin</w:t>
      </w:r>
      <w:r w:rsidR="00153894" w:rsidRPr="00537B83">
        <w:rPr>
          <w:rFonts w:ascii="Arial" w:hAnsi="Arial" w:cs="Arial"/>
          <w:sz w:val="20"/>
          <w:szCs w:val="20"/>
        </w:rPr>
        <w:t>ation of</w:t>
      </w:r>
      <w:r w:rsidRPr="00537B83">
        <w:rPr>
          <w:rFonts w:ascii="Arial" w:hAnsi="Arial" w:cs="Arial"/>
          <w:sz w:val="20"/>
          <w:szCs w:val="20"/>
        </w:rPr>
        <w:t xml:space="preserve"> monitoring, mitigation and management measures to avoid or minimise and report on potential cumulative impacts.</w:t>
      </w:r>
    </w:p>
    <w:p w:rsidR="00B3051F" w:rsidRPr="00CF5929" w:rsidRDefault="00B3051F" w:rsidP="00B3051F">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rPr>
          <w:rFonts w:ascii="Arial" w:hAnsi="Arial" w:cs="Arial"/>
          <w:sz w:val="20"/>
          <w:szCs w:val="20"/>
        </w:rPr>
      </w:pPr>
      <w:r w:rsidRPr="00CF5929">
        <w:rPr>
          <w:rFonts w:ascii="Arial" w:hAnsi="Arial" w:cs="Arial"/>
          <w:sz w:val="20"/>
          <w:szCs w:val="20"/>
        </w:rPr>
        <w:t xml:space="preserve">Question </w:t>
      </w:r>
      <w:r>
        <w:rPr>
          <w:rFonts w:ascii="Arial" w:hAnsi="Arial" w:cs="Arial"/>
          <w:sz w:val="20"/>
          <w:szCs w:val="20"/>
        </w:rPr>
        <w:t>4</w:t>
      </w:r>
      <w:r w:rsidRPr="00CF5929">
        <w:rPr>
          <w:rFonts w:ascii="Arial" w:hAnsi="Arial" w:cs="Arial"/>
          <w:sz w:val="20"/>
          <w:szCs w:val="20"/>
        </w:rPr>
        <w:t>:</w:t>
      </w:r>
      <w:r w:rsidRPr="00B3051F">
        <w:rPr>
          <w:rFonts w:ascii="Arial" w:hAnsi="Arial" w:cs="Arial"/>
          <w:sz w:val="20"/>
          <w:szCs w:val="20"/>
        </w:rPr>
        <w:t xml:space="preserve"> </w:t>
      </w:r>
      <w:r w:rsidR="0065359E">
        <w:rPr>
          <w:rFonts w:ascii="Arial" w:hAnsi="Arial" w:cs="Arial"/>
          <w:sz w:val="20"/>
          <w:szCs w:val="20"/>
        </w:rPr>
        <w:t>Are additional measures and commitments required to mitigate and man</w:t>
      </w:r>
      <w:r w:rsidR="00BA5FA4">
        <w:rPr>
          <w:rFonts w:ascii="Arial" w:hAnsi="Arial" w:cs="Arial"/>
          <w:sz w:val="20"/>
          <w:szCs w:val="20"/>
        </w:rPr>
        <w:t>a</w:t>
      </w:r>
      <w:r w:rsidR="0065359E">
        <w:rPr>
          <w:rFonts w:ascii="Arial" w:hAnsi="Arial" w:cs="Arial"/>
          <w:sz w:val="20"/>
          <w:szCs w:val="20"/>
        </w:rPr>
        <w:t>ge impacts to water resources and water-related assets?</w:t>
      </w:r>
    </w:p>
    <w:p w:rsidR="005166F8" w:rsidRPr="00CF5929" w:rsidRDefault="005166F8" w:rsidP="005166F8">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Response</w:t>
      </w:r>
    </w:p>
    <w:p w:rsidR="005166F8" w:rsidRPr="00CF5929" w:rsidRDefault="004C0719" w:rsidP="005166F8">
      <w:pPr>
        <w:pStyle w:val="ListNumber"/>
        <w:spacing w:after="200" w:line="276" w:lineRule="auto"/>
        <w:rPr>
          <w:rFonts w:ascii="Arial" w:hAnsi="Arial" w:cs="Arial"/>
          <w:sz w:val="20"/>
          <w:szCs w:val="20"/>
        </w:rPr>
      </w:pPr>
      <w:r>
        <w:rPr>
          <w:rFonts w:ascii="Arial" w:hAnsi="Arial" w:cs="Arial"/>
          <w:sz w:val="20"/>
          <w:szCs w:val="20"/>
        </w:rPr>
        <w:t>Measures to mitigate and manage impacts that would support the proponent</w:t>
      </w:r>
      <w:r w:rsidR="00450B09">
        <w:rPr>
          <w:rFonts w:ascii="Arial" w:hAnsi="Arial" w:cs="Arial"/>
          <w:sz w:val="20"/>
          <w:szCs w:val="20"/>
        </w:rPr>
        <w:t>’</w:t>
      </w:r>
      <w:r>
        <w:rPr>
          <w:rFonts w:ascii="Arial" w:hAnsi="Arial" w:cs="Arial"/>
          <w:sz w:val="20"/>
          <w:szCs w:val="20"/>
        </w:rPr>
        <w:t>s existing commitments and the framework outlined in Question 2</w:t>
      </w:r>
      <w:r w:rsidR="00765419">
        <w:rPr>
          <w:rFonts w:ascii="Arial" w:hAnsi="Arial" w:cs="Arial"/>
          <w:sz w:val="20"/>
          <w:szCs w:val="20"/>
        </w:rPr>
        <w:t>, include</w:t>
      </w:r>
      <w:r w:rsidR="00BA5FA4">
        <w:rPr>
          <w:rFonts w:ascii="Arial" w:hAnsi="Arial" w:cs="Arial"/>
          <w:sz w:val="20"/>
          <w:szCs w:val="20"/>
        </w:rPr>
        <w:t>:</w:t>
      </w:r>
      <w:r w:rsidR="00765419">
        <w:rPr>
          <w:rFonts w:ascii="Arial" w:hAnsi="Arial" w:cs="Arial"/>
          <w:sz w:val="20"/>
          <w:szCs w:val="20"/>
        </w:rPr>
        <w:t xml:space="preserve"> </w:t>
      </w:r>
      <w:r w:rsidR="00687783">
        <w:rPr>
          <w:rFonts w:ascii="Arial" w:hAnsi="Arial" w:cs="Arial"/>
          <w:sz w:val="20"/>
          <w:szCs w:val="20"/>
        </w:rPr>
        <w:t>i</w:t>
      </w:r>
      <w:r w:rsidR="00765419">
        <w:rPr>
          <w:rFonts w:ascii="Arial" w:hAnsi="Arial" w:cs="Arial"/>
          <w:sz w:val="20"/>
          <w:szCs w:val="20"/>
        </w:rPr>
        <w:t xml:space="preserve">mproving the groundwater model’s geological conceptualisation, calibration, ability to predict </w:t>
      </w:r>
      <w:r w:rsidR="00687783">
        <w:rPr>
          <w:rFonts w:ascii="Arial" w:hAnsi="Arial" w:cs="Arial"/>
          <w:sz w:val="20"/>
          <w:szCs w:val="20"/>
        </w:rPr>
        <w:t xml:space="preserve">impacts to </w:t>
      </w:r>
      <w:r w:rsidR="00765419">
        <w:rPr>
          <w:rFonts w:ascii="Arial" w:hAnsi="Arial" w:cs="Arial"/>
          <w:sz w:val="20"/>
          <w:szCs w:val="20"/>
        </w:rPr>
        <w:t>seasonal variations and impacts caused by</w:t>
      </w:r>
      <w:r w:rsidR="00687783">
        <w:rPr>
          <w:rFonts w:ascii="Arial" w:hAnsi="Arial" w:cs="Arial"/>
          <w:sz w:val="20"/>
          <w:szCs w:val="20"/>
        </w:rPr>
        <w:t xml:space="preserve"> subsidence induced fracturing;</w:t>
      </w:r>
      <w:r w:rsidR="00712A46">
        <w:rPr>
          <w:rFonts w:ascii="Arial" w:hAnsi="Arial" w:cs="Arial"/>
          <w:sz w:val="20"/>
          <w:szCs w:val="20"/>
        </w:rPr>
        <w:t xml:space="preserve"> </w:t>
      </w:r>
      <w:r w:rsidR="00CA3B0C">
        <w:rPr>
          <w:rFonts w:ascii="Arial" w:hAnsi="Arial" w:cs="Arial"/>
          <w:sz w:val="20"/>
          <w:szCs w:val="20"/>
        </w:rPr>
        <w:t>identification of ecological assets; and providing an informed hydrological conceptualisation.</w:t>
      </w:r>
    </w:p>
    <w:p w:rsidR="005166F8" w:rsidRPr="00CF5929" w:rsidRDefault="005166F8" w:rsidP="005166F8">
      <w:pPr>
        <w:pStyle w:val="ListNumber"/>
        <w:numPr>
          <w:ilvl w:val="0"/>
          <w:numId w:val="0"/>
        </w:numPr>
        <w:spacing w:after="200" w:line="276" w:lineRule="auto"/>
        <w:ind w:left="369" w:hanging="369"/>
        <w:rPr>
          <w:rFonts w:ascii="Arial" w:hAnsi="Arial" w:cs="Arial"/>
          <w:sz w:val="20"/>
          <w:szCs w:val="20"/>
          <w:u w:val="single"/>
        </w:rPr>
      </w:pPr>
      <w:r w:rsidRPr="00CF5929">
        <w:rPr>
          <w:rFonts w:ascii="Arial" w:hAnsi="Arial" w:cs="Arial"/>
          <w:sz w:val="20"/>
          <w:szCs w:val="20"/>
          <w:u w:val="single"/>
        </w:rPr>
        <w:t>Explanation</w:t>
      </w:r>
    </w:p>
    <w:p w:rsidR="00FC58B7" w:rsidRPr="00FC58B7" w:rsidRDefault="00FC58B7" w:rsidP="00FC58B7">
      <w:pPr>
        <w:pStyle w:val="ListNumber"/>
        <w:numPr>
          <w:ilvl w:val="0"/>
          <w:numId w:val="0"/>
        </w:numPr>
        <w:spacing w:after="200" w:line="276" w:lineRule="auto"/>
        <w:ind w:left="369" w:hanging="369"/>
        <w:rPr>
          <w:rFonts w:ascii="Arial" w:hAnsi="Arial" w:cs="Arial"/>
          <w:i/>
          <w:sz w:val="20"/>
          <w:szCs w:val="20"/>
        </w:rPr>
      </w:pPr>
      <w:r w:rsidRPr="00FC58B7">
        <w:rPr>
          <w:rFonts w:ascii="Arial" w:hAnsi="Arial" w:cs="Arial"/>
          <w:i/>
          <w:sz w:val="20"/>
          <w:szCs w:val="20"/>
        </w:rPr>
        <w:t>Groundwater model</w:t>
      </w:r>
    </w:p>
    <w:p w:rsidR="005E7BB7" w:rsidRDefault="00285545" w:rsidP="00FC58B7">
      <w:pPr>
        <w:pStyle w:val="ListNumber"/>
        <w:spacing w:after="200" w:line="276" w:lineRule="auto"/>
        <w:rPr>
          <w:rFonts w:ascii="Arial" w:hAnsi="Arial" w:cs="Arial"/>
          <w:sz w:val="20"/>
          <w:szCs w:val="20"/>
        </w:rPr>
      </w:pPr>
      <w:r>
        <w:rPr>
          <w:rFonts w:ascii="Arial" w:hAnsi="Arial" w:cs="Arial"/>
          <w:sz w:val="20"/>
          <w:szCs w:val="20"/>
        </w:rPr>
        <w:t xml:space="preserve">Several uncertainties have been presented in </w:t>
      </w:r>
      <w:r w:rsidR="00450B09">
        <w:rPr>
          <w:rFonts w:ascii="Arial" w:hAnsi="Arial" w:cs="Arial"/>
          <w:sz w:val="20"/>
          <w:szCs w:val="20"/>
        </w:rPr>
        <w:t>paragraph</w:t>
      </w:r>
      <w:r w:rsidR="00BA5FA4">
        <w:rPr>
          <w:rFonts w:ascii="Arial" w:hAnsi="Arial" w:cs="Arial"/>
          <w:sz w:val="20"/>
          <w:szCs w:val="20"/>
        </w:rPr>
        <w:t>s</w:t>
      </w:r>
      <w:r>
        <w:rPr>
          <w:rFonts w:ascii="Arial" w:hAnsi="Arial" w:cs="Arial"/>
          <w:sz w:val="20"/>
          <w:szCs w:val="20"/>
        </w:rPr>
        <w:t xml:space="preserve"> one to</w:t>
      </w:r>
      <w:r w:rsidR="005E7BB7">
        <w:rPr>
          <w:rFonts w:ascii="Arial" w:hAnsi="Arial" w:cs="Arial"/>
          <w:sz w:val="20"/>
          <w:szCs w:val="20"/>
        </w:rPr>
        <w:t xml:space="preserve"> </w:t>
      </w:r>
      <w:r w:rsidR="00450B09">
        <w:rPr>
          <w:rFonts w:ascii="Arial" w:hAnsi="Arial" w:cs="Arial"/>
          <w:sz w:val="20"/>
          <w:szCs w:val="20"/>
        </w:rPr>
        <w:t>six (Question 1)</w:t>
      </w:r>
      <w:r w:rsidR="005E7BB7">
        <w:rPr>
          <w:rFonts w:ascii="Arial" w:hAnsi="Arial" w:cs="Arial"/>
          <w:sz w:val="20"/>
          <w:szCs w:val="20"/>
        </w:rPr>
        <w:t>,</w:t>
      </w:r>
      <w:r>
        <w:rPr>
          <w:rFonts w:ascii="Arial" w:hAnsi="Arial" w:cs="Arial"/>
          <w:sz w:val="20"/>
          <w:szCs w:val="20"/>
        </w:rPr>
        <w:t xml:space="preserve"> which reduce confidence in the groundwater model</w:t>
      </w:r>
      <w:r w:rsidR="00D07873">
        <w:rPr>
          <w:rFonts w:ascii="Arial" w:hAnsi="Arial" w:cs="Arial"/>
          <w:sz w:val="20"/>
          <w:szCs w:val="20"/>
        </w:rPr>
        <w:t>’s</w:t>
      </w:r>
      <w:r>
        <w:rPr>
          <w:rFonts w:ascii="Arial" w:hAnsi="Arial" w:cs="Arial"/>
          <w:sz w:val="20"/>
          <w:szCs w:val="20"/>
        </w:rPr>
        <w:t xml:space="preserve"> prediction of impacts to groundwater</w:t>
      </w:r>
      <w:r w:rsidR="005E7BB7">
        <w:rPr>
          <w:rFonts w:ascii="Arial" w:hAnsi="Arial" w:cs="Arial"/>
          <w:sz w:val="20"/>
          <w:szCs w:val="20"/>
        </w:rPr>
        <w:t xml:space="preserve"> resources. The following measures would aid in</w:t>
      </w:r>
      <w:r>
        <w:rPr>
          <w:rFonts w:ascii="Arial" w:hAnsi="Arial" w:cs="Arial"/>
          <w:sz w:val="20"/>
          <w:szCs w:val="20"/>
        </w:rPr>
        <w:t xml:space="preserve"> address</w:t>
      </w:r>
      <w:r w:rsidR="005E7BB7">
        <w:rPr>
          <w:rFonts w:ascii="Arial" w:hAnsi="Arial" w:cs="Arial"/>
          <w:sz w:val="20"/>
          <w:szCs w:val="20"/>
        </w:rPr>
        <w:t>ing</w:t>
      </w:r>
      <w:r>
        <w:rPr>
          <w:rFonts w:ascii="Arial" w:hAnsi="Arial" w:cs="Arial"/>
          <w:sz w:val="20"/>
          <w:szCs w:val="20"/>
        </w:rPr>
        <w:t xml:space="preserve"> the</w:t>
      </w:r>
      <w:r w:rsidR="005E7BB7">
        <w:rPr>
          <w:rFonts w:ascii="Arial" w:hAnsi="Arial" w:cs="Arial"/>
          <w:sz w:val="20"/>
          <w:szCs w:val="20"/>
        </w:rPr>
        <w:t>se uncertainties and improve confidence with the model predictions:</w:t>
      </w:r>
    </w:p>
    <w:p w:rsidR="0065341F" w:rsidRDefault="00450B09" w:rsidP="00781332">
      <w:pPr>
        <w:pStyle w:val="ListNumber2"/>
        <w:spacing w:after="200" w:line="276" w:lineRule="auto"/>
        <w:rPr>
          <w:rFonts w:ascii="Arial" w:hAnsi="Arial" w:cs="Arial"/>
          <w:sz w:val="20"/>
          <w:szCs w:val="20"/>
        </w:rPr>
      </w:pPr>
      <w:r>
        <w:rPr>
          <w:rFonts w:ascii="Arial" w:hAnsi="Arial" w:cs="Arial"/>
          <w:sz w:val="20"/>
          <w:szCs w:val="20"/>
        </w:rPr>
        <w:t>Evidence</w:t>
      </w:r>
      <w:r w:rsidR="006D7EEA" w:rsidRPr="006D7EEA">
        <w:rPr>
          <w:rFonts w:ascii="Arial" w:hAnsi="Arial" w:cs="Arial"/>
          <w:sz w:val="20"/>
          <w:szCs w:val="20"/>
        </w:rPr>
        <w:t xml:space="preserve"> to support the proponent’s approach to modelling </w:t>
      </w:r>
      <w:r w:rsidR="006D7EEA">
        <w:rPr>
          <w:rFonts w:ascii="Arial" w:hAnsi="Arial" w:cs="Arial"/>
          <w:sz w:val="20"/>
          <w:szCs w:val="20"/>
        </w:rPr>
        <w:t xml:space="preserve">large basin scale </w:t>
      </w:r>
      <w:r w:rsidR="006D7EEA" w:rsidRPr="006D7EEA">
        <w:rPr>
          <w:rFonts w:ascii="Arial" w:hAnsi="Arial" w:cs="Arial"/>
          <w:sz w:val="20"/>
          <w:szCs w:val="20"/>
        </w:rPr>
        <w:t xml:space="preserve">faults by </w:t>
      </w:r>
      <w:r w:rsidR="006D7EEA">
        <w:rPr>
          <w:rFonts w:ascii="Arial" w:hAnsi="Arial" w:cs="Arial"/>
          <w:sz w:val="20"/>
          <w:szCs w:val="20"/>
        </w:rPr>
        <w:t>“</w:t>
      </w:r>
      <w:r w:rsidR="006D7EEA" w:rsidRPr="006D7EEA">
        <w:rPr>
          <w:rFonts w:ascii="Arial" w:hAnsi="Arial" w:cs="Arial"/>
          <w:sz w:val="20"/>
          <w:szCs w:val="20"/>
        </w:rPr>
        <w:t>turning off</w:t>
      </w:r>
      <w:r w:rsidR="006D7EEA">
        <w:rPr>
          <w:rFonts w:ascii="Arial" w:hAnsi="Arial" w:cs="Arial"/>
          <w:sz w:val="20"/>
          <w:szCs w:val="20"/>
        </w:rPr>
        <w:t>”</w:t>
      </w:r>
      <w:r w:rsidR="006D7EEA" w:rsidRPr="006D7EEA">
        <w:rPr>
          <w:rFonts w:ascii="Arial" w:hAnsi="Arial" w:cs="Arial"/>
          <w:sz w:val="20"/>
          <w:szCs w:val="20"/>
        </w:rPr>
        <w:t xml:space="preserve"> cells on</w:t>
      </w:r>
      <w:r w:rsidR="00687783">
        <w:rPr>
          <w:rFonts w:ascii="Arial" w:hAnsi="Arial" w:cs="Arial"/>
          <w:sz w:val="20"/>
          <w:szCs w:val="20"/>
        </w:rPr>
        <w:t xml:space="preserve"> the</w:t>
      </w:r>
      <w:r w:rsidR="006D7EEA" w:rsidRPr="006D7EEA">
        <w:rPr>
          <w:rFonts w:ascii="Arial" w:hAnsi="Arial" w:cs="Arial"/>
          <w:sz w:val="20"/>
          <w:szCs w:val="20"/>
        </w:rPr>
        <w:t xml:space="preserve"> far side (relative to the </w:t>
      </w:r>
      <w:r w:rsidR="00687783">
        <w:rPr>
          <w:rFonts w:ascii="Arial" w:hAnsi="Arial" w:cs="Arial"/>
          <w:sz w:val="20"/>
          <w:szCs w:val="20"/>
        </w:rPr>
        <w:t>project area) of faults</w:t>
      </w:r>
      <w:r w:rsidR="006D7EEA" w:rsidRPr="006D7EEA">
        <w:rPr>
          <w:rFonts w:ascii="Arial" w:hAnsi="Arial" w:cs="Arial"/>
          <w:sz w:val="20"/>
          <w:szCs w:val="20"/>
        </w:rPr>
        <w:t xml:space="preserve">. </w:t>
      </w:r>
      <w:r w:rsidR="00FA6208">
        <w:rPr>
          <w:rFonts w:ascii="Arial" w:hAnsi="Arial" w:cs="Arial"/>
          <w:sz w:val="20"/>
          <w:szCs w:val="20"/>
        </w:rPr>
        <w:t xml:space="preserve">Evidence to support </w:t>
      </w:r>
      <w:r w:rsidR="00687783">
        <w:rPr>
          <w:rFonts w:ascii="Arial" w:hAnsi="Arial" w:cs="Arial"/>
          <w:sz w:val="20"/>
          <w:szCs w:val="20"/>
        </w:rPr>
        <w:t>this</w:t>
      </w:r>
      <w:r w:rsidR="00FA6208">
        <w:rPr>
          <w:rFonts w:ascii="Arial" w:hAnsi="Arial" w:cs="Arial"/>
          <w:sz w:val="20"/>
          <w:szCs w:val="20"/>
        </w:rPr>
        <w:t xml:space="preserve"> groundwater model</w:t>
      </w:r>
      <w:r w:rsidR="00687783">
        <w:rPr>
          <w:rFonts w:ascii="Arial" w:hAnsi="Arial" w:cs="Arial"/>
          <w:sz w:val="20"/>
          <w:szCs w:val="20"/>
        </w:rPr>
        <w:t>ling</w:t>
      </w:r>
      <w:r w:rsidR="00FA6208">
        <w:rPr>
          <w:rFonts w:ascii="Arial" w:hAnsi="Arial" w:cs="Arial"/>
          <w:sz w:val="20"/>
          <w:szCs w:val="20"/>
        </w:rPr>
        <w:t xml:space="preserve"> approach would </w:t>
      </w:r>
      <w:r w:rsidR="00215B9B">
        <w:rPr>
          <w:rFonts w:ascii="Arial" w:hAnsi="Arial" w:cs="Arial"/>
          <w:sz w:val="20"/>
          <w:szCs w:val="20"/>
        </w:rPr>
        <w:t>include:</w:t>
      </w:r>
    </w:p>
    <w:p w:rsidR="00215B9B" w:rsidRDefault="00215B9B" w:rsidP="00FA6208">
      <w:pPr>
        <w:pStyle w:val="ListNumber3"/>
        <w:spacing w:after="200" w:line="276" w:lineRule="auto"/>
        <w:ind w:left="1106"/>
        <w:rPr>
          <w:rFonts w:ascii="Arial" w:hAnsi="Arial" w:cs="Arial"/>
          <w:sz w:val="20"/>
          <w:szCs w:val="20"/>
        </w:rPr>
      </w:pPr>
      <w:r>
        <w:rPr>
          <w:rFonts w:ascii="Arial" w:hAnsi="Arial" w:cs="Arial"/>
          <w:sz w:val="20"/>
          <w:szCs w:val="20"/>
        </w:rPr>
        <w:t>A geological conceptualisation that identifies groundwater flow</w:t>
      </w:r>
      <w:r w:rsidR="00687783">
        <w:rPr>
          <w:rFonts w:ascii="Arial" w:hAnsi="Arial" w:cs="Arial"/>
          <w:sz w:val="20"/>
          <w:szCs w:val="20"/>
        </w:rPr>
        <w:t>, connectivity,</w:t>
      </w:r>
      <w:r>
        <w:rPr>
          <w:rFonts w:ascii="Arial" w:hAnsi="Arial" w:cs="Arial"/>
          <w:sz w:val="20"/>
          <w:szCs w:val="20"/>
        </w:rPr>
        <w:t xml:space="preserve"> and </w:t>
      </w:r>
      <w:r w:rsidR="003A4B47">
        <w:rPr>
          <w:rFonts w:ascii="Arial" w:hAnsi="Arial" w:cs="Arial"/>
          <w:sz w:val="20"/>
          <w:szCs w:val="20"/>
        </w:rPr>
        <w:t>key geological structures in an east to west direction.</w:t>
      </w:r>
    </w:p>
    <w:p w:rsidR="00215B9B" w:rsidRDefault="00215B9B" w:rsidP="00FA6208">
      <w:pPr>
        <w:pStyle w:val="ListNumber3"/>
        <w:spacing w:after="200" w:line="276" w:lineRule="auto"/>
        <w:ind w:left="1106"/>
        <w:rPr>
          <w:rFonts w:ascii="Arial" w:hAnsi="Arial" w:cs="Arial"/>
          <w:sz w:val="20"/>
          <w:szCs w:val="20"/>
        </w:rPr>
      </w:pPr>
      <w:r w:rsidRPr="00215B9B">
        <w:rPr>
          <w:rFonts w:ascii="Arial" w:hAnsi="Arial" w:cs="Arial"/>
          <w:sz w:val="20"/>
          <w:szCs w:val="20"/>
        </w:rPr>
        <w:t>Groundwater and hydrogeological data from eit</w:t>
      </w:r>
      <w:r>
        <w:rPr>
          <w:rFonts w:ascii="Arial" w:hAnsi="Arial" w:cs="Arial"/>
          <w:sz w:val="20"/>
          <w:szCs w:val="20"/>
        </w:rPr>
        <w:t>her side of the</w:t>
      </w:r>
      <w:r w:rsidRPr="00215B9B">
        <w:rPr>
          <w:rFonts w:ascii="Arial" w:hAnsi="Arial" w:cs="Arial"/>
          <w:sz w:val="20"/>
          <w:szCs w:val="20"/>
        </w:rPr>
        <w:t xml:space="preserve"> faults</w:t>
      </w:r>
      <w:r w:rsidR="00FA6208">
        <w:rPr>
          <w:rFonts w:ascii="Arial" w:hAnsi="Arial" w:cs="Arial"/>
          <w:sz w:val="20"/>
          <w:szCs w:val="20"/>
        </w:rPr>
        <w:t xml:space="preserve">, including water table depth </w:t>
      </w:r>
      <w:r w:rsidR="003A4B47">
        <w:rPr>
          <w:rFonts w:ascii="Arial" w:hAnsi="Arial" w:cs="Arial"/>
          <w:sz w:val="20"/>
          <w:szCs w:val="20"/>
        </w:rPr>
        <w:t>and groundwater head for hydrogeological units.</w:t>
      </w:r>
    </w:p>
    <w:p w:rsidR="00FB6E87" w:rsidRPr="00FB6E87" w:rsidRDefault="00FB6E87" w:rsidP="00FB6E87">
      <w:pPr>
        <w:pStyle w:val="ListNumber3"/>
        <w:spacing w:after="200" w:line="276" w:lineRule="auto"/>
        <w:ind w:left="1106"/>
        <w:rPr>
          <w:rFonts w:ascii="Arial" w:hAnsi="Arial" w:cs="Arial"/>
          <w:sz w:val="20"/>
          <w:szCs w:val="20"/>
        </w:rPr>
      </w:pPr>
      <w:r>
        <w:rPr>
          <w:rFonts w:ascii="Arial" w:hAnsi="Arial" w:cs="Arial"/>
          <w:sz w:val="20"/>
          <w:szCs w:val="20"/>
        </w:rPr>
        <w:t>Evidence from comparable fault zones that have been analysed, to explain the assumptions made in representing the influence of faults within the numerical groundwater model.</w:t>
      </w:r>
    </w:p>
    <w:p w:rsidR="00215B9B" w:rsidRDefault="00215B9B" w:rsidP="00FA6208">
      <w:pPr>
        <w:pStyle w:val="ListNumber3"/>
        <w:spacing w:after="200" w:line="276" w:lineRule="auto"/>
        <w:ind w:left="1106"/>
        <w:rPr>
          <w:rFonts w:ascii="Arial" w:hAnsi="Arial" w:cs="Arial"/>
          <w:sz w:val="20"/>
          <w:szCs w:val="20"/>
        </w:rPr>
      </w:pPr>
      <w:r>
        <w:rPr>
          <w:rFonts w:ascii="Arial" w:hAnsi="Arial" w:cs="Arial"/>
          <w:sz w:val="20"/>
          <w:szCs w:val="20"/>
        </w:rPr>
        <w:t xml:space="preserve">A full description of </w:t>
      </w:r>
      <w:r w:rsidR="00FA6208">
        <w:rPr>
          <w:rFonts w:ascii="Arial" w:hAnsi="Arial" w:cs="Arial"/>
          <w:sz w:val="20"/>
          <w:szCs w:val="20"/>
        </w:rPr>
        <w:t xml:space="preserve">flow boundaries, and </w:t>
      </w:r>
      <w:r>
        <w:rPr>
          <w:rFonts w:ascii="Arial" w:hAnsi="Arial" w:cs="Arial"/>
          <w:sz w:val="20"/>
          <w:szCs w:val="20"/>
        </w:rPr>
        <w:t>boundary conditions used to parameterise faults</w:t>
      </w:r>
      <w:r w:rsidR="00FA6208">
        <w:rPr>
          <w:rFonts w:ascii="Arial" w:hAnsi="Arial" w:cs="Arial"/>
          <w:sz w:val="20"/>
          <w:szCs w:val="20"/>
        </w:rPr>
        <w:t xml:space="preserve">, </w:t>
      </w:r>
      <w:r>
        <w:rPr>
          <w:rFonts w:ascii="Arial" w:hAnsi="Arial" w:cs="Arial"/>
          <w:sz w:val="20"/>
          <w:szCs w:val="20"/>
        </w:rPr>
        <w:t>within the groundwater model</w:t>
      </w:r>
      <w:r w:rsidR="003A4B47">
        <w:rPr>
          <w:rFonts w:ascii="Arial" w:hAnsi="Arial" w:cs="Arial"/>
          <w:sz w:val="20"/>
          <w:szCs w:val="20"/>
        </w:rPr>
        <w:t>.</w:t>
      </w:r>
    </w:p>
    <w:p w:rsidR="003A4B47" w:rsidRDefault="003A4B47" w:rsidP="00FA6208">
      <w:pPr>
        <w:pStyle w:val="ListNumber3"/>
        <w:spacing w:after="200" w:line="276" w:lineRule="auto"/>
        <w:ind w:left="1106"/>
        <w:rPr>
          <w:rFonts w:ascii="Arial" w:hAnsi="Arial" w:cs="Arial"/>
          <w:sz w:val="20"/>
          <w:szCs w:val="20"/>
        </w:rPr>
      </w:pPr>
      <w:r>
        <w:rPr>
          <w:rFonts w:ascii="Arial" w:hAnsi="Arial" w:cs="Arial"/>
          <w:sz w:val="20"/>
          <w:szCs w:val="20"/>
        </w:rPr>
        <w:t>Sensitivity of the model to variations in fault representation.</w:t>
      </w:r>
    </w:p>
    <w:p w:rsidR="00215B9B" w:rsidRDefault="003A4B47" w:rsidP="00FA6208">
      <w:pPr>
        <w:pStyle w:val="ListNumber3"/>
        <w:spacing w:after="200" w:line="276" w:lineRule="auto"/>
        <w:ind w:left="1106"/>
        <w:rPr>
          <w:rFonts w:ascii="Arial" w:hAnsi="Arial" w:cs="Arial"/>
          <w:sz w:val="20"/>
          <w:szCs w:val="20"/>
        </w:rPr>
      </w:pPr>
      <w:r>
        <w:rPr>
          <w:rFonts w:ascii="Arial" w:hAnsi="Arial" w:cs="Arial"/>
          <w:sz w:val="20"/>
          <w:szCs w:val="20"/>
        </w:rPr>
        <w:t>Peer review of the model construction and geological conceptualisation.</w:t>
      </w:r>
    </w:p>
    <w:p w:rsidR="00FA6208" w:rsidRDefault="00C10A02" w:rsidP="00FA6208">
      <w:pPr>
        <w:pStyle w:val="ListNumber2"/>
        <w:spacing w:after="200" w:line="276" w:lineRule="auto"/>
        <w:rPr>
          <w:rFonts w:ascii="Arial" w:hAnsi="Arial" w:cs="Arial"/>
          <w:sz w:val="20"/>
          <w:szCs w:val="20"/>
        </w:rPr>
      </w:pPr>
      <w:r>
        <w:rPr>
          <w:rFonts w:ascii="Arial" w:hAnsi="Arial" w:cs="Arial"/>
          <w:sz w:val="20"/>
          <w:szCs w:val="20"/>
        </w:rPr>
        <w:t>Further field measurements of hydraulic conductivity within the target coal seams. These would be beneficial calibration targets for future versions of the model, given h</w:t>
      </w:r>
      <w:r w:rsidR="00FA6208" w:rsidRPr="0015012D">
        <w:rPr>
          <w:rFonts w:ascii="Arial" w:hAnsi="Arial" w:cs="Arial"/>
          <w:sz w:val="20"/>
          <w:szCs w:val="20"/>
        </w:rPr>
        <w:t xml:space="preserve">ydraulic conductivity </w:t>
      </w:r>
      <w:r w:rsidR="0015012D" w:rsidRPr="0015012D">
        <w:rPr>
          <w:rFonts w:ascii="Arial" w:hAnsi="Arial" w:cs="Arial"/>
          <w:sz w:val="20"/>
          <w:szCs w:val="20"/>
        </w:rPr>
        <w:t xml:space="preserve">for the coal seams was estimated using </w:t>
      </w:r>
      <w:r>
        <w:rPr>
          <w:rFonts w:ascii="Arial" w:hAnsi="Arial" w:cs="Arial"/>
          <w:sz w:val="20"/>
          <w:szCs w:val="20"/>
        </w:rPr>
        <w:t xml:space="preserve">only </w:t>
      </w:r>
      <w:r w:rsidR="0015012D" w:rsidRPr="0015012D">
        <w:rPr>
          <w:rFonts w:ascii="Arial" w:hAnsi="Arial" w:cs="Arial"/>
          <w:sz w:val="20"/>
          <w:szCs w:val="20"/>
        </w:rPr>
        <w:t>three permeability tests (one from the A seam and two from the B seam).</w:t>
      </w:r>
      <w:r w:rsidR="0015012D">
        <w:rPr>
          <w:rFonts w:ascii="Arial" w:hAnsi="Arial" w:cs="Arial"/>
          <w:sz w:val="20"/>
          <w:szCs w:val="20"/>
        </w:rPr>
        <w:t xml:space="preserve"> </w:t>
      </w:r>
    </w:p>
    <w:p w:rsidR="00025C5E" w:rsidRDefault="00B53BD2" w:rsidP="00FA6208">
      <w:pPr>
        <w:pStyle w:val="ListNumber2"/>
        <w:spacing w:after="200" w:line="276" w:lineRule="auto"/>
        <w:rPr>
          <w:rFonts w:ascii="Arial" w:hAnsi="Arial" w:cs="Arial"/>
          <w:sz w:val="20"/>
          <w:szCs w:val="20"/>
        </w:rPr>
      </w:pPr>
      <w:r>
        <w:rPr>
          <w:rFonts w:ascii="Arial" w:hAnsi="Arial" w:cs="Arial"/>
          <w:sz w:val="20"/>
          <w:szCs w:val="20"/>
        </w:rPr>
        <w:t>Ongoing transient calibration of the groundwater model</w:t>
      </w:r>
      <w:r w:rsidR="003B7682">
        <w:rPr>
          <w:rFonts w:ascii="Arial" w:hAnsi="Arial" w:cs="Arial"/>
          <w:sz w:val="20"/>
          <w:szCs w:val="20"/>
        </w:rPr>
        <w:t>,</w:t>
      </w:r>
      <w:r>
        <w:rPr>
          <w:rFonts w:ascii="Arial" w:hAnsi="Arial" w:cs="Arial"/>
          <w:sz w:val="20"/>
          <w:szCs w:val="20"/>
        </w:rPr>
        <w:t xml:space="preserve"> utilising seasonal groundwater data </w:t>
      </w:r>
      <w:r w:rsidR="003B7682">
        <w:rPr>
          <w:rFonts w:ascii="Arial" w:hAnsi="Arial" w:cs="Arial"/>
          <w:sz w:val="20"/>
          <w:szCs w:val="20"/>
        </w:rPr>
        <w:t xml:space="preserve">gathered </w:t>
      </w:r>
      <w:r>
        <w:rPr>
          <w:rFonts w:ascii="Arial" w:hAnsi="Arial" w:cs="Arial"/>
          <w:sz w:val="20"/>
          <w:szCs w:val="20"/>
        </w:rPr>
        <w:t>from recently installed monitoring bores</w:t>
      </w:r>
      <w:r w:rsidR="00C10A02">
        <w:rPr>
          <w:rFonts w:ascii="Arial" w:hAnsi="Arial" w:cs="Arial"/>
          <w:sz w:val="20"/>
          <w:szCs w:val="20"/>
        </w:rPr>
        <w:t>. This</w:t>
      </w:r>
      <w:r>
        <w:rPr>
          <w:rFonts w:ascii="Arial" w:hAnsi="Arial" w:cs="Arial"/>
          <w:sz w:val="20"/>
          <w:szCs w:val="20"/>
        </w:rPr>
        <w:t xml:space="preserve"> is needed to enable the </w:t>
      </w:r>
      <w:r w:rsidR="003B7682">
        <w:rPr>
          <w:rFonts w:ascii="Arial" w:hAnsi="Arial" w:cs="Arial"/>
          <w:sz w:val="20"/>
          <w:szCs w:val="20"/>
        </w:rPr>
        <w:t xml:space="preserve">model to predict impacts to, and variations in, seasonal groundwater levels and baseflows to surface water systems. Following commencement of mining, groundwater </w:t>
      </w:r>
      <w:r w:rsidR="00687783">
        <w:rPr>
          <w:rFonts w:ascii="Arial" w:hAnsi="Arial" w:cs="Arial"/>
          <w:sz w:val="20"/>
          <w:szCs w:val="20"/>
        </w:rPr>
        <w:t xml:space="preserve">mine </w:t>
      </w:r>
      <w:r w:rsidR="003B7682">
        <w:rPr>
          <w:rFonts w:ascii="Arial" w:hAnsi="Arial" w:cs="Arial"/>
          <w:sz w:val="20"/>
          <w:szCs w:val="20"/>
        </w:rPr>
        <w:t xml:space="preserve">inflow monitoring data </w:t>
      </w:r>
      <w:r w:rsidR="00BA5FA4">
        <w:rPr>
          <w:rFonts w:ascii="Arial" w:hAnsi="Arial" w:cs="Arial"/>
          <w:sz w:val="20"/>
          <w:szCs w:val="20"/>
        </w:rPr>
        <w:t>could be used as a</w:t>
      </w:r>
      <w:r w:rsidR="003B7682">
        <w:rPr>
          <w:rFonts w:ascii="Arial" w:hAnsi="Arial" w:cs="Arial"/>
          <w:sz w:val="20"/>
          <w:szCs w:val="20"/>
        </w:rPr>
        <w:t xml:space="preserve"> transient calibration target.</w:t>
      </w:r>
    </w:p>
    <w:p w:rsidR="00755AD8" w:rsidRDefault="00755AD8" w:rsidP="00FA6208">
      <w:pPr>
        <w:pStyle w:val="ListNumber2"/>
        <w:spacing w:after="200" w:line="276" w:lineRule="auto"/>
        <w:rPr>
          <w:rFonts w:ascii="Arial" w:hAnsi="Arial" w:cs="Arial"/>
          <w:sz w:val="20"/>
          <w:szCs w:val="20"/>
        </w:rPr>
      </w:pPr>
      <w:r>
        <w:rPr>
          <w:rFonts w:ascii="Arial" w:hAnsi="Arial" w:cs="Arial"/>
          <w:sz w:val="20"/>
          <w:szCs w:val="20"/>
        </w:rPr>
        <w:t>Improved resolution of river cells would provide</w:t>
      </w:r>
      <w:r w:rsidR="00481927">
        <w:rPr>
          <w:rFonts w:ascii="Arial" w:hAnsi="Arial" w:cs="Arial"/>
          <w:sz w:val="20"/>
          <w:szCs w:val="20"/>
        </w:rPr>
        <w:t xml:space="preserve"> finer scale impact predictions, therefore aiding the assessment of potential impacts to individual GDEs and springs. </w:t>
      </w:r>
    </w:p>
    <w:p w:rsidR="0015012D" w:rsidRPr="0015012D" w:rsidRDefault="006C36A3" w:rsidP="00FA6208">
      <w:pPr>
        <w:pStyle w:val="ListNumber2"/>
        <w:spacing w:after="200" w:line="276" w:lineRule="auto"/>
        <w:rPr>
          <w:rFonts w:ascii="Arial" w:hAnsi="Arial" w:cs="Arial"/>
          <w:sz w:val="20"/>
          <w:szCs w:val="20"/>
        </w:rPr>
      </w:pPr>
      <w:r>
        <w:rPr>
          <w:rFonts w:ascii="Arial" w:hAnsi="Arial" w:cs="Arial"/>
          <w:sz w:val="20"/>
          <w:szCs w:val="20"/>
        </w:rPr>
        <w:t xml:space="preserve">A variety of potential subsidence induced fracturing scenarios </w:t>
      </w:r>
      <w:r w:rsidR="00687783">
        <w:rPr>
          <w:rFonts w:ascii="Arial" w:hAnsi="Arial" w:cs="Arial"/>
          <w:sz w:val="20"/>
          <w:szCs w:val="20"/>
        </w:rPr>
        <w:t>and parameter</w:t>
      </w:r>
      <w:r w:rsidR="00C10A02">
        <w:rPr>
          <w:rFonts w:ascii="Arial" w:hAnsi="Arial" w:cs="Arial"/>
          <w:sz w:val="20"/>
          <w:szCs w:val="20"/>
        </w:rPr>
        <w:t>s</w:t>
      </w:r>
      <w:r w:rsidR="00687783">
        <w:rPr>
          <w:rFonts w:ascii="Arial" w:hAnsi="Arial" w:cs="Arial"/>
          <w:sz w:val="20"/>
          <w:szCs w:val="20"/>
        </w:rPr>
        <w:t xml:space="preserve"> </w:t>
      </w:r>
      <w:r>
        <w:rPr>
          <w:rFonts w:ascii="Arial" w:hAnsi="Arial" w:cs="Arial"/>
          <w:sz w:val="20"/>
          <w:szCs w:val="20"/>
        </w:rPr>
        <w:t xml:space="preserve">should be considered for the layers above </w:t>
      </w:r>
      <w:r w:rsidR="002243C4">
        <w:rPr>
          <w:rFonts w:ascii="Arial" w:hAnsi="Arial" w:cs="Arial"/>
          <w:sz w:val="20"/>
          <w:szCs w:val="20"/>
        </w:rPr>
        <w:t>longwall panels. These scenarios should be supported by e</w:t>
      </w:r>
      <w:r>
        <w:rPr>
          <w:rFonts w:ascii="Arial" w:hAnsi="Arial" w:cs="Arial"/>
          <w:sz w:val="20"/>
          <w:szCs w:val="20"/>
        </w:rPr>
        <w:t xml:space="preserve">vidence </w:t>
      </w:r>
      <w:r w:rsidR="002243C4">
        <w:rPr>
          <w:rFonts w:ascii="Arial" w:hAnsi="Arial" w:cs="Arial"/>
          <w:sz w:val="20"/>
          <w:szCs w:val="20"/>
        </w:rPr>
        <w:t xml:space="preserve">and an assessment </w:t>
      </w:r>
      <w:r w:rsidR="00687783">
        <w:rPr>
          <w:rFonts w:ascii="Arial" w:hAnsi="Arial" w:cs="Arial"/>
          <w:sz w:val="20"/>
          <w:szCs w:val="20"/>
        </w:rPr>
        <w:t xml:space="preserve">provided </w:t>
      </w:r>
      <w:r w:rsidR="002243C4">
        <w:rPr>
          <w:rFonts w:ascii="Arial" w:hAnsi="Arial" w:cs="Arial"/>
          <w:sz w:val="20"/>
          <w:szCs w:val="20"/>
        </w:rPr>
        <w:t>of the resulting changes to recharge, mine inflows and river baseflows.</w:t>
      </w:r>
    </w:p>
    <w:p w:rsidR="006C36A3" w:rsidRPr="00FC58B7" w:rsidRDefault="00D9027A" w:rsidP="006C36A3">
      <w:pPr>
        <w:pStyle w:val="ListNumber"/>
        <w:numPr>
          <w:ilvl w:val="0"/>
          <w:numId w:val="0"/>
        </w:numPr>
        <w:spacing w:after="200" w:line="276" w:lineRule="auto"/>
        <w:rPr>
          <w:rFonts w:ascii="Arial" w:hAnsi="Arial" w:cs="Arial"/>
          <w:i/>
          <w:sz w:val="20"/>
          <w:szCs w:val="20"/>
        </w:rPr>
      </w:pPr>
      <w:r>
        <w:rPr>
          <w:rFonts w:ascii="Arial" w:hAnsi="Arial" w:cs="Arial"/>
          <w:i/>
          <w:sz w:val="20"/>
          <w:szCs w:val="20"/>
        </w:rPr>
        <w:t>Water</w:t>
      </w:r>
      <w:r w:rsidR="006C36A3" w:rsidRPr="00FC58B7">
        <w:rPr>
          <w:rFonts w:ascii="Arial" w:hAnsi="Arial" w:cs="Arial"/>
          <w:i/>
          <w:sz w:val="20"/>
          <w:szCs w:val="20"/>
        </w:rPr>
        <w:t xml:space="preserve"> related </w:t>
      </w:r>
      <w:r>
        <w:rPr>
          <w:rFonts w:ascii="Arial" w:hAnsi="Arial" w:cs="Arial"/>
          <w:i/>
          <w:sz w:val="20"/>
          <w:szCs w:val="20"/>
        </w:rPr>
        <w:t xml:space="preserve">ecological </w:t>
      </w:r>
      <w:r w:rsidR="006C36A3" w:rsidRPr="00FC58B7">
        <w:rPr>
          <w:rFonts w:ascii="Arial" w:hAnsi="Arial" w:cs="Arial"/>
          <w:i/>
          <w:sz w:val="20"/>
          <w:szCs w:val="20"/>
        </w:rPr>
        <w:t>assets</w:t>
      </w:r>
    </w:p>
    <w:p w:rsidR="00C10A02" w:rsidRDefault="00C10A02" w:rsidP="00C10A02">
      <w:pPr>
        <w:pStyle w:val="ListNumber"/>
        <w:spacing w:after="200" w:line="276" w:lineRule="auto"/>
        <w:rPr>
          <w:rFonts w:ascii="Arial" w:hAnsi="Arial" w:cs="Arial"/>
          <w:sz w:val="20"/>
          <w:szCs w:val="20"/>
        </w:rPr>
      </w:pPr>
      <w:r w:rsidRPr="000B4AF2">
        <w:rPr>
          <w:rFonts w:ascii="Arial" w:hAnsi="Arial" w:cs="Arial"/>
          <w:sz w:val="20"/>
          <w:szCs w:val="20"/>
        </w:rPr>
        <w:t xml:space="preserve">The use of groundwater by riparian vegetation </w:t>
      </w:r>
      <w:r>
        <w:rPr>
          <w:rFonts w:ascii="Arial" w:hAnsi="Arial" w:cs="Arial"/>
          <w:sz w:val="20"/>
          <w:szCs w:val="20"/>
        </w:rPr>
        <w:t>should</w:t>
      </w:r>
      <w:r w:rsidRPr="000B4AF2">
        <w:rPr>
          <w:rFonts w:ascii="Arial" w:hAnsi="Arial" w:cs="Arial"/>
          <w:sz w:val="20"/>
          <w:szCs w:val="20"/>
        </w:rPr>
        <w:t xml:space="preserve"> be evaluated using techniques from the Australian Groundwater Dependent Ecosystem </w:t>
      </w:r>
      <w:r w:rsidRPr="00113998">
        <w:rPr>
          <w:rFonts w:ascii="Arial" w:hAnsi="Arial" w:cs="Arial"/>
          <w:sz w:val="20"/>
          <w:szCs w:val="20"/>
        </w:rPr>
        <w:t>Toolbox (AGDET)</w:t>
      </w:r>
      <w:r>
        <w:rPr>
          <w:rFonts w:ascii="Arial" w:hAnsi="Arial" w:cs="Arial"/>
          <w:sz w:val="20"/>
          <w:szCs w:val="20"/>
          <w:vertAlign w:val="superscript"/>
        </w:rPr>
        <w:t>5</w:t>
      </w:r>
      <w:r>
        <w:rPr>
          <w:rFonts w:ascii="Arial" w:hAnsi="Arial" w:cs="Arial"/>
          <w:sz w:val="20"/>
          <w:szCs w:val="20"/>
        </w:rPr>
        <w:t>. Use of the AGDET would allow an improved</w:t>
      </w:r>
      <w:r w:rsidRPr="000B4AF2">
        <w:rPr>
          <w:rFonts w:ascii="Arial" w:hAnsi="Arial" w:cs="Arial"/>
          <w:sz w:val="20"/>
          <w:szCs w:val="20"/>
        </w:rPr>
        <w:t xml:space="preserve"> assessment of the impacts of groundwater drawdown and subsidence on any identified vegetation GDEs.</w:t>
      </w:r>
      <w:r>
        <w:rPr>
          <w:rFonts w:ascii="Arial" w:hAnsi="Arial" w:cs="Arial"/>
          <w:sz w:val="20"/>
          <w:szCs w:val="20"/>
        </w:rPr>
        <w:t xml:space="preserve"> For example, the assessment of GDEs within the EIS only considered surface expressions of groundwater as potential GDEs. However, vegetation within and in proximity to the proposed project area contains deep rooted species that have the potential to use groundwater and should be considered as potential GDEs. </w:t>
      </w:r>
    </w:p>
    <w:p w:rsidR="006C36A3" w:rsidRPr="00EC4B86" w:rsidRDefault="00EC4B86" w:rsidP="00EC4B86">
      <w:pPr>
        <w:pStyle w:val="ListNumber"/>
        <w:spacing w:after="200" w:line="276" w:lineRule="auto"/>
        <w:rPr>
          <w:rFonts w:ascii="Arial" w:hAnsi="Arial" w:cs="Arial"/>
          <w:sz w:val="20"/>
          <w:szCs w:val="20"/>
        </w:rPr>
      </w:pPr>
      <w:r>
        <w:rPr>
          <w:rFonts w:ascii="Arial" w:hAnsi="Arial" w:cs="Arial"/>
          <w:sz w:val="20"/>
          <w:szCs w:val="20"/>
        </w:rPr>
        <w:t xml:space="preserve">The location, size and </w:t>
      </w:r>
      <w:r w:rsidR="00853104">
        <w:rPr>
          <w:rFonts w:ascii="Arial" w:hAnsi="Arial" w:cs="Arial"/>
          <w:sz w:val="20"/>
          <w:szCs w:val="20"/>
        </w:rPr>
        <w:t xml:space="preserve">the </w:t>
      </w:r>
      <w:r>
        <w:rPr>
          <w:rFonts w:ascii="Arial" w:hAnsi="Arial" w:cs="Arial"/>
          <w:sz w:val="20"/>
          <w:szCs w:val="20"/>
        </w:rPr>
        <w:t xml:space="preserve">ecosystems supported by semi-permanent pools and springs within the Taroborah Coal project area should be identified. Pools should be monitored for their </w:t>
      </w:r>
      <w:r w:rsidR="00C10A02">
        <w:rPr>
          <w:rFonts w:ascii="Arial" w:hAnsi="Arial" w:cs="Arial"/>
          <w:sz w:val="20"/>
          <w:szCs w:val="20"/>
        </w:rPr>
        <w:t>duration</w:t>
      </w:r>
      <w:r>
        <w:rPr>
          <w:rFonts w:ascii="Arial" w:hAnsi="Arial" w:cs="Arial"/>
          <w:sz w:val="20"/>
          <w:szCs w:val="20"/>
        </w:rPr>
        <w:t xml:space="preserve"> of persistence and for water quality pre and post wet season.</w:t>
      </w:r>
    </w:p>
    <w:p w:rsidR="00FC58B7" w:rsidRPr="00FC58B7" w:rsidRDefault="00FC58B7" w:rsidP="00FC58B7">
      <w:pPr>
        <w:pStyle w:val="ListNumber"/>
        <w:numPr>
          <w:ilvl w:val="0"/>
          <w:numId w:val="0"/>
        </w:numPr>
        <w:spacing w:after="200" w:line="276" w:lineRule="auto"/>
        <w:rPr>
          <w:rFonts w:ascii="Arial" w:hAnsi="Arial" w:cs="Arial"/>
          <w:i/>
          <w:sz w:val="20"/>
          <w:szCs w:val="20"/>
        </w:rPr>
      </w:pPr>
      <w:r w:rsidRPr="00FC58B7">
        <w:rPr>
          <w:rFonts w:ascii="Arial" w:hAnsi="Arial" w:cs="Arial"/>
          <w:i/>
          <w:sz w:val="20"/>
          <w:szCs w:val="20"/>
        </w:rPr>
        <w:t>Surface water</w:t>
      </w:r>
    </w:p>
    <w:p w:rsidR="00FC58B7" w:rsidRPr="00010872" w:rsidRDefault="00010872" w:rsidP="00010872">
      <w:pPr>
        <w:pStyle w:val="ListNumber"/>
        <w:spacing w:after="200" w:line="276" w:lineRule="auto"/>
        <w:rPr>
          <w:rFonts w:ascii="Arial" w:hAnsi="Arial" w:cs="Arial"/>
          <w:sz w:val="20"/>
          <w:szCs w:val="20"/>
        </w:rPr>
      </w:pPr>
      <w:r>
        <w:rPr>
          <w:rFonts w:ascii="Arial" w:hAnsi="Arial" w:cs="Arial"/>
          <w:sz w:val="20"/>
          <w:szCs w:val="20"/>
        </w:rPr>
        <w:t>A</w:t>
      </w:r>
      <w:r w:rsidRPr="00010872">
        <w:rPr>
          <w:rFonts w:ascii="Arial" w:hAnsi="Arial" w:cs="Arial"/>
          <w:sz w:val="20"/>
          <w:szCs w:val="20"/>
        </w:rPr>
        <w:t xml:space="preserve"> number of streams across the proposed </w:t>
      </w:r>
      <w:r>
        <w:rPr>
          <w:rFonts w:ascii="Arial" w:hAnsi="Arial" w:cs="Arial"/>
          <w:sz w:val="20"/>
          <w:szCs w:val="20"/>
        </w:rPr>
        <w:t>project area</w:t>
      </w:r>
      <w:r w:rsidRPr="00010872">
        <w:rPr>
          <w:rFonts w:ascii="Arial" w:hAnsi="Arial" w:cs="Arial"/>
          <w:sz w:val="20"/>
          <w:szCs w:val="20"/>
        </w:rPr>
        <w:t xml:space="preserve"> appear to be s</w:t>
      </w:r>
      <w:r>
        <w:rPr>
          <w:rFonts w:ascii="Arial" w:hAnsi="Arial" w:cs="Arial"/>
          <w:sz w:val="20"/>
          <w:szCs w:val="20"/>
        </w:rPr>
        <w:t>upported by shallow groundwater. A</w:t>
      </w:r>
      <w:r w:rsidRPr="00010872">
        <w:rPr>
          <w:rFonts w:ascii="Arial" w:hAnsi="Arial" w:cs="Arial"/>
          <w:sz w:val="20"/>
          <w:szCs w:val="20"/>
        </w:rPr>
        <w:t xml:space="preserve"> depth to water table map </w:t>
      </w:r>
      <w:r>
        <w:rPr>
          <w:rFonts w:ascii="Arial" w:hAnsi="Arial" w:cs="Arial"/>
          <w:sz w:val="20"/>
          <w:szCs w:val="20"/>
        </w:rPr>
        <w:t>is needed to</w:t>
      </w:r>
      <w:r w:rsidRPr="00010872">
        <w:rPr>
          <w:rFonts w:ascii="Arial" w:hAnsi="Arial" w:cs="Arial"/>
          <w:sz w:val="20"/>
          <w:szCs w:val="20"/>
        </w:rPr>
        <w:t xml:space="preserve"> inform the hydrological conceptualisation for </w:t>
      </w:r>
      <w:r w:rsidR="004B31C2">
        <w:rPr>
          <w:rFonts w:ascii="Arial" w:hAnsi="Arial" w:cs="Arial"/>
          <w:sz w:val="20"/>
          <w:szCs w:val="20"/>
        </w:rPr>
        <w:t xml:space="preserve">the </w:t>
      </w:r>
      <w:r w:rsidRPr="00010872">
        <w:rPr>
          <w:rFonts w:ascii="Arial" w:hAnsi="Arial" w:cs="Arial"/>
          <w:sz w:val="20"/>
          <w:szCs w:val="20"/>
        </w:rPr>
        <w:t>surface water catchments</w:t>
      </w:r>
      <w:r>
        <w:rPr>
          <w:rFonts w:ascii="Arial" w:hAnsi="Arial" w:cs="Arial"/>
          <w:sz w:val="20"/>
          <w:szCs w:val="20"/>
        </w:rPr>
        <w:t xml:space="preserve"> of Retreat Creek and Taroborah Creek</w:t>
      </w:r>
      <w:r w:rsidRPr="00010872">
        <w:rPr>
          <w:rFonts w:ascii="Arial" w:hAnsi="Arial" w:cs="Arial"/>
          <w:sz w:val="20"/>
          <w:szCs w:val="20"/>
        </w:rPr>
        <w:t>.</w:t>
      </w:r>
      <w:r>
        <w:rPr>
          <w:rFonts w:ascii="Arial" w:hAnsi="Arial" w:cs="Arial"/>
          <w:sz w:val="20"/>
          <w:szCs w:val="20"/>
        </w:rPr>
        <w:t xml:space="preserve"> </w:t>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B451D3" w:rsidTr="00B1520C">
        <w:trPr>
          <w:trHeight w:val="19"/>
        </w:trPr>
        <w:tc>
          <w:tcPr>
            <w:tcW w:w="1809" w:type="dxa"/>
            <w:tcBorders>
              <w:top w:val="single" w:sz="4" w:space="0" w:color="auto"/>
              <w:bottom w:val="single" w:sz="4" w:space="0" w:color="auto"/>
            </w:tcBorders>
          </w:tcPr>
          <w:p w:rsidR="007203C3" w:rsidRDefault="007203C3" w:rsidP="009110D5">
            <w:pPr>
              <w:pStyle w:val="tablelabel"/>
              <w:spacing w:line="276" w:lineRule="auto"/>
              <w:rPr>
                <w:rFonts w:cs="Arial"/>
                <w:sz w:val="20"/>
              </w:rPr>
            </w:pPr>
            <w:r>
              <w:rPr>
                <w:rFonts w:cs="Arial"/>
                <w:sz w:val="20"/>
              </w:rPr>
              <w:t>Date of advice</w:t>
            </w:r>
          </w:p>
        </w:tc>
        <w:tc>
          <w:tcPr>
            <w:tcW w:w="8159" w:type="dxa"/>
            <w:tcBorders>
              <w:top w:val="single" w:sz="4" w:space="0" w:color="auto"/>
              <w:bottom w:val="single" w:sz="4" w:space="0" w:color="auto"/>
            </w:tcBorders>
          </w:tcPr>
          <w:p w:rsidR="007203C3" w:rsidRPr="00B451D3" w:rsidRDefault="004C1053" w:rsidP="003842E0">
            <w:pPr>
              <w:spacing w:line="276" w:lineRule="auto"/>
              <w:rPr>
                <w:rFonts w:ascii="Arial" w:hAnsi="Arial" w:cs="Arial"/>
                <w:sz w:val="20"/>
                <w:szCs w:val="20"/>
              </w:rPr>
            </w:pPr>
            <w:r>
              <w:rPr>
                <w:rFonts w:ascii="Arial" w:hAnsi="Arial" w:cs="Arial"/>
                <w:sz w:val="20"/>
                <w:szCs w:val="20"/>
              </w:rPr>
              <w:t>12</w:t>
            </w:r>
            <w:r w:rsidR="007203C3">
              <w:rPr>
                <w:rFonts w:ascii="Arial" w:hAnsi="Arial" w:cs="Arial"/>
                <w:sz w:val="20"/>
                <w:szCs w:val="20"/>
              </w:rPr>
              <w:t xml:space="preserve"> </w:t>
            </w:r>
            <w:r w:rsidR="003842E0">
              <w:rPr>
                <w:rFonts w:ascii="Arial" w:hAnsi="Arial" w:cs="Arial"/>
                <w:sz w:val="20"/>
                <w:szCs w:val="20"/>
              </w:rPr>
              <w:t>June</w:t>
            </w:r>
            <w:r w:rsidR="007203C3">
              <w:rPr>
                <w:rFonts w:ascii="Arial" w:hAnsi="Arial" w:cs="Arial"/>
                <w:sz w:val="20"/>
                <w:szCs w:val="20"/>
              </w:rPr>
              <w:t xml:space="preserve"> 201</w:t>
            </w:r>
            <w:r w:rsidR="00D10C4C">
              <w:rPr>
                <w:rFonts w:ascii="Arial" w:hAnsi="Arial" w:cs="Arial"/>
                <w:sz w:val="20"/>
                <w:szCs w:val="20"/>
              </w:rPr>
              <w:t>4</w:t>
            </w:r>
          </w:p>
        </w:tc>
      </w:tr>
      <w:tr w:rsidR="007203C3" w:rsidRPr="00CC2B33" w:rsidTr="00B1520C">
        <w:trPr>
          <w:trHeight w:val="161"/>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Pr>
                <w:rFonts w:cs="Arial"/>
                <w:sz w:val="20"/>
              </w:rPr>
              <w:t xml:space="preserve">Source documentation available to the </w:t>
            </w:r>
            <w:r w:rsidR="00A83DF5">
              <w:rPr>
                <w:rFonts w:cs="Arial"/>
                <w:sz w:val="20"/>
              </w:rPr>
              <w:t>IESC</w:t>
            </w:r>
            <w:r>
              <w:rPr>
                <w:rFonts w:cs="Arial"/>
                <w:sz w:val="20"/>
              </w:rPr>
              <w:t xml:space="preserve"> in the formulation of this advice</w:t>
            </w:r>
          </w:p>
        </w:tc>
        <w:tc>
          <w:tcPr>
            <w:tcW w:w="8159" w:type="dxa"/>
            <w:tcBorders>
              <w:top w:val="single" w:sz="4" w:space="0" w:color="auto"/>
              <w:bottom w:val="single" w:sz="4" w:space="0" w:color="auto"/>
            </w:tcBorders>
          </w:tcPr>
          <w:p w:rsidR="007203C3" w:rsidRPr="00CC2B33" w:rsidRDefault="00C74087" w:rsidP="00C74087">
            <w:pPr>
              <w:pStyle w:val="ListBullet"/>
              <w:spacing w:line="276" w:lineRule="auto"/>
              <w:rPr>
                <w:rFonts w:ascii="Arial" w:hAnsi="Arial" w:cs="Arial"/>
                <w:color w:val="FF0000"/>
                <w:sz w:val="20"/>
                <w:szCs w:val="22"/>
              </w:rPr>
            </w:pPr>
            <w:r w:rsidRPr="00C74087">
              <w:rPr>
                <w:rFonts w:ascii="Arial" w:hAnsi="Arial" w:cs="Arial"/>
                <w:sz w:val="20"/>
                <w:szCs w:val="22"/>
              </w:rPr>
              <w:t xml:space="preserve">AustralAsian Resource Consultants 2014, Environmental Impact Statement for Taroborah Coal Project. Prepared for Shenhuo International Group Pty Ltd. Available from: </w:t>
            </w:r>
            <w:hyperlink r:id="rId8" w:history="1">
              <w:r w:rsidRPr="00F060E9">
                <w:rPr>
                  <w:rStyle w:val="Hyperlink"/>
                  <w:rFonts w:ascii="Arial" w:hAnsi="Arial" w:cs="Arial"/>
                  <w:sz w:val="20"/>
                  <w:szCs w:val="22"/>
                </w:rPr>
                <w:t>http://www.taroborah.com.au/download-the-eis</w:t>
              </w:r>
            </w:hyperlink>
            <w:r>
              <w:rPr>
                <w:rFonts w:ascii="Arial" w:hAnsi="Arial" w:cs="Arial"/>
                <w:color w:val="FF0000"/>
                <w:sz w:val="20"/>
                <w:szCs w:val="22"/>
              </w:rPr>
              <w:t xml:space="preserve"> </w:t>
            </w:r>
          </w:p>
        </w:tc>
      </w:tr>
      <w:tr w:rsidR="007203C3" w:rsidRPr="00304CA9" w:rsidTr="00B1520C">
        <w:trPr>
          <w:trHeight w:val="19"/>
        </w:trPr>
        <w:tc>
          <w:tcPr>
            <w:tcW w:w="1809" w:type="dxa"/>
            <w:tcBorders>
              <w:top w:val="single" w:sz="4" w:space="0" w:color="auto"/>
              <w:bottom w:val="single" w:sz="4" w:space="0" w:color="auto"/>
            </w:tcBorders>
          </w:tcPr>
          <w:p w:rsidR="007203C3" w:rsidRDefault="007203C3" w:rsidP="00A83DF5">
            <w:pPr>
              <w:pStyle w:val="tablelabel"/>
              <w:spacing w:line="276" w:lineRule="auto"/>
              <w:rPr>
                <w:rFonts w:cs="Arial"/>
                <w:sz w:val="20"/>
              </w:rPr>
            </w:pPr>
            <w:r w:rsidRPr="00B159F9">
              <w:rPr>
                <w:rFonts w:cs="Arial"/>
                <w:sz w:val="20"/>
              </w:rPr>
              <w:t xml:space="preserve">References cited within the </w:t>
            </w:r>
            <w:r w:rsidR="00A83DF5">
              <w:rPr>
                <w:rFonts w:cs="Arial"/>
                <w:sz w:val="20"/>
              </w:rPr>
              <w:t>IESC</w:t>
            </w:r>
            <w:r w:rsidRPr="00B159F9">
              <w:rPr>
                <w:rFonts w:cs="Arial"/>
                <w:sz w:val="20"/>
              </w:rPr>
              <w:t>’s advice</w:t>
            </w:r>
          </w:p>
        </w:tc>
        <w:tc>
          <w:tcPr>
            <w:tcW w:w="8159" w:type="dxa"/>
            <w:tcBorders>
              <w:top w:val="single" w:sz="4" w:space="0" w:color="auto"/>
              <w:bottom w:val="single" w:sz="4" w:space="0" w:color="auto"/>
            </w:tcBorders>
          </w:tcPr>
          <w:p w:rsidR="007203C3" w:rsidRDefault="007203C3" w:rsidP="00AE0EE2">
            <w:pPr>
              <w:pStyle w:val="ListNumber"/>
              <w:numPr>
                <w:ilvl w:val="0"/>
                <w:numId w:val="0"/>
              </w:numPr>
              <w:tabs>
                <w:tab w:val="left" w:pos="34"/>
              </w:tabs>
              <w:spacing w:after="200" w:line="276" w:lineRule="auto"/>
              <w:ind w:left="34"/>
            </w:pPr>
            <w:r w:rsidRPr="001614C5">
              <w:rPr>
                <w:rFonts w:ascii="Arial" w:hAnsi="Arial" w:cs="Arial"/>
                <w:sz w:val="20"/>
                <w:szCs w:val="20"/>
                <w:vertAlign w:val="superscript"/>
              </w:rPr>
              <w:t>1</w:t>
            </w:r>
            <w:r w:rsidRPr="00F73813">
              <w:rPr>
                <w:rFonts w:ascii="Arial" w:hAnsi="Arial" w:cs="Arial"/>
                <w:sz w:val="20"/>
                <w:szCs w:val="20"/>
                <w:vertAlign w:val="superscript"/>
              </w:rPr>
              <w:t xml:space="preserve"> </w:t>
            </w:r>
            <w:r w:rsidRPr="00F73813">
              <w:rPr>
                <w:rFonts w:ascii="Arial" w:hAnsi="Arial" w:cs="Arial"/>
                <w:sz w:val="20"/>
                <w:szCs w:val="20"/>
              </w:rPr>
              <w:t xml:space="preserve">Information Guidelines for </w:t>
            </w:r>
            <w:r w:rsidR="00A83DF5">
              <w:rPr>
                <w:rFonts w:ascii="Arial" w:hAnsi="Arial" w:cs="Arial"/>
                <w:sz w:val="20"/>
                <w:szCs w:val="20"/>
              </w:rPr>
              <w:t xml:space="preserve">Independent Expert Scientific Committee advice </w:t>
            </w:r>
            <w:r w:rsidRPr="00F73813">
              <w:rPr>
                <w:rFonts w:ascii="Arial" w:hAnsi="Arial" w:cs="Arial"/>
                <w:sz w:val="20"/>
                <w:szCs w:val="20"/>
              </w:rPr>
              <w:t>o</w:t>
            </w:r>
            <w:r w:rsidR="00A83DF5">
              <w:rPr>
                <w:rFonts w:ascii="Arial" w:hAnsi="Arial" w:cs="Arial"/>
                <w:sz w:val="20"/>
                <w:szCs w:val="20"/>
              </w:rPr>
              <w:t>n</w:t>
            </w:r>
            <w:r w:rsidRPr="00F73813">
              <w:rPr>
                <w:rFonts w:ascii="Arial" w:hAnsi="Arial" w:cs="Arial"/>
                <w:sz w:val="20"/>
                <w:szCs w:val="20"/>
              </w:rPr>
              <w:t xml:space="preserve"> </w:t>
            </w:r>
            <w:r w:rsidR="00A83DF5">
              <w:rPr>
                <w:rFonts w:ascii="Arial" w:hAnsi="Arial" w:cs="Arial"/>
                <w:sz w:val="20"/>
                <w:szCs w:val="20"/>
              </w:rPr>
              <w:t>coal s</w:t>
            </w:r>
            <w:r w:rsidRPr="00F73813">
              <w:rPr>
                <w:rFonts w:ascii="Arial" w:hAnsi="Arial" w:cs="Arial"/>
                <w:sz w:val="20"/>
                <w:szCs w:val="20"/>
              </w:rPr>
              <w:t xml:space="preserve">eam </w:t>
            </w:r>
            <w:r w:rsidR="00A83DF5">
              <w:rPr>
                <w:rFonts w:ascii="Arial" w:hAnsi="Arial" w:cs="Arial"/>
                <w:sz w:val="20"/>
                <w:szCs w:val="20"/>
              </w:rPr>
              <w:t>g</w:t>
            </w:r>
            <w:r w:rsidRPr="00F73813">
              <w:rPr>
                <w:rFonts w:ascii="Arial" w:hAnsi="Arial" w:cs="Arial"/>
                <w:sz w:val="20"/>
                <w:szCs w:val="20"/>
              </w:rPr>
              <w:t>as an</w:t>
            </w:r>
            <w:r w:rsidRPr="00CF5929">
              <w:rPr>
                <w:rFonts w:ascii="Arial" w:hAnsi="Arial" w:cs="Arial"/>
                <w:sz w:val="20"/>
                <w:szCs w:val="20"/>
              </w:rPr>
              <w:t xml:space="preserve">d </w:t>
            </w:r>
            <w:r w:rsidR="00A83DF5">
              <w:rPr>
                <w:rFonts w:ascii="Arial" w:hAnsi="Arial" w:cs="Arial"/>
                <w:sz w:val="20"/>
                <w:szCs w:val="20"/>
              </w:rPr>
              <w:t>l</w:t>
            </w:r>
            <w:r w:rsidRPr="00CF5929">
              <w:rPr>
                <w:rFonts w:ascii="Arial" w:hAnsi="Arial" w:cs="Arial"/>
                <w:sz w:val="20"/>
                <w:szCs w:val="20"/>
              </w:rPr>
              <w:t xml:space="preserve">arge </w:t>
            </w:r>
            <w:r w:rsidR="00A83DF5">
              <w:rPr>
                <w:rFonts w:ascii="Arial" w:hAnsi="Arial" w:cs="Arial"/>
                <w:sz w:val="20"/>
                <w:szCs w:val="20"/>
              </w:rPr>
              <w:t>c</w:t>
            </w:r>
            <w:r w:rsidRPr="00CF5929">
              <w:rPr>
                <w:rFonts w:ascii="Arial" w:hAnsi="Arial" w:cs="Arial"/>
                <w:sz w:val="20"/>
                <w:szCs w:val="20"/>
              </w:rPr>
              <w:t xml:space="preserve">oal </w:t>
            </w:r>
            <w:r w:rsidR="00A83DF5">
              <w:rPr>
                <w:rFonts w:ascii="Arial" w:hAnsi="Arial" w:cs="Arial"/>
                <w:sz w:val="20"/>
                <w:szCs w:val="20"/>
              </w:rPr>
              <w:t>mining development proposals</w:t>
            </w:r>
            <w:r w:rsidRPr="00CF5929">
              <w:rPr>
                <w:rFonts w:ascii="Arial" w:hAnsi="Arial" w:cs="Arial"/>
                <w:sz w:val="20"/>
                <w:szCs w:val="20"/>
              </w:rPr>
              <w:t xml:space="preserve"> available at: </w:t>
            </w:r>
            <w:hyperlink r:id="rId9" w:history="1">
              <w:r w:rsidR="00CF5929" w:rsidRPr="00CF5929">
                <w:rPr>
                  <w:rStyle w:val="Hyperlink"/>
                  <w:rFonts w:ascii="Arial" w:hAnsi="Arial" w:cs="Arial"/>
                  <w:sz w:val="20"/>
                  <w:szCs w:val="20"/>
                </w:rPr>
                <w:t>http://iesc.environment.gov.au/pubs/iesc-information-guidelines.pdf</w:t>
              </w:r>
            </w:hyperlink>
            <w:r w:rsidR="00CF5929">
              <w:t xml:space="preserve"> </w:t>
            </w:r>
          </w:p>
          <w:p w:rsidR="00AE0EE2" w:rsidRDefault="00AE0EE2" w:rsidP="00ED0BCE">
            <w:pPr>
              <w:pStyle w:val="ListBullet"/>
              <w:spacing w:after="200" w:line="276" w:lineRule="auto"/>
              <w:rPr>
                <w:rFonts w:ascii="Arial" w:hAnsi="Arial" w:cs="Arial"/>
                <w:sz w:val="20"/>
                <w:szCs w:val="20"/>
              </w:rPr>
            </w:pPr>
            <w:r w:rsidRPr="001E7006">
              <w:rPr>
                <w:rFonts w:ascii="Arial" w:hAnsi="Arial" w:cs="Arial"/>
                <w:sz w:val="20"/>
                <w:szCs w:val="20"/>
                <w:vertAlign w:val="superscript"/>
              </w:rPr>
              <w:t>2</w:t>
            </w:r>
            <w:r w:rsidR="0034152E">
              <w:rPr>
                <w:rFonts w:ascii="Arial" w:hAnsi="Arial" w:cs="Arial"/>
                <w:sz w:val="20"/>
                <w:szCs w:val="20"/>
              </w:rPr>
              <w:t xml:space="preserve"> Kendorski, FS</w:t>
            </w:r>
            <w:r w:rsidRPr="00AE0EE2">
              <w:rPr>
                <w:rFonts w:ascii="Arial" w:hAnsi="Arial" w:cs="Arial"/>
                <w:sz w:val="20"/>
                <w:szCs w:val="20"/>
              </w:rPr>
              <w:t xml:space="preserve"> </w:t>
            </w:r>
            <w:r w:rsidR="00ED0BCE">
              <w:rPr>
                <w:rFonts w:ascii="Arial" w:hAnsi="Arial" w:cs="Arial"/>
                <w:sz w:val="20"/>
                <w:szCs w:val="20"/>
              </w:rPr>
              <w:t>(</w:t>
            </w:r>
            <w:r w:rsidRPr="00AE0EE2">
              <w:rPr>
                <w:rFonts w:ascii="Arial" w:hAnsi="Arial" w:cs="Arial"/>
                <w:sz w:val="20"/>
                <w:szCs w:val="20"/>
              </w:rPr>
              <w:t>2006</w:t>
            </w:r>
            <w:r w:rsidR="00ED0BCE">
              <w:rPr>
                <w:rFonts w:ascii="Arial" w:hAnsi="Arial" w:cs="Arial"/>
                <w:sz w:val="20"/>
                <w:szCs w:val="20"/>
              </w:rPr>
              <w:t>)</w:t>
            </w:r>
            <w:r w:rsidRPr="00AE0EE2">
              <w:rPr>
                <w:rFonts w:ascii="Arial" w:hAnsi="Arial" w:cs="Arial"/>
                <w:sz w:val="20"/>
                <w:szCs w:val="20"/>
              </w:rPr>
              <w:t xml:space="preserve"> Effect of Full-Extraction Underground Mining on Ground and Surface Waters A 25-Year Retrospective.  25th International Conference on Ground Control in Mining, Morgantown, West Virginia, USA, 2006.</w:t>
            </w:r>
          </w:p>
          <w:p w:rsidR="00AE0EE2" w:rsidRDefault="001E7006" w:rsidP="00ED0BCE">
            <w:pPr>
              <w:pStyle w:val="ListNumber"/>
              <w:numPr>
                <w:ilvl w:val="0"/>
                <w:numId w:val="0"/>
              </w:numPr>
              <w:tabs>
                <w:tab w:val="left" w:pos="34"/>
              </w:tabs>
              <w:spacing w:after="200" w:line="276" w:lineRule="auto"/>
              <w:ind w:left="34"/>
              <w:rPr>
                <w:rFonts w:ascii="Arial" w:hAnsi="Arial" w:cs="Arial"/>
                <w:bCs/>
                <w:sz w:val="20"/>
                <w:szCs w:val="20"/>
              </w:rPr>
            </w:pPr>
            <w:r w:rsidRPr="001E7006">
              <w:rPr>
                <w:rFonts w:ascii="Arial" w:hAnsi="Arial" w:cs="Arial"/>
                <w:bCs/>
                <w:sz w:val="20"/>
                <w:szCs w:val="20"/>
                <w:vertAlign w:val="superscript"/>
              </w:rPr>
              <w:t>3</w:t>
            </w:r>
            <w:r>
              <w:rPr>
                <w:rFonts w:ascii="Arial" w:hAnsi="Arial" w:cs="Arial"/>
                <w:bCs/>
                <w:sz w:val="20"/>
                <w:szCs w:val="20"/>
              </w:rPr>
              <w:t xml:space="preserve"> ANZECC and ARMCANZ (2000) Australian Guidelines for Water Quality Monitoring and Reporting. National Water Quality Management Strategy (NWQMS). Document 4 and 7. Australian and New Zealand Environment and Conservation Council &amp; Agriculture and Resource Management Council for Australia and New Zealand, Canberra.</w:t>
            </w:r>
          </w:p>
          <w:p w:rsidR="00113998" w:rsidRDefault="00113998" w:rsidP="00ED0BCE">
            <w:pPr>
              <w:pStyle w:val="ListNumber"/>
              <w:numPr>
                <w:ilvl w:val="0"/>
                <w:numId w:val="0"/>
              </w:numPr>
              <w:tabs>
                <w:tab w:val="left" w:pos="34"/>
              </w:tabs>
              <w:spacing w:after="200" w:line="276" w:lineRule="auto"/>
              <w:ind w:left="34"/>
              <w:rPr>
                <w:rFonts w:ascii="Arial" w:hAnsi="Arial" w:cs="Arial"/>
                <w:sz w:val="20"/>
                <w:szCs w:val="20"/>
              </w:rPr>
            </w:pPr>
            <w:r w:rsidRPr="00ED0BCE">
              <w:rPr>
                <w:rFonts w:ascii="Arial" w:hAnsi="Arial" w:cs="Arial"/>
                <w:sz w:val="20"/>
                <w:szCs w:val="20"/>
                <w:vertAlign w:val="superscript"/>
              </w:rPr>
              <w:t>4</w:t>
            </w:r>
            <w:r w:rsidRPr="00ED0BCE">
              <w:rPr>
                <w:rFonts w:ascii="Arial" w:hAnsi="Arial" w:cs="Arial"/>
                <w:sz w:val="20"/>
                <w:szCs w:val="20"/>
              </w:rPr>
              <w:t xml:space="preserve"> </w:t>
            </w:r>
            <w:r w:rsidR="00781332">
              <w:rPr>
                <w:rFonts w:ascii="Arial" w:hAnsi="Arial" w:cs="Arial"/>
                <w:sz w:val="20"/>
                <w:szCs w:val="20"/>
              </w:rPr>
              <w:t xml:space="preserve">GHD (2013) Teresa Coal Project Appendix </w:t>
            </w:r>
            <w:r w:rsidR="00CC5460">
              <w:rPr>
                <w:rFonts w:ascii="Arial" w:hAnsi="Arial" w:cs="Arial"/>
                <w:sz w:val="20"/>
                <w:szCs w:val="20"/>
              </w:rPr>
              <w:t>I</w:t>
            </w:r>
            <w:r w:rsidR="00781332">
              <w:rPr>
                <w:rFonts w:ascii="Arial" w:hAnsi="Arial" w:cs="Arial"/>
                <w:sz w:val="20"/>
                <w:szCs w:val="20"/>
              </w:rPr>
              <w:t xml:space="preserve"> – Mine Technical Report, Hydrogeology Report. May 2013. Available From: </w:t>
            </w:r>
            <w:hyperlink r:id="rId10" w:history="1">
              <w:r w:rsidR="00781332" w:rsidRPr="00257E8F">
                <w:rPr>
                  <w:rStyle w:val="Hyperlink"/>
                  <w:rFonts w:ascii="Arial" w:hAnsi="Arial" w:cs="Arial"/>
                  <w:sz w:val="20"/>
                  <w:szCs w:val="20"/>
                </w:rPr>
                <w:t>http://www.newemeraldcoal.com/wp-content/uploads/2014/02/Volume-2_Appendix-I.1-I.2.pdf</w:t>
              </w:r>
            </w:hyperlink>
          </w:p>
          <w:p w:rsidR="00640C6D" w:rsidRPr="00304CA9" w:rsidRDefault="00640C6D" w:rsidP="00781332">
            <w:pPr>
              <w:pStyle w:val="ListNumber"/>
              <w:numPr>
                <w:ilvl w:val="0"/>
                <w:numId w:val="0"/>
              </w:numPr>
              <w:tabs>
                <w:tab w:val="left" w:pos="34"/>
              </w:tabs>
              <w:spacing w:after="200" w:line="276" w:lineRule="auto"/>
              <w:ind w:left="34"/>
              <w:rPr>
                <w:rFonts w:ascii="Arial" w:hAnsi="Arial" w:cs="Arial"/>
                <w:bCs/>
                <w:sz w:val="20"/>
                <w:szCs w:val="20"/>
              </w:rPr>
            </w:pPr>
            <w:r w:rsidRPr="009156B9">
              <w:rPr>
                <w:rFonts w:ascii="Arial" w:hAnsi="Arial" w:cs="Arial"/>
                <w:sz w:val="20"/>
                <w:szCs w:val="20"/>
                <w:vertAlign w:val="superscript"/>
              </w:rPr>
              <w:t xml:space="preserve">5 </w:t>
            </w:r>
            <w:r w:rsidR="00781332" w:rsidRPr="00ED0BCE">
              <w:rPr>
                <w:rFonts w:ascii="Arial" w:hAnsi="Arial" w:cs="Arial"/>
                <w:sz w:val="20"/>
                <w:szCs w:val="20"/>
              </w:rPr>
              <w:t xml:space="preserve">Richardson, et al (2006) </w:t>
            </w:r>
            <w:r w:rsidR="00781332">
              <w:rPr>
                <w:rFonts w:ascii="Arial" w:hAnsi="Arial" w:cs="Arial"/>
                <w:sz w:val="20"/>
                <w:szCs w:val="20"/>
              </w:rPr>
              <w:t>The Australian Groundwater Dependent Ecosystems Toolbox. National Water Commission, Canberra.</w:t>
            </w:r>
          </w:p>
        </w:tc>
      </w:tr>
    </w:tbl>
    <w:p w:rsidR="007203C3" w:rsidRPr="00062A46" w:rsidRDefault="007203C3" w:rsidP="007203C3">
      <w:pPr>
        <w:spacing w:after="200" w:line="276" w:lineRule="auto"/>
      </w:pPr>
    </w:p>
    <w:sectPr w:rsidR="007203C3" w:rsidRPr="00062A46" w:rsidSect="007203C3">
      <w:headerReference w:type="even" r:id="rId11"/>
      <w:footerReference w:type="default" r:id="rId12"/>
      <w:headerReference w:type="first" r:id="rId13"/>
      <w:footerReference w:type="first" r:id="rId14"/>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3E0" w:rsidRDefault="008203E0" w:rsidP="00A60185">
      <w:r>
        <w:separator/>
      </w:r>
    </w:p>
  </w:endnote>
  <w:endnote w:type="continuationSeparator" w:id="0">
    <w:p w:rsidR="008203E0" w:rsidRDefault="008203E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0" w:rsidRPr="007203C3" w:rsidRDefault="008203E0" w:rsidP="007203C3">
    <w:pPr>
      <w:pStyle w:val="Footer"/>
      <w:pBdr>
        <w:top w:val="single" w:sz="4" w:space="1" w:color="auto"/>
      </w:pBdr>
      <w:rPr>
        <w:rFonts w:ascii="Arial" w:hAnsi="Arial" w:cs="Arial"/>
        <w:color w:val="FF0000"/>
        <w:sz w:val="12"/>
        <w:szCs w:val="20"/>
      </w:rPr>
    </w:pPr>
  </w:p>
  <w:p w:rsidR="008203E0" w:rsidRPr="00CF5929" w:rsidRDefault="008203E0" w:rsidP="007203C3">
    <w:pPr>
      <w:pStyle w:val="Footer"/>
      <w:pBdr>
        <w:top w:val="single" w:sz="4" w:space="1" w:color="auto"/>
      </w:pBdr>
      <w:rPr>
        <w:rFonts w:ascii="Arial" w:hAnsi="Arial" w:cs="Arial"/>
        <w:sz w:val="20"/>
        <w:szCs w:val="20"/>
      </w:rPr>
    </w:pPr>
    <w:r>
      <w:rPr>
        <w:rFonts w:ascii="Arial" w:hAnsi="Arial" w:cs="Arial"/>
        <w:sz w:val="20"/>
        <w:szCs w:val="20"/>
      </w:rPr>
      <w:t xml:space="preserve">Taroborah Coal Project </w:t>
    </w:r>
    <w:r w:rsidRPr="00D15280">
      <w:rPr>
        <w:rFonts w:ascii="Arial" w:hAnsi="Arial" w:cs="Arial"/>
        <w:sz w:val="20"/>
        <w:szCs w:val="20"/>
      </w:rPr>
      <w:t>Advice</w:t>
    </w:r>
    <w:r w:rsidRPr="00CF5929">
      <w:rPr>
        <w:rFonts w:ascii="Arial" w:hAnsi="Arial" w:cs="Arial"/>
        <w:sz w:val="20"/>
        <w:szCs w:val="20"/>
      </w:rPr>
      <w:ptab w:relativeTo="margin" w:alignment="right" w:leader="none"/>
    </w:r>
    <w:r>
      <w:rPr>
        <w:rFonts w:ascii="Arial" w:hAnsi="Arial" w:cs="Arial"/>
        <w:sz w:val="20"/>
        <w:szCs w:val="20"/>
      </w:rPr>
      <w:t>12</w:t>
    </w:r>
    <w:r w:rsidRPr="003013F7">
      <w:rPr>
        <w:rFonts w:ascii="Arial" w:hAnsi="Arial" w:cs="Arial"/>
        <w:sz w:val="20"/>
        <w:szCs w:val="20"/>
      </w:rPr>
      <w:t xml:space="preserve"> June 2014</w:t>
    </w:r>
  </w:p>
  <w:p w:rsidR="008203E0" w:rsidRPr="00CF5929" w:rsidRDefault="00DE2ADC">
    <w:pPr>
      <w:pStyle w:val="Footer"/>
      <w:jc w:val="center"/>
      <w:rPr>
        <w:rFonts w:ascii="Arial" w:hAnsi="Arial" w:cs="Arial"/>
        <w:sz w:val="20"/>
        <w:szCs w:val="20"/>
      </w:rPr>
    </w:pPr>
    <w:r w:rsidRPr="00CF5929">
      <w:rPr>
        <w:rFonts w:ascii="Arial" w:hAnsi="Arial" w:cs="Arial"/>
        <w:sz w:val="20"/>
        <w:szCs w:val="20"/>
      </w:rPr>
      <w:fldChar w:fldCharType="begin"/>
    </w:r>
    <w:r w:rsidR="008203E0" w:rsidRPr="00CF5929">
      <w:rPr>
        <w:rFonts w:ascii="Arial" w:hAnsi="Arial" w:cs="Arial"/>
        <w:sz w:val="20"/>
        <w:szCs w:val="20"/>
      </w:rPr>
      <w:instrText xml:space="preserve"> PAGE   \* MERGEFORMAT </w:instrText>
    </w:r>
    <w:r w:rsidRPr="00CF5929">
      <w:rPr>
        <w:rFonts w:ascii="Arial" w:hAnsi="Arial" w:cs="Arial"/>
        <w:sz w:val="20"/>
        <w:szCs w:val="20"/>
      </w:rPr>
      <w:fldChar w:fldCharType="separate"/>
    </w:r>
    <w:r w:rsidR="00C62F2A">
      <w:rPr>
        <w:rFonts w:ascii="Arial" w:hAnsi="Arial" w:cs="Arial"/>
        <w:noProof/>
        <w:sz w:val="20"/>
        <w:szCs w:val="20"/>
      </w:rPr>
      <w:t>1</w:t>
    </w:r>
    <w:r w:rsidRPr="00CF5929">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0" w:rsidRPr="00D15280" w:rsidRDefault="008203E0">
    <w:pPr>
      <w:pStyle w:val="Footer"/>
      <w:rPr>
        <w:rFonts w:ascii="Arial" w:hAnsi="Arial" w:cs="Arial"/>
        <w:sz w:val="20"/>
        <w:szCs w:val="20"/>
      </w:rPr>
    </w:pPr>
    <w:r w:rsidRPr="00062A46">
      <w:rPr>
        <w:rFonts w:ascii="Arial" w:hAnsi="Arial" w:cs="Arial"/>
        <w:color w:val="FF0000"/>
        <w:sz w:val="20"/>
        <w:szCs w:val="20"/>
      </w:rPr>
      <w:t>Draft</w:t>
    </w:r>
    <w:r w:rsidRPr="00D15280">
      <w:rPr>
        <w:rFonts w:ascii="Arial" w:hAnsi="Arial" w:cs="Arial"/>
        <w:sz w:val="20"/>
        <w:szCs w:val="20"/>
      </w:rPr>
      <w:t xml:space="preserve"> Advice</w:t>
    </w:r>
    <w:r>
      <w:rPr>
        <w:rFonts w:ascii="Arial" w:hAnsi="Arial" w:cs="Arial"/>
        <w:sz w:val="20"/>
        <w:szCs w:val="20"/>
      </w:rPr>
      <w:t xml:space="preserve"> – Version </w:t>
    </w:r>
    <w:r w:rsidRPr="00062A46">
      <w:rPr>
        <w:rFonts w:ascii="Arial" w:hAnsi="Arial" w:cs="Arial"/>
        <w:color w:val="FF0000"/>
        <w:sz w:val="20"/>
        <w:szCs w:val="20"/>
      </w:rPr>
      <w:t>1</w:t>
    </w:r>
    <w:r w:rsidRPr="00D15280">
      <w:rPr>
        <w:rFonts w:ascii="Arial" w:hAnsi="Arial" w:cs="Arial"/>
        <w:sz w:val="20"/>
        <w:szCs w:val="20"/>
      </w:rPr>
      <w:ptab w:relativeTo="margin" w:alignment="right" w:leader="none"/>
    </w:r>
    <w:r w:rsidRPr="00062A46">
      <w:rPr>
        <w:rFonts w:ascii="Arial" w:hAnsi="Arial" w:cs="Arial"/>
        <w:b/>
        <w:color w:val="FF0000"/>
        <w:sz w:val="20"/>
        <w:szCs w:val="20"/>
      </w:rPr>
      <w:t>DATE</w:t>
    </w:r>
  </w:p>
  <w:p w:rsidR="008203E0" w:rsidRPr="00062A46" w:rsidRDefault="00DE2ADC" w:rsidP="00062A46">
    <w:pPr>
      <w:pStyle w:val="Footer"/>
      <w:tabs>
        <w:tab w:val="clear" w:pos="4513"/>
        <w:tab w:val="clear" w:pos="9026"/>
        <w:tab w:val="left" w:pos="639"/>
      </w:tabs>
      <w:jc w:val="center"/>
      <w:rPr>
        <w:rFonts w:ascii="Arial" w:hAnsi="Arial" w:cs="Arial"/>
        <w:sz w:val="20"/>
        <w:szCs w:val="20"/>
      </w:rPr>
    </w:pPr>
    <w:sdt>
      <w:sdtPr>
        <w:rPr>
          <w:rFonts w:ascii="Arial" w:hAnsi="Arial" w:cs="Arial"/>
          <w:sz w:val="20"/>
          <w:szCs w:val="20"/>
        </w:rPr>
        <w:id w:val="16689876"/>
        <w:docPartObj>
          <w:docPartGallery w:val="Page Numbers (Bottom of Page)"/>
          <w:docPartUnique/>
        </w:docPartObj>
      </w:sdtPr>
      <w:sdtContent>
        <w:r w:rsidRPr="00D15280">
          <w:rPr>
            <w:rFonts w:ascii="Arial" w:hAnsi="Arial" w:cs="Arial"/>
            <w:sz w:val="20"/>
            <w:szCs w:val="20"/>
          </w:rPr>
          <w:fldChar w:fldCharType="begin"/>
        </w:r>
        <w:r w:rsidR="008203E0" w:rsidRPr="00D15280">
          <w:rPr>
            <w:rFonts w:ascii="Arial" w:hAnsi="Arial" w:cs="Arial"/>
            <w:sz w:val="20"/>
            <w:szCs w:val="20"/>
          </w:rPr>
          <w:instrText xml:space="preserve"> PAGE   \* MERGEFORMAT </w:instrText>
        </w:r>
        <w:r w:rsidRPr="00D15280">
          <w:rPr>
            <w:rFonts w:ascii="Arial" w:hAnsi="Arial" w:cs="Arial"/>
            <w:sz w:val="20"/>
            <w:szCs w:val="20"/>
          </w:rPr>
          <w:fldChar w:fldCharType="separate"/>
        </w:r>
        <w:r w:rsidR="008203E0">
          <w:rPr>
            <w:rFonts w:ascii="Arial" w:hAnsi="Arial" w:cs="Arial"/>
            <w:noProof/>
            <w:sz w:val="20"/>
            <w:szCs w:val="20"/>
          </w:rPr>
          <w:t>1</w:t>
        </w:r>
        <w:r w:rsidRPr="00D15280">
          <w:rPr>
            <w:rFonts w:ascii="Arial" w:hAnsi="Arial" w:cs="Arial"/>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3E0" w:rsidRDefault="008203E0" w:rsidP="00A60185">
      <w:r>
        <w:separator/>
      </w:r>
    </w:p>
  </w:footnote>
  <w:footnote w:type="continuationSeparator" w:id="0">
    <w:p w:rsidR="008203E0" w:rsidRDefault="008203E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0" w:rsidRDefault="008203E0"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0" w:rsidRDefault="008203E0"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B9481B4"/>
    <w:lvl w:ilvl="0">
      <w:start w:val="1"/>
      <w:numFmt w:val="decimal"/>
      <w:lvlText w:val="%1."/>
      <w:lvlJc w:val="left"/>
      <w:pPr>
        <w:tabs>
          <w:tab w:val="num" w:pos="643"/>
        </w:tabs>
        <w:ind w:left="643" w:hanging="360"/>
      </w:pPr>
    </w:lvl>
  </w:abstractNum>
  <w:abstractNum w:abstractNumId="1">
    <w:nsid w:val="FFFFFF88"/>
    <w:multiLevelType w:val="singleLevel"/>
    <w:tmpl w:val="EA9E625C"/>
    <w:lvl w:ilvl="0">
      <w:start w:val="1"/>
      <w:numFmt w:val="decimal"/>
      <w:lvlText w:val="%1."/>
      <w:lvlJc w:val="left"/>
      <w:pPr>
        <w:tabs>
          <w:tab w:val="num" w:pos="360"/>
        </w:tabs>
        <w:ind w:left="360" w:hanging="360"/>
      </w:p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2FD40698"/>
    <w:multiLevelType w:val="hybridMultilevel"/>
    <w:tmpl w:val="107E2104"/>
    <w:lvl w:ilvl="0" w:tplc="C6400312">
      <w:start w:val="1"/>
      <w:numFmt w:val="lowerLetter"/>
      <w:lvlText w:val="%1."/>
      <w:lvlJc w:val="left"/>
      <w:pPr>
        <w:ind w:left="186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ED08CABE"/>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2"/>
  </w:num>
  <w:num w:numId="3">
    <w:abstractNumId w:val="5"/>
  </w:num>
  <w:num w:numId="4">
    <w:abstractNumId w:val="4"/>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3"/>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
  </w:num>
  <w:num w:numId="31">
    <w:abstractNumId w:val="0"/>
  </w:num>
  <w:num w:numId="32">
    <w:abstractNumId w:val="6"/>
  </w:num>
  <w:num w:numId="33">
    <w:abstractNumId w:val="6"/>
  </w:num>
  <w:num w:numId="34">
    <w:abstractNumId w:val="6"/>
  </w:num>
  <w:num w:numId="35">
    <w:abstractNumId w:val="6"/>
  </w:num>
  <w:num w:numId="36">
    <w:abstractNumId w:val="6"/>
  </w:num>
  <w:num w:numId="3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41275D"/>
    <w:rsid w:val="000022AA"/>
    <w:rsid w:val="00004AEE"/>
    <w:rsid w:val="00005CAA"/>
    <w:rsid w:val="00005ED0"/>
    <w:rsid w:val="00010210"/>
    <w:rsid w:val="00010872"/>
    <w:rsid w:val="00012D66"/>
    <w:rsid w:val="0001423F"/>
    <w:rsid w:val="00015ADA"/>
    <w:rsid w:val="00020C99"/>
    <w:rsid w:val="00025C5E"/>
    <w:rsid w:val="0002707B"/>
    <w:rsid w:val="00031B32"/>
    <w:rsid w:val="0004478C"/>
    <w:rsid w:val="00046A33"/>
    <w:rsid w:val="000508EA"/>
    <w:rsid w:val="0005148E"/>
    <w:rsid w:val="000547F0"/>
    <w:rsid w:val="00056193"/>
    <w:rsid w:val="00062A46"/>
    <w:rsid w:val="000719FE"/>
    <w:rsid w:val="000759E5"/>
    <w:rsid w:val="0007601C"/>
    <w:rsid w:val="00084AC6"/>
    <w:rsid w:val="00085816"/>
    <w:rsid w:val="000906F1"/>
    <w:rsid w:val="00091608"/>
    <w:rsid w:val="0009196E"/>
    <w:rsid w:val="00092F92"/>
    <w:rsid w:val="0009333C"/>
    <w:rsid w:val="0009704F"/>
    <w:rsid w:val="000A0F11"/>
    <w:rsid w:val="000A125A"/>
    <w:rsid w:val="000A228F"/>
    <w:rsid w:val="000A4E02"/>
    <w:rsid w:val="000A57CD"/>
    <w:rsid w:val="000B2FF3"/>
    <w:rsid w:val="000B3758"/>
    <w:rsid w:val="000B4AF2"/>
    <w:rsid w:val="000B7681"/>
    <w:rsid w:val="000B7B42"/>
    <w:rsid w:val="000C02B7"/>
    <w:rsid w:val="000C2814"/>
    <w:rsid w:val="000C451B"/>
    <w:rsid w:val="000C5342"/>
    <w:rsid w:val="000C706A"/>
    <w:rsid w:val="000D2887"/>
    <w:rsid w:val="000D674B"/>
    <w:rsid w:val="000D6D63"/>
    <w:rsid w:val="000D706B"/>
    <w:rsid w:val="000D7810"/>
    <w:rsid w:val="000E0081"/>
    <w:rsid w:val="000E07CF"/>
    <w:rsid w:val="000E5951"/>
    <w:rsid w:val="00100BEF"/>
    <w:rsid w:val="00102E17"/>
    <w:rsid w:val="00113998"/>
    <w:rsid w:val="0011498E"/>
    <w:rsid w:val="00116F28"/>
    <w:rsid w:val="00117A01"/>
    <w:rsid w:val="00117A45"/>
    <w:rsid w:val="001224AE"/>
    <w:rsid w:val="00123035"/>
    <w:rsid w:val="00131B33"/>
    <w:rsid w:val="0013346C"/>
    <w:rsid w:val="001337D4"/>
    <w:rsid w:val="001340EA"/>
    <w:rsid w:val="00135376"/>
    <w:rsid w:val="00140A61"/>
    <w:rsid w:val="00147C12"/>
    <w:rsid w:val="00147EFC"/>
    <w:rsid w:val="0015012D"/>
    <w:rsid w:val="001527A1"/>
    <w:rsid w:val="001530DC"/>
    <w:rsid w:val="00153894"/>
    <w:rsid w:val="001539AF"/>
    <w:rsid w:val="00154989"/>
    <w:rsid w:val="00155A9F"/>
    <w:rsid w:val="0015684F"/>
    <w:rsid w:val="00157479"/>
    <w:rsid w:val="00160262"/>
    <w:rsid w:val="0016186F"/>
    <w:rsid w:val="0016281C"/>
    <w:rsid w:val="0016433A"/>
    <w:rsid w:val="0016780A"/>
    <w:rsid w:val="001713FA"/>
    <w:rsid w:val="00173EBF"/>
    <w:rsid w:val="001765DA"/>
    <w:rsid w:val="001842A2"/>
    <w:rsid w:val="00185039"/>
    <w:rsid w:val="00185407"/>
    <w:rsid w:val="001857DF"/>
    <w:rsid w:val="00187FA8"/>
    <w:rsid w:val="001922D0"/>
    <w:rsid w:val="00192F5E"/>
    <w:rsid w:val="00197772"/>
    <w:rsid w:val="001A51C8"/>
    <w:rsid w:val="001B472B"/>
    <w:rsid w:val="001B4CA8"/>
    <w:rsid w:val="001C2A92"/>
    <w:rsid w:val="001C3119"/>
    <w:rsid w:val="001C4F3D"/>
    <w:rsid w:val="001D016B"/>
    <w:rsid w:val="001D0CDC"/>
    <w:rsid w:val="001D1D82"/>
    <w:rsid w:val="001D39A6"/>
    <w:rsid w:val="001D496C"/>
    <w:rsid w:val="001D6F7A"/>
    <w:rsid w:val="001D77C2"/>
    <w:rsid w:val="001E1182"/>
    <w:rsid w:val="001E7006"/>
    <w:rsid w:val="001F0E8B"/>
    <w:rsid w:val="00200944"/>
    <w:rsid w:val="00202387"/>
    <w:rsid w:val="00202C90"/>
    <w:rsid w:val="002071FB"/>
    <w:rsid w:val="00213DE8"/>
    <w:rsid w:val="00215B9B"/>
    <w:rsid w:val="00216118"/>
    <w:rsid w:val="002209AB"/>
    <w:rsid w:val="002243C4"/>
    <w:rsid w:val="002251E3"/>
    <w:rsid w:val="002262E6"/>
    <w:rsid w:val="00227A95"/>
    <w:rsid w:val="002316BD"/>
    <w:rsid w:val="002336F3"/>
    <w:rsid w:val="00237509"/>
    <w:rsid w:val="002473FC"/>
    <w:rsid w:val="00252E3C"/>
    <w:rsid w:val="002547AB"/>
    <w:rsid w:val="00262198"/>
    <w:rsid w:val="00262F5A"/>
    <w:rsid w:val="00264C2F"/>
    <w:rsid w:val="00270DAD"/>
    <w:rsid w:val="00275B0F"/>
    <w:rsid w:val="00277426"/>
    <w:rsid w:val="002779CD"/>
    <w:rsid w:val="00277E6F"/>
    <w:rsid w:val="00281B5C"/>
    <w:rsid w:val="00285545"/>
    <w:rsid w:val="00285F1B"/>
    <w:rsid w:val="00292B81"/>
    <w:rsid w:val="0029322E"/>
    <w:rsid w:val="00296477"/>
    <w:rsid w:val="00296C1E"/>
    <w:rsid w:val="002974BC"/>
    <w:rsid w:val="002A08B5"/>
    <w:rsid w:val="002A5EC3"/>
    <w:rsid w:val="002B18AE"/>
    <w:rsid w:val="002B6472"/>
    <w:rsid w:val="002B67D3"/>
    <w:rsid w:val="002C0BF8"/>
    <w:rsid w:val="002C1C93"/>
    <w:rsid w:val="002C36AA"/>
    <w:rsid w:val="002C3738"/>
    <w:rsid w:val="002C5066"/>
    <w:rsid w:val="002D208B"/>
    <w:rsid w:val="002D4AAC"/>
    <w:rsid w:val="002D6C33"/>
    <w:rsid w:val="002D7024"/>
    <w:rsid w:val="002F045A"/>
    <w:rsid w:val="002F1E35"/>
    <w:rsid w:val="002F2157"/>
    <w:rsid w:val="002F4CCB"/>
    <w:rsid w:val="0030039D"/>
    <w:rsid w:val="00300715"/>
    <w:rsid w:val="003013F7"/>
    <w:rsid w:val="00301FD7"/>
    <w:rsid w:val="0030326F"/>
    <w:rsid w:val="003045B2"/>
    <w:rsid w:val="00310701"/>
    <w:rsid w:val="00311510"/>
    <w:rsid w:val="003138AC"/>
    <w:rsid w:val="00315980"/>
    <w:rsid w:val="00316F7F"/>
    <w:rsid w:val="00320162"/>
    <w:rsid w:val="0032087E"/>
    <w:rsid w:val="003218E8"/>
    <w:rsid w:val="00330DCE"/>
    <w:rsid w:val="00331E11"/>
    <w:rsid w:val="00334761"/>
    <w:rsid w:val="00337EBC"/>
    <w:rsid w:val="0034033E"/>
    <w:rsid w:val="0034152E"/>
    <w:rsid w:val="00341DCD"/>
    <w:rsid w:val="0034504D"/>
    <w:rsid w:val="0034563E"/>
    <w:rsid w:val="00347012"/>
    <w:rsid w:val="003504CC"/>
    <w:rsid w:val="003518D6"/>
    <w:rsid w:val="00354408"/>
    <w:rsid w:val="0035460C"/>
    <w:rsid w:val="003547B3"/>
    <w:rsid w:val="003556BD"/>
    <w:rsid w:val="00362ACD"/>
    <w:rsid w:val="00364E6D"/>
    <w:rsid w:val="00365147"/>
    <w:rsid w:val="0037016E"/>
    <w:rsid w:val="00370E55"/>
    <w:rsid w:val="00372908"/>
    <w:rsid w:val="00376457"/>
    <w:rsid w:val="00381917"/>
    <w:rsid w:val="00383020"/>
    <w:rsid w:val="003842E0"/>
    <w:rsid w:val="003975FD"/>
    <w:rsid w:val="003977F0"/>
    <w:rsid w:val="003A0593"/>
    <w:rsid w:val="003A4B47"/>
    <w:rsid w:val="003B0F56"/>
    <w:rsid w:val="003B60CC"/>
    <w:rsid w:val="003B65CB"/>
    <w:rsid w:val="003B7682"/>
    <w:rsid w:val="003C1978"/>
    <w:rsid w:val="003C1B25"/>
    <w:rsid w:val="003C2443"/>
    <w:rsid w:val="003C31E0"/>
    <w:rsid w:val="003C5DA3"/>
    <w:rsid w:val="003D4BCD"/>
    <w:rsid w:val="003E01D8"/>
    <w:rsid w:val="003E2100"/>
    <w:rsid w:val="003E2BDB"/>
    <w:rsid w:val="003E39BA"/>
    <w:rsid w:val="003E45FA"/>
    <w:rsid w:val="003E53CA"/>
    <w:rsid w:val="003E5ED5"/>
    <w:rsid w:val="003F0CB7"/>
    <w:rsid w:val="003F6F5B"/>
    <w:rsid w:val="00400B84"/>
    <w:rsid w:val="00400F8F"/>
    <w:rsid w:val="00401F19"/>
    <w:rsid w:val="00402F91"/>
    <w:rsid w:val="0040342D"/>
    <w:rsid w:val="00403FB9"/>
    <w:rsid w:val="00405E1C"/>
    <w:rsid w:val="0041192D"/>
    <w:rsid w:val="0041275D"/>
    <w:rsid w:val="00413EE1"/>
    <w:rsid w:val="0041537A"/>
    <w:rsid w:val="0042128E"/>
    <w:rsid w:val="00421F61"/>
    <w:rsid w:val="00422832"/>
    <w:rsid w:val="00422CAC"/>
    <w:rsid w:val="0042465A"/>
    <w:rsid w:val="00427C77"/>
    <w:rsid w:val="00432B60"/>
    <w:rsid w:val="004333E6"/>
    <w:rsid w:val="00440167"/>
    <w:rsid w:val="00440698"/>
    <w:rsid w:val="00444556"/>
    <w:rsid w:val="00445C3C"/>
    <w:rsid w:val="00447790"/>
    <w:rsid w:val="00450B09"/>
    <w:rsid w:val="004540E2"/>
    <w:rsid w:val="00454454"/>
    <w:rsid w:val="00461F29"/>
    <w:rsid w:val="00467924"/>
    <w:rsid w:val="00470AD2"/>
    <w:rsid w:val="004712A5"/>
    <w:rsid w:val="0047266F"/>
    <w:rsid w:val="004756EB"/>
    <w:rsid w:val="00476D6B"/>
    <w:rsid w:val="00480A54"/>
    <w:rsid w:val="00481927"/>
    <w:rsid w:val="00482FC6"/>
    <w:rsid w:val="004861E6"/>
    <w:rsid w:val="0049013A"/>
    <w:rsid w:val="00492C16"/>
    <w:rsid w:val="004A0678"/>
    <w:rsid w:val="004A48A3"/>
    <w:rsid w:val="004B0D92"/>
    <w:rsid w:val="004B0EC0"/>
    <w:rsid w:val="004B31C2"/>
    <w:rsid w:val="004B32B2"/>
    <w:rsid w:val="004B5A51"/>
    <w:rsid w:val="004B66F1"/>
    <w:rsid w:val="004B6D03"/>
    <w:rsid w:val="004C0719"/>
    <w:rsid w:val="004C1053"/>
    <w:rsid w:val="004C3B7B"/>
    <w:rsid w:val="004C3EA0"/>
    <w:rsid w:val="004C616A"/>
    <w:rsid w:val="004D19BA"/>
    <w:rsid w:val="004D46F2"/>
    <w:rsid w:val="004E2389"/>
    <w:rsid w:val="004E2524"/>
    <w:rsid w:val="004F32CC"/>
    <w:rsid w:val="004F3D69"/>
    <w:rsid w:val="004F6E2F"/>
    <w:rsid w:val="004F7169"/>
    <w:rsid w:val="0050024C"/>
    <w:rsid w:val="00500472"/>
    <w:rsid w:val="00500D66"/>
    <w:rsid w:val="005036A6"/>
    <w:rsid w:val="00511E3E"/>
    <w:rsid w:val="00514C8E"/>
    <w:rsid w:val="005166F8"/>
    <w:rsid w:val="00517F35"/>
    <w:rsid w:val="00521092"/>
    <w:rsid w:val="00523A57"/>
    <w:rsid w:val="00523ED3"/>
    <w:rsid w:val="00531DBF"/>
    <w:rsid w:val="005337FC"/>
    <w:rsid w:val="00537B83"/>
    <w:rsid w:val="00545759"/>
    <w:rsid w:val="00545BE0"/>
    <w:rsid w:val="005501DD"/>
    <w:rsid w:val="00551BA4"/>
    <w:rsid w:val="00554C6A"/>
    <w:rsid w:val="00562E85"/>
    <w:rsid w:val="00562EF9"/>
    <w:rsid w:val="0056332F"/>
    <w:rsid w:val="005700E7"/>
    <w:rsid w:val="005767C4"/>
    <w:rsid w:val="00581C39"/>
    <w:rsid w:val="005834A4"/>
    <w:rsid w:val="00584F6B"/>
    <w:rsid w:val="00585599"/>
    <w:rsid w:val="005903B6"/>
    <w:rsid w:val="005918FE"/>
    <w:rsid w:val="00591D2B"/>
    <w:rsid w:val="00592B20"/>
    <w:rsid w:val="005A0247"/>
    <w:rsid w:val="005A126E"/>
    <w:rsid w:val="005A452F"/>
    <w:rsid w:val="005A537C"/>
    <w:rsid w:val="005A703F"/>
    <w:rsid w:val="005A70C6"/>
    <w:rsid w:val="005B140D"/>
    <w:rsid w:val="005B2027"/>
    <w:rsid w:val="005C1FEA"/>
    <w:rsid w:val="005C3495"/>
    <w:rsid w:val="005C3785"/>
    <w:rsid w:val="005C4FE3"/>
    <w:rsid w:val="005D21BB"/>
    <w:rsid w:val="005E13EA"/>
    <w:rsid w:val="005E15E0"/>
    <w:rsid w:val="005E2283"/>
    <w:rsid w:val="005E3250"/>
    <w:rsid w:val="005E3889"/>
    <w:rsid w:val="005E3964"/>
    <w:rsid w:val="005E3DFC"/>
    <w:rsid w:val="005E60AF"/>
    <w:rsid w:val="005E7B4E"/>
    <w:rsid w:val="005E7BB7"/>
    <w:rsid w:val="005F1DEA"/>
    <w:rsid w:val="005F4932"/>
    <w:rsid w:val="00602FCB"/>
    <w:rsid w:val="00604C69"/>
    <w:rsid w:val="00607FC9"/>
    <w:rsid w:val="00610955"/>
    <w:rsid w:val="00614208"/>
    <w:rsid w:val="0061490C"/>
    <w:rsid w:val="00616861"/>
    <w:rsid w:val="00620F70"/>
    <w:rsid w:val="00622FE1"/>
    <w:rsid w:val="0062521C"/>
    <w:rsid w:val="00630A2B"/>
    <w:rsid w:val="00630BA2"/>
    <w:rsid w:val="00631D75"/>
    <w:rsid w:val="0063283F"/>
    <w:rsid w:val="00632DC7"/>
    <w:rsid w:val="00633896"/>
    <w:rsid w:val="006357FB"/>
    <w:rsid w:val="006406FC"/>
    <w:rsid w:val="00640C6D"/>
    <w:rsid w:val="0064407B"/>
    <w:rsid w:val="00646122"/>
    <w:rsid w:val="0065341F"/>
    <w:rsid w:val="0065359E"/>
    <w:rsid w:val="00653E16"/>
    <w:rsid w:val="00657220"/>
    <w:rsid w:val="00657F1B"/>
    <w:rsid w:val="0066104B"/>
    <w:rsid w:val="00661419"/>
    <w:rsid w:val="006655EE"/>
    <w:rsid w:val="00667C10"/>
    <w:rsid w:val="00667EF4"/>
    <w:rsid w:val="00672B85"/>
    <w:rsid w:val="00673B97"/>
    <w:rsid w:val="00674E59"/>
    <w:rsid w:val="00676FCA"/>
    <w:rsid w:val="00677177"/>
    <w:rsid w:val="0068056B"/>
    <w:rsid w:val="0068612E"/>
    <w:rsid w:val="00687783"/>
    <w:rsid w:val="00687858"/>
    <w:rsid w:val="00687C92"/>
    <w:rsid w:val="006903B7"/>
    <w:rsid w:val="006928FC"/>
    <w:rsid w:val="0069534E"/>
    <w:rsid w:val="00696365"/>
    <w:rsid w:val="0069669C"/>
    <w:rsid w:val="006A1200"/>
    <w:rsid w:val="006A2C5A"/>
    <w:rsid w:val="006A4F4E"/>
    <w:rsid w:val="006B10E7"/>
    <w:rsid w:val="006B14DB"/>
    <w:rsid w:val="006B21C4"/>
    <w:rsid w:val="006B53E6"/>
    <w:rsid w:val="006B731B"/>
    <w:rsid w:val="006C0A49"/>
    <w:rsid w:val="006C35E3"/>
    <w:rsid w:val="006C36A3"/>
    <w:rsid w:val="006C4A1A"/>
    <w:rsid w:val="006C7DAD"/>
    <w:rsid w:val="006C7F2C"/>
    <w:rsid w:val="006D0393"/>
    <w:rsid w:val="006D1A83"/>
    <w:rsid w:val="006D5181"/>
    <w:rsid w:val="006D5650"/>
    <w:rsid w:val="006D5D1E"/>
    <w:rsid w:val="006D7035"/>
    <w:rsid w:val="006D7EEA"/>
    <w:rsid w:val="006E1CFE"/>
    <w:rsid w:val="006E31A2"/>
    <w:rsid w:val="006E6D10"/>
    <w:rsid w:val="006F10C4"/>
    <w:rsid w:val="006F30B8"/>
    <w:rsid w:val="006F40E9"/>
    <w:rsid w:val="006F46BE"/>
    <w:rsid w:val="006F5603"/>
    <w:rsid w:val="00701400"/>
    <w:rsid w:val="007037CF"/>
    <w:rsid w:val="00703BB8"/>
    <w:rsid w:val="00712A46"/>
    <w:rsid w:val="00716583"/>
    <w:rsid w:val="007167C0"/>
    <w:rsid w:val="007203C3"/>
    <w:rsid w:val="00720481"/>
    <w:rsid w:val="00721642"/>
    <w:rsid w:val="00721BC7"/>
    <w:rsid w:val="00724399"/>
    <w:rsid w:val="00724DA2"/>
    <w:rsid w:val="0072510B"/>
    <w:rsid w:val="00727C18"/>
    <w:rsid w:val="00727E2F"/>
    <w:rsid w:val="00732C7F"/>
    <w:rsid w:val="00732EA7"/>
    <w:rsid w:val="00733193"/>
    <w:rsid w:val="00737CBA"/>
    <w:rsid w:val="00743388"/>
    <w:rsid w:val="00750AE9"/>
    <w:rsid w:val="00752FF8"/>
    <w:rsid w:val="00754C17"/>
    <w:rsid w:val="00755AD8"/>
    <w:rsid w:val="0075732A"/>
    <w:rsid w:val="00757807"/>
    <w:rsid w:val="00760262"/>
    <w:rsid w:val="0076310C"/>
    <w:rsid w:val="00765419"/>
    <w:rsid w:val="0076744F"/>
    <w:rsid w:val="00767BCE"/>
    <w:rsid w:val="00767EFC"/>
    <w:rsid w:val="007707DE"/>
    <w:rsid w:val="00770B5D"/>
    <w:rsid w:val="007752F1"/>
    <w:rsid w:val="00776768"/>
    <w:rsid w:val="00777D8E"/>
    <w:rsid w:val="00781332"/>
    <w:rsid w:val="00782C1E"/>
    <w:rsid w:val="00782D61"/>
    <w:rsid w:val="00791024"/>
    <w:rsid w:val="007921C6"/>
    <w:rsid w:val="00794818"/>
    <w:rsid w:val="007A2573"/>
    <w:rsid w:val="007A3B9C"/>
    <w:rsid w:val="007B047A"/>
    <w:rsid w:val="007B106C"/>
    <w:rsid w:val="007B1A4E"/>
    <w:rsid w:val="007B30E2"/>
    <w:rsid w:val="007B3D05"/>
    <w:rsid w:val="007B4527"/>
    <w:rsid w:val="007B5503"/>
    <w:rsid w:val="007C6BB3"/>
    <w:rsid w:val="007C7620"/>
    <w:rsid w:val="007D14B4"/>
    <w:rsid w:val="007D257A"/>
    <w:rsid w:val="007D3AD7"/>
    <w:rsid w:val="007D552C"/>
    <w:rsid w:val="007D7215"/>
    <w:rsid w:val="007E24F6"/>
    <w:rsid w:val="007E7378"/>
    <w:rsid w:val="007F4C61"/>
    <w:rsid w:val="007F4D2F"/>
    <w:rsid w:val="007F506E"/>
    <w:rsid w:val="00800F64"/>
    <w:rsid w:val="00802F0B"/>
    <w:rsid w:val="008031AF"/>
    <w:rsid w:val="00810A67"/>
    <w:rsid w:val="0081315B"/>
    <w:rsid w:val="008203E0"/>
    <w:rsid w:val="00822692"/>
    <w:rsid w:val="00833CF7"/>
    <w:rsid w:val="00842769"/>
    <w:rsid w:val="00845601"/>
    <w:rsid w:val="008524B9"/>
    <w:rsid w:val="00853104"/>
    <w:rsid w:val="00855C5C"/>
    <w:rsid w:val="0086233C"/>
    <w:rsid w:val="008626B2"/>
    <w:rsid w:val="00865CFA"/>
    <w:rsid w:val="008677DC"/>
    <w:rsid w:val="00871DF5"/>
    <w:rsid w:val="00883CE7"/>
    <w:rsid w:val="0088772B"/>
    <w:rsid w:val="008A187F"/>
    <w:rsid w:val="008A3C96"/>
    <w:rsid w:val="008B0BBA"/>
    <w:rsid w:val="008B1627"/>
    <w:rsid w:val="008B3AF2"/>
    <w:rsid w:val="008B4019"/>
    <w:rsid w:val="008B505F"/>
    <w:rsid w:val="008B65C9"/>
    <w:rsid w:val="008C2D4A"/>
    <w:rsid w:val="008C4475"/>
    <w:rsid w:val="008C6A05"/>
    <w:rsid w:val="008C7DBB"/>
    <w:rsid w:val="008D3900"/>
    <w:rsid w:val="008D6E1D"/>
    <w:rsid w:val="008D6EDB"/>
    <w:rsid w:val="008E36FE"/>
    <w:rsid w:val="008F30E5"/>
    <w:rsid w:val="008F39B4"/>
    <w:rsid w:val="008F4162"/>
    <w:rsid w:val="00903E02"/>
    <w:rsid w:val="00904B30"/>
    <w:rsid w:val="00905530"/>
    <w:rsid w:val="00906CDC"/>
    <w:rsid w:val="009110D5"/>
    <w:rsid w:val="00913175"/>
    <w:rsid w:val="009156B9"/>
    <w:rsid w:val="00916EDB"/>
    <w:rsid w:val="00920861"/>
    <w:rsid w:val="00922B13"/>
    <w:rsid w:val="009242EF"/>
    <w:rsid w:val="00924A16"/>
    <w:rsid w:val="00924AB9"/>
    <w:rsid w:val="00932291"/>
    <w:rsid w:val="00933923"/>
    <w:rsid w:val="00933B1B"/>
    <w:rsid w:val="0093408E"/>
    <w:rsid w:val="0093555D"/>
    <w:rsid w:val="00936CE3"/>
    <w:rsid w:val="00937917"/>
    <w:rsid w:val="00940467"/>
    <w:rsid w:val="00946DD0"/>
    <w:rsid w:val="00947507"/>
    <w:rsid w:val="00952DDF"/>
    <w:rsid w:val="00952EC4"/>
    <w:rsid w:val="0096277C"/>
    <w:rsid w:val="00972423"/>
    <w:rsid w:val="009812D4"/>
    <w:rsid w:val="00982653"/>
    <w:rsid w:val="009833A6"/>
    <w:rsid w:val="009858EA"/>
    <w:rsid w:val="009873F4"/>
    <w:rsid w:val="00991146"/>
    <w:rsid w:val="009920D8"/>
    <w:rsid w:val="009A371F"/>
    <w:rsid w:val="009A4869"/>
    <w:rsid w:val="009B38BE"/>
    <w:rsid w:val="009B4556"/>
    <w:rsid w:val="009B682F"/>
    <w:rsid w:val="009C0030"/>
    <w:rsid w:val="009C3D0F"/>
    <w:rsid w:val="009D0152"/>
    <w:rsid w:val="009D5286"/>
    <w:rsid w:val="009D6232"/>
    <w:rsid w:val="009D76ED"/>
    <w:rsid w:val="009E1B19"/>
    <w:rsid w:val="009E1D6D"/>
    <w:rsid w:val="009E67BE"/>
    <w:rsid w:val="009F35E2"/>
    <w:rsid w:val="009F438B"/>
    <w:rsid w:val="009F65F9"/>
    <w:rsid w:val="009F68BA"/>
    <w:rsid w:val="00A06277"/>
    <w:rsid w:val="00A079DC"/>
    <w:rsid w:val="00A10BAB"/>
    <w:rsid w:val="00A111C2"/>
    <w:rsid w:val="00A17C39"/>
    <w:rsid w:val="00A21440"/>
    <w:rsid w:val="00A238AA"/>
    <w:rsid w:val="00A2735E"/>
    <w:rsid w:val="00A338E7"/>
    <w:rsid w:val="00A35CAA"/>
    <w:rsid w:val="00A36E7F"/>
    <w:rsid w:val="00A41E65"/>
    <w:rsid w:val="00A426F9"/>
    <w:rsid w:val="00A43517"/>
    <w:rsid w:val="00A43E0A"/>
    <w:rsid w:val="00A46247"/>
    <w:rsid w:val="00A47F07"/>
    <w:rsid w:val="00A530C7"/>
    <w:rsid w:val="00A5424C"/>
    <w:rsid w:val="00A55F5B"/>
    <w:rsid w:val="00A568B1"/>
    <w:rsid w:val="00A60185"/>
    <w:rsid w:val="00A622EC"/>
    <w:rsid w:val="00A62774"/>
    <w:rsid w:val="00A661EA"/>
    <w:rsid w:val="00A66263"/>
    <w:rsid w:val="00A66AF4"/>
    <w:rsid w:val="00A6775C"/>
    <w:rsid w:val="00A70A6C"/>
    <w:rsid w:val="00A830E5"/>
    <w:rsid w:val="00A8341B"/>
    <w:rsid w:val="00A83DF5"/>
    <w:rsid w:val="00A84B59"/>
    <w:rsid w:val="00A84BF3"/>
    <w:rsid w:val="00A87135"/>
    <w:rsid w:val="00A93280"/>
    <w:rsid w:val="00A93C73"/>
    <w:rsid w:val="00A94FBA"/>
    <w:rsid w:val="00A951EA"/>
    <w:rsid w:val="00A961A6"/>
    <w:rsid w:val="00A973E1"/>
    <w:rsid w:val="00A97F71"/>
    <w:rsid w:val="00AA1C65"/>
    <w:rsid w:val="00AA2548"/>
    <w:rsid w:val="00AA3B6E"/>
    <w:rsid w:val="00AA58C4"/>
    <w:rsid w:val="00AB11C8"/>
    <w:rsid w:val="00AB2248"/>
    <w:rsid w:val="00AC08A8"/>
    <w:rsid w:val="00AD227C"/>
    <w:rsid w:val="00AD56C8"/>
    <w:rsid w:val="00AD58F2"/>
    <w:rsid w:val="00AD7386"/>
    <w:rsid w:val="00AE0EE2"/>
    <w:rsid w:val="00AF0DC8"/>
    <w:rsid w:val="00AF5EA3"/>
    <w:rsid w:val="00AF6573"/>
    <w:rsid w:val="00AF7690"/>
    <w:rsid w:val="00B0512A"/>
    <w:rsid w:val="00B0529F"/>
    <w:rsid w:val="00B05D52"/>
    <w:rsid w:val="00B10DCD"/>
    <w:rsid w:val="00B1418B"/>
    <w:rsid w:val="00B14EA4"/>
    <w:rsid w:val="00B151A0"/>
    <w:rsid w:val="00B1520C"/>
    <w:rsid w:val="00B1560E"/>
    <w:rsid w:val="00B207E6"/>
    <w:rsid w:val="00B21195"/>
    <w:rsid w:val="00B22B3D"/>
    <w:rsid w:val="00B24B22"/>
    <w:rsid w:val="00B25310"/>
    <w:rsid w:val="00B26D45"/>
    <w:rsid w:val="00B3051F"/>
    <w:rsid w:val="00B32F8F"/>
    <w:rsid w:val="00B43570"/>
    <w:rsid w:val="00B4690F"/>
    <w:rsid w:val="00B47C42"/>
    <w:rsid w:val="00B510B1"/>
    <w:rsid w:val="00B5187E"/>
    <w:rsid w:val="00B51F36"/>
    <w:rsid w:val="00B53BD2"/>
    <w:rsid w:val="00B54DE9"/>
    <w:rsid w:val="00B553EC"/>
    <w:rsid w:val="00B55870"/>
    <w:rsid w:val="00B60059"/>
    <w:rsid w:val="00B610B1"/>
    <w:rsid w:val="00B752F4"/>
    <w:rsid w:val="00B75B8D"/>
    <w:rsid w:val="00B77732"/>
    <w:rsid w:val="00B80D6D"/>
    <w:rsid w:val="00B81664"/>
    <w:rsid w:val="00B86DE9"/>
    <w:rsid w:val="00B9154F"/>
    <w:rsid w:val="00B93DD0"/>
    <w:rsid w:val="00B94E67"/>
    <w:rsid w:val="00B97732"/>
    <w:rsid w:val="00BA0849"/>
    <w:rsid w:val="00BA49B5"/>
    <w:rsid w:val="00BA56D7"/>
    <w:rsid w:val="00BA573B"/>
    <w:rsid w:val="00BA5FA4"/>
    <w:rsid w:val="00BA62CF"/>
    <w:rsid w:val="00BA65A8"/>
    <w:rsid w:val="00BA698D"/>
    <w:rsid w:val="00BA6A97"/>
    <w:rsid w:val="00BA6D19"/>
    <w:rsid w:val="00BA7461"/>
    <w:rsid w:val="00BA7DA9"/>
    <w:rsid w:val="00BB214A"/>
    <w:rsid w:val="00BB2BC0"/>
    <w:rsid w:val="00BC4215"/>
    <w:rsid w:val="00BD0396"/>
    <w:rsid w:val="00BD1A6F"/>
    <w:rsid w:val="00BD23B7"/>
    <w:rsid w:val="00BD5B71"/>
    <w:rsid w:val="00BE6D3C"/>
    <w:rsid w:val="00BE7852"/>
    <w:rsid w:val="00BF6D87"/>
    <w:rsid w:val="00BF7CEE"/>
    <w:rsid w:val="00C00AC2"/>
    <w:rsid w:val="00C03880"/>
    <w:rsid w:val="00C04114"/>
    <w:rsid w:val="00C042E6"/>
    <w:rsid w:val="00C10A02"/>
    <w:rsid w:val="00C11198"/>
    <w:rsid w:val="00C11E22"/>
    <w:rsid w:val="00C135CF"/>
    <w:rsid w:val="00C2683F"/>
    <w:rsid w:val="00C3184D"/>
    <w:rsid w:val="00C36AA3"/>
    <w:rsid w:val="00C43084"/>
    <w:rsid w:val="00C4714E"/>
    <w:rsid w:val="00C50941"/>
    <w:rsid w:val="00C5504F"/>
    <w:rsid w:val="00C55991"/>
    <w:rsid w:val="00C62F2A"/>
    <w:rsid w:val="00C63376"/>
    <w:rsid w:val="00C66CB4"/>
    <w:rsid w:val="00C74087"/>
    <w:rsid w:val="00C74F97"/>
    <w:rsid w:val="00C76A08"/>
    <w:rsid w:val="00C803D7"/>
    <w:rsid w:val="00C8276E"/>
    <w:rsid w:val="00C83AD1"/>
    <w:rsid w:val="00C83C03"/>
    <w:rsid w:val="00C842AC"/>
    <w:rsid w:val="00C85B7B"/>
    <w:rsid w:val="00C86C80"/>
    <w:rsid w:val="00C90E1B"/>
    <w:rsid w:val="00C92AD5"/>
    <w:rsid w:val="00C93152"/>
    <w:rsid w:val="00C93FD9"/>
    <w:rsid w:val="00C96688"/>
    <w:rsid w:val="00CA0723"/>
    <w:rsid w:val="00CA3B0C"/>
    <w:rsid w:val="00CA4542"/>
    <w:rsid w:val="00CA679B"/>
    <w:rsid w:val="00CB1690"/>
    <w:rsid w:val="00CB16D1"/>
    <w:rsid w:val="00CB2218"/>
    <w:rsid w:val="00CB34B4"/>
    <w:rsid w:val="00CC27E7"/>
    <w:rsid w:val="00CC2B33"/>
    <w:rsid w:val="00CC4365"/>
    <w:rsid w:val="00CC5460"/>
    <w:rsid w:val="00CD11B0"/>
    <w:rsid w:val="00CD5E0E"/>
    <w:rsid w:val="00CE71C2"/>
    <w:rsid w:val="00CE75B1"/>
    <w:rsid w:val="00CF2242"/>
    <w:rsid w:val="00CF42D5"/>
    <w:rsid w:val="00CF48D2"/>
    <w:rsid w:val="00CF4EDA"/>
    <w:rsid w:val="00CF562A"/>
    <w:rsid w:val="00CF5929"/>
    <w:rsid w:val="00D00281"/>
    <w:rsid w:val="00D01E11"/>
    <w:rsid w:val="00D021CB"/>
    <w:rsid w:val="00D024BC"/>
    <w:rsid w:val="00D07873"/>
    <w:rsid w:val="00D10C4C"/>
    <w:rsid w:val="00D10F1A"/>
    <w:rsid w:val="00D116F8"/>
    <w:rsid w:val="00D11C5C"/>
    <w:rsid w:val="00D15280"/>
    <w:rsid w:val="00D17596"/>
    <w:rsid w:val="00D22640"/>
    <w:rsid w:val="00D2435F"/>
    <w:rsid w:val="00D26D3A"/>
    <w:rsid w:val="00D32EC2"/>
    <w:rsid w:val="00D35F54"/>
    <w:rsid w:val="00D45C91"/>
    <w:rsid w:val="00D45EE3"/>
    <w:rsid w:val="00D50033"/>
    <w:rsid w:val="00D50618"/>
    <w:rsid w:val="00D509E9"/>
    <w:rsid w:val="00D51CD8"/>
    <w:rsid w:val="00D52EB4"/>
    <w:rsid w:val="00D53B1C"/>
    <w:rsid w:val="00D61714"/>
    <w:rsid w:val="00D620BE"/>
    <w:rsid w:val="00D652C8"/>
    <w:rsid w:val="00D656FF"/>
    <w:rsid w:val="00D65F02"/>
    <w:rsid w:val="00D82448"/>
    <w:rsid w:val="00D83615"/>
    <w:rsid w:val="00D83AAD"/>
    <w:rsid w:val="00D9027A"/>
    <w:rsid w:val="00D97037"/>
    <w:rsid w:val="00DA1B12"/>
    <w:rsid w:val="00DA4F90"/>
    <w:rsid w:val="00DA54C9"/>
    <w:rsid w:val="00DA6739"/>
    <w:rsid w:val="00DA6CAE"/>
    <w:rsid w:val="00DB0466"/>
    <w:rsid w:val="00DB1A9E"/>
    <w:rsid w:val="00DB1E25"/>
    <w:rsid w:val="00DB31D6"/>
    <w:rsid w:val="00DB3296"/>
    <w:rsid w:val="00DB4005"/>
    <w:rsid w:val="00DB44E2"/>
    <w:rsid w:val="00DB61F1"/>
    <w:rsid w:val="00DC325B"/>
    <w:rsid w:val="00DC34EB"/>
    <w:rsid w:val="00DC4E2E"/>
    <w:rsid w:val="00DC6B7B"/>
    <w:rsid w:val="00DC78C0"/>
    <w:rsid w:val="00DE2ADC"/>
    <w:rsid w:val="00DE2C10"/>
    <w:rsid w:val="00DE50B6"/>
    <w:rsid w:val="00DE6BBE"/>
    <w:rsid w:val="00DF14C9"/>
    <w:rsid w:val="00DF1E5B"/>
    <w:rsid w:val="00DF2275"/>
    <w:rsid w:val="00DF3F5E"/>
    <w:rsid w:val="00DF5653"/>
    <w:rsid w:val="00E0034B"/>
    <w:rsid w:val="00E03813"/>
    <w:rsid w:val="00E0596E"/>
    <w:rsid w:val="00E06F66"/>
    <w:rsid w:val="00E07D0F"/>
    <w:rsid w:val="00E15B62"/>
    <w:rsid w:val="00E2111A"/>
    <w:rsid w:val="00E21678"/>
    <w:rsid w:val="00E22DDC"/>
    <w:rsid w:val="00E27073"/>
    <w:rsid w:val="00E270CE"/>
    <w:rsid w:val="00E32A63"/>
    <w:rsid w:val="00E33611"/>
    <w:rsid w:val="00E344AA"/>
    <w:rsid w:val="00E356E5"/>
    <w:rsid w:val="00E36F81"/>
    <w:rsid w:val="00E378A8"/>
    <w:rsid w:val="00E40B9B"/>
    <w:rsid w:val="00E45765"/>
    <w:rsid w:val="00E47440"/>
    <w:rsid w:val="00E5098C"/>
    <w:rsid w:val="00E50A45"/>
    <w:rsid w:val="00E51A77"/>
    <w:rsid w:val="00E54ECD"/>
    <w:rsid w:val="00E574EF"/>
    <w:rsid w:val="00E57829"/>
    <w:rsid w:val="00E57CD8"/>
    <w:rsid w:val="00E57E07"/>
    <w:rsid w:val="00E60213"/>
    <w:rsid w:val="00E661B2"/>
    <w:rsid w:val="00E67AF2"/>
    <w:rsid w:val="00E74D29"/>
    <w:rsid w:val="00E806FF"/>
    <w:rsid w:val="00E80C84"/>
    <w:rsid w:val="00E82D79"/>
    <w:rsid w:val="00E83C74"/>
    <w:rsid w:val="00E83CEE"/>
    <w:rsid w:val="00E91F18"/>
    <w:rsid w:val="00E9226D"/>
    <w:rsid w:val="00E9479A"/>
    <w:rsid w:val="00E96424"/>
    <w:rsid w:val="00EA2A91"/>
    <w:rsid w:val="00EA416C"/>
    <w:rsid w:val="00EA5941"/>
    <w:rsid w:val="00EA5D1A"/>
    <w:rsid w:val="00EB60CE"/>
    <w:rsid w:val="00EB787C"/>
    <w:rsid w:val="00EB7D53"/>
    <w:rsid w:val="00EC4B86"/>
    <w:rsid w:val="00EC596B"/>
    <w:rsid w:val="00EC7019"/>
    <w:rsid w:val="00ED0BCE"/>
    <w:rsid w:val="00ED251E"/>
    <w:rsid w:val="00ED2777"/>
    <w:rsid w:val="00ED3F4C"/>
    <w:rsid w:val="00EE10A7"/>
    <w:rsid w:val="00EE13C5"/>
    <w:rsid w:val="00EE3146"/>
    <w:rsid w:val="00EE5FE3"/>
    <w:rsid w:val="00EE5FF8"/>
    <w:rsid w:val="00EE6DE2"/>
    <w:rsid w:val="00EF50BB"/>
    <w:rsid w:val="00EF71E4"/>
    <w:rsid w:val="00F00192"/>
    <w:rsid w:val="00F01DF6"/>
    <w:rsid w:val="00F027B8"/>
    <w:rsid w:val="00F0340D"/>
    <w:rsid w:val="00F035F2"/>
    <w:rsid w:val="00F059A6"/>
    <w:rsid w:val="00F074AA"/>
    <w:rsid w:val="00F14A04"/>
    <w:rsid w:val="00F170D8"/>
    <w:rsid w:val="00F17464"/>
    <w:rsid w:val="00F2290F"/>
    <w:rsid w:val="00F23756"/>
    <w:rsid w:val="00F2464C"/>
    <w:rsid w:val="00F2523A"/>
    <w:rsid w:val="00F25FFA"/>
    <w:rsid w:val="00F310D2"/>
    <w:rsid w:val="00F31E11"/>
    <w:rsid w:val="00F36F3D"/>
    <w:rsid w:val="00F37C48"/>
    <w:rsid w:val="00F4095D"/>
    <w:rsid w:val="00F4269F"/>
    <w:rsid w:val="00F477BD"/>
    <w:rsid w:val="00F50333"/>
    <w:rsid w:val="00F5233F"/>
    <w:rsid w:val="00F52D15"/>
    <w:rsid w:val="00F53491"/>
    <w:rsid w:val="00F5384C"/>
    <w:rsid w:val="00F54656"/>
    <w:rsid w:val="00F55386"/>
    <w:rsid w:val="00F56411"/>
    <w:rsid w:val="00F60181"/>
    <w:rsid w:val="00F60C6D"/>
    <w:rsid w:val="00F65A1C"/>
    <w:rsid w:val="00F66F50"/>
    <w:rsid w:val="00F71365"/>
    <w:rsid w:val="00F72A98"/>
    <w:rsid w:val="00F77432"/>
    <w:rsid w:val="00F81162"/>
    <w:rsid w:val="00F82FF8"/>
    <w:rsid w:val="00F8330D"/>
    <w:rsid w:val="00F84305"/>
    <w:rsid w:val="00F8485C"/>
    <w:rsid w:val="00F87149"/>
    <w:rsid w:val="00F87498"/>
    <w:rsid w:val="00F87FFE"/>
    <w:rsid w:val="00F93CF5"/>
    <w:rsid w:val="00F942E0"/>
    <w:rsid w:val="00F954C9"/>
    <w:rsid w:val="00F95AD8"/>
    <w:rsid w:val="00FA0510"/>
    <w:rsid w:val="00FA4CF0"/>
    <w:rsid w:val="00FA599F"/>
    <w:rsid w:val="00FA61AA"/>
    <w:rsid w:val="00FA6208"/>
    <w:rsid w:val="00FA679A"/>
    <w:rsid w:val="00FA69A4"/>
    <w:rsid w:val="00FB1279"/>
    <w:rsid w:val="00FB1495"/>
    <w:rsid w:val="00FB292F"/>
    <w:rsid w:val="00FB6E87"/>
    <w:rsid w:val="00FC20F8"/>
    <w:rsid w:val="00FC31E3"/>
    <w:rsid w:val="00FC58B7"/>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semiHidden/>
    <w:unhideWhenUsed/>
    <w:qFormat/>
    <w:rsid w:val="00EA2A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semiHidden/>
    <w:rsid w:val="00EA2A91"/>
    <w:rPr>
      <w:rFonts w:asciiTheme="majorHAnsi" w:eastAsiaTheme="majorEastAsia" w:hAnsiTheme="majorHAnsi" w:cstheme="majorBidi"/>
      <w:color w:val="243F60" w:themeColor="accent1" w:themeShade="7F"/>
      <w:sz w:val="24"/>
      <w:szCs w:val="24"/>
      <w:lang w:eastAsia="en-US"/>
    </w:rPr>
  </w:style>
  <w:style w:type="character" w:styleId="FollowedHyperlink">
    <w:name w:val="FollowedHyperlink"/>
    <w:basedOn w:val="DefaultParagraphFont"/>
    <w:uiPriority w:val="99"/>
    <w:semiHidden/>
    <w:unhideWhenUsed/>
    <w:rsid w:val="002C0BF8"/>
    <w:rPr>
      <w:color w:val="800080" w:themeColor="followedHyperlink"/>
      <w:u w:val="single"/>
    </w:rPr>
  </w:style>
  <w:style w:type="paragraph" w:styleId="CommentText">
    <w:name w:val="annotation text"/>
    <w:basedOn w:val="Normal"/>
    <w:link w:val="CommentTextChar"/>
    <w:uiPriority w:val="99"/>
    <w:semiHidden/>
    <w:unhideWhenUsed/>
    <w:rsid w:val="0088772B"/>
    <w:rPr>
      <w:sz w:val="20"/>
      <w:szCs w:val="20"/>
    </w:rPr>
  </w:style>
  <w:style w:type="character" w:customStyle="1" w:styleId="CommentTextChar">
    <w:name w:val="Comment Text Char"/>
    <w:basedOn w:val="DefaultParagraphFont"/>
    <w:link w:val="CommentText"/>
    <w:uiPriority w:val="99"/>
    <w:semiHidden/>
    <w:rsid w:val="0088772B"/>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8772B"/>
    <w:pPr>
      <w:spacing w:after="200"/>
    </w:pPr>
    <w:rPr>
      <w:rFonts w:ascii="Arial" w:eastAsia="Calibri" w:hAnsi="Arial"/>
      <w:b/>
      <w:bCs/>
    </w:rPr>
  </w:style>
  <w:style w:type="character" w:customStyle="1" w:styleId="CommentSubjectChar">
    <w:name w:val="Comment Subject Char"/>
    <w:basedOn w:val="CommentTextChar"/>
    <w:link w:val="CommentSubject"/>
    <w:uiPriority w:val="99"/>
    <w:semiHidden/>
    <w:rsid w:val="0088772B"/>
    <w:rPr>
      <w:b/>
      <w:bCs/>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oborah.com.au/download-the-e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wemeraldcoal.com/wp-content/uploads/2014/02/Volume-2_Appendix-I.1-I.2.pdf" TargetMode="External"/><Relationship Id="rId4" Type="http://schemas.openxmlformats.org/officeDocument/2006/relationships/webSettings" Target="webSettings.xml"/><Relationship Id="rId9" Type="http://schemas.openxmlformats.org/officeDocument/2006/relationships/hyperlink" Target="http://iesc.environment.gov.au/pubs/iesc-information-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4038</Words>
  <Characters>23022</Characters>
  <Application>Microsoft Office Word</Application>
  <DocSecurity>4</DocSecurity>
  <Lines>191</Lines>
  <Paragraphs>54</Paragraphs>
  <ScaleCrop>false</ScaleCrop>
  <LinksUpToDate>false</LinksUpToDate>
  <CharactersWithSpaces>27006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2014-10-24T03:58:00Z</dcterms:created>
  <dcterms:modified xsi:type="dcterms:W3CDTF">2014-10-24T03:58:00Z</dcterms:modified>
</cp:coreProperties>
</file>