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-966912</wp:posOffset>
            </wp:positionH>
            <wp:positionV relativeFrom="paragraph">
              <wp:posOffset>-882595</wp:posOffset>
            </wp:positionV>
            <wp:extent cx="7574445" cy="2289976"/>
            <wp:effectExtent l="19050" t="0" r="745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4445" cy="2289976"/>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 xml:space="preserve">ce to decision maker on </w:t>
      </w:r>
      <w:r w:rsidR="00E21678" w:rsidRPr="002A5EC3">
        <w:rPr>
          <w:rFonts w:ascii="Arial" w:hAnsi="Arial" w:cs="Arial"/>
          <w:b/>
        </w:rPr>
        <w:t>coal seam gas</w:t>
      </w:r>
      <w:r w:rsidR="001765DA" w:rsidRPr="002A5EC3">
        <w:rPr>
          <w:rFonts w:ascii="Arial" w:hAnsi="Arial" w:cs="Arial"/>
          <w:b/>
        </w:rPr>
        <w:t xml:space="preserve"> project</w:t>
      </w:r>
    </w:p>
    <w:p w:rsidR="004861E6" w:rsidRDefault="00D10C4C" w:rsidP="00A21440">
      <w:pPr>
        <w:pStyle w:val="Header"/>
        <w:keepLines/>
        <w:tabs>
          <w:tab w:val="left" w:pos="2835"/>
        </w:tabs>
        <w:spacing w:after="200" w:line="276" w:lineRule="auto"/>
        <w:jc w:val="center"/>
        <w:rPr>
          <w:rFonts w:ascii="Arial" w:hAnsi="Arial" w:cs="Arial"/>
          <w:b/>
          <w:sz w:val="20"/>
          <w:lang w:eastAsia="en-AU"/>
        </w:rPr>
      </w:pPr>
      <w:r>
        <w:rPr>
          <w:rFonts w:ascii="Arial" w:hAnsi="Arial" w:cs="Arial"/>
          <w:b/>
          <w:sz w:val="20"/>
          <w:lang w:eastAsia="en-AU"/>
        </w:rPr>
        <w:t xml:space="preserve">IESC </w:t>
      </w:r>
      <w:r w:rsidR="00C23ECC" w:rsidRPr="00C23ECC">
        <w:rPr>
          <w:rFonts w:ascii="Arial" w:hAnsi="Arial" w:cs="Arial"/>
          <w:b/>
          <w:sz w:val="20"/>
          <w:lang w:eastAsia="en-AU"/>
        </w:rPr>
        <w:t>2014</w:t>
      </w:r>
      <w:r w:rsidR="001B5AA3">
        <w:rPr>
          <w:rFonts w:ascii="Arial" w:hAnsi="Arial" w:cs="Arial"/>
          <w:b/>
          <w:sz w:val="20"/>
          <w:lang w:eastAsia="en-AU"/>
        </w:rPr>
        <w:t>-</w:t>
      </w:r>
      <w:r w:rsidRPr="00C23ECC">
        <w:rPr>
          <w:rFonts w:ascii="Arial" w:hAnsi="Arial" w:cs="Arial"/>
          <w:b/>
          <w:sz w:val="20"/>
          <w:lang w:eastAsia="en-AU"/>
        </w:rPr>
        <w:t>0</w:t>
      </w:r>
      <w:r w:rsidR="00C23ECC" w:rsidRPr="00C23ECC">
        <w:rPr>
          <w:rFonts w:ascii="Arial" w:hAnsi="Arial" w:cs="Arial"/>
          <w:b/>
          <w:sz w:val="20"/>
          <w:lang w:eastAsia="en-AU"/>
        </w:rPr>
        <w:t>42</w:t>
      </w:r>
      <w:r w:rsidR="001765DA" w:rsidRPr="002A5EC3">
        <w:rPr>
          <w:rFonts w:ascii="Arial" w:hAnsi="Arial" w:cs="Arial"/>
          <w:b/>
          <w:sz w:val="20"/>
          <w:lang w:eastAsia="en-AU"/>
        </w:rPr>
        <w:t>:</w:t>
      </w:r>
      <w:r w:rsidR="002974BC" w:rsidRPr="002A5EC3">
        <w:rPr>
          <w:rFonts w:ascii="Arial" w:hAnsi="Arial" w:cs="Arial"/>
          <w:b/>
          <w:sz w:val="20"/>
          <w:lang w:eastAsia="en-AU"/>
        </w:rPr>
        <w:t xml:space="preserve"> </w:t>
      </w:r>
      <w:bookmarkStart w:id="0" w:name="OLE_LINK1"/>
      <w:bookmarkStart w:id="1" w:name="OLE_LINK2"/>
      <w:r w:rsidR="00C23ECC" w:rsidRPr="00C23ECC">
        <w:rPr>
          <w:rFonts w:ascii="Arial" w:hAnsi="Arial" w:cs="Arial"/>
          <w:b/>
          <w:sz w:val="20"/>
          <w:lang w:eastAsia="en-AU"/>
        </w:rPr>
        <w:t>Development of new natural gas acreage in Surat Basin</w:t>
      </w:r>
      <w:r w:rsidR="00C23ECC">
        <w:rPr>
          <w:rFonts w:ascii="Arial" w:hAnsi="Arial" w:cs="Arial"/>
          <w:b/>
          <w:sz w:val="20"/>
          <w:lang w:eastAsia="en-AU"/>
        </w:rPr>
        <w:t>, Queensland (The Surat North Development)</w:t>
      </w:r>
      <w:r w:rsidR="00C23ECC" w:rsidRPr="00C23ECC">
        <w:rPr>
          <w:rFonts w:ascii="Arial" w:hAnsi="Arial" w:cs="Arial"/>
          <w:b/>
          <w:sz w:val="20"/>
          <w:lang w:eastAsia="en-AU"/>
        </w:rPr>
        <w:t xml:space="preserve"> </w:t>
      </w:r>
      <w:bookmarkEnd w:id="0"/>
      <w:bookmarkEnd w:id="1"/>
      <w:r w:rsidR="00D83AAD">
        <w:rPr>
          <w:rFonts w:ascii="Arial" w:hAnsi="Arial" w:cs="Arial"/>
          <w:b/>
          <w:sz w:val="20"/>
          <w:lang w:eastAsia="en-AU"/>
        </w:rPr>
        <w:t>(</w:t>
      </w:r>
      <w:r w:rsidR="00D83AAD" w:rsidRPr="002A5EC3">
        <w:rPr>
          <w:rFonts w:ascii="Arial" w:hAnsi="Arial" w:cs="Arial"/>
          <w:b/>
          <w:sz w:val="20"/>
          <w:lang w:eastAsia="en-AU"/>
        </w:rPr>
        <w:t>EPBC</w:t>
      </w:r>
      <w:r w:rsidR="001B5AA3">
        <w:rPr>
          <w:rFonts w:ascii="Arial" w:hAnsi="Arial" w:cs="Arial"/>
          <w:b/>
          <w:sz w:val="20"/>
          <w:lang w:eastAsia="en-AU"/>
        </w:rPr>
        <w:t xml:space="preserve"> </w:t>
      </w:r>
      <w:r w:rsidR="00C23ECC">
        <w:rPr>
          <w:rFonts w:ascii="Arial" w:hAnsi="Arial" w:cs="Arial"/>
          <w:b/>
          <w:sz w:val="20"/>
          <w:lang w:eastAsia="en-AU"/>
        </w:rPr>
        <w:t>2013/7047</w:t>
      </w:r>
      <w:r w:rsidR="00D83AAD" w:rsidRPr="00D83AAD">
        <w:rPr>
          <w:rFonts w:ascii="Arial" w:hAnsi="Arial" w:cs="Arial"/>
          <w:b/>
          <w:sz w:val="20"/>
          <w:lang w:eastAsia="en-AU"/>
        </w:rPr>
        <w:t>)</w:t>
      </w:r>
      <w:r w:rsidR="00366673">
        <w:rPr>
          <w:rFonts w:ascii="Arial" w:hAnsi="Arial" w:cs="Arial"/>
          <w:b/>
          <w:sz w:val="20"/>
          <w:lang w:eastAsia="en-AU"/>
        </w:rPr>
        <w:t xml:space="preserve"> – 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3E2BDB" w:rsidRPr="00C43084" w:rsidRDefault="00B1520C" w:rsidP="00C43084">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 xml:space="preserve">Department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Pr="00C43084">
              <w:rPr>
                <w:rFonts w:ascii="Arial" w:hAnsi="Arial" w:cs="Arial"/>
                <w:sz w:val="20"/>
                <w:szCs w:val="20"/>
              </w:rPr>
              <w:t xml:space="preserve"> </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C23ECC" w:rsidP="00BB15DB">
            <w:pPr>
              <w:spacing w:line="276" w:lineRule="auto"/>
              <w:rPr>
                <w:rFonts w:ascii="Arial" w:hAnsi="Arial" w:cs="Arial"/>
                <w:sz w:val="20"/>
                <w:szCs w:val="20"/>
              </w:rPr>
            </w:pPr>
            <w:r>
              <w:rPr>
                <w:rFonts w:ascii="Arial" w:hAnsi="Arial" w:cs="Arial"/>
                <w:sz w:val="20"/>
                <w:szCs w:val="20"/>
              </w:rPr>
              <w:t>28</w:t>
            </w:r>
            <w:r w:rsidR="00A10BAB" w:rsidRPr="002A5EC3">
              <w:rPr>
                <w:rFonts w:ascii="Arial" w:hAnsi="Arial" w:cs="Arial"/>
                <w:sz w:val="20"/>
                <w:szCs w:val="20"/>
              </w:rPr>
              <w:t xml:space="preserve"> </w:t>
            </w:r>
            <w:r>
              <w:rPr>
                <w:rFonts w:ascii="Arial" w:hAnsi="Arial" w:cs="Arial"/>
                <w:sz w:val="20"/>
                <w:szCs w:val="20"/>
              </w:rPr>
              <w:t>February</w:t>
            </w:r>
            <w:r w:rsidR="00A10BAB" w:rsidRPr="002A5EC3">
              <w:rPr>
                <w:rFonts w:ascii="Arial" w:hAnsi="Arial" w:cs="Arial"/>
                <w:sz w:val="20"/>
                <w:szCs w:val="20"/>
              </w:rPr>
              <w:t xml:space="preserve"> </w:t>
            </w:r>
            <w:r w:rsidR="00716583" w:rsidRPr="002A5EC3">
              <w:rPr>
                <w:rFonts w:ascii="Arial" w:hAnsi="Arial" w:cs="Arial"/>
                <w:sz w:val="20"/>
                <w:szCs w:val="20"/>
              </w:rPr>
              <w:t>201</w:t>
            </w:r>
            <w:r>
              <w:rPr>
                <w:rFonts w:ascii="Arial" w:hAnsi="Arial" w:cs="Arial"/>
                <w:sz w:val="20"/>
                <w:szCs w:val="20"/>
              </w:rPr>
              <w:t>4</w:t>
            </w:r>
            <w:r w:rsidR="00E21678" w:rsidRPr="002A5EC3">
              <w:rPr>
                <w:rFonts w:ascii="Arial" w:hAnsi="Arial" w:cs="Arial"/>
                <w:b/>
                <w:color w:val="FF0000"/>
                <w:sz w:val="20"/>
                <w:szCs w:val="20"/>
              </w:rPr>
              <w:t xml:space="preserve"> </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BB15DB" w:rsidP="00BB15DB">
            <w:pPr>
              <w:spacing w:line="276" w:lineRule="auto"/>
              <w:rPr>
                <w:rFonts w:ascii="Arial" w:hAnsi="Arial" w:cs="Arial"/>
                <w:color w:val="FF0000"/>
                <w:sz w:val="20"/>
                <w:szCs w:val="20"/>
              </w:rPr>
            </w:pPr>
            <w:r>
              <w:rPr>
                <w:rFonts w:ascii="Arial" w:hAnsi="Arial" w:cs="Arial"/>
                <w:sz w:val="20"/>
                <w:szCs w:val="20"/>
              </w:rPr>
              <w:t xml:space="preserve">03 March </w:t>
            </w:r>
            <w:r w:rsidR="00185039" w:rsidRPr="002A5EC3">
              <w:rPr>
                <w:rFonts w:ascii="Arial" w:hAnsi="Arial" w:cs="Arial"/>
                <w:sz w:val="20"/>
                <w:szCs w:val="20"/>
              </w:rPr>
              <w:t>201</w:t>
            </w:r>
            <w:r>
              <w:rPr>
                <w:rFonts w:ascii="Arial" w:hAnsi="Arial" w:cs="Arial"/>
                <w:sz w:val="20"/>
                <w:szCs w:val="20"/>
              </w:rPr>
              <w:t>4</w:t>
            </w:r>
            <w:r w:rsidR="00185039" w:rsidRPr="002A5EC3">
              <w:rPr>
                <w:rFonts w:ascii="Arial" w:hAnsi="Arial" w:cs="Arial"/>
                <w:b/>
                <w:sz w:val="20"/>
                <w:lang w:eastAsia="en-AU"/>
              </w:rPr>
              <w:t xml:space="preserve"> </w:t>
            </w:r>
          </w:p>
        </w:tc>
      </w:tr>
      <w:tr w:rsidR="00062A46" w:rsidRPr="002A5EC3" w:rsidTr="001B5AA3">
        <w:trPr>
          <w:trHeight w:val="32"/>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Pr="00B451D3" w:rsidRDefault="00062A46" w:rsidP="001B5AA3">
            <w:pPr>
              <w:spacing w:line="276" w:lineRule="auto"/>
              <w:rPr>
                <w:rFonts w:ascii="Arial" w:hAnsi="Arial" w:cs="Arial"/>
                <w:sz w:val="20"/>
                <w:szCs w:val="20"/>
                <w:lang w:eastAsia="en-AU"/>
              </w:rPr>
            </w:pPr>
            <w:r w:rsidRPr="001B5AA3">
              <w:rPr>
                <w:rFonts w:ascii="Arial" w:hAnsi="Arial" w:cs="Arial"/>
                <w:sz w:val="20"/>
                <w:szCs w:val="20"/>
              </w:rPr>
              <w:t>Assessment</w:t>
            </w:r>
          </w:p>
        </w:tc>
      </w:tr>
    </w:tbl>
    <w:p w:rsidR="007203C3" w:rsidRDefault="007203C3" w:rsidP="003E76A1">
      <w:pPr>
        <w:pStyle w:val="tablelabel"/>
        <w:spacing w:before="200" w:after="200" w:line="276" w:lineRule="auto"/>
        <w:rPr>
          <w:rFonts w:cs="Arial"/>
          <w:sz w:val="20"/>
        </w:rPr>
      </w:pPr>
      <w:r w:rsidRPr="00F37C48">
        <w:rPr>
          <w:rFonts w:cs="Arial"/>
          <w:sz w:val="20"/>
        </w:rPr>
        <w:t>Advice</w:t>
      </w:r>
    </w:p>
    <w:p w:rsidR="007203C3" w:rsidRDefault="007203C3" w:rsidP="003E76A1">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bookmarkStart w:id="2" w:name="OLE_LINK3"/>
      <w:bookmarkStart w:id="3" w:name="OLE_LINK4"/>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bookmarkEnd w:id="2"/>
      <w:bookmarkEnd w:id="3"/>
      <w:r w:rsidRPr="002A5EC3">
        <w:rPr>
          <w:rFonts w:ascii="Arial" w:hAnsi="Arial" w:cs="Arial"/>
          <w:sz w:val="20"/>
          <w:szCs w:val="20"/>
        </w:rPr>
        <w:t xml:space="preserve">(the </w:t>
      </w:r>
      <w:r w:rsidR="00DF7571">
        <w:rPr>
          <w:rFonts w:ascii="Arial" w:hAnsi="Arial" w:cs="Arial"/>
          <w:sz w:val="20"/>
          <w:szCs w:val="20"/>
        </w:rPr>
        <w:t>IESC</w:t>
      </w:r>
      <w:r w:rsidRPr="002A5EC3">
        <w:rPr>
          <w:rFonts w:ascii="Arial" w:hAnsi="Arial" w:cs="Arial"/>
          <w:sz w:val="20"/>
          <w:szCs w:val="20"/>
        </w:rPr>
        <w:t xml:space="preserve">) </w:t>
      </w:r>
      <w:r w:rsidRPr="00CC2B33">
        <w:rPr>
          <w:rFonts w:ascii="Arial" w:hAnsi="Arial" w:cs="Arial"/>
          <w:sz w:val="20"/>
          <w:szCs w:val="20"/>
        </w:rPr>
        <w:t xml:space="preserve">was requested </w:t>
      </w:r>
      <w:r w:rsidR="00D10C4C">
        <w:rPr>
          <w:rFonts w:ascii="Arial" w:hAnsi="Arial" w:cs="Arial"/>
          <w:sz w:val="20"/>
          <w:szCs w:val="20"/>
        </w:rPr>
        <w:t xml:space="preserve">by </w:t>
      </w:r>
      <w:r w:rsidR="00DF7571" w:rsidRPr="00DF7571">
        <w:rPr>
          <w:rFonts w:ascii="Arial" w:hAnsi="Arial" w:cs="Arial"/>
          <w:sz w:val="20"/>
          <w:szCs w:val="20"/>
        </w:rPr>
        <w:t>the</w:t>
      </w:r>
      <w:r w:rsidR="00C43084">
        <w:rPr>
          <w:rFonts w:ascii="Arial" w:hAnsi="Arial" w:cs="Arial"/>
          <w:sz w:val="20"/>
          <w:szCs w:val="20"/>
        </w:rPr>
        <w:t xml:space="preserve"> Australian Government</w:t>
      </w:r>
      <w:r w:rsidR="00D10C4C" w:rsidRPr="00D10C4C">
        <w:rPr>
          <w:rFonts w:ascii="Arial" w:hAnsi="Arial" w:cs="Arial"/>
          <w:sz w:val="20"/>
          <w:szCs w:val="20"/>
        </w:rPr>
        <w:t xml:space="preserve"> Department of </w:t>
      </w:r>
      <w:r w:rsidR="00D10C4C">
        <w:rPr>
          <w:rFonts w:ascii="Arial" w:hAnsi="Arial" w:cs="Arial"/>
          <w:sz w:val="20"/>
          <w:szCs w:val="20"/>
        </w:rPr>
        <w:t xml:space="preserve">the </w:t>
      </w:r>
      <w:r w:rsidR="00D10C4C" w:rsidRPr="00D10C4C">
        <w:rPr>
          <w:rFonts w:ascii="Arial" w:hAnsi="Arial" w:cs="Arial"/>
          <w:sz w:val="20"/>
          <w:szCs w:val="20"/>
        </w:rPr>
        <w:t xml:space="preserve">Environment </w:t>
      </w:r>
      <w:r w:rsidRPr="00CC2B33">
        <w:rPr>
          <w:rFonts w:ascii="Arial" w:hAnsi="Arial" w:cs="Arial"/>
          <w:sz w:val="20"/>
          <w:szCs w:val="20"/>
        </w:rPr>
        <w:t xml:space="preserve">to provide advice on the </w:t>
      </w:r>
      <w:r w:rsidR="001B5AA3">
        <w:rPr>
          <w:rFonts w:ascii="Arial" w:hAnsi="Arial" w:cs="Arial"/>
          <w:sz w:val="20"/>
          <w:szCs w:val="20"/>
        </w:rPr>
        <w:t>d</w:t>
      </w:r>
      <w:r w:rsidR="00DF7571" w:rsidRPr="00DF7571">
        <w:rPr>
          <w:rFonts w:ascii="Arial" w:hAnsi="Arial" w:cs="Arial"/>
          <w:sz w:val="20"/>
          <w:szCs w:val="20"/>
        </w:rPr>
        <w:t xml:space="preserve">evelopment of new natural gas acreage in Surat Basin, Queensland (The Surat North Development) </w:t>
      </w:r>
      <w:r w:rsidRPr="00CC2B33">
        <w:rPr>
          <w:rFonts w:ascii="Arial" w:hAnsi="Arial" w:cs="Arial"/>
          <w:sz w:val="20"/>
          <w:szCs w:val="20"/>
        </w:rPr>
        <w:t xml:space="preserve">in </w:t>
      </w:r>
      <w:r w:rsidR="00DF7571" w:rsidRPr="00DF7571">
        <w:rPr>
          <w:rFonts w:ascii="Arial" w:hAnsi="Arial" w:cs="Arial"/>
          <w:sz w:val="20"/>
          <w:szCs w:val="20"/>
        </w:rPr>
        <w:t>Queensland</w:t>
      </w:r>
      <w:r w:rsidR="00D10C4C" w:rsidRPr="00D10C4C">
        <w:rPr>
          <w:rFonts w:ascii="Arial" w:hAnsi="Arial" w:cs="Arial"/>
          <w:sz w:val="20"/>
          <w:szCs w:val="20"/>
        </w:rPr>
        <w:t>.</w:t>
      </w:r>
    </w:p>
    <w:p w:rsidR="007203C3" w:rsidRPr="00CC2B33" w:rsidRDefault="007203C3" w:rsidP="003E76A1">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sidR="00DF7571" w:rsidRPr="00DF7571">
        <w:rPr>
          <w:rFonts w:ascii="Arial" w:hAnsi="Arial" w:cs="Arial"/>
          <w:sz w:val="20"/>
          <w:szCs w:val="20"/>
        </w:rPr>
        <w:t>Preliminary D</w:t>
      </w:r>
      <w:r w:rsidRPr="00DF7571">
        <w:rPr>
          <w:rFonts w:ascii="Arial" w:hAnsi="Arial" w:cs="Arial"/>
          <w:sz w:val="20"/>
          <w:szCs w:val="20"/>
        </w:rPr>
        <w:t>ocumentation</w:t>
      </w:r>
      <w:r w:rsidRPr="00CC2B33">
        <w:rPr>
          <w:rFonts w:ascii="Arial" w:hAnsi="Arial" w:cs="Arial"/>
          <w:sz w:val="20"/>
          <w:szCs w:val="20"/>
        </w:rPr>
        <w:t xml:space="preserve">, together with the expert deliberations of the </w:t>
      </w:r>
      <w:r w:rsidR="00DF7571">
        <w:rPr>
          <w:rFonts w:ascii="Arial" w:hAnsi="Arial" w:cs="Arial"/>
          <w:sz w:val="20"/>
          <w:szCs w:val="20"/>
        </w:rPr>
        <w:t>IESC</w:t>
      </w:r>
      <w:r w:rsidRPr="00CC2B33">
        <w:rPr>
          <w:rFonts w:ascii="Arial" w:hAnsi="Arial" w:cs="Arial"/>
          <w:sz w:val="20"/>
          <w:szCs w:val="20"/>
        </w:rPr>
        <w:t xml:space="preserve">. The </w:t>
      </w:r>
      <w:r w:rsidRPr="00DC4E2E">
        <w:rPr>
          <w:rFonts w:ascii="Arial" w:hAnsi="Arial" w:cs="Arial"/>
          <w:sz w:val="20"/>
          <w:szCs w:val="20"/>
        </w:rPr>
        <w:t xml:space="preserve">project documentation </w:t>
      </w:r>
      <w:r w:rsidRPr="00CC2B33">
        <w:rPr>
          <w:rFonts w:ascii="Arial" w:hAnsi="Arial" w:cs="Arial"/>
          <w:sz w:val="20"/>
          <w:szCs w:val="20"/>
        </w:rPr>
        <w:t xml:space="preserve">and information accessed by the </w:t>
      </w:r>
      <w:r w:rsidR="00DF7571">
        <w:rPr>
          <w:rFonts w:ascii="Arial" w:hAnsi="Arial" w:cs="Arial"/>
          <w:sz w:val="20"/>
          <w:szCs w:val="20"/>
        </w:rPr>
        <w:t>IESC</w:t>
      </w:r>
      <w:r w:rsidRPr="00CC2B33">
        <w:rPr>
          <w:rFonts w:ascii="Arial" w:hAnsi="Arial" w:cs="Arial"/>
          <w:sz w:val="20"/>
          <w:szCs w:val="20"/>
        </w:rPr>
        <w:t xml:space="preserve"> are listed in the source documentation at the end of this advice.</w:t>
      </w:r>
    </w:p>
    <w:p w:rsidR="00103936" w:rsidRDefault="00103936" w:rsidP="003E76A1">
      <w:pPr>
        <w:autoSpaceDE w:val="0"/>
        <w:autoSpaceDN w:val="0"/>
        <w:adjustRightInd w:val="0"/>
        <w:spacing w:after="200" w:line="276" w:lineRule="auto"/>
        <w:rPr>
          <w:rFonts w:ascii="Arial" w:hAnsi="Arial" w:cs="Arial"/>
          <w:sz w:val="20"/>
          <w:szCs w:val="20"/>
        </w:rPr>
      </w:pPr>
      <w:r w:rsidRPr="00103936">
        <w:rPr>
          <w:rFonts w:ascii="Arial" w:hAnsi="Arial" w:cs="Arial"/>
          <w:sz w:val="20"/>
          <w:szCs w:val="20"/>
        </w:rPr>
        <w:t>The development area lies approximately 400</w:t>
      </w:r>
      <w:r w:rsidR="001B5AA3">
        <w:rPr>
          <w:rFonts w:ascii="Arial" w:hAnsi="Arial" w:cs="Arial"/>
          <w:sz w:val="20"/>
          <w:szCs w:val="20"/>
        </w:rPr>
        <w:t xml:space="preserve"> </w:t>
      </w:r>
      <w:r w:rsidRPr="00103936">
        <w:rPr>
          <w:rFonts w:ascii="Arial" w:hAnsi="Arial" w:cs="Arial"/>
          <w:sz w:val="20"/>
          <w:szCs w:val="20"/>
        </w:rPr>
        <w:t>km west of Brisbane and 20</w:t>
      </w:r>
      <w:r w:rsidR="001B5AA3">
        <w:rPr>
          <w:rFonts w:ascii="Arial" w:hAnsi="Arial" w:cs="Arial"/>
          <w:sz w:val="20"/>
          <w:szCs w:val="20"/>
        </w:rPr>
        <w:t xml:space="preserve"> </w:t>
      </w:r>
      <w:r w:rsidRPr="00103936">
        <w:rPr>
          <w:rFonts w:ascii="Arial" w:hAnsi="Arial" w:cs="Arial"/>
          <w:sz w:val="20"/>
          <w:szCs w:val="20"/>
        </w:rPr>
        <w:t xml:space="preserve">km east </w:t>
      </w:r>
      <w:r w:rsidR="00292B7D">
        <w:rPr>
          <w:rFonts w:ascii="Arial" w:hAnsi="Arial" w:cs="Arial"/>
          <w:sz w:val="20"/>
          <w:szCs w:val="20"/>
        </w:rPr>
        <w:t xml:space="preserve">of </w:t>
      </w:r>
      <w:r w:rsidRPr="00103936">
        <w:rPr>
          <w:rFonts w:ascii="Arial" w:hAnsi="Arial" w:cs="Arial"/>
          <w:sz w:val="20"/>
          <w:szCs w:val="20"/>
        </w:rPr>
        <w:t>W</w:t>
      </w:r>
      <w:r>
        <w:rPr>
          <w:rFonts w:ascii="Arial" w:hAnsi="Arial" w:cs="Arial"/>
          <w:sz w:val="20"/>
          <w:szCs w:val="20"/>
        </w:rPr>
        <w:t>andoan, within the Surat Basin</w:t>
      </w:r>
      <w:r w:rsidRPr="00103936">
        <w:rPr>
          <w:rFonts w:ascii="Arial" w:hAnsi="Arial" w:cs="Arial"/>
          <w:sz w:val="20"/>
          <w:szCs w:val="20"/>
        </w:rPr>
        <w:t>.</w:t>
      </w:r>
      <w:r w:rsidR="001B5AA3">
        <w:rPr>
          <w:rFonts w:ascii="Arial" w:hAnsi="Arial" w:cs="Arial"/>
          <w:sz w:val="20"/>
          <w:szCs w:val="20"/>
        </w:rPr>
        <w:t xml:space="preserve"> </w:t>
      </w:r>
      <w:r w:rsidRPr="00103936">
        <w:rPr>
          <w:rFonts w:ascii="Arial" w:hAnsi="Arial" w:cs="Arial"/>
          <w:sz w:val="20"/>
          <w:szCs w:val="20"/>
        </w:rPr>
        <w:t>The development area is located in the upper Dawson Catchment, a sub-catchment of th</w:t>
      </w:r>
      <w:r>
        <w:rPr>
          <w:rFonts w:ascii="Arial" w:hAnsi="Arial" w:cs="Arial"/>
          <w:sz w:val="20"/>
          <w:szCs w:val="20"/>
        </w:rPr>
        <w:t>e Fitzroy River drainage basin</w:t>
      </w:r>
      <w:r w:rsidRPr="00103936">
        <w:rPr>
          <w:rFonts w:ascii="Arial" w:hAnsi="Arial" w:cs="Arial"/>
          <w:sz w:val="20"/>
          <w:szCs w:val="20"/>
        </w:rPr>
        <w:t>.</w:t>
      </w:r>
      <w:r w:rsidR="001C46C2">
        <w:rPr>
          <w:rFonts w:ascii="Arial" w:hAnsi="Arial" w:cs="Arial"/>
          <w:sz w:val="20"/>
          <w:szCs w:val="20"/>
        </w:rPr>
        <w:t xml:space="preserve"> </w:t>
      </w:r>
      <w:r w:rsidRPr="00103936">
        <w:rPr>
          <w:rFonts w:ascii="Arial" w:hAnsi="Arial" w:cs="Arial"/>
          <w:sz w:val="20"/>
          <w:szCs w:val="20"/>
        </w:rPr>
        <w:t xml:space="preserve">The proposed development </w:t>
      </w:r>
      <w:r w:rsidR="00676F8E">
        <w:rPr>
          <w:rFonts w:ascii="Arial" w:hAnsi="Arial" w:cs="Arial"/>
          <w:sz w:val="20"/>
          <w:szCs w:val="20"/>
        </w:rPr>
        <w:t>is for the</w:t>
      </w:r>
      <w:r w:rsidRPr="00103936">
        <w:rPr>
          <w:rFonts w:ascii="Arial" w:hAnsi="Arial" w:cs="Arial"/>
          <w:sz w:val="20"/>
          <w:szCs w:val="20"/>
        </w:rPr>
        <w:t xml:space="preserve"> drilling and completion of </w:t>
      </w:r>
      <w:r w:rsidR="00676F8E">
        <w:rPr>
          <w:rFonts w:ascii="Arial" w:hAnsi="Arial" w:cs="Arial"/>
          <w:sz w:val="20"/>
          <w:szCs w:val="20"/>
        </w:rPr>
        <w:t xml:space="preserve">a maximum of 400 wells </w:t>
      </w:r>
      <w:r w:rsidRPr="00103936">
        <w:rPr>
          <w:rFonts w:ascii="Arial" w:hAnsi="Arial" w:cs="Arial"/>
          <w:sz w:val="20"/>
          <w:szCs w:val="20"/>
        </w:rPr>
        <w:t>gas wells</w:t>
      </w:r>
      <w:r w:rsidR="00676F8E">
        <w:rPr>
          <w:rFonts w:ascii="Arial" w:hAnsi="Arial" w:cs="Arial"/>
          <w:sz w:val="20"/>
          <w:szCs w:val="20"/>
        </w:rPr>
        <w:t xml:space="preserve"> (spaced approximately 750</w:t>
      </w:r>
      <w:r w:rsidR="001B5AA3">
        <w:rPr>
          <w:rFonts w:ascii="Arial" w:hAnsi="Arial" w:cs="Arial"/>
          <w:sz w:val="20"/>
          <w:szCs w:val="20"/>
        </w:rPr>
        <w:t xml:space="preserve"> </w:t>
      </w:r>
      <w:r w:rsidR="00676F8E">
        <w:rPr>
          <w:rFonts w:ascii="Arial" w:hAnsi="Arial" w:cs="Arial"/>
          <w:sz w:val="20"/>
          <w:szCs w:val="20"/>
        </w:rPr>
        <w:t>m)</w:t>
      </w:r>
      <w:r w:rsidRPr="00103936">
        <w:rPr>
          <w:rFonts w:ascii="Arial" w:hAnsi="Arial" w:cs="Arial"/>
          <w:sz w:val="20"/>
          <w:szCs w:val="20"/>
        </w:rPr>
        <w:t>, construction of water management infrastructure, installation of well-site facilities, in-field compression and other associated infra</w:t>
      </w:r>
      <w:r>
        <w:rPr>
          <w:rFonts w:ascii="Arial" w:hAnsi="Arial" w:cs="Arial"/>
          <w:sz w:val="20"/>
          <w:szCs w:val="20"/>
        </w:rPr>
        <w:t>structure</w:t>
      </w:r>
      <w:r w:rsidRPr="00103936">
        <w:rPr>
          <w:rFonts w:ascii="Arial" w:hAnsi="Arial" w:cs="Arial"/>
          <w:sz w:val="20"/>
          <w:szCs w:val="20"/>
        </w:rPr>
        <w:t xml:space="preserve">. </w:t>
      </w:r>
    </w:p>
    <w:p w:rsidR="009B7F9E" w:rsidRDefault="00676F8E" w:rsidP="003E76A1">
      <w:pPr>
        <w:autoSpaceDE w:val="0"/>
        <w:autoSpaceDN w:val="0"/>
        <w:adjustRightInd w:val="0"/>
        <w:spacing w:after="200" w:line="276" w:lineRule="auto"/>
        <w:rPr>
          <w:rFonts w:ascii="Arial" w:hAnsi="Arial" w:cs="Arial"/>
          <w:sz w:val="20"/>
          <w:szCs w:val="20"/>
        </w:rPr>
      </w:pPr>
      <w:r>
        <w:rPr>
          <w:rFonts w:ascii="Arial" w:hAnsi="Arial" w:cs="Arial"/>
          <w:sz w:val="20"/>
          <w:szCs w:val="20"/>
        </w:rPr>
        <w:t>T</w:t>
      </w:r>
      <w:r w:rsidR="00103936" w:rsidRPr="00103936">
        <w:rPr>
          <w:rFonts w:ascii="Arial" w:hAnsi="Arial" w:cs="Arial"/>
          <w:sz w:val="20"/>
          <w:szCs w:val="20"/>
        </w:rPr>
        <w:t xml:space="preserve">he total </w:t>
      </w:r>
      <w:r w:rsidR="002E48F4">
        <w:rPr>
          <w:rFonts w:ascii="Arial" w:hAnsi="Arial" w:cs="Arial"/>
          <w:sz w:val="20"/>
          <w:szCs w:val="20"/>
        </w:rPr>
        <w:t>coal seam gas (</w:t>
      </w:r>
      <w:r w:rsidR="00103936" w:rsidRPr="00103936">
        <w:rPr>
          <w:rFonts w:ascii="Arial" w:hAnsi="Arial" w:cs="Arial"/>
          <w:sz w:val="20"/>
          <w:szCs w:val="20"/>
        </w:rPr>
        <w:t>CSG</w:t>
      </w:r>
      <w:r w:rsidR="002E48F4">
        <w:rPr>
          <w:rFonts w:ascii="Arial" w:hAnsi="Arial" w:cs="Arial"/>
          <w:sz w:val="20"/>
          <w:szCs w:val="20"/>
        </w:rPr>
        <w:t>)</w:t>
      </w:r>
      <w:r w:rsidR="00103936" w:rsidRPr="00103936">
        <w:rPr>
          <w:rFonts w:ascii="Arial" w:hAnsi="Arial" w:cs="Arial"/>
          <w:sz w:val="20"/>
          <w:szCs w:val="20"/>
        </w:rPr>
        <w:t xml:space="preserve"> water abstraction from </w:t>
      </w:r>
      <w:r w:rsidR="00D17A48">
        <w:rPr>
          <w:rFonts w:ascii="Arial" w:hAnsi="Arial" w:cs="Arial"/>
          <w:sz w:val="20"/>
          <w:szCs w:val="20"/>
        </w:rPr>
        <w:t>the wells is estimated to be 35</w:t>
      </w:r>
      <w:r w:rsidR="002E48F4">
        <w:rPr>
          <w:rFonts w:ascii="Arial" w:hAnsi="Arial" w:cs="Arial"/>
          <w:sz w:val="20"/>
          <w:szCs w:val="20"/>
        </w:rPr>
        <w:t xml:space="preserve"> </w:t>
      </w:r>
      <w:r w:rsidR="00103936" w:rsidRPr="00103936">
        <w:rPr>
          <w:rFonts w:ascii="Arial" w:hAnsi="Arial" w:cs="Arial"/>
          <w:sz w:val="20"/>
          <w:szCs w:val="20"/>
        </w:rPr>
        <w:t>GL over the life of the project</w:t>
      </w:r>
      <w:r w:rsidR="00FB3569">
        <w:rPr>
          <w:rFonts w:ascii="Arial" w:hAnsi="Arial" w:cs="Arial"/>
          <w:sz w:val="20"/>
          <w:szCs w:val="20"/>
        </w:rPr>
        <w:t>, estimated at</w:t>
      </w:r>
      <w:r>
        <w:rPr>
          <w:rFonts w:ascii="Arial" w:hAnsi="Arial" w:cs="Arial"/>
          <w:sz w:val="20"/>
          <w:szCs w:val="20"/>
        </w:rPr>
        <w:t xml:space="preserve"> 30 years</w:t>
      </w:r>
      <w:r w:rsidR="00FB3569">
        <w:rPr>
          <w:rFonts w:ascii="Arial" w:hAnsi="Arial" w:cs="Arial"/>
          <w:sz w:val="20"/>
          <w:szCs w:val="20"/>
        </w:rPr>
        <w:t>,</w:t>
      </w:r>
      <w:r w:rsidR="00103936" w:rsidRPr="00103936">
        <w:rPr>
          <w:rFonts w:ascii="Arial" w:hAnsi="Arial" w:cs="Arial"/>
          <w:sz w:val="20"/>
          <w:szCs w:val="20"/>
        </w:rPr>
        <w:t xml:space="preserve"> CSG extraction water </w:t>
      </w:r>
      <w:r w:rsidR="000A29BC">
        <w:rPr>
          <w:rFonts w:ascii="Arial" w:hAnsi="Arial" w:cs="Arial"/>
          <w:sz w:val="20"/>
          <w:szCs w:val="20"/>
        </w:rPr>
        <w:t xml:space="preserve">will be </w:t>
      </w:r>
      <w:r w:rsidR="00103936" w:rsidRPr="00103936">
        <w:rPr>
          <w:rFonts w:ascii="Arial" w:hAnsi="Arial" w:cs="Arial"/>
          <w:sz w:val="20"/>
          <w:szCs w:val="20"/>
        </w:rPr>
        <w:t xml:space="preserve">supplied to the Woleebee Creek treatment plant facilities where it would </w:t>
      </w:r>
      <w:r>
        <w:rPr>
          <w:rFonts w:ascii="Arial" w:hAnsi="Arial" w:cs="Arial"/>
          <w:sz w:val="20"/>
          <w:szCs w:val="20"/>
        </w:rPr>
        <w:t xml:space="preserve">be treated and </w:t>
      </w:r>
      <w:r w:rsidR="00103936" w:rsidRPr="00103936">
        <w:rPr>
          <w:rFonts w:ascii="Arial" w:hAnsi="Arial" w:cs="Arial"/>
          <w:sz w:val="20"/>
          <w:szCs w:val="20"/>
        </w:rPr>
        <w:t>released into t</w:t>
      </w:r>
      <w:r w:rsidR="001B5AA3">
        <w:rPr>
          <w:rFonts w:ascii="Arial" w:hAnsi="Arial" w:cs="Arial"/>
          <w:sz w:val="20"/>
          <w:szCs w:val="20"/>
        </w:rPr>
        <w:t>he Dawson River at Glebe weir.</w:t>
      </w:r>
    </w:p>
    <w:p w:rsidR="009B7F9E" w:rsidRDefault="009B7F9E" w:rsidP="003E76A1">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IESC observes that while this </w:t>
      </w:r>
      <w:r w:rsidR="0092714B">
        <w:rPr>
          <w:rFonts w:ascii="Arial" w:hAnsi="Arial" w:cs="Arial"/>
          <w:sz w:val="20"/>
          <w:szCs w:val="20"/>
        </w:rPr>
        <w:t>proposed project</w:t>
      </w:r>
      <w:r>
        <w:rPr>
          <w:rFonts w:ascii="Arial" w:hAnsi="Arial" w:cs="Arial"/>
          <w:sz w:val="20"/>
          <w:szCs w:val="20"/>
        </w:rPr>
        <w:t xml:space="preserve"> has a relatively small number of CSG wells, it is over a large area</w:t>
      </w:r>
      <w:r w:rsidR="00B056D3">
        <w:rPr>
          <w:rFonts w:ascii="Arial" w:hAnsi="Arial" w:cs="Arial"/>
          <w:sz w:val="20"/>
          <w:szCs w:val="20"/>
        </w:rPr>
        <w:t xml:space="preserve"> and is</w:t>
      </w:r>
      <w:r>
        <w:rPr>
          <w:rFonts w:ascii="Arial" w:hAnsi="Arial" w:cs="Arial"/>
          <w:sz w:val="20"/>
          <w:szCs w:val="20"/>
        </w:rPr>
        <w:t xml:space="preserve"> located in </w:t>
      </w:r>
      <w:r w:rsidR="00B056D3">
        <w:rPr>
          <w:rFonts w:ascii="Arial" w:hAnsi="Arial" w:cs="Arial"/>
          <w:sz w:val="20"/>
          <w:szCs w:val="20"/>
        </w:rPr>
        <w:t>close proximity to a</w:t>
      </w:r>
      <w:r>
        <w:rPr>
          <w:rFonts w:ascii="Arial" w:hAnsi="Arial" w:cs="Arial"/>
          <w:sz w:val="20"/>
          <w:szCs w:val="20"/>
        </w:rPr>
        <w:t xml:space="preserve"> considerable number of </w:t>
      </w:r>
      <w:r w:rsidR="00B056D3">
        <w:rPr>
          <w:rFonts w:ascii="Arial" w:hAnsi="Arial" w:cs="Arial"/>
          <w:sz w:val="20"/>
          <w:szCs w:val="20"/>
        </w:rPr>
        <w:t xml:space="preserve">large </w:t>
      </w:r>
      <w:r>
        <w:rPr>
          <w:rFonts w:ascii="Arial" w:hAnsi="Arial" w:cs="Arial"/>
          <w:sz w:val="20"/>
          <w:szCs w:val="20"/>
        </w:rPr>
        <w:t>operations</w:t>
      </w:r>
      <w:r w:rsidR="00E83C0D">
        <w:rPr>
          <w:rFonts w:ascii="Arial" w:hAnsi="Arial" w:cs="Arial"/>
          <w:sz w:val="20"/>
          <w:szCs w:val="20"/>
        </w:rPr>
        <w:t>, springs</w:t>
      </w:r>
      <w:r w:rsidR="00E83C0D" w:rsidRPr="00E83C0D">
        <w:rPr>
          <w:rFonts w:ascii="Arial" w:hAnsi="Arial" w:cs="Arial"/>
          <w:i/>
          <w:sz w:val="20"/>
          <w:szCs w:val="20"/>
        </w:rPr>
        <w:t xml:space="preserve"> </w:t>
      </w:r>
      <w:r w:rsidR="00E83C0D" w:rsidRPr="00E83C0D">
        <w:rPr>
          <w:rFonts w:ascii="Arial" w:hAnsi="Arial" w:cs="Arial"/>
          <w:sz w:val="20"/>
          <w:szCs w:val="20"/>
        </w:rPr>
        <w:t xml:space="preserve">listed under the </w:t>
      </w:r>
      <w:r w:rsidR="002E48F4" w:rsidRPr="00E83C0D">
        <w:rPr>
          <w:rFonts w:ascii="Arial" w:hAnsi="Arial" w:cs="Arial"/>
          <w:i/>
          <w:sz w:val="20"/>
          <w:szCs w:val="20"/>
        </w:rPr>
        <w:t>Environment Protection and Biod</w:t>
      </w:r>
      <w:r w:rsidR="00E83C0D" w:rsidRPr="00E83C0D">
        <w:rPr>
          <w:rFonts w:ascii="Arial" w:hAnsi="Arial" w:cs="Arial"/>
          <w:i/>
          <w:sz w:val="20"/>
          <w:szCs w:val="20"/>
        </w:rPr>
        <w:t>iversity Conservation Act 1999</w:t>
      </w:r>
      <w:r w:rsidR="00905607">
        <w:rPr>
          <w:rFonts w:ascii="Arial" w:hAnsi="Arial" w:cs="Arial"/>
          <w:i/>
          <w:sz w:val="20"/>
          <w:szCs w:val="20"/>
        </w:rPr>
        <w:t xml:space="preserve"> </w:t>
      </w:r>
      <w:r w:rsidR="00905607">
        <w:rPr>
          <w:rFonts w:ascii="Arial" w:hAnsi="Arial" w:cs="Arial"/>
          <w:sz w:val="20"/>
          <w:szCs w:val="20"/>
        </w:rPr>
        <w:t>(EPBC Act)</w:t>
      </w:r>
      <w:r w:rsidR="00E83C0D">
        <w:rPr>
          <w:rFonts w:ascii="Arial" w:hAnsi="Arial" w:cs="Arial"/>
          <w:i/>
          <w:sz w:val="20"/>
          <w:szCs w:val="20"/>
        </w:rPr>
        <w:t xml:space="preserve"> </w:t>
      </w:r>
      <w:r w:rsidR="00F372EC">
        <w:rPr>
          <w:rFonts w:ascii="Arial" w:hAnsi="Arial" w:cs="Arial"/>
          <w:sz w:val="20"/>
          <w:szCs w:val="20"/>
        </w:rPr>
        <w:t xml:space="preserve">and </w:t>
      </w:r>
      <w:r w:rsidR="002E48F4">
        <w:rPr>
          <w:rFonts w:ascii="Arial" w:hAnsi="Arial" w:cs="Arial"/>
          <w:sz w:val="20"/>
          <w:szCs w:val="20"/>
        </w:rPr>
        <w:t>groundwater dependent ecosystems (</w:t>
      </w:r>
      <w:r w:rsidR="00F372EC">
        <w:rPr>
          <w:rFonts w:ascii="Arial" w:hAnsi="Arial" w:cs="Arial"/>
          <w:sz w:val="20"/>
          <w:szCs w:val="20"/>
        </w:rPr>
        <w:t>GDE</w:t>
      </w:r>
      <w:r w:rsidR="00E83C0D">
        <w:rPr>
          <w:rFonts w:ascii="Arial" w:hAnsi="Arial" w:cs="Arial"/>
          <w:sz w:val="20"/>
          <w:szCs w:val="20"/>
        </w:rPr>
        <w:t>s</w:t>
      </w:r>
      <w:r w:rsidR="002E48F4">
        <w:rPr>
          <w:rFonts w:ascii="Arial" w:hAnsi="Arial" w:cs="Arial"/>
          <w:sz w:val="20"/>
          <w:szCs w:val="20"/>
        </w:rPr>
        <w:t>)</w:t>
      </w:r>
      <w:r w:rsidR="00F372EC">
        <w:rPr>
          <w:rFonts w:ascii="Arial" w:hAnsi="Arial" w:cs="Arial"/>
          <w:sz w:val="20"/>
          <w:szCs w:val="20"/>
        </w:rPr>
        <w:t>.</w:t>
      </w:r>
    </w:p>
    <w:p w:rsidR="008F5830" w:rsidRPr="00103936" w:rsidRDefault="008F5830" w:rsidP="003E76A1">
      <w:pPr>
        <w:autoSpaceDE w:val="0"/>
        <w:autoSpaceDN w:val="0"/>
        <w:adjustRightInd w:val="0"/>
        <w:spacing w:after="200" w:line="276" w:lineRule="auto"/>
        <w:rPr>
          <w:rFonts w:ascii="Arial" w:hAnsi="Arial" w:cs="Arial"/>
          <w:sz w:val="20"/>
          <w:szCs w:val="20"/>
        </w:rPr>
      </w:pPr>
    </w:p>
    <w:p w:rsidR="00437340" w:rsidRDefault="00437340" w:rsidP="003E76A1">
      <w:pPr>
        <w:pStyle w:val="ListNumber"/>
        <w:numPr>
          <w:ilvl w:val="0"/>
          <w:numId w:val="0"/>
        </w:numPr>
        <w:spacing w:after="200" w:line="276" w:lineRule="auto"/>
        <w:outlineLvl w:val="3"/>
        <w:rPr>
          <w:rFonts w:ascii="Arial" w:hAnsi="Arial" w:cs="Arial"/>
          <w:sz w:val="20"/>
          <w:szCs w:val="20"/>
        </w:rPr>
      </w:pPr>
    </w:p>
    <w:p w:rsidR="007203C3" w:rsidRPr="00CC2B33" w:rsidRDefault="007203C3" w:rsidP="003E76A1">
      <w:pPr>
        <w:autoSpaceDE w:val="0"/>
        <w:autoSpaceDN w:val="0"/>
        <w:adjustRightInd w:val="0"/>
        <w:spacing w:after="200" w:line="276" w:lineRule="auto"/>
        <w:rPr>
          <w:rFonts w:ascii="Arial" w:hAnsi="Arial" w:cs="Arial"/>
          <w:sz w:val="20"/>
          <w:szCs w:val="20"/>
        </w:rPr>
      </w:pPr>
      <w:r w:rsidRPr="00843E18">
        <w:rPr>
          <w:rFonts w:ascii="Arial" w:hAnsi="Arial" w:cs="Arial"/>
          <w:sz w:val="20"/>
          <w:szCs w:val="20"/>
        </w:rPr>
        <w:lastRenderedPageBreak/>
        <w:t xml:space="preserve">The </w:t>
      </w:r>
      <w:r w:rsidR="00DF7571" w:rsidRPr="00843E18">
        <w:rPr>
          <w:rFonts w:ascii="Arial" w:hAnsi="Arial" w:cs="Arial"/>
          <w:sz w:val="20"/>
          <w:szCs w:val="20"/>
        </w:rPr>
        <w:t>IESC</w:t>
      </w:r>
      <w:r w:rsidRPr="00843E18">
        <w:rPr>
          <w:rFonts w:ascii="Arial" w:hAnsi="Arial" w:cs="Arial"/>
          <w:sz w:val="20"/>
          <w:szCs w:val="20"/>
        </w:rPr>
        <w:t>, in</w:t>
      </w:r>
      <w:r w:rsidRPr="00CC2B33">
        <w:rPr>
          <w:rFonts w:ascii="Arial" w:hAnsi="Arial" w:cs="Arial"/>
          <w:sz w:val="20"/>
          <w:szCs w:val="20"/>
        </w:rPr>
        <w:t xml:space="preserve"> line with its Information Guidelines</w:t>
      </w:r>
      <w:r w:rsidRPr="00CC2B33">
        <w:rPr>
          <w:rFonts w:ascii="Arial" w:hAnsi="Arial" w:cs="Arial"/>
          <w:sz w:val="20"/>
          <w:szCs w:val="20"/>
          <w:vertAlign w:val="superscript"/>
        </w:rPr>
        <w:t>1</w:t>
      </w:r>
      <w:r w:rsidRPr="00CC2B33">
        <w:rPr>
          <w:rFonts w:ascii="Arial" w:hAnsi="Arial" w:cs="Arial"/>
          <w:sz w:val="20"/>
          <w:szCs w:val="20"/>
        </w:rPr>
        <w:t xml:space="preserve">, has considered whether the </w:t>
      </w:r>
      <w:r w:rsidR="00CC693F" w:rsidRPr="00CC2B33">
        <w:rPr>
          <w:rFonts w:ascii="Arial" w:hAnsi="Arial" w:cs="Arial"/>
          <w:sz w:val="20"/>
          <w:szCs w:val="20"/>
        </w:rPr>
        <w:t xml:space="preserve">proposed project </w:t>
      </w:r>
      <w:r w:rsidRPr="00CC2B33">
        <w:rPr>
          <w:rFonts w:ascii="Arial" w:hAnsi="Arial" w:cs="Arial"/>
          <w:sz w:val="20"/>
          <w:szCs w:val="20"/>
        </w:rPr>
        <w:t>assessment has used the following:</w:t>
      </w:r>
    </w:p>
    <w:p w:rsidR="007203C3" w:rsidRPr="00CC2B33" w:rsidRDefault="007203C3" w:rsidP="003E76A1">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Relevant data and information: key conclusions</w:t>
      </w:r>
    </w:p>
    <w:p w:rsidR="00437340" w:rsidRPr="00437340" w:rsidRDefault="00437340" w:rsidP="00366673">
      <w:pPr>
        <w:spacing w:after="120" w:line="276" w:lineRule="auto"/>
        <w:rPr>
          <w:rFonts w:ascii="Arial" w:hAnsi="Arial" w:cs="Arial"/>
          <w:sz w:val="20"/>
          <w:szCs w:val="20"/>
        </w:rPr>
      </w:pPr>
      <w:r w:rsidRPr="00437340">
        <w:rPr>
          <w:rFonts w:ascii="Arial" w:hAnsi="Arial" w:cs="Arial"/>
          <w:sz w:val="20"/>
          <w:szCs w:val="20"/>
        </w:rPr>
        <w:t xml:space="preserve">The following data and information would enable potential impacts arising from the </w:t>
      </w:r>
      <w:r w:rsidR="0092714B">
        <w:rPr>
          <w:rFonts w:ascii="Arial" w:hAnsi="Arial" w:cs="Arial"/>
          <w:sz w:val="20"/>
          <w:szCs w:val="20"/>
        </w:rPr>
        <w:t>proposed project</w:t>
      </w:r>
      <w:r w:rsidRPr="00437340">
        <w:rPr>
          <w:rFonts w:ascii="Arial" w:hAnsi="Arial" w:cs="Arial"/>
          <w:sz w:val="20"/>
          <w:szCs w:val="20"/>
        </w:rPr>
        <w:t xml:space="preserve"> to be fully assessed:</w:t>
      </w:r>
    </w:p>
    <w:p w:rsidR="000E360F" w:rsidRPr="00437340" w:rsidRDefault="000E360F" w:rsidP="00366673">
      <w:pPr>
        <w:pStyle w:val="ListParagraph"/>
        <w:numPr>
          <w:ilvl w:val="0"/>
          <w:numId w:val="6"/>
        </w:numPr>
        <w:spacing w:after="120" w:line="276" w:lineRule="auto"/>
        <w:ind w:left="426"/>
        <w:rPr>
          <w:rFonts w:ascii="Arial" w:hAnsi="Arial" w:cs="Arial"/>
          <w:sz w:val="20"/>
          <w:szCs w:val="20"/>
        </w:rPr>
      </w:pPr>
      <w:r w:rsidRPr="00437340">
        <w:rPr>
          <w:rFonts w:ascii="Arial" w:hAnsi="Arial" w:cs="Arial"/>
          <w:sz w:val="20"/>
          <w:szCs w:val="20"/>
        </w:rPr>
        <w:t>Groundwater head maps, pre and post development, for the various hydrogeological units to verify the conceptual hydrogeological model.</w:t>
      </w:r>
    </w:p>
    <w:p w:rsidR="00437340" w:rsidRPr="00437340" w:rsidRDefault="00201679" w:rsidP="00366673">
      <w:pPr>
        <w:pStyle w:val="ListParagraph"/>
        <w:numPr>
          <w:ilvl w:val="0"/>
          <w:numId w:val="6"/>
        </w:numPr>
        <w:spacing w:after="120" w:line="276" w:lineRule="auto"/>
        <w:ind w:left="426"/>
        <w:rPr>
          <w:rFonts w:ascii="Arial" w:hAnsi="Arial" w:cs="Arial"/>
          <w:sz w:val="20"/>
          <w:szCs w:val="20"/>
        </w:rPr>
      </w:pPr>
      <w:r>
        <w:rPr>
          <w:rFonts w:ascii="Arial" w:hAnsi="Arial" w:cs="Arial"/>
          <w:sz w:val="20"/>
          <w:szCs w:val="20"/>
        </w:rPr>
        <w:t>Provision of f</w:t>
      </w:r>
      <w:r w:rsidR="00437340" w:rsidRPr="00437340">
        <w:rPr>
          <w:rFonts w:ascii="Arial" w:hAnsi="Arial" w:cs="Arial"/>
          <w:sz w:val="20"/>
          <w:szCs w:val="20"/>
        </w:rPr>
        <w:t xml:space="preserve">low duration curves </w:t>
      </w:r>
      <w:r w:rsidR="00496011">
        <w:rPr>
          <w:rFonts w:ascii="Arial" w:hAnsi="Arial" w:cs="Arial"/>
          <w:sz w:val="20"/>
          <w:szCs w:val="20"/>
        </w:rPr>
        <w:t>to</w:t>
      </w:r>
      <w:r>
        <w:rPr>
          <w:rFonts w:ascii="Arial" w:hAnsi="Arial" w:cs="Arial"/>
          <w:sz w:val="20"/>
          <w:szCs w:val="20"/>
        </w:rPr>
        <w:t xml:space="preserve"> enable the assessment between</w:t>
      </w:r>
      <w:r w:rsidR="00437340" w:rsidRPr="00437340">
        <w:rPr>
          <w:rFonts w:ascii="Arial" w:hAnsi="Arial" w:cs="Arial"/>
          <w:sz w:val="20"/>
          <w:szCs w:val="20"/>
        </w:rPr>
        <w:t xml:space="preserve"> the pre and post development scenarios</w:t>
      </w:r>
      <w:r>
        <w:rPr>
          <w:rFonts w:ascii="Arial" w:hAnsi="Arial" w:cs="Arial"/>
          <w:sz w:val="20"/>
          <w:szCs w:val="20"/>
        </w:rPr>
        <w:t xml:space="preserve"> </w:t>
      </w:r>
      <w:r w:rsidRPr="00437340">
        <w:rPr>
          <w:rFonts w:ascii="Arial" w:hAnsi="Arial" w:cs="Arial"/>
          <w:sz w:val="20"/>
          <w:szCs w:val="20"/>
        </w:rPr>
        <w:t xml:space="preserve">at </w:t>
      </w:r>
      <w:proofErr w:type="spellStart"/>
      <w:r w:rsidRPr="00437340">
        <w:rPr>
          <w:rFonts w:ascii="Arial" w:hAnsi="Arial" w:cs="Arial"/>
          <w:sz w:val="20"/>
          <w:szCs w:val="20"/>
        </w:rPr>
        <w:t>Taroon</w:t>
      </w:r>
      <w:proofErr w:type="spellEnd"/>
      <w:r w:rsidRPr="00437340">
        <w:rPr>
          <w:rFonts w:ascii="Arial" w:hAnsi="Arial" w:cs="Arial"/>
          <w:sz w:val="20"/>
          <w:szCs w:val="20"/>
        </w:rPr>
        <w:t xml:space="preserve"> and Glebe Weir</w:t>
      </w:r>
      <w:r w:rsidR="0040422F">
        <w:rPr>
          <w:rFonts w:ascii="Arial" w:hAnsi="Arial" w:cs="Arial"/>
          <w:sz w:val="20"/>
          <w:szCs w:val="20"/>
        </w:rPr>
        <w:t>.</w:t>
      </w:r>
    </w:p>
    <w:p w:rsidR="00437340" w:rsidRPr="00437340" w:rsidRDefault="00437340" w:rsidP="00366673">
      <w:pPr>
        <w:pStyle w:val="ListParagraph"/>
        <w:numPr>
          <w:ilvl w:val="0"/>
          <w:numId w:val="6"/>
        </w:numPr>
        <w:spacing w:after="120" w:line="276" w:lineRule="auto"/>
        <w:ind w:left="426"/>
        <w:rPr>
          <w:rFonts w:ascii="Arial" w:hAnsi="Arial" w:cs="Arial"/>
          <w:sz w:val="20"/>
          <w:szCs w:val="20"/>
        </w:rPr>
      </w:pPr>
      <w:r w:rsidRPr="00437340">
        <w:rPr>
          <w:rFonts w:ascii="Arial" w:hAnsi="Arial" w:cs="Arial"/>
          <w:sz w:val="20"/>
          <w:szCs w:val="20"/>
        </w:rPr>
        <w:t>Predictive modelling of potential drawdown in the shallow alluvium material as a result of the development.</w:t>
      </w:r>
    </w:p>
    <w:p w:rsidR="00437340" w:rsidRPr="00437340" w:rsidRDefault="00437340" w:rsidP="003E76A1">
      <w:pPr>
        <w:pStyle w:val="ListParagraph"/>
        <w:numPr>
          <w:ilvl w:val="0"/>
          <w:numId w:val="6"/>
        </w:numPr>
        <w:spacing w:after="200" w:line="276" w:lineRule="auto"/>
        <w:ind w:left="426"/>
        <w:rPr>
          <w:rFonts w:ascii="Arial" w:hAnsi="Arial" w:cs="Arial"/>
          <w:sz w:val="20"/>
          <w:szCs w:val="20"/>
        </w:rPr>
      </w:pPr>
      <w:r w:rsidRPr="00437340">
        <w:rPr>
          <w:rFonts w:ascii="Arial" w:hAnsi="Arial" w:cs="Arial"/>
          <w:sz w:val="20"/>
          <w:szCs w:val="20"/>
        </w:rPr>
        <w:t>Field assessments and mapping of terrestrial vegetation and watercourse condition within the study area to help determine areas and the nature of groundwater - surface water interaction.</w:t>
      </w:r>
    </w:p>
    <w:p w:rsidR="007203C3" w:rsidRPr="00C56904" w:rsidRDefault="007203C3" w:rsidP="003E76A1">
      <w:pPr>
        <w:pStyle w:val="PlainText"/>
        <w:spacing w:after="200" w:line="276" w:lineRule="auto"/>
        <w:rPr>
          <w:rFonts w:ascii="Arial" w:hAnsi="Arial" w:cs="Arial"/>
          <w:sz w:val="20"/>
          <w:szCs w:val="20"/>
          <w:u w:val="single"/>
        </w:rPr>
      </w:pPr>
      <w:r w:rsidRPr="00C56904">
        <w:rPr>
          <w:rFonts w:ascii="Arial" w:hAnsi="Arial" w:cs="Arial"/>
          <w:sz w:val="20"/>
          <w:szCs w:val="20"/>
          <w:u w:val="single"/>
        </w:rPr>
        <w:t>Application of appropriate methodologies: key conclusions</w:t>
      </w:r>
    </w:p>
    <w:p w:rsidR="00437340" w:rsidRDefault="00201679" w:rsidP="00366673">
      <w:pPr>
        <w:pStyle w:val="ListParagraph"/>
        <w:numPr>
          <w:ilvl w:val="0"/>
          <w:numId w:val="7"/>
        </w:numPr>
        <w:spacing w:after="120" w:line="276" w:lineRule="auto"/>
        <w:rPr>
          <w:rFonts w:ascii="Arial" w:hAnsi="Arial" w:cs="Arial"/>
          <w:sz w:val="20"/>
          <w:szCs w:val="20"/>
        </w:rPr>
      </w:pPr>
      <w:r>
        <w:rPr>
          <w:rFonts w:ascii="Arial" w:hAnsi="Arial" w:cs="Arial"/>
          <w:sz w:val="20"/>
          <w:szCs w:val="20"/>
        </w:rPr>
        <w:t>Model applicability:</w:t>
      </w:r>
      <w:r w:rsidR="00437340" w:rsidRPr="00437340">
        <w:rPr>
          <w:rFonts w:ascii="Arial" w:hAnsi="Arial" w:cs="Arial"/>
          <w:sz w:val="20"/>
          <w:szCs w:val="20"/>
        </w:rPr>
        <w:t xml:space="preserve"> The</w:t>
      </w:r>
      <w:r w:rsidR="003748A4">
        <w:rPr>
          <w:rFonts w:ascii="Arial" w:hAnsi="Arial" w:cs="Arial"/>
          <w:sz w:val="20"/>
          <w:szCs w:val="20"/>
        </w:rPr>
        <w:t xml:space="preserve"> use of the Queensland Office of Groundwater Impact Assessment</w:t>
      </w:r>
      <w:r w:rsidR="00437340" w:rsidRPr="00437340">
        <w:rPr>
          <w:rFonts w:ascii="Arial" w:hAnsi="Arial" w:cs="Arial"/>
          <w:sz w:val="20"/>
          <w:szCs w:val="20"/>
        </w:rPr>
        <w:t xml:space="preserve"> model</w:t>
      </w:r>
      <w:r w:rsidR="009F7E18">
        <w:rPr>
          <w:rFonts w:ascii="Arial" w:hAnsi="Arial" w:cs="Arial"/>
          <w:sz w:val="20"/>
          <w:szCs w:val="20"/>
        </w:rPr>
        <w:t xml:space="preserve"> </w:t>
      </w:r>
      <w:r w:rsidR="003748A4">
        <w:rPr>
          <w:rFonts w:ascii="Arial" w:hAnsi="Arial" w:cs="Arial"/>
          <w:sz w:val="20"/>
          <w:szCs w:val="20"/>
        </w:rPr>
        <w:t>is appropriate to consider the cumulative groundwater impacts.</w:t>
      </w:r>
      <w:r w:rsidR="001B5AA3">
        <w:rPr>
          <w:rFonts w:ascii="Arial" w:hAnsi="Arial" w:cs="Arial"/>
          <w:sz w:val="20"/>
          <w:szCs w:val="20"/>
        </w:rPr>
        <w:t xml:space="preserve"> </w:t>
      </w:r>
      <w:r w:rsidR="003748A4">
        <w:rPr>
          <w:rFonts w:ascii="Arial" w:hAnsi="Arial" w:cs="Arial"/>
          <w:sz w:val="20"/>
          <w:szCs w:val="20"/>
        </w:rPr>
        <w:t xml:space="preserve">However it </w:t>
      </w:r>
      <w:r>
        <w:rPr>
          <w:rFonts w:ascii="Arial" w:hAnsi="Arial" w:cs="Arial"/>
          <w:sz w:val="20"/>
          <w:szCs w:val="20"/>
        </w:rPr>
        <w:t>is</w:t>
      </w:r>
      <w:r w:rsidR="00437340" w:rsidRPr="00437340">
        <w:rPr>
          <w:rFonts w:ascii="Arial" w:hAnsi="Arial" w:cs="Arial"/>
          <w:sz w:val="20"/>
          <w:szCs w:val="20"/>
        </w:rPr>
        <w:t xml:space="preserve"> not considered suitable to assess the impacts on GDEs including springs; and quantifying surface water – groundwater interactions.</w:t>
      </w:r>
    </w:p>
    <w:p w:rsidR="005D2EC2" w:rsidRPr="00437340" w:rsidRDefault="005D2EC2" w:rsidP="00366673">
      <w:pPr>
        <w:pStyle w:val="ListParagraph"/>
        <w:numPr>
          <w:ilvl w:val="0"/>
          <w:numId w:val="7"/>
        </w:numPr>
        <w:spacing w:after="120" w:line="276" w:lineRule="auto"/>
        <w:rPr>
          <w:rFonts w:ascii="Arial" w:hAnsi="Arial" w:cs="Arial"/>
          <w:sz w:val="20"/>
          <w:szCs w:val="20"/>
        </w:rPr>
      </w:pPr>
      <w:r>
        <w:rPr>
          <w:rFonts w:ascii="Arial" w:hAnsi="Arial" w:cs="Arial"/>
          <w:sz w:val="20"/>
          <w:szCs w:val="20"/>
        </w:rPr>
        <w:t>As springs are not represented in the model it is suggested that springs be added and represented by boundary conditions, to assist in the identification of spring depletion.</w:t>
      </w:r>
    </w:p>
    <w:p w:rsidR="005D2EC2" w:rsidRDefault="00437340" w:rsidP="00366673">
      <w:pPr>
        <w:pStyle w:val="ListParagraph"/>
        <w:numPr>
          <w:ilvl w:val="0"/>
          <w:numId w:val="7"/>
        </w:numPr>
        <w:spacing w:after="120" w:line="276" w:lineRule="auto"/>
        <w:rPr>
          <w:rFonts w:ascii="Arial" w:hAnsi="Arial" w:cs="Arial"/>
          <w:sz w:val="20"/>
          <w:szCs w:val="20"/>
        </w:rPr>
      </w:pPr>
      <w:r w:rsidRPr="00437340">
        <w:rPr>
          <w:rFonts w:ascii="Arial" w:hAnsi="Arial" w:cs="Arial"/>
          <w:sz w:val="20"/>
          <w:szCs w:val="20"/>
        </w:rPr>
        <w:t xml:space="preserve">Field validation of desktop mapping for GDEs is </w:t>
      </w:r>
      <w:r w:rsidR="00FB3569">
        <w:rPr>
          <w:rFonts w:ascii="Arial" w:hAnsi="Arial" w:cs="Arial"/>
          <w:sz w:val="20"/>
          <w:szCs w:val="20"/>
        </w:rPr>
        <w:t>needed</w:t>
      </w:r>
      <w:r w:rsidRPr="00437340">
        <w:rPr>
          <w:rFonts w:ascii="Arial" w:hAnsi="Arial" w:cs="Arial"/>
          <w:sz w:val="20"/>
          <w:szCs w:val="20"/>
        </w:rPr>
        <w:t xml:space="preserve"> along with mapping of terrestrial vegetation relian</w:t>
      </w:r>
      <w:r w:rsidR="00315E8C">
        <w:rPr>
          <w:rFonts w:ascii="Arial" w:hAnsi="Arial" w:cs="Arial"/>
          <w:sz w:val="20"/>
          <w:szCs w:val="20"/>
        </w:rPr>
        <w:t>t</w:t>
      </w:r>
      <w:r w:rsidRPr="00437340">
        <w:rPr>
          <w:rFonts w:ascii="Arial" w:hAnsi="Arial" w:cs="Arial"/>
          <w:sz w:val="20"/>
          <w:szCs w:val="20"/>
        </w:rPr>
        <w:t xml:space="preserve"> on shallow groundwater.</w:t>
      </w:r>
    </w:p>
    <w:p w:rsidR="006F5E6A" w:rsidRPr="005D2EC2" w:rsidRDefault="006F5E6A" w:rsidP="003E76A1">
      <w:pPr>
        <w:pStyle w:val="ListParagraph"/>
        <w:numPr>
          <w:ilvl w:val="0"/>
          <w:numId w:val="7"/>
        </w:numPr>
        <w:spacing w:after="200" w:line="276" w:lineRule="auto"/>
        <w:rPr>
          <w:rFonts w:ascii="Arial" w:hAnsi="Arial" w:cs="Arial"/>
          <w:sz w:val="20"/>
          <w:szCs w:val="20"/>
        </w:rPr>
      </w:pPr>
      <w:r>
        <w:rPr>
          <w:rFonts w:ascii="Arial" w:hAnsi="Arial" w:cs="Arial"/>
          <w:sz w:val="20"/>
          <w:szCs w:val="20"/>
        </w:rPr>
        <w:t xml:space="preserve"> </w:t>
      </w:r>
      <w:r w:rsidR="003B6209">
        <w:rPr>
          <w:rFonts w:ascii="Arial" w:hAnsi="Arial" w:cs="Arial"/>
          <w:sz w:val="20"/>
          <w:szCs w:val="20"/>
        </w:rPr>
        <w:t>There will continue to be high</w:t>
      </w:r>
      <w:r>
        <w:rPr>
          <w:rFonts w:ascii="Arial" w:hAnsi="Arial" w:cs="Arial"/>
          <w:sz w:val="20"/>
          <w:szCs w:val="20"/>
        </w:rPr>
        <w:t xml:space="preserve"> uncertaint</w:t>
      </w:r>
      <w:r w:rsidR="003B6209">
        <w:rPr>
          <w:rFonts w:ascii="Arial" w:hAnsi="Arial" w:cs="Arial"/>
          <w:sz w:val="20"/>
          <w:szCs w:val="20"/>
        </w:rPr>
        <w:t xml:space="preserve">y regarding </w:t>
      </w:r>
      <w:r w:rsidR="00FB3569">
        <w:rPr>
          <w:rFonts w:ascii="Arial" w:hAnsi="Arial" w:cs="Arial"/>
          <w:sz w:val="20"/>
          <w:szCs w:val="20"/>
        </w:rPr>
        <w:t>estimation of</w:t>
      </w:r>
      <w:r w:rsidR="003B6209">
        <w:rPr>
          <w:rFonts w:ascii="Arial" w:hAnsi="Arial" w:cs="Arial"/>
          <w:sz w:val="20"/>
          <w:szCs w:val="20"/>
        </w:rPr>
        <w:t xml:space="preserve"> impacts until existing operations become operative</w:t>
      </w:r>
      <w:r w:rsidR="00FB3569">
        <w:rPr>
          <w:rFonts w:ascii="Arial" w:hAnsi="Arial" w:cs="Arial"/>
          <w:sz w:val="20"/>
          <w:szCs w:val="20"/>
        </w:rPr>
        <w:t>, and</w:t>
      </w:r>
      <w:r w:rsidR="003B6209">
        <w:rPr>
          <w:rFonts w:ascii="Arial" w:hAnsi="Arial" w:cs="Arial"/>
          <w:sz w:val="20"/>
          <w:szCs w:val="20"/>
        </w:rPr>
        <w:t xml:space="preserve"> impacts </w:t>
      </w:r>
      <w:r w:rsidR="00FB3569">
        <w:rPr>
          <w:rFonts w:ascii="Arial" w:hAnsi="Arial" w:cs="Arial"/>
          <w:sz w:val="20"/>
          <w:szCs w:val="20"/>
        </w:rPr>
        <w:t>are</w:t>
      </w:r>
      <w:r w:rsidR="003B6209">
        <w:rPr>
          <w:rFonts w:ascii="Arial" w:hAnsi="Arial" w:cs="Arial"/>
          <w:sz w:val="20"/>
          <w:szCs w:val="20"/>
        </w:rPr>
        <w:t xml:space="preserve"> </w:t>
      </w:r>
      <w:r w:rsidR="000A29BC">
        <w:rPr>
          <w:rFonts w:ascii="Arial" w:hAnsi="Arial" w:cs="Arial"/>
          <w:sz w:val="20"/>
          <w:szCs w:val="20"/>
        </w:rPr>
        <w:t xml:space="preserve">able to be </w:t>
      </w:r>
      <w:r w:rsidR="003B6209">
        <w:rPr>
          <w:rFonts w:ascii="Arial" w:hAnsi="Arial" w:cs="Arial"/>
          <w:sz w:val="20"/>
          <w:szCs w:val="20"/>
        </w:rPr>
        <w:t>detected and monitored.</w:t>
      </w:r>
    </w:p>
    <w:p w:rsidR="007203C3" w:rsidRPr="00CC2B33" w:rsidRDefault="007203C3" w:rsidP="003E76A1">
      <w:pPr>
        <w:pStyle w:val="PlainText"/>
        <w:spacing w:after="200" w:line="276" w:lineRule="auto"/>
        <w:rPr>
          <w:rFonts w:ascii="Arial" w:eastAsia="Times New Roman" w:hAnsi="Arial" w:cs="Arial"/>
          <w:sz w:val="20"/>
          <w:szCs w:val="20"/>
          <w:u w:val="single"/>
        </w:rPr>
      </w:pPr>
      <w:r w:rsidRPr="00CC2B33">
        <w:rPr>
          <w:rFonts w:ascii="Arial" w:eastAsia="Times New Roman" w:hAnsi="Arial" w:cs="Arial"/>
          <w:sz w:val="20"/>
          <w:szCs w:val="20"/>
          <w:u w:val="single"/>
        </w:rPr>
        <w:t xml:space="preserve">Reasonable values and parameters in calculation: </w:t>
      </w:r>
      <w:r w:rsidRPr="00A93C73">
        <w:rPr>
          <w:rFonts w:ascii="Arial" w:eastAsia="Times New Roman" w:hAnsi="Arial" w:cs="Arial"/>
          <w:sz w:val="20"/>
          <w:szCs w:val="20"/>
          <w:u w:val="single"/>
        </w:rPr>
        <w:t>key</w:t>
      </w:r>
      <w:r w:rsidRPr="00CC2B33">
        <w:rPr>
          <w:rFonts w:ascii="Arial" w:eastAsia="Times New Roman" w:hAnsi="Arial" w:cs="Arial"/>
          <w:sz w:val="20"/>
          <w:szCs w:val="20"/>
          <w:u w:val="single"/>
        </w:rPr>
        <w:t xml:space="preserve"> conclusions</w:t>
      </w:r>
    </w:p>
    <w:p w:rsidR="00D17A48" w:rsidRDefault="00437340" w:rsidP="00366673">
      <w:pPr>
        <w:pStyle w:val="ListParagraph"/>
        <w:numPr>
          <w:ilvl w:val="0"/>
          <w:numId w:val="8"/>
        </w:numPr>
        <w:spacing w:after="120" w:line="276" w:lineRule="auto"/>
        <w:rPr>
          <w:rFonts w:ascii="Arial" w:hAnsi="Arial" w:cs="Arial"/>
          <w:sz w:val="20"/>
          <w:szCs w:val="20"/>
        </w:rPr>
      </w:pPr>
      <w:r w:rsidRPr="00437340">
        <w:rPr>
          <w:rFonts w:ascii="Arial" w:hAnsi="Arial" w:cs="Arial"/>
          <w:sz w:val="20"/>
          <w:szCs w:val="20"/>
        </w:rPr>
        <w:t>CSG water production values are inconsistentl</w:t>
      </w:r>
      <w:r w:rsidR="00FB3569">
        <w:rPr>
          <w:rFonts w:ascii="Arial" w:hAnsi="Arial" w:cs="Arial"/>
          <w:sz w:val="20"/>
          <w:szCs w:val="20"/>
        </w:rPr>
        <w:t>y reported in the documentation. T</w:t>
      </w:r>
      <w:r w:rsidRPr="00437340">
        <w:rPr>
          <w:rFonts w:ascii="Arial" w:hAnsi="Arial" w:cs="Arial"/>
          <w:sz w:val="20"/>
          <w:szCs w:val="20"/>
        </w:rPr>
        <w:t xml:space="preserve">he text </w:t>
      </w:r>
      <w:r w:rsidR="005F7CFC">
        <w:rPr>
          <w:rFonts w:ascii="Arial" w:hAnsi="Arial" w:cs="Arial"/>
          <w:sz w:val="20"/>
          <w:szCs w:val="20"/>
        </w:rPr>
        <w:t>refers to an estimate of 35</w:t>
      </w:r>
      <w:r w:rsidR="00690782">
        <w:rPr>
          <w:rFonts w:ascii="Arial" w:hAnsi="Arial" w:cs="Arial"/>
          <w:sz w:val="20"/>
          <w:szCs w:val="20"/>
        </w:rPr>
        <w:t xml:space="preserve"> </w:t>
      </w:r>
      <w:r w:rsidRPr="00437340">
        <w:rPr>
          <w:rFonts w:ascii="Arial" w:hAnsi="Arial" w:cs="Arial"/>
          <w:sz w:val="20"/>
          <w:szCs w:val="20"/>
        </w:rPr>
        <w:t>GL over the lifetime of the project. Figure</w:t>
      </w:r>
      <w:r w:rsidR="00855DCA" w:rsidRPr="00855DCA">
        <w:rPr>
          <w:rFonts w:ascii="Arial" w:hAnsi="Arial" w:cs="Arial"/>
          <w:sz w:val="20"/>
          <w:szCs w:val="20"/>
        </w:rPr>
        <w:t xml:space="preserve"> </w:t>
      </w:r>
      <w:r w:rsidR="00855DCA" w:rsidRPr="00855DCA">
        <w:rPr>
          <w:rFonts w:ascii="Arial" w:hAnsi="Arial" w:cs="Arial"/>
          <w:sz w:val="20"/>
          <w:szCs w:val="20"/>
          <w:lang w:val="en-US"/>
        </w:rPr>
        <w:t xml:space="preserve">2-1 </w:t>
      </w:r>
      <w:r w:rsidRPr="00437340">
        <w:rPr>
          <w:rFonts w:ascii="Arial" w:hAnsi="Arial" w:cs="Arial"/>
          <w:sz w:val="20"/>
          <w:szCs w:val="20"/>
        </w:rPr>
        <w:t>suggest</w:t>
      </w:r>
      <w:r w:rsidR="00855DCA">
        <w:rPr>
          <w:rFonts w:ascii="Arial" w:hAnsi="Arial" w:cs="Arial"/>
          <w:sz w:val="20"/>
          <w:szCs w:val="20"/>
        </w:rPr>
        <w:t>s</w:t>
      </w:r>
      <w:r w:rsidRPr="00437340">
        <w:rPr>
          <w:rFonts w:ascii="Arial" w:hAnsi="Arial" w:cs="Arial"/>
          <w:sz w:val="20"/>
          <w:szCs w:val="20"/>
        </w:rPr>
        <w:t xml:space="preserve"> significan</w:t>
      </w:r>
      <w:r w:rsidR="005F7CFC">
        <w:rPr>
          <w:rFonts w:ascii="Arial" w:hAnsi="Arial" w:cs="Arial"/>
          <w:sz w:val="20"/>
          <w:szCs w:val="20"/>
        </w:rPr>
        <w:t xml:space="preserve">tly more water </w:t>
      </w:r>
      <w:r w:rsidR="00FB3569">
        <w:rPr>
          <w:rFonts w:ascii="Arial" w:hAnsi="Arial" w:cs="Arial"/>
          <w:sz w:val="20"/>
          <w:szCs w:val="20"/>
        </w:rPr>
        <w:t xml:space="preserve">will be </w:t>
      </w:r>
      <w:r w:rsidR="005F7CFC">
        <w:rPr>
          <w:rFonts w:ascii="Arial" w:hAnsi="Arial" w:cs="Arial"/>
          <w:sz w:val="20"/>
          <w:szCs w:val="20"/>
        </w:rPr>
        <w:t>abstracted, ~ 90</w:t>
      </w:r>
      <w:r w:rsidR="00690782">
        <w:rPr>
          <w:rFonts w:ascii="Arial" w:hAnsi="Arial" w:cs="Arial"/>
          <w:sz w:val="20"/>
          <w:szCs w:val="20"/>
        </w:rPr>
        <w:t xml:space="preserve"> </w:t>
      </w:r>
      <w:r w:rsidRPr="00437340">
        <w:rPr>
          <w:rFonts w:ascii="Arial" w:hAnsi="Arial" w:cs="Arial"/>
          <w:sz w:val="20"/>
          <w:szCs w:val="20"/>
        </w:rPr>
        <w:t xml:space="preserve">GL. </w:t>
      </w:r>
    </w:p>
    <w:p w:rsidR="00886E97" w:rsidRDefault="003B6209" w:rsidP="00886E97">
      <w:pPr>
        <w:pStyle w:val="ListParagraph"/>
        <w:numPr>
          <w:ilvl w:val="0"/>
          <w:numId w:val="8"/>
        </w:numPr>
        <w:spacing w:after="200" w:line="276" w:lineRule="auto"/>
        <w:rPr>
          <w:rFonts w:ascii="Arial" w:hAnsi="Arial" w:cs="Arial"/>
          <w:sz w:val="20"/>
          <w:szCs w:val="20"/>
        </w:rPr>
      </w:pPr>
      <w:r w:rsidRPr="003B6209">
        <w:rPr>
          <w:rFonts w:ascii="Arial" w:hAnsi="Arial" w:cs="Arial"/>
          <w:sz w:val="20"/>
          <w:szCs w:val="20"/>
        </w:rPr>
        <w:t xml:space="preserve">The anisotropy ratios (between horizontal and vertical hydraulic conductivities) used in groundwater modelling </w:t>
      </w:r>
      <w:proofErr w:type="gramStart"/>
      <w:r w:rsidR="00C75382">
        <w:rPr>
          <w:rFonts w:ascii="Arial" w:hAnsi="Arial" w:cs="Arial"/>
          <w:sz w:val="20"/>
          <w:szCs w:val="20"/>
        </w:rPr>
        <w:t>are</w:t>
      </w:r>
      <w:proofErr w:type="gramEnd"/>
      <w:r w:rsidR="00C75382">
        <w:rPr>
          <w:rFonts w:ascii="Arial" w:hAnsi="Arial" w:cs="Arial"/>
          <w:sz w:val="20"/>
          <w:szCs w:val="20"/>
        </w:rPr>
        <w:t xml:space="preserve"> unusually high </w:t>
      </w:r>
      <w:r w:rsidRPr="003B6209">
        <w:rPr>
          <w:rFonts w:ascii="Arial" w:hAnsi="Arial" w:cs="Arial"/>
          <w:sz w:val="20"/>
          <w:szCs w:val="20"/>
        </w:rPr>
        <w:t xml:space="preserve">and </w:t>
      </w:r>
      <w:r w:rsidR="00C75382">
        <w:rPr>
          <w:rFonts w:ascii="Arial" w:hAnsi="Arial" w:cs="Arial"/>
          <w:sz w:val="20"/>
          <w:szCs w:val="20"/>
        </w:rPr>
        <w:t>may result in</w:t>
      </w:r>
      <w:r w:rsidRPr="003B6209">
        <w:rPr>
          <w:rFonts w:ascii="Arial" w:hAnsi="Arial" w:cs="Arial"/>
          <w:sz w:val="20"/>
          <w:szCs w:val="20"/>
        </w:rPr>
        <w:t xml:space="preserve"> underestimation of the vertical</w:t>
      </w:r>
      <w:r w:rsidR="00C75382">
        <w:rPr>
          <w:rFonts w:ascii="Arial" w:hAnsi="Arial" w:cs="Arial"/>
          <w:sz w:val="20"/>
          <w:szCs w:val="20"/>
        </w:rPr>
        <w:t xml:space="preserve"> extent</w:t>
      </w:r>
      <w:r w:rsidRPr="003B6209">
        <w:rPr>
          <w:rFonts w:ascii="Arial" w:hAnsi="Arial" w:cs="Arial"/>
          <w:sz w:val="20"/>
          <w:szCs w:val="20"/>
        </w:rPr>
        <w:t xml:space="preserve"> of drawdown</w:t>
      </w:r>
      <w:r>
        <w:rPr>
          <w:rFonts w:ascii="Arial" w:hAnsi="Arial" w:cs="Arial"/>
          <w:sz w:val="20"/>
          <w:szCs w:val="20"/>
        </w:rPr>
        <w:t>.</w:t>
      </w:r>
    </w:p>
    <w:p w:rsidR="00886E97" w:rsidRPr="00886E97" w:rsidRDefault="00886E97" w:rsidP="00886E97">
      <w:pPr>
        <w:spacing w:after="200" w:line="276" w:lineRule="auto"/>
        <w:rPr>
          <w:rFonts w:ascii="Arial" w:hAnsi="Arial" w:cs="Arial"/>
          <w:sz w:val="20"/>
          <w:szCs w:val="20"/>
        </w:rPr>
      </w:pPr>
      <w:r w:rsidRPr="00886E97">
        <w:rPr>
          <w:rFonts w:ascii="Arial" w:hAnsi="Arial" w:cs="Arial"/>
          <w:sz w:val="20"/>
          <w:szCs w:val="20"/>
        </w:rPr>
        <w:t xml:space="preserve">The IESC’s advice, in response to the requesting agency’s specific questions is provided below. </w:t>
      </w:r>
    </w:p>
    <w:p w:rsidR="007203C3" w:rsidRPr="00CC2B33" w:rsidRDefault="007203C3" w:rsidP="003E76A1">
      <w:pPr>
        <w:autoSpaceDE w:val="0"/>
        <w:autoSpaceDN w:val="0"/>
        <w:adjustRightInd w:val="0"/>
        <w:spacing w:after="200" w:line="276" w:lineRule="auto"/>
        <w:rPr>
          <w:rFonts w:ascii="Arial" w:hAnsi="Arial" w:cs="Arial"/>
          <w:i/>
          <w:color w:val="FF0000"/>
          <w:sz w:val="20"/>
          <w:szCs w:val="20"/>
          <w:lang w:eastAsia="en-AU"/>
        </w:rPr>
      </w:pPr>
      <w:r w:rsidRPr="00CC2B33">
        <w:rPr>
          <w:rFonts w:ascii="Arial" w:hAnsi="Arial" w:cs="Arial"/>
          <w:i/>
          <w:sz w:val="20"/>
          <w:szCs w:val="20"/>
        </w:rPr>
        <w:t xml:space="preserve">Question 1: </w:t>
      </w:r>
      <w:r w:rsidR="009E7480" w:rsidRPr="009E7480">
        <w:rPr>
          <w:rFonts w:ascii="Arial" w:hAnsi="Arial" w:cs="Arial"/>
          <w:i/>
          <w:sz w:val="20"/>
          <w:szCs w:val="20"/>
        </w:rPr>
        <w:t>The Proponent has used the Office of Groundwater Impact Assessment’s Surat Cumulative Management Area model to assess risks of the project. Does the Committee consider that this is appropriate to assess the cumulative risks of the project?</w:t>
      </w:r>
    </w:p>
    <w:p w:rsidR="009E7480" w:rsidRPr="009E7480" w:rsidRDefault="009E7480" w:rsidP="003E76A1">
      <w:pPr>
        <w:pStyle w:val="ListNumber"/>
        <w:spacing w:after="200" w:line="276" w:lineRule="auto"/>
        <w:rPr>
          <w:rFonts w:ascii="Arial" w:hAnsi="Arial" w:cs="Arial"/>
          <w:sz w:val="20"/>
          <w:szCs w:val="20"/>
          <w:lang w:val="en-US"/>
        </w:rPr>
      </w:pPr>
      <w:r w:rsidRPr="009E7480">
        <w:rPr>
          <w:rFonts w:ascii="Arial" w:hAnsi="Arial" w:cs="Arial"/>
          <w:sz w:val="20"/>
          <w:szCs w:val="20"/>
          <w:lang w:val="en-US"/>
        </w:rPr>
        <w:t xml:space="preserve">The proponent quantifies the extent of drawdown by using the Office of Groundwater Impact Assessment’s (OGIA) Surat Cumulative Management Area (CMA) numerical groundwater flow model. </w:t>
      </w:r>
      <w:r w:rsidR="003B6209">
        <w:rPr>
          <w:rFonts w:ascii="Arial" w:hAnsi="Arial" w:cs="Arial"/>
          <w:sz w:val="20"/>
          <w:szCs w:val="20"/>
          <w:lang w:val="en-US"/>
        </w:rPr>
        <w:t>This</w:t>
      </w:r>
      <w:r w:rsidRPr="009E7480">
        <w:rPr>
          <w:rFonts w:ascii="Arial" w:hAnsi="Arial" w:cs="Arial"/>
          <w:sz w:val="20"/>
          <w:szCs w:val="20"/>
          <w:lang w:val="en-US"/>
        </w:rPr>
        <w:t xml:space="preserve"> model is appropriate to assess the </w:t>
      </w:r>
      <w:r w:rsidR="0097775A">
        <w:rPr>
          <w:rFonts w:ascii="Arial" w:hAnsi="Arial" w:cs="Arial"/>
          <w:sz w:val="20"/>
          <w:szCs w:val="20"/>
          <w:lang w:val="en-US"/>
        </w:rPr>
        <w:t>cumulative</w:t>
      </w:r>
      <w:r w:rsidR="003B6209">
        <w:rPr>
          <w:rFonts w:ascii="Arial" w:hAnsi="Arial" w:cs="Arial"/>
          <w:sz w:val="20"/>
          <w:szCs w:val="20"/>
          <w:lang w:val="en-US"/>
        </w:rPr>
        <w:t xml:space="preserve"> groundwater</w:t>
      </w:r>
      <w:r w:rsidR="0097775A">
        <w:rPr>
          <w:rFonts w:ascii="Arial" w:hAnsi="Arial" w:cs="Arial"/>
          <w:sz w:val="20"/>
          <w:szCs w:val="20"/>
          <w:lang w:val="en-US"/>
        </w:rPr>
        <w:t xml:space="preserve"> risks of the project</w:t>
      </w:r>
      <w:r w:rsidR="000A29BC">
        <w:rPr>
          <w:rFonts w:ascii="Arial" w:hAnsi="Arial" w:cs="Arial"/>
          <w:sz w:val="20"/>
          <w:szCs w:val="20"/>
          <w:lang w:val="en-US"/>
        </w:rPr>
        <w:t xml:space="preserve"> but not to GDE</w:t>
      </w:r>
      <w:r w:rsidR="001C3054">
        <w:rPr>
          <w:rFonts w:ascii="Arial" w:hAnsi="Arial" w:cs="Arial"/>
          <w:sz w:val="20"/>
          <w:szCs w:val="20"/>
          <w:lang w:val="en-US"/>
        </w:rPr>
        <w:t>s</w:t>
      </w:r>
      <w:r w:rsidRPr="009E7480">
        <w:rPr>
          <w:rFonts w:ascii="Arial" w:hAnsi="Arial" w:cs="Arial"/>
          <w:sz w:val="20"/>
          <w:szCs w:val="20"/>
          <w:lang w:val="en-US"/>
        </w:rPr>
        <w:t>.</w:t>
      </w:r>
      <w:r w:rsidR="00855DCA">
        <w:rPr>
          <w:rFonts w:ascii="Arial" w:hAnsi="Arial" w:cs="Arial"/>
          <w:sz w:val="20"/>
          <w:szCs w:val="20"/>
          <w:lang w:val="en-US"/>
        </w:rPr>
        <w:t xml:space="preserve"> </w:t>
      </w:r>
      <w:r w:rsidR="003B6209">
        <w:rPr>
          <w:rFonts w:ascii="Arial" w:hAnsi="Arial" w:cs="Arial"/>
          <w:sz w:val="20"/>
          <w:szCs w:val="20"/>
          <w:lang w:val="en-US"/>
        </w:rPr>
        <w:t>S</w:t>
      </w:r>
      <w:r w:rsidR="00855DCA">
        <w:rPr>
          <w:rFonts w:ascii="Arial" w:hAnsi="Arial" w:cs="Arial"/>
          <w:sz w:val="20"/>
          <w:szCs w:val="20"/>
          <w:lang w:val="en-US"/>
        </w:rPr>
        <w:t>uggestio</w:t>
      </w:r>
      <w:r w:rsidR="007B7C3E">
        <w:rPr>
          <w:rFonts w:ascii="Arial" w:hAnsi="Arial" w:cs="Arial"/>
          <w:sz w:val="20"/>
          <w:szCs w:val="20"/>
          <w:lang w:val="en-US"/>
        </w:rPr>
        <w:t>ns for improvements to the model</w:t>
      </w:r>
      <w:r w:rsidR="00855DCA">
        <w:rPr>
          <w:rFonts w:ascii="Arial" w:hAnsi="Arial" w:cs="Arial"/>
          <w:sz w:val="20"/>
          <w:szCs w:val="20"/>
          <w:lang w:val="en-US"/>
        </w:rPr>
        <w:t xml:space="preserve"> when </w:t>
      </w:r>
      <w:r w:rsidR="001128A8">
        <w:rPr>
          <w:rFonts w:ascii="Arial" w:hAnsi="Arial" w:cs="Arial"/>
          <w:sz w:val="20"/>
          <w:szCs w:val="20"/>
          <w:lang w:val="en-US"/>
        </w:rPr>
        <w:t xml:space="preserve">being </w:t>
      </w:r>
      <w:r w:rsidR="00855DCA">
        <w:rPr>
          <w:rFonts w:ascii="Arial" w:hAnsi="Arial" w:cs="Arial"/>
          <w:sz w:val="20"/>
          <w:szCs w:val="20"/>
          <w:lang w:val="en-US"/>
        </w:rPr>
        <w:t>revis</w:t>
      </w:r>
      <w:r w:rsidR="001128A8">
        <w:rPr>
          <w:rFonts w:ascii="Arial" w:hAnsi="Arial" w:cs="Arial"/>
          <w:sz w:val="20"/>
          <w:szCs w:val="20"/>
          <w:lang w:val="en-US"/>
        </w:rPr>
        <w:t>ed</w:t>
      </w:r>
      <w:r w:rsidR="003B6209">
        <w:rPr>
          <w:rFonts w:ascii="Arial" w:hAnsi="Arial" w:cs="Arial"/>
          <w:sz w:val="20"/>
          <w:szCs w:val="20"/>
          <w:lang w:val="en-US"/>
        </w:rPr>
        <w:t xml:space="preserve"> are provided at the end of this advice</w:t>
      </w:r>
      <w:r w:rsidR="00855DCA">
        <w:rPr>
          <w:rFonts w:ascii="Arial" w:hAnsi="Arial" w:cs="Arial"/>
          <w:sz w:val="20"/>
          <w:szCs w:val="20"/>
          <w:lang w:val="en-US"/>
        </w:rPr>
        <w:t>.</w:t>
      </w:r>
    </w:p>
    <w:p w:rsidR="00855DCA" w:rsidRPr="003B6209" w:rsidRDefault="009E7480" w:rsidP="003E76A1">
      <w:pPr>
        <w:pStyle w:val="ListNumber"/>
        <w:spacing w:after="200" w:line="276" w:lineRule="auto"/>
        <w:rPr>
          <w:rFonts w:ascii="Arial" w:hAnsi="Arial" w:cs="Arial"/>
          <w:sz w:val="20"/>
          <w:szCs w:val="20"/>
          <w:lang w:val="en-US"/>
        </w:rPr>
      </w:pPr>
      <w:r w:rsidRPr="009E7480">
        <w:rPr>
          <w:rFonts w:ascii="Arial" w:hAnsi="Arial" w:cs="Arial"/>
          <w:sz w:val="20"/>
          <w:szCs w:val="20"/>
          <w:lang w:val="en-US"/>
        </w:rPr>
        <w:lastRenderedPageBreak/>
        <w:t xml:space="preserve">Notwithstanding the above, </w:t>
      </w:r>
      <w:r w:rsidR="00DE6D02">
        <w:rPr>
          <w:rFonts w:ascii="Arial" w:hAnsi="Arial" w:cs="Arial"/>
          <w:sz w:val="20"/>
          <w:szCs w:val="20"/>
          <w:lang w:val="en-US"/>
        </w:rPr>
        <w:t>there are several aspects of</w:t>
      </w:r>
      <w:r w:rsidRPr="009E7480">
        <w:rPr>
          <w:rFonts w:ascii="Arial" w:hAnsi="Arial" w:cs="Arial"/>
          <w:sz w:val="20"/>
          <w:szCs w:val="20"/>
          <w:lang w:val="en-US"/>
        </w:rPr>
        <w:t xml:space="preserve"> the proponent’s application of the model</w:t>
      </w:r>
      <w:r w:rsidR="00C75382">
        <w:rPr>
          <w:rFonts w:ascii="Arial" w:hAnsi="Arial" w:cs="Arial"/>
          <w:sz w:val="20"/>
          <w:szCs w:val="20"/>
          <w:lang w:val="en-US"/>
        </w:rPr>
        <w:t xml:space="preserve"> that need to be addressed and </w:t>
      </w:r>
      <w:r w:rsidRPr="009E7480">
        <w:rPr>
          <w:rFonts w:ascii="Arial" w:hAnsi="Arial" w:cs="Arial"/>
          <w:sz w:val="20"/>
          <w:szCs w:val="20"/>
          <w:lang w:val="en-US"/>
        </w:rPr>
        <w:t xml:space="preserve">that </w:t>
      </w:r>
      <w:r w:rsidR="00C75382">
        <w:rPr>
          <w:rFonts w:ascii="Arial" w:hAnsi="Arial" w:cs="Arial"/>
          <w:sz w:val="20"/>
          <w:szCs w:val="20"/>
          <w:lang w:val="en-US"/>
        </w:rPr>
        <w:t>sh</w:t>
      </w:r>
      <w:r w:rsidR="009F7E18">
        <w:rPr>
          <w:rFonts w:ascii="Arial" w:hAnsi="Arial" w:cs="Arial"/>
          <w:sz w:val="20"/>
          <w:szCs w:val="20"/>
          <w:lang w:val="en-US"/>
        </w:rPr>
        <w:t>ould</w:t>
      </w:r>
      <w:r w:rsidRPr="009E7480">
        <w:rPr>
          <w:rFonts w:ascii="Arial" w:hAnsi="Arial" w:cs="Arial"/>
          <w:sz w:val="20"/>
          <w:szCs w:val="20"/>
          <w:lang w:val="en-US"/>
        </w:rPr>
        <w:t xml:space="preserve"> be improved to mor</w:t>
      </w:r>
      <w:r w:rsidR="00C75382">
        <w:rPr>
          <w:rFonts w:ascii="Arial" w:hAnsi="Arial" w:cs="Arial"/>
          <w:sz w:val="20"/>
          <w:szCs w:val="20"/>
          <w:lang w:val="en-US"/>
        </w:rPr>
        <w:t>e adequately predict impacts on</w:t>
      </w:r>
      <w:r w:rsidRPr="009E7480">
        <w:rPr>
          <w:rFonts w:ascii="Arial" w:hAnsi="Arial" w:cs="Arial"/>
          <w:sz w:val="20"/>
          <w:szCs w:val="20"/>
          <w:lang w:val="en-US"/>
        </w:rPr>
        <w:t xml:space="preserve"> groundwater and </w:t>
      </w:r>
      <w:r w:rsidR="001128A8">
        <w:rPr>
          <w:rFonts w:ascii="Arial" w:hAnsi="Arial" w:cs="Arial"/>
          <w:sz w:val="20"/>
          <w:szCs w:val="20"/>
          <w:lang w:val="en-US"/>
        </w:rPr>
        <w:t>GDE</w:t>
      </w:r>
      <w:r w:rsidRPr="009E7480">
        <w:rPr>
          <w:rFonts w:ascii="Arial" w:hAnsi="Arial" w:cs="Arial"/>
          <w:sz w:val="20"/>
          <w:szCs w:val="20"/>
          <w:lang w:val="en-US"/>
        </w:rPr>
        <w:t>s</w:t>
      </w:r>
      <w:r w:rsidR="0097775A">
        <w:rPr>
          <w:rFonts w:ascii="Arial" w:hAnsi="Arial" w:cs="Arial"/>
          <w:sz w:val="20"/>
          <w:szCs w:val="20"/>
          <w:lang w:val="en-US"/>
        </w:rPr>
        <w:t>. These are listed below.</w:t>
      </w:r>
    </w:p>
    <w:p w:rsidR="009E7480" w:rsidRPr="00FD68CA" w:rsidRDefault="009E7480" w:rsidP="003E76A1">
      <w:pPr>
        <w:pStyle w:val="ListNumber2"/>
        <w:numPr>
          <w:ilvl w:val="0"/>
          <w:numId w:val="0"/>
        </w:numPr>
        <w:spacing w:after="200" w:line="276" w:lineRule="auto"/>
        <w:ind w:left="369"/>
        <w:rPr>
          <w:rFonts w:ascii="Arial" w:hAnsi="Arial" w:cs="Arial"/>
          <w:sz w:val="20"/>
          <w:szCs w:val="20"/>
          <w:u w:val="single"/>
        </w:rPr>
      </w:pPr>
      <w:r w:rsidRPr="00FD68CA">
        <w:rPr>
          <w:rFonts w:ascii="Arial" w:hAnsi="Arial" w:cs="Arial"/>
          <w:sz w:val="20"/>
          <w:szCs w:val="20"/>
          <w:u w:val="single"/>
        </w:rPr>
        <w:t xml:space="preserve">Stage 3 Abstractions </w:t>
      </w:r>
    </w:p>
    <w:p w:rsidR="009E7480" w:rsidRPr="00DE6D02" w:rsidRDefault="009E7480" w:rsidP="003E76A1">
      <w:pPr>
        <w:pStyle w:val="ListNumber2"/>
        <w:spacing w:after="200" w:line="276" w:lineRule="auto"/>
        <w:rPr>
          <w:rFonts w:ascii="Arial" w:hAnsi="Arial" w:cs="Arial"/>
          <w:sz w:val="20"/>
          <w:szCs w:val="20"/>
        </w:rPr>
      </w:pPr>
      <w:r w:rsidRPr="009E7480">
        <w:rPr>
          <w:rFonts w:ascii="Arial" w:hAnsi="Arial" w:cs="Arial"/>
          <w:sz w:val="20"/>
          <w:szCs w:val="20"/>
        </w:rPr>
        <w:t>There</w:t>
      </w:r>
      <w:r w:rsidR="001C3054">
        <w:rPr>
          <w:rFonts w:ascii="Arial" w:hAnsi="Arial" w:cs="Arial"/>
          <w:sz w:val="20"/>
          <w:szCs w:val="20"/>
        </w:rPr>
        <w:t xml:space="preserve"> appear</w:t>
      </w:r>
      <w:r w:rsidRPr="009E7480">
        <w:rPr>
          <w:rFonts w:ascii="Arial" w:hAnsi="Arial" w:cs="Arial"/>
          <w:sz w:val="20"/>
          <w:szCs w:val="20"/>
        </w:rPr>
        <w:t xml:space="preserve"> to be</w:t>
      </w:r>
      <w:r w:rsidR="001C3054">
        <w:rPr>
          <w:rFonts w:ascii="Arial" w:hAnsi="Arial" w:cs="Arial"/>
          <w:sz w:val="20"/>
          <w:szCs w:val="20"/>
        </w:rPr>
        <w:t xml:space="preserve"> unexplained</w:t>
      </w:r>
      <w:r w:rsidRPr="009E7480">
        <w:rPr>
          <w:rFonts w:ascii="Arial" w:hAnsi="Arial" w:cs="Arial"/>
          <w:sz w:val="20"/>
          <w:szCs w:val="20"/>
        </w:rPr>
        <w:t xml:space="preserve"> inconsistencies in th</w:t>
      </w:r>
      <w:r w:rsidR="001C3054">
        <w:rPr>
          <w:rFonts w:ascii="Arial" w:hAnsi="Arial" w:cs="Arial"/>
          <w:sz w:val="20"/>
          <w:szCs w:val="20"/>
        </w:rPr>
        <w:t>e proponent’s water abstraction predictions</w:t>
      </w:r>
      <w:r w:rsidRPr="009E7480">
        <w:rPr>
          <w:rFonts w:ascii="Arial" w:hAnsi="Arial" w:cs="Arial"/>
          <w:sz w:val="20"/>
          <w:szCs w:val="20"/>
        </w:rPr>
        <w:t xml:space="preserve">. The text </w:t>
      </w:r>
      <w:r w:rsidR="00FD68CA">
        <w:rPr>
          <w:rFonts w:ascii="Arial" w:hAnsi="Arial" w:cs="Arial"/>
          <w:sz w:val="20"/>
          <w:szCs w:val="20"/>
        </w:rPr>
        <w:t>r</w:t>
      </w:r>
      <w:r w:rsidR="0097775A">
        <w:rPr>
          <w:rFonts w:ascii="Arial" w:hAnsi="Arial" w:cs="Arial"/>
          <w:sz w:val="20"/>
          <w:szCs w:val="20"/>
        </w:rPr>
        <w:t>efers to an estimate of 35</w:t>
      </w:r>
      <w:r w:rsidR="00E509D9">
        <w:rPr>
          <w:rFonts w:ascii="Arial" w:hAnsi="Arial" w:cs="Arial"/>
          <w:sz w:val="20"/>
          <w:szCs w:val="20"/>
        </w:rPr>
        <w:t xml:space="preserve"> </w:t>
      </w:r>
      <w:r w:rsidRPr="009E7480">
        <w:rPr>
          <w:rFonts w:ascii="Arial" w:hAnsi="Arial" w:cs="Arial"/>
          <w:sz w:val="20"/>
          <w:szCs w:val="20"/>
        </w:rPr>
        <w:t>GL over the lifet</w:t>
      </w:r>
      <w:r w:rsidR="0097775A">
        <w:rPr>
          <w:rFonts w:ascii="Arial" w:hAnsi="Arial" w:cs="Arial"/>
          <w:sz w:val="20"/>
          <w:szCs w:val="20"/>
        </w:rPr>
        <w:t xml:space="preserve">ime of the project, however </w:t>
      </w:r>
      <w:r w:rsidR="00FE5334">
        <w:rPr>
          <w:rFonts w:ascii="Arial" w:hAnsi="Arial" w:cs="Arial"/>
          <w:sz w:val="20"/>
          <w:szCs w:val="20"/>
        </w:rPr>
        <w:t>F</w:t>
      </w:r>
      <w:r w:rsidR="00FD68CA">
        <w:rPr>
          <w:rFonts w:ascii="Arial" w:hAnsi="Arial" w:cs="Arial"/>
          <w:sz w:val="20"/>
          <w:szCs w:val="20"/>
        </w:rPr>
        <w:t>igure</w:t>
      </w:r>
      <w:r w:rsidR="00FE5334">
        <w:rPr>
          <w:rFonts w:ascii="Arial" w:hAnsi="Arial" w:cs="Arial"/>
          <w:sz w:val="20"/>
          <w:szCs w:val="20"/>
        </w:rPr>
        <w:t xml:space="preserve"> 2-1</w:t>
      </w:r>
      <w:r w:rsidR="0097775A">
        <w:rPr>
          <w:rFonts w:ascii="Arial" w:hAnsi="Arial" w:cs="Arial"/>
          <w:sz w:val="20"/>
          <w:szCs w:val="20"/>
        </w:rPr>
        <w:t xml:space="preserve"> </w:t>
      </w:r>
      <w:r w:rsidR="00FD68CA">
        <w:rPr>
          <w:rFonts w:ascii="Arial" w:hAnsi="Arial" w:cs="Arial"/>
          <w:sz w:val="20"/>
          <w:szCs w:val="20"/>
        </w:rPr>
        <w:t>suggest</w:t>
      </w:r>
      <w:r w:rsidR="0097775A">
        <w:rPr>
          <w:rFonts w:ascii="Arial" w:hAnsi="Arial" w:cs="Arial"/>
          <w:sz w:val="20"/>
          <w:szCs w:val="20"/>
        </w:rPr>
        <w:t>s</w:t>
      </w:r>
      <w:r w:rsidR="00FD68CA">
        <w:rPr>
          <w:rFonts w:ascii="Arial" w:hAnsi="Arial" w:cs="Arial"/>
          <w:sz w:val="20"/>
          <w:szCs w:val="20"/>
        </w:rPr>
        <w:t xml:space="preserve"> </w:t>
      </w:r>
      <w:r w:rsidR="001C3054">
        <w:rPr>
          <w:rFonts w:ascii="Arial" w:hAnsi="Arial" w:cs="Arial"/>
          <w:sz w:val="20"/>
          <w:szCs w:val="20"/>
        </w:rPr>
        <w:t xml:space="preserve">up </w:t>
      </w:r>
      <w:r w:rsidR="00E47CE0">
        <w:rPr>
          <w:rFonts w:ascii="Arial" w:hAnsi="Arial" w:cs="Arial"/>
          <w:sz w:val="20"/>
          <w:szCs w:val="20"/>
        </w:rPr>
        <w:t>to 90</w:t>
      </w:r>
      <w:r w:rsidR="00E509D9">
        <w:rPr>
          <w:rFonts w:ascii="Arial" w:hAnsi="Arial" w:cs="Arial"/>
          <w:sz w:val="20"/>
          <w:szCs w:val="20"/>
        </w:rPr>
        <w:t xml:space="preserve"> </w:t>
      </w:r>
      <w:r w:rsidRPr="009E7480">
        <w:rPr>
          <w:rFonts w:ascii="Arial" w:hAnsi="Arial" w:cs="Arial"/>
          <w:sz w:val="20"/>
          <w:szCs w:val="20"/>
        </w:rPr>
        <w:t>GL.</w:t>
      </w:r>
      <w:r w:rsidR="0097775A">
        <w:rPr>
          <w:rFonts w:ascii="Arial" w:hAnsi="Arial" w:cs="Arial"/>
          <w:sz w:val="20"/>
          <w:szCs w:val="20"/>
        </w:rPr>
        <w:t xml:space="preserve"> </w:t>
      </w:r>
      <w:r w:rsidR="001C3054">
        <w:rPr>
          <w:rFonts w:ascii="Arial" w:hAnsi="Arial" w:cs="Arial"/>
          <w:sz w:val="20"/>
          <w:szCs w:val="20"/>
        </w:rPr>
        <w:t>T</w:t>
      </w:r>
      <w:r w:rsidR="009F7E18">
        <w:rPr>
          <w:rFonts w:ascii="Arial" w:hAnsi="Arial" w:cs="Arial"/>
          <w:sz w:val="20"/>
          <w:szCs w:val="20"/>
        </w:rPr>
        <w:t>he inconsistency</w:t>
      </w:r>
      <w:r w:rsidR="00855DCA">
        <w:rPr>
          <w:rFonts w:ascii="Arial" w:hAnsi="Arial" w:cs="Arial"/>
          <w:sz w:val="20"/>
          <w:szCs w:val="20"/>
        </w:rPr>
        <w:t xml:space="preserve"> </w:t>
      </w:r>
      <w:r w:rsidR="009F7E18">
        <w:rPr>
          <w:rFonts w:ascii="Arial" w:hAnsi="Arial" w:cs="Arial"/>
          <w:sz w:val="20"/>
          <w:szCs w:val="20"/>
        </w:rPr>
        <w:t xml:space="preserve">reduces confidence and </w:t>
      </w:r>
      <w:r w:rsidRPr="009E7480">
        <w:rPr>
          <w:rFonts w:ascii="Arial" w:hAnsi="Arial" w:cs="Arial"/>
          <w:sz w:val="20"/>
          <w:szCs w:val="20"/>
        </w:rPr>
        <w:t xml:space="preserve">reliability of the proponent’s </w:t>
      </w:r>
      <w:r w:rsidR="009F7E18">
        <w:rPr>
          <w:rFonts w:ascii="Arial" w:hAnsi="Arial" w:cs="Arial"/>
          <w:sz w:val="20"/>
          <w:szCs w:val="20"/>
        </w:rPr>
        <w:t xml:space="preserve">model </w:t>
      </w:r>
      <w:r w:rsidRPr="009E7480">
        <w:rPr>
          <w:rFonts w:ascii="Arial" w:hAnsi="Arial" w:cs="Arial"/>
          <w:sz w:val="20"/>
          <w:szCs w:val="20"/>
        </w:rPr>
        <w:t>predictions.</w:t>
      </w:r>
      <w:r w:rsidR="001B5AA3">
        <w:rPr>
          <w:rFonts w:ascii="Arial" w:hAnsi="Arial" w:cs="Arial"/>
          <w:sz w:val="20"/>
          <w:szCs w:val="20"/>
        </w:rPr>
        <w:t xml:space="preserve"> </w:t>
      </w:r>
      <w:r w:rsidRPr="00DE6D02">
        <w:rPr>
          <w:rFonts w:ascii="Arial" w:hAnsi="Arial" w:cs="Arial"/>
          <w:sz w:val="20"/>
          <w:szCs w:val="20"/>
        </w:rPr>
        <w:t xml:space="preserve">It would be beneficial to re-run the model with updated </w:t>
      </w:r>
      <w:r w:rsidR="001C3054">
        <w:rPr>
          <w:rFonts w:ascii="Arial" w:hAnsi="Arial" w:cs="Arial"/>
          <w:sz w:val="20"/>
          <w:szCs w:val="20"/>
        </w:rPr>
        <w:t>abstraction</w:t>
      </w:r>
      <w:r w:rsidRPr="00DE6D02">
        <w:rPr>
          <w:rFonts w:ascii="Arial" w:hAnsi="Arial" w:cs="Arial"/>
          <w:sz w:val="20"/>
          <w:szCs w:val="20"/>
        </w:rPr>
        <w:t xml:space="preserve"> scenarios to </w:t>
      </w:r>
      <w:r w:rsidR="009F7E18">
        <w:rPr>
          <w:rFonts w:ascii="Arial" w:hAnsi="Arial" w:cs="Arial"/>
          <w:sz w:val="20"/>
          <w:szCs w:val="20"/>
        </w:rPr>
        <w:t xml:space="preserve">more realistically </w:t>
      </w:r>
      <w:r w:rsidRPr="00DE6D02">
        <w:rPr>
          <w:rFonts w:ascii="Arial" w:hAnsi="Arial" w:cs="Arial"/>
          <w:sz w:val="20"/>
          <w:szCs w:val="20"/>
        </w:rPr>
        <w:t>reflect operations.</w:t>
      </w:r>
    </w:p>
    <w:p w:rsidR="009E7480" w:rsidRPr="009E7480" w:rsidRDefault="009E7480" w:rsidP="003E76A1">
      <w:pPr>
        <w:pStyle w:val="ListNumber2"/>
        <w:spacing w:after="200" w:line="276" w:lineRule="auto"/>
        <w:rPr>
          <w:rFonts w:ascii="Arial" w:hAnsi="Arial" w:cs="Arial"/>
          <w:sz w:val="20"/>
          <w:szCs w:val="20"/>
        </w:rPr>
      </w:pPr>
      <w:r w:rsidRPr="009E7480">
        <w:rPr>
          <w:rFonts w:ascii="Arial" w:hAnsi="Arial" w:cs="Arial"/>
          <w:sz w:val="20"/>
          <w:szCs w:val="20"/>
        </w:rPr>
        <w:t>In addition, location information (maps) on the abstraction bores used in the model, both for the 35</w:t>
      </w:r>
      <w:r w:rsidR="00E509D9">
        <w:rPr>
          <w:rFonts w:ascii="Arial" w:hAnsi="Arial" w:cs="Arial"/>
          <w:sz w:val="20"/>
          <w:szCs w:val="20"/>
        </w:rPr>
        <w:t xml:space="preserve"> </w:t>
      </w:r>
      <w:r w:rsidR="00A86657">
        <w:rPr>
          <w:rFonts w:ascii="Arial" w:hAnsi="Arial" w:cs="Arial"/>
          <w:sz w:val="20"/>
          <w:szCs w:val="20"/>
        </w:rPr>
        <w:t>GL (or amended) and 250</w:t>
      </w:r>
      <w:r w:rsidR="00E509D9">
        <w:rPr>
          <w:rFonts w:ascii="Arial" w:hAnsi="Arial" w:cs="Arial"/>
          <w:sz w:val="20"/>
          <w:szCs w:val="20"/>
        </w:rPr>
        <w:t xml:space="preserve"> </w:t>
      </w:r>
      <w:r w:rsidRPr="009E7480">
        <w:rPr>
          <w:rFonts w:ascii="Arial" w:hAnsi="Arial" w:cs="Arial"/>
          <w:sz w:val="20"/>
          <w:szCs w:val="20"/>
        </w:rPr>
        <w:t xml:space="preserve">GL scenarios should be included to </w:t>
      </w:r>
      <w:r w:rsidR="009F7E18">
        <w:rPr>
          <w:rFonts w:ascii="Arial" w:hAnsi="Arial" w:cs="Arial"/>
          <w:sz w:val="20"/>
          <w:szCs w:val="20"/>
        </w:rPr>
        <w:t xml:space="preserve">enable an accurate </w:t>
      </w:r>
      <w:r w:rsidRPr="009E7480">
        <w:rPr>
          <w:rFonts w:ascii="Arial" w:hAnsi="Arial" w:cs="Arial"/>
          <w:sz w:val="20"/>
          <w:szCs w:val="20"/>
        </w:rPr>
        <w:t>overview of the locations and their proximity to GDEs.</w:t>
      </w:r>
    </w:p>
    <w:p w:rsidR="009E7480" w:rsidRPr="009E7480" w:rsidRDefault="009E7480" w:rsidP="003E76A1">
      <w:pPr>
        <w:pStyle w:val="ListNumber2"/>
        <w:spacing w:after="200" w:line="276" w:lineRule="auto"/>
        <w:rPr>
          <w:rFonts w:ascii="Arial" w:hAnsi="Arial" w:cs="Arial"/>
          <w:sz w:val="20"/>
          <w:szCs w:val="20"/>
        </w:rPr>
      </w:pPr>
      <w:r w:rsidRPr="009E7480">
        <w:rPr>
          <w:rFonts w:ascii="Arial" w:hAnsi="Arial" w:cs="Arial"/>
          <w:sz w:val="20"/>
          <w:szCs w:val="20"/>
        </w:rPr>
        <w:t>The pr</w:t>
      </w:r>
      <w:r w:rsidR="00A1029E">
        <w:rPr>
          <w:rFonts w:ascii="Arial" w:hAnsi="Arial" w:cs="Arial"/>
          <w:sz w:val="20"/>
          <w:szCs w:val="20"/>
        </w:rPr>
        <w:t xml:space="preserve">edicted drawdown maps provided </w:t>
      </w:r>
      <w:r w:rsidRPr="009E7480">
        <w:rPr>
          <w:rFonts w:ascii="Arial" w:hAnsi="Arial" w:cs="Arial"/>
          <w:sz w:val="20"/>
          <w:szCs w:val="20"/>
        </w:rPr>
        <w:t>indicate that</w:t>
      </w:r>
      <w:r w:rsidR="001C3054">
        <w:rPr>
          <w:rFonts w:ascii="Arial" w:hAnsi="Arial" w:cs="Arial"/>
          <w:sz w:val="20"/>
          <w:szCs w:val="20"/>
        </w:rPr>
        <w:t>,</w:t>
      </w:r>
      <w:r w:rsidRPr="009E7480">
        <w:rPr>
          <w:rFonts w:ascii="Arial" w:hAnsi="Arial" w:cs="Arial"/>
          <w:sz w:val="20"/>
          <w:szCs w:val="20"/>
        </w:rPr>
        <w:t xml:space="preserve"> of the predicted 15-17.5</w:t>
      </w:r>
      <w:r w:rsidR="00E509D9">
        <w:rPr>
          <w:rFonts w:ascii="Arial" w:hAnsi="Arial" w:cs="Arial"/>
          <w:sz w:val="20"/>
          <w:szCs w:val="20"/>
        </w:rPr>
        <w:t xml:space="preserve"> </w:t>
      </w:r>
      <w:r w:rsidRPr="009E7480">
        <w:rPr>
          <w:rFonts w:ascii="Arial" w:hAnsi="Arial" w:cs="Arial"/>
          <w:sz w:val="20"/>
          <w:szCs w:val="20"/>
        </w:rPr>
        <w:t xml:space="preserve">m maximum drawdown in the </w:t>
      </w:r>
      <w:r w:rsidR="00E509D9">
        <w:rPr>
          <w:rFonts w:ascii="Arial" w:hAnsi="Arial" w:cs="Arial"/>
          <w:sz w:val="20"/>
          <w:szCs w:val="20"/>
        </w:rPr>
        <w:t>Walloon Coal Measures (</w:t>
      </w:r>
      <w:r w:rsidR="00A86657">
        <w:rPr>
          <w:rFonts w:ascii="Arial" w:hAnsi="Arial" w:cs="Arial"/>
          <w:sz w:val="20"/>
          <w:szCs w:val="20"/>
        </w:rPr>
        <w:t>WCM</w:t>
      </w:r>
      <w:r w:rsidR="00E509D9">
        <w:rPr>
          <w:rFonts w:ascii="Arial" w:hAnsi="Arial" w:cs="Arial"/>
          <w:sz w:val="20"/>
          <w:szCs w:val="20"/>
        </w:rPr>
        <w:t>)</w:t>
      </w:r>
      <w:r w:rsidRPr="009E7480">
        <w:rPr>
          <w:rFonts w:ascii="Arial" w:hAnsi="Arial" w:cs="Arial"/>
          <w:sz w:val="20"/>
          <w:szCs w:val="20"/>
        </w:rPr>
        <w:t>,</w:t>
      </w:r>
      <w:r w:rsidR="0097775A">
        <w:rPr>
          <w:rFonts w:ascii="Arial" w:hAnsi="Arial" w:cs="Arial"/>
          <w:sz w:val="20"/>
          <w:szCs w:val="20"/>
        </w:rPr>
        <w:t xml:space="preserve"> </w:t>
      </w:r>
      <w:r w:rsidR="00A86657">
        <w:rPr>
          <w:rFonts w:ascii="Arial" w:hAnsi="Arial" w:cs="Arial"/>
          <w:sz w:val="20"/>
          <w:szCs w:val="20"/>
        </w:rPr>
        <w:t>10-15</w:t>
      </w:r>
      <w:r w:rsidR="00E509D9">
        <w:rPr>
          <w:rFonts w:ascii="Arial" w:hAnsi="Arial" w:cs="Arial"/>
          <w:sz w:val="20"/>
          <w:szCs w:val="20"/>
        </w:rPr>
        <w:t xml:space="preserve"> </w:t>
      </w:r>
      <w:r w:rsidRPr="009E7480">
        <w:rPr>
          <w:rFonts w:ascii="Arial" w:hAnsi="Arial" w:cs="Arial"/>
          <w:sz w:val="20"/>
          <w:szCs w:val="20"/>
        </w:rPr>
        <w:t>m will propagate to the Springbok Sandstone</w:t>
      </w:r>
      <w:r w:rsidR="001C3054">
        <w:rPr>
          <w:rFonts w:ascii="Arial" w:hAnsi="Arial" w:cs="Arial"/>
          <w:sz w:val="20"/>
          <w:szCs w:val="20"/>
        </w:rPr>
        <w:t xml:space="preserve"> d</w:t>
      </w:r>
      <w:r w:rsidRPr="009E7480">
        <w:rPr>
          <w:rFonts w:ascii="Arial" w:hAnsi="Arial" w:cs="Arial"/>
          <w:sz w:val="20"/>
          <w:szCs w:val="20"/>
        </w:rPr>
        <w:t>ue to the two being hydraulically connected.</w:t>
      </w:r>
      <w:r w:rsidR="001B5AA3">
        <w:rPr>
          <w:rFonts w:ascii="Arial" w:hAnsi="Arial" w:cs="Arial"/>
          <w:sz w:val="20"/>
          <w:szCs w:val="20"/>
        </w:rPr>
        <w:t xml:space="preserve"> </w:t>
      </w:r>
      <w:r w:rsidRPr="009E7480">
        <w:rPr>
          <w:rFonts w:ascii="Arial" w:hAnsi="Arial" w:cs="Arial"/>
          <w:sz w:val="20"/>
          <w:szCs w:val="20"/>
        </w:rPr>
        <w:t>In places</w:t>
      </w:r>
      <w:r w:rsidR="00C75382">
        <w:rPr>
          <w:rFonts w:ascii="Arial" w:hAnsi="Arial" w:cs="Arial"/>
          <w:sz w:val="20"/>
          <w:szCs w:val="20"/>
        </w:rPr>
        <w:t>,</w:t>
      </w:r>
      <w:r w:rsidRPr="009E7480">
        <w:rPr>
          <w:rFonts w:ascii="Arial" w:hAnsi="Arial" w:cs="Arial"/>
          <w:sz w:val="20"/>
          <w:szCs w:val="20"/>
        </w:rPr>
        <w:t xml:space="preserve"> the Springbok Sandstone may become unconfined and the constant transmissivity assumption may become invalid.</w:t>
      </w:r>
      <w:r w:rsidR="001B5AA3">
        <w:rPr>
          <w:rFonts w:ascii="Arial" w:hAnsi="Arial" w:cs="Arial"/>
          <w:sz w:val="20"/>
          <w:szCs w:val="20"/>
        </w:rPr>
        <w:t xml:space="preserve"> </w:t>
      </w:r>
      <w:r w:rsidRPr="009E7480">
        <w:rPr>
          <w:rFonts w:ascii="Arial" w:hAnsi="Arial" w:cs="Arial"/>
          <w:sz w:val="20"/>
          <w:szCs w:val="20"/>
        </w:rPr>
        <w:t>As groundwater head maps are not provided for the various units</w:t>
      </w:r>
      <w:r w:rsidR="001C3054">
        <w:rPr>
          <w:rFonts w:ascii="Arial" w:hAnsi="Arial" w:cs="Arial"/>
          <w:sz w:val="20"/>
          <w:szCs w:val="20"/>
        </w:rPr>
        <w:t>,</w:t>
      </w:r>
      <w:r w:rsidRPr="009E7480">
        <w:rPr>
          <w:rFonts w:ascii="Arial" w:hAnsi="Arial" w:cs="Arial"/>
          <w:sz w:val="20"/>
          <w:szCs w:val="20"/>
        </w:rPr>
        <w:t xml:space="preserve"> it is not possible to </w:t>
      </w:r>
      <w:r w:rsidR="009F7E18">
        <w:rPr>
          <w:rFonts w:ascii="Arial" w:hAnsi="Arial" w:cs="Arial"/>
          <w:sz w:val="20"/>
          <w:szCs w:val="20"/>
        </w:rPr>
        <w:t xml:space="preserve">assess the </w:t>
      </w:r>
      <w:r w:rsidRPr="009E7480">
        <w:rPr>
          <w:rFonts w:ascii="Arial" w:hAnsi="Arial" w:cs="Arial"/>
          <w:sz w:val="20"/>
          <w:szCs w:val="20"/>
        </w:rPr>
        <w:t>plausib</w:t>
      </w:r>
      <w:r w:rsidR="009F7E18">
        <w:rPr>
          <w:rFonts w:ascii="Arial" w:hAnsi="Arial" w:cs="Arial"/>
          <w:sz w:val="20"/>
          <w:szCs w:val="20"/>
        </w:rPr>
        <w:t>ility of interconnectivity assumptions and resultant predicted drawdown.</w:t>
      </w:r>
    </w:p>
    <w:p w:rsidR="009E7480" w:rsidRPr="00FD68CA" w:rsidRDefault="009E7480" w:rsidP="003E76A1">
      <w:pPr>
        <w:pStyle w:val="ListNumber2"/>
        <w:numPr>
          <w:ilvl w:val="0"/>
          <w:numId w:val="0"/>
        </w:numPr>
        <w:spacing w:after="200" w:line="276" w:lineRule="auto"/>
        <w:ind w:left="369"/>
        <w:rPr>
          <w:rFonts w:ascii="Arial" w:hAnsi="Arial" w:cs="Arial"/>
          <w:sz w:val="20"/>
          <w:szCs w:val="20"/>
          <w:u w:val="single"/>
        </w:rPr>
      </w:pPr>
      <w:r w:rsidRPr="00FD68CA">
        <w:rPr>
          <w:rFonts w:ascii="Arial" w:hAnsi="Arial" w:cs="Arial"/>
          <w:sz w:val="20"/>
          <w:szCs w:val="20"/>
          <w:u w:val="single"/>
        </w:rPr>
        <w:t xml:space="preserve">Application of the Model for Impact Assessment </w:t>
      </w:r>
    </w:p>
    <w:p w:rsidR="009E7480" w:rsidRPr="009E7480" w:rsidRDefault="00C75382" w:rsidP="003E76A1">
      <w:pPr>
        <w:pStyle w:val="ListNumber2"/>
        <w:spacing w:after="200" w:line="276" w:lineRule="auto"/>
        <w:rPr>
          <w:rFonts w:ascii="Arial" w:hAnsi="Arial" w:cs="Arial"/>
          <w:sz w:val="20"/>
          <w:szCs w:val="20"/>
        </w:rPr>
      </w:pPr>
      <w:r>
        <w:rPr>
          <w:rFonts w:ascii="Arial" w:hAnsi="Arial" w:cs="Arial"/>
          <w:sz w:val="20"/>
          <w:szCs w:val="20"/>
        </w:rPr>
        <w:t>T</w:t>
      </w:r>
      <w:r w:rsidR="00984BC5">
        <w:rPr>
          <w:rFonts w:ascii="Arial" w:hAnsi="Arial" w:cs="Arial"/>
          <w:sz w:val="20"/>
          <w:szCs w:val="20"/>
        </w:rPr>
        <w:t>he model was used</w:t>
      </w:r>
      <w:r w:rsidR="009E7480" w:rsidRPr="009E7480">
        <w:rPr>
          <w:rFonts w:ascii="Arial" w:hAnsi="Arial" w:cs="Arial"/>
          <w:sz w:val="20"/>
          <w:szCs w:val="20"/>
        </w:rPr>
        <w:t xml:space="preserve"> to predict changes in groundwater</w:t>
      </w:r>
      <w:r>
        <w:rPr>
          <w:rFonts w:ascii="Arial" w:hAnsi="Arial" w:cs="Arial"/>
          <w:sz w:val="20"/>
          <w:szCs w:val="20"/>
        </w:rPr>
        <w:t>-</w:t>
      </w:r>
      <w:r w:rsidR="009E7480" w:rsidRPr="009E7480">
        <w:rPr>
          <w:rFonts w:ascii="Arial" w:hAnsi="Arial" w:cs="Arial"/>
          <w:sz w:val="20"/>
          <w:szCs w:val="20"/>
        </w:rPr>
        <w:t>surface water interaction</w:t>
      </w:r>
      <w:r w:rsidR="00984BC5">
        <w:rPr>
          <w:rFonts w:ascii="Arial" w:hAnsi="Arial" w:cs="Arial"/>
          <w:sz w:val="20"/>
          <w:szCs w:val="20"/>
        </w:rPr>
        <w:t xml:space="preserve">s </w:t>
      </w:r>
      <w:r w:rsidR="009E7480" w:rsidRPr="009E7480">
        <w:rPr>
          <w:rFonts w:ascii="Arial" w:hAnsi="Arial" w:cs="Arial"/>
          <w:sz w:val="20"/>
          <w:szCs w:val="20"/>
        </w:rPr>
        <w:t xml:space="preserve">and impacts to springs </w:t>
      </w:r>
      <w:r w:rsidR="00902630">
        <w:rPr>
          <w:rFonts w:ascii="Arial" w:hAnsi="Arial" w:cs="Arial"/>
          <w:sz w:val="20"/>
          <w:szCs w:val="20"/>
        </w:rPr>
        <w:t>(</w:t>
      </w:r>
      <w:r w:rsidR="009E7480" w:rsidRPr="009E7480">
        <w:rPr>
          <w:rFonts w:ascii="Arial" w:hAnsi="Arial" w:cs="Arial"/>
          <w:sz w:val="20"/>
          <w:szCs w:val="20"/>
        </w:rPr>
        <w:t>by the use of a proxy-impact to spring source aquifers</w:t>
      </w:r>
      <w:r w:rsidR="00902630">
        <w:rPr>
          <w:rFonts w:ascii="Arial" w:hAnsi="Arial" w:cs="Arial"/>
          <w:sz w:val="20"/>
          <w:szCs w:val="20"/>
        </w:rPr>
        <w:t>)</w:t>
      </w:r>
      <w:r>
        <w:rPr>
          <w:rFonts w:ascii="Arial" w:hAnsi="Arial" w:cs="Arial"/>
          <w:sz w:val="20"/>
          <w:szCs w:val="20"/>
        </w:rPr>
        <w:t>, even though the shortcomings of doing so is recognised</w:t>
      </w:r>
      <w:r w:rsidR="000B4BD4">
        <w:rPr>
          <w:rFonts w:ascii="Arial" w:hAnsi="Arial" w:cs="Arial"/>
          <w:sz w:val="20"/>
          <w:szCs w:val="20"/>
        </w:rPr>
        <w:t>.</w:t>
      </w:r>
      <w:r w:rsidR="009E7480" w:rsidRPr="009E7480">
        <w:rPr>
          <w:rFonts w:ascii="Arial" w:hAnsi="Arial" w:cs="Arial"/>
          <w:sz w:val="20"/>
          <w:szCs w:val="20"/>
        </w:rPr>
        <w:t xml:space="preserve"> </w:t>
      </w:r>
      <w:r w:rsidR="00984BC5">
        <w:rPr>
          <w:rFonts w:ascii="Arial" w:hAnsi="Arial" w:cs="Arial"/>
          <w:sz w:val="20"/>
          <w:szCs w:val="20"/>
        </w:rPr>
        <w:t>The IESC</w:t>
      </w:r>
      <w:r w:rsidR="009E7480" w:rsidRPr="009E7480">
        <w:rPr>
          <w:rFonts w:ascii="Arial" w:hAnsi="Arial" w:cs="Arial"/>
          <w:sz w:val="20"/>
          <w:szCs w:val="20"/>
        </w:rPr>
        <w:t xml:space="preserve"> recommends that </w:t>
      </w:r>
      <w:r w:rsidR="00246CF4">
        <w:rPr>
          <w:rFonts w:ascii="Arial" w:hAnsi="Arial" w:cs="Arial"/>
          <w:sz w:val="20"/>
          <w:szCs w:val="20"/>
        </w:rPr>
        <w:t xml:space="preserve">the limitations of </w:t>
      </w:r>
      <w:r w:rsidR="00246CF4" w:rsidRPr="009E7480">
        <w:rPr>
          <w:rFonts w:ascii="Arial" w:hAnsi="Arial" w:cs="Arial"/>
          <w:sz w:val="20"/>
          <w:szCs w:val="20"/>
        </w:rPr>
        <w:t>usa</w:t>
      </w:r>
      <w:r w:rsidR="00246CF4">
        <w:rPr>
          <w:rFonts w:ascii="Arial" w:hAnsi="Arial" w:cs="Arial"/>
          <w:sz w:val="20"/>
          <w:szCs w:val="20"/>
        </w:rPr>
        <w:t>ge</w:t>
      </w:r>
      <w:r w:rsidR="009E7480" w:rsidRPr="009E7480">
        <w:rPr>
          <w:rFonts w:ascii="Arial" w:hAnsi="Arial" w:cs="Arial"/>
          <w:sz w:val="20"/>
          <w:szCs w:val="20"/>
        </w:rPr>
        <w:t xml:space="preserve"> of </w:t>
      </w:r>
      <w:r w:rsidR="00246CF4">
        <w:rPr>
          <w:rFonts w:ascii="Arial" w:hAnsi="Arial" w:cs="Arial"/>
          <w:sz w:val="20"/>
          <w:szCs w:val="20"/>
        </w:rPr>
        <w:t xml:space="preserve">the </w:t>
      </w:r>
      <w:r w:rsidR="009E7480" w:rsidRPr="009E7480">
        <w:rPr>
          <w:rFonts w:ascii="Arial" w:hAnsi="Arial" w:cs="Arial"/>
          <w:sz w:val="20"/>
          <w:szCs w:val="20"/>
        </w:rPr>
        <w:t xml:space="preserve">model for those purposes </w:t>
      </w:r>
      <w:r w:rsidR="00246CF4">
        <w:rPr>
          <w:rFonts w:ascii="Arial" w:hAnsi="Arial" w:cs="Arial"/>
          <w:sz w:val="20"/>
          <w:szCs w:val="20"/>
        </w:rPr>
        <w:t>are recognised and</w:t>
      </w:r>
      <w:r w:rsidR="003A751D">
        <w:rPr>
          <w:rFonts w:ascii="Arial" w:hAnsi="Arial" w:cs="Arial"/>
          <w:sz w:val="20"/>
          <w:szCs w:val="20"/>
        </w:rPr>
        <w:t xml:space="preserve"> incorporated</w:t>
      </w:r>
      <w:r w:rsidR="00246CF4">
        <w:rPr>
          <w:rFonts w:ascii="Arial" w:hAnsi="Arial" w:cs="Arial"/>
          <w:sz w:val="20"/>
          <w:szCs w:val="20"/>
        </w:rPr>
        <w:t xml:space="preserve"> into risk</w:t>
      </w:r>
      <w:r w:rsidR="00F958D5">
        <w:rPr>
          <w:rFonts w:ascii="Arial" w:hAnsi="Arial" w:cs="Arial"/>
          <w:sz w:val="20"/>
          <w:szCs w:val="20"/>
        </w:rPr>
        <w:t xml:space="preserve">, </w:t>
      </w:r>
      <w:r w:rsidR="00246CF4">
        <w:rPr>
          <w:rFonts w:ascii="Arial" w:hAnsi="Arial" w:cs="Arial"/>
          <w:sz w:val="20"/>
          <w:szCs w:val="20"/>
        </w:rPr>
        <w:t>monitoring and mitigation plans</w:t>
      </w:r>
      <w:r w:rsidR="009E7480" w:rsidRPr="009E7480">
        <w:rPr>
          <w:rFonts w:ascii="Arial" w:hAnsi="Arial" w:cs="Arial"/>
          <w:sz w:val="20"/>
          <w:szCs w:val="20"/>
        </w:rPr>
        <w:t>.</w:t>
      </w:r>
    </w:p>
    <w:p w:rsidR="00D322E2" w:rsidRPr="00D322E2" w:rsidRDefault="00D322E2" w:rsidP="003E76A1">
      <w:pPr>
        <w:pStyle w:val="ListNumber"/>
        <w:numPr>
          <w:ilvl w:val="0"/>
          <w:numId w:val="0"/>
        </w:numPr>
        <w:spacing w:after="200" w:line="276" w:lineRule="auto"/>
        <w:outlineLvl w:val="3"/>
        <w:rPr>
          <w:rFonts w:ascii="Arial" w:hAnsi="Arial" w:cs="Arial"/>
          <w:bCs/>
          <w:i/>
          <w:sz w:val="20"/>
          <w:szCs w:val="20"/>
        </w:rPr>
      </w:pPr>
      <w:r w:rsidRPr="00D322E2">
        <w:rPr>
          <w:rFonts w:ascii="Arial" w:hAnsi="Arial" w:cs="Arial"/>
          <w:bCs/>
          <w:i/>
          <w:sz w:val="20"/>
          <w:szCs w:val="20"/>
        </w:rPr>
        <w:t>Question 2: How likely and severe is the risk of the project inducing interaction between aquifers?</w:t>
      </w:r>
    </w:p>
    <w:p w:rsidR="00D322E2" w:rsidRPr="00D322E2" w:rsidRDefault="00FF3AEE" w:rsidP="003E76A1">
      <w:pPr>
        <w:pStyle w:val="ListNumber"/>
        <w:spacing w:after="200" w:line="276" w:lineRule="auto"/>
        <w:rPr>
          <w:rFonts w:ascii="Arial" w:hAnsi="Arial" w:cs="Arial"/>
          <w:sz w:val="20"/>
          <w:szCs w:val="20"/>
        </w:rPr>
      </w:pPr>
      <w:r>
        <w:rPr>
          <w:rFonts w:ascii="Arial" w:hAnsi="Arial" w:cs="Arial"/>
          <w:sz w:val="20"/>
          <w:szCs w:val="20"/>
        </w:rPr>
        <w:t>The proponent</w:t>
      </w:r>
      <w:r w:rsidR="00D322E2" w:rsidRPr="00D322E2">
        <w:rPr>
          <w:rFonts w:ascii="Arial" w:hAnsi="Arial" w:cs="Arial"/>
          <w:sz w:val="20"/>
          <w:szCs w:val="20"/>
        </w:rPr>
        <w:t xml:space="preserve"> does not provide </w:t>
      </w:r>
      <w:proofErr w:type="spellStart"/>
      <w:r w:rsidR="00D322E2" w:rsidRPr="00D322E2">
        <w:rPr>
          <w:rFonts w:ascii="Arial" w:hAnsi="Arial" w:cs="Arial"/>
          <w:sz w:val="20"/>
          <w:szCs w:val="20"/>
        </w:rPr>
        <w:t>potentiometric</w:t>
      </w:r>
      <w:proofErr w:type="spellEnd"/>
      <w:r w:rsidR="00D322E2" w:rsidRPr="00D322E2">
        <w:rPr>
          <w:rFonts w:ascii="Arial" w:hAnsi="Arial" w:cs="Arial"/>
          <w:sz w:val="20"/>
          <w:szCs w:val="20"/>
        </w:rPr>
        <w:t xml:space="preserve"> head maps.</w:t>
      </w:r>
      <w:r w:rsidR="001B5AA3">
        <w:rPr>
          <w:rFonts w:ascii="Arial" w:hAnsi="Arial" w:cs="Arial"/>
          <w:sz w:val="20"/>
          <w:szCs w:val="20"/>
        </w:rPr>
        <w:t xml:space="preserve"> </w:t>
      </w:r>
      <w:r w:rsidR="00D322E2" w:rsidRPr="00D322E2">
        <w:rPr>
          <w:rFonts w:ascii="Arial" w:hAnsi="Arial" w:cs="Arial"/>
          <w:sz w:val="20"/>
          <w:szCs w:val="20"/>
        </w:rPr>
        <w:t>These maps are needed before a thorough understanding of hydraulic gradients in both horizontal and v</w:t>
      </w:r>
      <w:r w:rsidR="003A751D">
        <w:rPr>
          <w:rFonts w:ascii="Arial" w:hAnsi="Arial" w:cs="Arial"/>
          <w:sz w:val="20"/>
          <w:szCs w:val="20"/>
        </w:rPr>
        <w:t>ertical planes can be developed. T</w:t>
      </w:r>
      <w:r w:rsidR="001128A8">
        <w:rPr>
          <w:rFonts w:ascii="Arial" w:hAnsi="Arial" w:cs="Arial"/>
          <w:sz w:val="20"/>
          <w:szCs w:val="20"/>
        </w:rPr>
        <w:t xml:space="preserve">his </w:t>
      </w:r>
      <w:r w:rsidR="00D322E2" w:rsidRPr="00D322E2">
        <w:rPr>
          <w:rFonts w:ascii="Arial" w:hAnsi="Arial" w:cs="Arial"/>
          <w:sz w:val="20"/>
          <w:szCs w:val="20"/>
        </w:rPr>
        <w:t>is a pre-requisite to assess interactions between aquifers.</w:t>
      </w:r>
    </w:p>
    <w:p w:rsidR="00FE5334" w:rsidRDefault="00FE5334" w:rsidP="003E76A1">
      <w:pPr>
        <w:pStyle w:val="ListNumber"/>
        <w:spacing w:after="200" w:line="276" w:lineRule="auto"/>
        <w:rPr>
          <w:rFonts w:ascii="Arial" w:hAnsi="Arial" w:cs="Arial"/>
          <w:sz w:val="20"/>
          <w:szCs w:val="20"/>
        </w:rPr>
      </w:pPr>
      <w:r w:rsidRPr="00DE6D02">
        <w:rPr>
          <w:rFonts w:ascii="Arial" w:hAnsi="Arial" w:cs="Arial"/>
          <w:sz w:val="20"/>
          <w:szCs w:val="20"/>
        </w:rPr>
        <w:t>The IESC recommends that groundwater head maps for each hydrogeologic unit be included as part of the conceptual hydrogeology section.</w:t>
      </w:r>
      <w:r w:rsidR="001B5AA3">
        <w:rPr>
          <w:rFonts w:ascii="Arial" w:hAnsi="Arial" w:cs="Arial"/>
          <w:sz w:val="20"/>
          <w:szCs w:val="20"/>
        </w:rPr>
        <w:t xml:space="preserve"> </w:t>
      </w:r>
      <w:r w:rsidRPr="00DE6D02">
        <w:rPr>
          <w:rFonts w:ascii="Arial" w:hAnsi="Arial" w:cs="Arial"/>
          <w:sz w:val="20"/>
          <w:szCs w:val="20"/>
        </w:rPr>
        <w:t xml:space="preserve">The IESC also recommends that in addition to drawdown maps, pre-CSG and CSG affected potentiometric head maps be included. </w:t>
      </w:r>
    </w:p>
    <w:p w:rsidR="00D322E2" w:rsidRPr="00D322E2" w:rsidRDefault="00D322E2" w:rsidP="003E76A1">
      <w:pPr>
        <w:pStyle w:val="ListNumber"/>
        <w:spacing w:after="200" w:line="276" w:lineRule="auto"/>
        <w:rPr>
          <w:rFonts w:ascii="Arial" w:hAnsi="Arial" w:cs="Arial"/>
          <w:sz w:val="20"/>
          <w:szCs w:val="20"/>
        </w:rPr>
      </w:pPr>
      <w:r w:rsidRPr="00D322E2">
        <w:rPr>
          <w:rFonts w:ascii="Arial" w:hAnsi="Arial" w:cs="Arial"/>
          <w:sz w:val="20"/>
          <w:szCs w:val="20"/>
        </w:rPr>
        <w:t>The proponent concludes, from a small number of spatial observations, the existence of vertical upward gradient at the site.</w:t>
      </w:r>
      <w:r w:rsidR="001B5AA3">
        <w:rPr>
          <w:rFonts w:ascii="Arial" w:hAnsi="Arial" w:cs="Arial"/>
          <w:sz w:val="20"/>
          <w:szCs w:val="20"/>
        </w:rPr>
        <w:t xml:space="preserve"> </w:t>
      </w:r>
      <w:r w:rsidR="00902630">
        <w:rPr>
          <w:rFonts w:ascii="Arial" w:hAnsi="Arial" w:cs="Arial"/>
          <w:sz w:val="20"/>
          <w:szCs w:val="20"/>
        </w:rPr>
        <w:t>T</w:t>
      </w:r>
      <w:r w:rsidRPr="00D322E2">
        <w:rPr>
          <w:rFonts w:ascii="Arial" w:hAnsi="Arial" w:cs="Arial"/>
          <w:sz w:val="20"/>
          <w:szCs w:val="20"/>
        </w:rPr>
        <w:t xml:space="preserve">he head differences </w:t>
      </w:r>
      <w:r w:rsidR="00F958D5">
        <w:rPr>
          <w:rFonts w:ascii="Arial" w:hAnsi="Arial" w:cs="Arial"/>
          <w:sz w:val="20"/>
          <w:szCs w:val="20"/>
        </w:rPr>
        <w:t xml:space="preserve">at </w:t>
      </w:r>
      <w:r w:rsidR="00DE4588">
        <w:rPr>
          <w:rFonts w:ascii="Arial" w:hAnsi="Arial" w:cs="Arial"/>
          <w:sz w:val="20"/>
          <w:szCs w:val="20"/>
        </w:rPr>
        <w:t xml:space="preserve">a </w:t>
      </w:r>
      <w:r w:rsidRPr="00D322E2">
        <w:rPr>
          <w:rFonts w:ascii="Arial" w:hAnsi="Arial" w:cs="Arial"/>
          <w:sz w:val="20"/>
          <w:szCs w:val="20"/>
        </w:rPr>
        <w:t xml:space="preserve">few sites </w:t>
      </w:r>
      <w:r w:rsidR="000C60A7">
        <w:rPr>
          <w:rFonts w:ascii="Arial" w:hAnsi="Arial" w:cs="Arial"/>
          <w:sz w:val="20"/>
          <w:szCs w:val="20"/>
        </w:rPr>
        <w:t>do not provide</w:t>
      </w:r>
      <w:r w:rsidRPr="00D322E2">
        <w:rPr>
          <w:rFonts w:ascii="Arial" w:hAnsi="Arial" w:cs="Arial"/>
          <w:sz w:val="20"/>
          <w:szCs w:val="20"/>
        </w:rPr>
        <w:t xml:space="preserve"> s</w:t>
      </w:r>
      <w:r w:rsidR="00CD638E">
        <w:rPr>
          <w:rFonts w:ascii="Arial" w:hAnsi="Arial" w:cs="Arial"/>
          <w:sz w:val="20"/>
          <w:szCs w:val="20"/>
        </w:rPr>
        <w:t>ufficient basis for making area-</w:t>
      </w:r>
      <w:r w:rsidRPr="00D322E2">
        <w:rPr>
          <w:rFonts w:ascii="Arial" w:hAnsi="Arial" w:cs="Arial"/>
          <w:sz w:val="20"/>
          <w:szCs w:val="20"/>
        </w:rPr>
        <w:t>wide judgements of hydraulic gradients.</w:t>
      </w:r>
    </w:p>
    <w:p w:rsidR="00D322E2" w:rsidRPr="00DE6D02" w:rsidRDefault="00D322E2" w:rsidP="003E76A1">
      <w:pPr>
        <w:pStyle w:val="ListNumber"/>
        <w:spacing w:after="200" w:line="276" w:lineRule="auto"/>
        <w:rPr>
          <w:rFonts w:ascii="Arial" w:hAnsi="Arial" w:cs="Arial"/>
          <w:sz w:val="20"/>
          <w:szCs w:val="20"/>
        </w:rPr>
      </w:pPr>
      <w:r w:rsidRPr="00DE6D02">
        <w:rPr>
          <w:rFonts w:ascii="Arial" w:hAnsi="Arial" w:cs="Arial"/>
          <w:sz w:val="20"/>
          <w:szCs w:val="20"/>
        </w:rPr>
        <w:t>There appear</w:t>
      </w:r>
      <w:r w:rsidR="00905607">
        <w:rPr>
          <w:rFonts w:ascii="Arial" w:hAnsi="Arial" w:cs="Arial"/>
          <w:sz w:val="20"/>
          <w:szCs w:val="20"/>
        </w:rPr>
        <w:t>s</w:t>
      </w:r>
      <w:r w:rsidRPr="00DE6D02">
        <w:rPr>
          <w:rFonts w:ascii="Arial" w:hAnsi="Arial" w:cs="Arial"/>
          <w:sz w:val="20"/>
          <w:szCs w:val="20"/>
        </w:rPr>
        <w:t xml:space="preserve"> to be inconsi</w:t>
      </w:r>
      <w:r w:rsidR="000F5BCE" w:rsidRPr="00DE6D02">
        <w:rPr>
          <w:rFonts w:ascii="Arial" w:hAnsi="Arial" w:cs="Arial"/>
          <w:sz w:val="20"/>
          <w:szCs w:val="20"/>
        </w:rPr>
        <w:t>stencies in the water balances.</w:t>
      </w:r>
      <w:r w:rsidR="001B5AA3">
        <w:rPr>
          <w:rFonts w:ascii="Arial" w:hAnsi="Arial" w:cs="Arial"/>
          <w:sz w:val="20"/>
          <w:szCs w:val="20"/>
        </w:rPr>
        <w:t xml:space="preserve"> </w:t>
      </w:r>
      <w:r w:rsidR="000F5BCE" w:rsidRPr="00DE6D02">
        <w:rPr>
          <w:rFonts w:ascii="Arial" w:hAnsi="Arial" w:cs="Arial"/>
          <w:sz w:val="20"/>
          <w:szCs w:val="20"/>
        </w:rPr>
        <w:t xml:space="preserve">The </w:t>
      </w:r>
      <w:r w:rsidR="003C37EA" w:rsidRPr="00DE6D02">
        <w:rPr>
          <w:rFonts w:ascii="Arial" w:hAnsi="Arial" w:cs="Arial"/>
          <w:sz w:val="20"/>
          <w:szCs w:val="20"/>
        </w:rPr>
        <w:t>proponent</w:t>
      </w:r>
      <w:r w:rsidR="000F5BCE" w:rsidRPr="00DE6D02">
        <w:rPr>
          <w:rFonts w:ascii="Arial" w:hAnsi="Arial" w:cs="Arial"/>
          <w:sz w:val="20"/>
          <w:szCs w:val="20"/>
        </w:rPr>
        <w:t xml:space="preserve"> </w:t>
      </w:r>
      <w:r w:rsidRPr="00DE6D02">
        <w:rPr>
          <w:rFonts w:ascii="Arial" w:hAnsi="Arial" w:cs="Arial"/>
          <w:sz w:val="20"/>
          <w:szCs w:val="20"/>
        </w:rPr>
        <w:t>refers to three phases: baseline, long-</w:t>
      </w:r>
      <w:r w:rsidR="003C37EA" w:rsidRPr="00DE6D02">
        <w:rPr>
          <w:rFonts w:ascii="Arial" w:hAnsi="Arial" w:cs="Arial"/>
          <w:sz w:val="20"/>
          <w:szCs w:val="20"/>
        </w:rPr>
        <w:t>term average and peak CSG times</w:t>
      </w:r>
      <w:r w:rsidR="009F7E18">
        <w:rPr>
          <w:rFonts w:ascii="Arial" w:hAnsi="Arial" w:cs="Arial"/>
          <w:sz w:val="20"/>
          <w:szCs w:val="20"/>
        </w:rPr>
        <w:t xml:space="preserve">, </w:t>
      </w:r>
      <w:r w:rsidR="003C37EA" w:rsidRPr="00DE6D02">
        <w:rPr>
          <w:rFonts w:ascii="Arial" w:hAnsi="Arial" w:cs="Arial"/>
          <w:sz w:val="20"/>
          <w:szCs w:val="20"/>
        </w:rPr>
        <w:t>but o</w:t>
      </w:r>
      <w:r w:rsidRPr="00DE6D02">
        <w:rPr>
          <w:rFonts w:ascii="Arial" w:hAnsi="Arial" w:cs="Arial"/>
          <w:sz w:val="20"/>
          <w:szCs w:val="20"/>
        </w:rPr>
        <w:t xml:space="preserve">nly two figures </w:t>
      </w:r>
      <w:r w:rsidR="000F5BCE" w:rsidRPr="00DE6D02">
        <w:rPr>
          <w:rFonts w:ascii="Arial" w:hAnsi="Arial" w:cs="Arial"/>
          <w:sz w:val="20"/>
          <w:szCs w:val="20"/>
        </w:rPr>
        <w:t>are presented.</w:t>
      </w:r>
      <w:r w:rsidR="001B5AA3">
        <w:rPr>
          <w:rFonts w:ascii="Arial" w:hAnsi="Arial" w:cs="Arial"/>
          <w:sz w:val="20"/>
          <w:szCs w:val="20"/>
        </w:rPr>
        <w:t xml:space="preserve"> </w:t>
      </w:r>
      <w:r w:rsidR="003C37EA" w:rsidRPr="00DE6D02">
        <w:rPr>
          <w:rFonts w:ascii="Arial" w:hAnsi="Arial" w:cs="Arial"/>
          <w:sz w:val="20"/>
          <w:szCs w:val="20"/>
        </w:rPr>
        <w:t>For the</w:t>
      </w:r>
      <w:r w:rsidRPr="00DE6D02">
        <w:rPr>
          <w:rFonts w:ascii="Arial" w:hAnsi="Arial" w:cs="Arial"/>
          <w:sz w:val="20"/>
          <w:szCs w:val="20"/>
        </w:rPr>
        <w:t xml:space="preserve"> pre-CSG water balance</w:t>
      </w:r>
      <w:r w:rsidR="009F73B2">
        <w:rPr>
          <w:rFonts w:ascii="Arial" w:hAnsi="Arial" w:cs="Arial"/>
          <w:sz w:val="20"/>
          <w:szCs w:val="20"/>
        </w:rPr>
        <w:t xml:space="preserve"> (Figure 7-8)</w:t>
      </w:r>
      <w:r w:rsidRPr="00DE6D02">
        <w:rPr>
          <w:rFonts w:ascii="Arial" w:hAnsi="Arial" w:cs="Arial"/>
          <w:sz w:val="20"/>
          <w:szCs w:val="20"/>
        </w:rPr>
        <w:t xml:space="preserve"> </w:t>
      </w:r>
      <w:r w:rsidR="003C37EA" w:rsidRPr="00DE6D02">
        <w:rPr>
          <w:rFonts w:ascii="Arial" w:hAnsi="Arial" w:cs="Arial"/>
          <w:sz w:val="20"/>
          <w:szCs w:val="20"/>
        </w:rPr>
        <w:t>the explanatory text</w:t>
      </w:r>
      <w:r w:rsidRPr="00DE6D02">
        <w:rPr>
          <w:rFonts w:ascii="Arial" w:hAnsi="Arial" w:cs="Arial"/>
          <w:sz w:val="20"/>
          <w:szCs w:val="20"/>
        </w:rPr>
        <w:t xml:space="preserve"> suggests that it is based on the long-term average (2013-2049).</w:t>
      </w:r>
      <w:r w:rsidR="001B5AA3">
        <w:rPr>
          <w:rFonts w:ascii="Arial" w:hAnsi="Arial" w:cs="Arial"/>
          <w:sz w:val="20"/>
          <w:szCs w:val="20"/>
        </w:rPr>
        <w:t xml:space="preserve"> </w:t>
      </w:r>
      <w:r w:rsidRPr="00DE6D02">
        <w:rPr>
          <w:rFonts w:ascii="Arial" w:hAnsi="Arial" w:cs="Arial"/>
          <w:sz w:val="20"/>
          <w:szCs w:val="20"/>
        </w:rPr>
        <w:t>The null CSG abstraction in the figure sugg</w:t>
      </w:r>
      <w:r w:rsidR="007B7C3E">
        <w:rPr>
          <w:rFonts w:ascii="Arial" w:hAnsi="Arial" w:cs="Arial"/>
          <w:sz w:val="20"/>
          <w:szCs w:val="20"/>
        </w:rPr>
        <w:t xml:space="preserve">ests that the title is correct </w:t>
      </w:r>
      <w:r w:rsidRPr="00DE6D02">
        <w:rPr>
          <w:rFonts w:ascii="Arial" w:hAnsi="Arial" w:cs="Arial"/>
          <w:sz w:val="20"/>
          <w:szCs w:val="20"/>
        </w:rPr>
        <w:t>and the explana</w:t>
      </w:r>
      <w:r w:rsidR="007B7C3E">
        <w:rPr>
          <w:rFonts w:ascii="Arial" w:hAnsi="Arial" w:cs="Arial"/>
          <w:sz w:val="20"/>
          <w:szCs w:val="20"/>
        </w:rPr>
        <w:t>tory text should be amended</w:t>
      </w:r>
      <w:r w:rsidRPr="00DE6D02">
        <w:rPr>
          <w:rFonts w:ascii="Arial" w:hAnsi="Arial" w:cs="Arial"/>
          <w:sz w:val="20"/>
          <w:szCs w:val="20"/>
        </w:rPr>
        <w:t>.</w:t>
      </w:r>
    </w:p>
    <w:p w:rsidR="00D322E2" w:rsidRPr="00D322E2" w:rsidRDefault="00D322E2" w:rsidP="003E76A1">
      <w:pPr>
        <w:pStyle w:val="ListNumber"/>
        <w:spacing w:after="200" w:line="276" w:lineRule="auto"/>
        <w:rPr>
          <w:rFonts w:ascii="Arial" w:hAnsi="Arial" w:cs="Arial"/>
          <w:sz w:val="20"/>
          <w:szCs w:val="20"/>
        </w:rPr>
      </w:pPr>
      <w:r w:rsidRPr="00D322E2">
        <w:rPr>
          <w:rFonts w:ascii="Arial" w:hAnsi="Arial" w:cs="Arial"/>
          <w:sz w:val="20"/>
          <w:szCs w:val="20"/>
        </w:rPr>
        <w:t>As the water balances refer to the entire development area and no head maps or cross-sections are provided, it is not possible to analyse the spatial distributi</w:t>
      </w:r>
      <w:r w:rsidR="00E47CE0">
        <w:rPr>
          <w:rFonts w:ascii="Arial" w:hAnsi="Arial" w:cs="Arial"/>
          <w:sz w:val="20"/>
          <w:szCs w:val="20"/>
        </w:rPr>
        <w:t>on of water balance components.</w:t>
      </w:r>
    </w:p>
    <w:p w:rsidR="00D322E2" w:rsidRPr="00D322E2" w:rsidRDefault="00D322E2" w:rsidP="003E76A1">
      <w:pPr>
        <w:pStyle w:val="ListNumber"/>
        <w:spacing w:after="200" w:line="276" w:lineRule="auto"/>
        <w:rPr>
          <w:rFonts w:ascii="Arial" w:hAnsi="Arial" w:cs="Arial"/>
          <w:sz w:val="20"/>
          <w:szCs w:val="20"/>
        </w:rPr>
      </w:pPr>
      <w:r w:rsidRPr="00D322E2">
        <w:rPr>
          <w:rFonts w:ascii="Arial" w:hAnsi="Arial" w:cs="Arial"/>
          <w:sz w:val="20"/>
          <w:szCs w:val="20"/>
        </w:rPr>
        <w:t xml:space="preserve">The resulting groundwater flux within the development area is predicted to change from upward to downward between the WCM and Springbok Sandstone and the upward flow between the Hutton </w:t>
      </w:r>
      <w:r w:rsidRPr="00D322E2">
        <w:rPr>
          <w:rFonts w:ascii="Arial" w:hAnsi="Arial" w:cs="Arial"/>
          <w:sz w:val="20"/>
          <w:szCs w:val="20"/>
        </w:rPr>
        <w:lastRenderedPageBreak/>
        <w:t>Sandstone and the WCM is predicted to double.</w:t>
      </w:r>
      <w:r w:rsidR="001B5AA3">
        <w:rPr>
          <w:rFonts w:ascii="Arial" w:hAnsi="Arial" w:cs="Arial"/>
          <w:sz w:val="20"/>
          <w:szCs w:val="20"/>
        </w:rPr>
        <w:t xml:space="preserve"> </w:t>
      </w:r>
      <w:r w:rsidRPr="00D322E2">
        <w:rPr>
          <w:rFonts w:ascii="Arial" w:hAnsi="Arial" w:cs="Arial"/>
          <w:sz w:val="20"/>
          <w:szCs w:val="20"/>
        </w:rPr>
        <w:t>These results are consistent with the abstraction from the WCM.</w:t>
      </w:r>
      <w:r w:rsidR="001B5AA3">
        <w:rPr>
          <w:rFonts w:ascii="Arial" w:hAnsi="Arial" w:cs="Arial"/>
          <w:sz w:val="20"/>
          <w:szCs w:val="20"/>
        </w:rPr>
        <w:t xml:space="preserve"> </w:t>
      </w:r>
      <w:r w:rsidRPr="00D322E2">
        <w:rPr>
          <w:rFonts w:ascii="Arial" w:hAnsi="Arial" w:cs="Arial"/>
          <w:sz w:val="20"/>
          <w:szCs w:val="20"/>
        </w:rPr>
        <w:t xml:space="preserve">Those </w:t>
      </w:r>
      <w:proofErr w:type="spellStart"/>
      <w:r w:rsidRPr="00D322E2">
        <w:rPr>
          <w:rFonts w:ascii="Arial" w:hAnsi="Arial" w:cs="Arial"/>
          <w:sz w:val="20"/>
          <w:szCs w:val="20"/>
        </w:rPr>
        <w:t>drawdowns</w:t>
      </w:r>
      <w:proofErr w:type="spellEnd"/>
      <w:r w:rsidRPr="00D322E2">
        <w:rPr>
          <w:rFonts w:ascii="Arial" w:hAnsi="Arial" w:cs="Arial"/>
          <w:sz w:val="20"/>
          <w:szCs w:val="20"/>
        </w:rPr>
        <w:t xml:space="preserve"> in turn will induce converging flows on the WCM (upward from </w:t>
      </w:r>
      <w:r w:rsidR="001128A8">
        <w:rPr>
          <w:rFonts w:ascii="Arial" w:hAnsi="Arial" w:cs="Arial"/>
          <w:sz w:val="20"/>
          <w:szCs w:val="20"/>
        </w:rPr>
        <w:t>below from the Hutton Sandstone</w:t>
      </w:r>
      <w:r w:rsidRPr="00D322E2">
        <w:rPr>
          <w:rFonts w:ascii="Arial" w:hAnsi="Arial" w:cs="Arial"/>
          <w:sz w:val="20"/>
          <w:szCs w:val="20"/>
        </w:rPr>
        <w:t xml:space="preserve"> and downward from above from the Springbok Sandstone).</w:t>
      </w:r>
      <w:r w:rsidR="001B5AA3">
        <w:rPr>
          <w:rFonts w:ascii="Arial" w:hAnsi="Arial" w:cs="Arial"/>
          <w:sz w:val="20"/>
          <w:szCs w:val="20"/>
        </w:rPr>
        <w:t xml:space="preserve"> </w:t>
      </w:r>
    </w:p>
    <w:p w:rsidR="00D322E2" w:rsidRPr="003A751D" w:rsidRDefault="00826D73" w:rsidP="003E76A1">
      <w:pPr>
        <w:pStyle w:val="ListNumber"/>
        <w:spacing w:after="200" w:line="276" w:lineRule="auto"/>
        <w:rPr>
          <w:rFonts w:ascii="Arial" w:hAnsi="Arial" w:cs="Arial"/>
          <w:sz w:val="20"/>
          <w:szCs w:val="20"/>
        </w:rPr>
      </w:pPr>
      <w:r>
        <w:rPr>
          <w:rFonts w:ascii="Arial" w:hAnsi="Arial" w:cs="Arial"/>
          <w:sz w:val="20"/>
          <w:szCs w:val="20"/>
        </w:rPr>
        <w:t xml:space="preserve">A key uncertainty in the model parameterisation is whether the </w:t>
      </w:r>
      <w:r w:rsidR="00F872D4">
        <w:rPr>
          <w:rFonts w:ascii="Arial" w:hAnsi="Arial" w:cs="Arial"/>
          <w:sz w:val="20"/>
          <w:szCs w:val="20"/>
        </w:rPr>
        <w:t xml:space="preserve">vertical conductivity </w:t>
      </w:r>
      <w:r>
        <w:rPr>
          <w:rFonts w:ascii="Arial" w:hAnsi="Arial" w:cs="Arial"/>
          <w:sz w:val="20"/>
          <w:szCs w:val="20"/>
        </w:rPr>
        <w:t>values used are regional</w:t>
      </w:r>
      <w:r w:rsidR="00FD7C96">
        <w:rPr>
          <w:rFonts w:ascii="Arial" w:hAnsi="Arial" w:cs="Arial"/>
          <w:sz w:val="20"/>
          <w:szCs w:val="20"/>
        </w:rPr>
        <w:t>ly</w:t>
      </w:r>
      <w:r>
        <w:rPr>
          <w:rFonts w:ascii="Arial" w:hAnsi="Arial" w:cs="Arial"/>
          <w:sz w:val="20"/>
          <w:szCs w:val="20"/>
        </w:rPr>
        <w:t xml:space="preserve"> representative. The </w:t>
      </w:r>
      <w:r w:rsidR="00F872D4">
        <w:rPr>
          <w:rFonts w:ascii="Arial" w:hAnsi="Arial" w:cs="Arial"/>
          <w:sz w:val="20"/>
          <w:szCs w:val="20"/>
        </w:rPr>
        <w:t xml:space="preserve">conductivity </w:t>
      </w:r>
      <w:r>
        <w:rPr>
          <w:rFonts w:ascii="Arial" w:hAnsi="Arial" w:cs="Arial"/>
          <w:sz w:val="20"/>
          <w:szCs w:val="20"/>
        </w:rPr>
        <w:t xml:space="preserve">ratios used in the </w:t>
      </w:r>
      <w:r w:rsidR="00FD7C96">
        <w:rPr>
          <w:rFonts w:ascii="Arial" w:hAnsi="Arial" w:cs="Arial"/>
          <w:sz w:val="20"/>
          <w:szCs w:val="20"/>
        </w:rPr>
        <w:t>model</w:t>
      </w:r>
      <w:r>
        <w:rPr>
          <w:rFonts w:ascii="Arial" w:hAnsi="Arial" w:cs="Arial"/>
          <w:sz w:val="20"/>
          <w:szCs w:val="20"/>
        </w:rPr>
        <w:t xml:space="preserve"> are likely to precondition </w:t>
      </w:r>
      <w:r w:rsidR="00F872D4">
        <w:rPr>
          <w:rFonts w:ascii="Arial" w:hAnsi="Arial" w:cs="Arial"/>
          <w:sz w:val="20"/>
          <w:szCs w:val="20"/>
        </w:rPr>
        <w:t xml:space="preserve">the model </w:t>
      </w:r>
      <w:r w:rsidR="00FD7C96">
        <w:rPr>
          <w:rFonts w:ascii="Arial" w:hAnsi="Arial" w:cs="Arial"/>
          <w:sz w:val="20"/>
          <w:szCs w:val="20"/>
        </w:rPr>
        <w:t xml:space="preserve">towards </w:t>
      </w:r>
      <w:r>
        <w:rPr>
          <w:rFonts w:ascii="Arial" w:hAnsi="Arial" w:cs="Arial"/>
          <w:sz w:val="20"/>
          <w:szCs w:val="20"/>
        </w:rPr>
        <w:t>unrea</w:t>
      </w:r>
      <w:r w:rsidR="00FD7C96">
        <w:rPr>
          <w:rFonts w:ascii="Arial" w:hAnsi="Arial" w:cs="Arial"/>
          <w:sz w:val="20"/>
          <w:szCs w:val="20"/>
        </w:rPr>
        <w:t>listically high horizontal flow</w:t>
      </w:r>
      <w:r>
        <w:rPr>
          <w:rFonts w:ascii="Arial" w:hAnsi="Arial" w:cs="Arial"/>
          <w:sz w:val="20"/>
          <w:szCs w:val="20"/>
        </w:rPr>
        <w:t xml:space="preserve"> </w:t>
      </w:r>
      <w:r w:rsidR="00FD7C96">
        <w:rPr>
          <w:rFonts w:ascii="Arial" w:hAnsi="Arial" w:cs="Arial"/>
          <w:sz w:val="20"/>
          <w:szCs w:val="20"/>
        </w:rPr>
        <w:t>without</w:t>
      </w:r>
      <w:r>
        <w:rPr>
          <w:rFonts w:ascii="Arial" w:hAnsi="Arial" w:cs="Arial"/>
          <w:sz w:val="20"/>
          <w:szCs w:val="20"/>
        </w:rPr>
        <w:t xml:space="preserve"> exploring the potential for vertical flow between aquifers</w:t>
      </w:r>
      <w:r w:rsidR="00F347BF" w:rsidRPr="00F347BF">
        <w:rPr>
          <w:rFonts w:ascii="Arial" w:hAnsi="Arial" w:cs="Arial"/>
          <w:sz w:val="20"/>
          <w:szCs w:val="20"/>
        </w:rPr>
        <w:t>. The consequence of this may be an unrealistic model prediction on the propagation of vertical drawdown.</w:t>
      </w:r>
    </w:p>
    <w:p w:rsidR="00D322E2" w:rsidRPr="00FE5334" w:rsidRDefault="00D322E2" w:rsidP="003E76A1">
      <w:pPr>
        <w:pStyle w:val="ListNumber"/>
        <w:spacing w:after="200" w:line="276" w:lineRule="auto"/>
        <w:rPr>
          <w:rFonts w:ascii="Arial" w:hAnsi="Arial" w:cs="Arial"/>
          <w:sz w:val="20"/>
          <w:szCs w:val="20"/>
        </w:rPr>
      </w:pPr>
      <w:r w:rsidRPr="00FE5334">
        <w:rPr>
          <w:rFonts w:ascii="Arial" w:hAnsi="Arial" w:cs="Arial"/>
          <w:sz w:val="20"/>
          <w:szCs w:val="20"/>
        </w:rPr>
        <w:t xml:space="preserve">A description of the predicted impacts of drawdown from the WCM on units below the Hutton Sandstone or units above the Springbok Sandstone is </w:t>
      </w:r>
      <w:r w:rsidR="00CD638E">
        <w:rPr>
          <w:rFonts w:ascii="Arial" w:hAnsi="Arial" w:cs="Arial"/>
          <w:sz w:val="20"/>
          <w:szCs w:val="20"/>
        </w:rPr>
        <w:t>needed</w:t>
      </w:r>
      <w:r w:rsidRPr="00FE5334">
        <w:rPr>
          <w:rFonts w:ascii="Arial" w:hAnsi="Arial" w:cs="Arial"/>
          <w:sz w:val="20"/>
          <w:szCs w:val="20"/>
        </w:rPr>
        <w:t>.</w:t>
      </w:r>
      <w:r w:rsidR="001B5AA3">
        <w:rPr>
          <w:rFonts w:ascii="Arial" w:hAnsi="Arial" w:cs="Arial"/>
          <w:sz w:val="20"/>
          <w:szCs w:val="20"/>
        </w:rPr>
        <w:t xml:space="preserve"> </w:t>
      </w:r>
      <w:r w:rsidRPr="00FE5334">
        <w:rPr>
          <w:rFonts w:ascii="Arial" w:hAnsi="Arial" w:cs="Arial"/>
          <w:sz w:val="20"/>
          <w:szCs w:val="20"/>
        </w:rPr>
        <w:t>If no impacts are presentl</w:t>
      </w:r>
      <w:r w:rsidR="00970104" w:rsidRPr="00FE5334">
        <w:rPr>
          <w:rFonts w:ascii="Arial" w:hAnsi="Arial" w:cs="Arial"/>
          <w:sz w:val="20"/>
          <w:szCs w:val="20"/>
        </w:rPr>
        <w:t xml:space="preserve">y predicted by the model </w:t>
      </w:r>
      <w:r w:rsidRPr="00FE5334">
        <w:rPr>
          <w:rFonts w:ascii="Arial" w:hAnsi="Arial" w:cs="Arial"/>
          <w:sz w:val="20"/>
          <w:szCs w:val="20"/>
        </w:rPr>
        <w:t>this may be the result of the parameterisation of the model, in particular the low vertical hydraulic conductivities adopted for the intervening aquitards.</w:t>
      </w:r>
    </w:p>
    <w:p w:rsidR="00D322E2" w:rsidRPr="000C60A7" w:rsidRDefault="00D322E2" w:rsidP="003E76A1">
      <w:pPr>
        <w:pStyle w:val="ListNumber"/>
        <w:numPr>
          <w:ilvl w:val="0"/>
          <w:numId w:val="0"/>
        </w:numPr>
        <w:spacing w:after="200" w:line="276" w:lineRule="auto"/>
        <w:outlineLvl w:val="3"/>
        <w:rPr>
          <w:rFonts w:ascii="Arial" w:hAnsi="Arial" w:cs="Arial"/>
          <w:bCs/>
          <w:i/>
          <w:sz w:val="20"/>
          <w:szCs w:val="20"/>
        </w:rPr>
      </w:pPr>
      <w:r w:rsidRPr="000C60A7">
        <w:rPr>
          <w:rFonts w:ascii="Arial" w:hAnsi="Arial" w:cs="Arial"/>
          <w:bCs/>
          <w:i/>
          <w:sz w:val="20"/>
          <w:szCs w:val="20"/>
        </w:rPr>
        <w:t xml:space="preserve">Question 3: What does the Committee consider are the likely and potential impacts of the proposed action on springs, given the mitigation measures proposed? If appropriate, what additional mitigation measures could reduce the risk of impacts? </w:t>
      </w:r>
    </w:p>
    <w:p w:rsidR="00B86C3F" w:rsidRPr="00E8217A" w:rsidRDefault="00E8217A" w:rsidP="003E76A1">
      <w:pPr>
        <w:pStyle w:val="ListNumber"/>
        <w:spacing w:after="200" w:line="276" w:lineRule="auto"/>
        <w:rPr>
          <w:rFonts w:ascii="Arial" w:hAnsi="Arial" w:cs="Arial"/>
          <w:sz w:val="20"/>
          <w:szCs w:val="20"/>
        </w:rPr>
      </w:pPr>
      <w:r w:rsidRPr="00D322E2">
        <w:rPr>
          <w:rFonts w:ascii="Arial" w:hAnsi="Arial" w:cs="Arial"/>
          <w:sz w:val="20"/>
          <w:szCs w:val="20"/>
        </w:rPr>
        <w:t>It is unclear why some springs are discussed and others are not.</w:t>
      </w:r>
      <w:r w:rsidR="001B5AA3">
        <w:rPr>
          <w:rFonts w:ascii="Arial" w:hAnsi="Arial" w:cs="Arial"/>
          <w:sz w:val="20"/>
          <w:szCs w:val="20"/>
        </w:rPr>
        <w:t xml:space="preserve"> </w:t>
      </w:r>
      <w:r w:rsidRPr="00D322E2">
        <w:rPr>
          <w:rFonts w:ascii="Arial" w:hAnsi="Arial" w:cs="Arial"/>
          <w:sz w:val="20"/>
          <w:szCs w:val="20"/>
        </w:rPr>
        <w:t>The proponent states that “The Cockatoo Creek, Dawson River 8 and Scott's Creek spring complexes are in closest proximity to the developm</w:t>
      </w:r>
      <w:r>
        <w:rPr>
          <w:rFonts w:ascii="Arial" w:hAnsi="Arial" w:cs="Arial"/>
          <w:sz w:val="20"/>
          <w:szCs w:val="20"/>
        </w:rPr>
        <w:t>ent”</w:t>
      </w:r>
      <w:r w:rsidRPr="00D322E2">
        <w:rPr>
          <w:rFonts w:ascii="Arial" w:hAnsi="Arial" w:cs="Arial"/>
          <w:sz w:val="20"/>
          <w:szCs w:val="20"/>
        </w:rPr>
        <w:t>.</w:t>
      </w:r>
      <w:r w:rsidR="001B5AA3">
        <w:rPr>
          <w:rFonts w:ascii="Arial" w:hAnsi="Arial" w:cs="Arial"/>
          <w:sz w:val="20"/>
          <w:szCs w:val="20"/>
        </w:rPr>
        <w:t xml:space="preserve"> </w:t>
      </w:r>
      <w:r>
        <w:rPr>
          <w:rFonts w:ascii="Arial" w:hAnsi="Arial" w:cs="Arial"/>
          <w:sz w:val="20"/>
          <w:szCs w:val="20"/>
        </w:rPr>
        <w:t>H</w:t>
      </w:r>
      <w:r w:rsidRPr="00D322E2">
        <w:rPr>
          <w:rFonts w:ascii="Arial" w:hAnsi="Arial" w:cs="Arial"/>
          <w:sz w:val="20"/>
          <w:szCs w:val="20"/>
        </w:rPr>
        <w:t>owever,</w:t>
      </w:r>
      <w:r>
        <w:rPr>
          <w:rFonts w:ascii="Arial" w:hAnsi="Arial" w:cs="Arial"/>
          <w:sz w:val="20"/>
          <w:szCs w:val="20"/>
        </w:rPr>
        <w:t xml:space="preserve"> other figures suggest</w:t>
      </w:r>
      <w:r w:rsidRPr="00D322E2">
        <w:rPr>
          <w:rFonts w:ascii="Arial" w:hAnsi="Arial" w:cs="Arial"/>
          <w:sz w:val="20"/>
          <w:szCs w:val="20"/>
        </w:rPr>
        <w:t xml:space="preserve"> that EPBC listed </w:t>
      </w:r>
      <w:proofErr w:type="spellStart"/>
      <w:r w:rsidRPr="00D322E2">
        <w:rPr>
          <w:rFonts w:ascii="Arial" w:hAnsi="Arial" w:cs="Arial"/>
          <w:sz w:val="20"/>
          <w:szCs w:val="20"/>
        </w:rPr>
        <w:t>Yebna</w:t>
      </w:r>
      <w:proofErr w:type="spellEnd"/>
      <w:r w:rsidRPr="00D322E2">
        <w:rPr>
          <w:rFonts w:ascii="Arial" w:hAnsi="Arial" w:cs="Arial"/>
          <w:sz w:val="20"/>
          <w:szCs w:val="20"/>
        </w:rPr>
        <w:t xml:space="preserve"> 2, Dawson River 2 and Prices are situated at similar distances from the development area</w:t>
      </w:r>
      <w:r>
        <w:rPr>
          <w:rFonts w:ascii="Arial" w:hAnsi="Arial" w:cs="Arial"/>
          <w:sz w:val="20"/>
          <w:szCs w:val="20"/>
        </w:rPr>
        <w:t>, but these springs are not discussed</w:t>
      </w:r>
      <w:r w:rsidRPr="00D322E2">
        <w:rPr>
          <w:rFonts w:ascii="Arial" w:hAnsi="Arial" w:cs="Arial"/>
          <w:sz w:val="20"/>
          <w:szCs w:val="20"/>
        </w:rPr>
        <w:t>.</w:t>
      </w:r>
      <w:r w:rsidR="00B86C3F" w:rsidRPr="00E8217A">
        <w:rPr>
          <w:rFonts w:ascii="Arial" w:hAnsi="Arial" w:cs="Arial"/>
          <w:sz w:val="20"/>
          <w:szCs w:val="20"/>
        </w:rPr>
        <w:t xml:space="preserve"> The IESC recommends that, in the absence of more detailed mapping information being a</w:t>
      </w:r>
      <w:r w:rsidR="00CD638E" w:rsidRPr="00E8217A">
        <w:rPr>
          <w:rFonts w:ascii="Arial" w:hAnsi="Arial" w:cs="Arial"/>
          <w:sz w:val="20"/>
          <w:szCs w:val="20"/>
        </w:rPr>
        <w:t xml:space="preserve">vailable, a field assessment needs to be undertaken </w:t>
      </w:r>
      <w:r w:rsidR="00B86C3F" w:rsidRPr="00E8217A">
        <w:rPr>
          <w:rFonts w:ascii="Arial" w:hAnsi="Arial" w:cs="Arial"/>
          <w:sz w:val="20"/>
          <w:szCs w:val="20"/>
        </w:rPr>
        <w:t>for a reliable assessment to be made of GDE presence/absence (particularly those which are not springs).</w:t>
      </w:r>
    </w:p>
    <w:p w:rsidR="00D322E2" w:rsidRPr="00D322E2" w:rsidRDefault="00CD638E" w:rsidP="003E76A1">
      <w:pPr>
        <w:pStyle w:val="ListNumber"/>
        <w:spacing w:after="200" w:line="276" w:lineRule="auto"/>
        <w:rPr>
          <w:rFonts w:ascii="Arial" w:hAnsi="Arial" w:cs="Arial"/>
          <w:sz w:val="20"/>
          <w:szCs w:val="20"/>
        </w:rPr>
      </w:pPr>
      <w:r>
        <w:rPr>
          <w:rFonts w:ascii="Arial" w:hAnsi="Arial" w:cs="Arial"/>
          <w:sz w:val="20"/>
          <w:szCs w:val="20"/>
        </w:rPr>
        <w:t>A</w:t>
      </w:r>
      <w:r w:rsidR="00D322E2" w:rsidRPr="00D322E2">
        <w:rPr>
          <w:rFonts w:ascii="Arial" w:hAnsi="Arial" w:cs="Arial"/>
          <w:sz w:val="20"/>
          <w:szCs w:val="20"/>
        </w:rPr>
        <w:t xml:space="preserve"> drawdown impact on Scott’s Creek spring is likely as a result of the proposed CSG activity; and impacts on the Cockatoo Creek, Dawson River 8 and Yebna 2 springs are possible.</w:t>
      </w:r>
    </w:p>
    <w:p w:rsidR="00D322E2" w:rsidRDefault="00CD638E" w:rsidP="003E76A1">
      <w:pPr>
        <w:pStyle w:val="ListNumber"/>
        <w:spacing w:after="200" w:line="276" w:lineRule="auto"/>
        <w:rPr>
          <w:rFonts w:ascii="Arial" w:hAnsi="Arial" w:cs="Arial"/>
          <w:sz w:val="20"/>
          <w:szCs w:val="20"/>
        </w:rPr>
      </w:pPr>
      <w:r>
        <w:rPr>
          <w:rFonts w:ascii="Arial" w:hAnsi="Arial" w:cs="Arial"/>
          <w:sz w:val="20"/>
          <w:szCs w:val="20"/>
        </w:rPr>
        <w:t>C</w:t>
      </w:r>
      <w:r w:rsidR="00D322E2" w:rsidRPr="00D322E2">
        <w:rPr>
          <w:rFonts w:ascii="Arial" w:hAnsi="Arial" w:cs="Arial"/>
          <w:sz w:val="20"/>
          <w:szCs w:val="20"/>
        </w:rPr>
        <w:t>oncept</w:t>
      </w:r>
      <w:r w:rsidR="00E8217A">
        <w:rPr>
          <w:rFonts w:ascii="Arial" w:hAnsi="Arial" w:cs="Arial"/>
          <w:sz w:val="20"/>
          <w:szCs w:val="20"/>
        </w:rPr>
        <w:t xml:space="preserve">ualisation </w:t>
      </w:r>
      <w:r w:rsidR="00B86C3F">
        <w:rPr>
          <w:rFonts w:ascii="Arial" w:hAnsi="Arial" w:cs="Arial"/>
          <w:sz w:val="20"/>
          <w:szCs w:val="20"/>
        </w:rPr>
        <w:t xml:space="preserve">for selected springs </w:t>
      </w:r>
      <w:r w:rsidR="00D322E2" w:rsidRPr="00D322E2">
        <w:rPr>
          <w:rFonts w:ascii="Arial" w:hAnsi="Arial" w:cs="Arial"/>
          <w:sz w:val="20"/>
          <w:szCs w:val="20"/>
        </w:rPr>
        <w:t>link</w:t>
      </w:r>
      <w:r w:rsidR="00E8217A">
        <w:rPr>
          <w:rFonts w:ascii="Arial" w:hAnsi="Arial" w:cs="Arial"/>
          <w:sz w:val="20"/>
          <w:szCs w:val="20"/>
        </w:rPr>
        <w:t>s</w:t>
      </w:r>
      <w:r w:rsidR="00D322E2" w:rsidRPr="00D322E2">
        <w:rPr>
          <w:rFonts w:ascii="Arial" w:hAnsi="Arial" w:cs="Arial"/>
          <w:sz w:val="20"/>
          <w:szCs w:val="20"/>
        </w:rPr>
        <w:t xml:space="preserve"> </w:t>
      </w:r>
      <w:r w:rsidR="00C04F2F">
        <w:rPr>
          <w:rFonts w:ascii="Arial" w:hAnsi="Arial" w:cs="Arial"/>
          <w:sz w:val="20"/>
          <w:szCs w:val="20"/>
        </w:rPr>
        <w:t>them</w:t>
      </w:r>
      <w:r w:rsidR="00D322E2" w:rsidRPr="00D322E2">
        <w:rPr>
          <w:rFonts w:ascii="Arial" w:hAnsi="Arial" w:cs="Arial"/>
          <w:sz w:val="20"/>
          <w:szCs w:val="20"/>
        </w:rPr>
        <w:t xml:space="preserve"> to their potential source aquifers. Estimated or measured spring flows and groundwater head maps (or head contours on the vertical cross-sections) would make this section more robust and would provide more confidence in the interpreted connections between source aquifers and springs.</w:t>
      </w:r>
    </w:p>
    <w:p w:rsidR="00E8217A" w:rsidRPr="00E8217A" w:rsidRDefault="00E8217A" w:rsidP="003E76A1">
      <w:pPr>
        <w:pStyle w:val="ListNumber"/>
        <w:spacing w:after="200" w:line="276" w:lineRule="auto"/>
        <w:rPr>
          <w:rFonts w:ascii="Arial" w:hAnsi="Arial" w:cs="Arial"/>
          <w:sz w:val="20"/>
          <w:szCs w:val="20"/>
        </w:rPr>
      </w:pPr>
      <w:r w:rsidRPr="00D322E2">
        <w:rPr>
          <w:rFonts w:ascii="Arial" w:hAnsi="Arial" w:cs="Arial"/>
          <w:sz w:val="20"/>
          <w:szCs w:val="20"/>
        </w:rPr>
        <w:t>The proponent states that groundwater “discharges from seeps along the stream bed, and that springs provide perennial flow in the Dawson River downstream of Dawson’s Bend”.</w:t>
      </w:r>
      <w:r w:rsidR="001B5AA3">
        <w:rPr>
          <w:rFonts w:ascii="Arial" w:hAnsi="Arial" w:cs="Arial"/>
          <w:sz w:val="20"/>
          <w:szCs w:val="20"/>
        </w:rPr>
        <w:t xml:space="preserve"> </w:t>
      </w:r>
      <w:r w:rsidRPr="00D322E2">
        <w:rPr>
          <w:rFonts w:ascii="Arial" w:hAnsi="Arial" w:cs="Arial"/>
          <w:sz w:val="20"/>
          <w:szCs w:val="20"/>
        </w:rPr>
        <w:t>The Daws</w:t>
      </w:r>
      <w:r>
        <w:rPr>
          <w:rFonts w:ascii="Arial" w:hAnsi="Arial" w:cs="Arial"/>
          <w:sz w:val="20"/>
          <w:szCs w:val="20"/>
        </w:rPr>
        <w:t>on River and surrounds, however, are not presented as</w:t>
      </w:r>
      <w:r w:rsidRPr="00D322E2">
        <w:rPr>
          <w:rFonts w:ascii="Arial" w:hAnsi="Arial" w:cs="Arial"/>
          <w:sz w:val="20"/>
          <w:szCs w:val="20"/>
        </w:rPr>
        <w:t xml:space="preserve"> GDEs.</w:t>
      </w:r>
      <w:r w:rsidR="001B5AA3">
        <w:rPr>
          <w:rFonts w:ascii="Arial" w:hAnsi="Arial" w:cs="Arial"/>
          <w:sz w:val="20"/>
          <w:szCs w:val="20"/>
        </w:rPr>
        <w:t xml:space="preserve"> </w:t>
      </w:r>
      <w:r w:rsidRPr="00D322E2">
        <w:rPr>
          <w:rFonts w:ascii="Arial" w:hAnsi="Arial" w:cs="Arial"/>
          <w:sz w:val="20"/>
          <w:szCs w:val="20"/>
        </w:rPr>
        <w:t xml:space="preserve">GDEs </w:t>
      </w:r>
      <w:r>
        <w:rPr>
          <w:rFonts w:ascii="Arial" w:hAnsi="Arial" w:cs="Arial"/>
          <w:sz w:val="20"/>
          <w:szCs w:val="20"/>
        </w:rPr>
        <w:t>have not been recorded</w:t>
      </w:r>
      <w:r w:rsidRPr="00D322E2">
        <w:rPr>
          <w:rFonts w:ascii="Arial" w:hAnsi="Arial" w:cs="Arial"/>
          <w:sz w:val="20"/>
          <w:szCs w:val="20"/>
        </w:rPr>
        <w:t xml:space="preserve"> near the Scott’s Creek s</w:t>
      </w:r>
      <w:r>
        <w:rPr>
          <w:rFonts w:ascii="Arial" w:hAnsi="Arial" w:cs="Arial"/>
          <w:sz w:val="20"/>
          <w:szCs w:val="20"/>
        </w:rPr>
        <w:t>prings.</w:t>
      </w:r>
      <w:r w:rsidR="001B5AA3">
        <w:rPr>
          <w:rFonts w:ascii="Arial" w:hAnsi="Arial" w:cs="Arial"/>
          <w:sz w:val="20"/>
          <w:szCs w:val="20"/>
        </w:rPr>
        <w:t xml:space="preserve"> </w:t>
      </w:r>
      <w:r>
        <w:rPr>
          <w:rFonts w:ascii="Arial" w:hAnsi="Arial" w:cs="Arial"/>
          <w:sz w:val="20"/>
          <w:szCs w:val="20"/>
        </w:rPr>
        <w:t xml:space="preserve">The conceptualisation </w:t>
      </w:r>
      <w:r w:rsidRPr="00D322E2">
        <w:rPr>
          <w:rFonts w:ascii="Arial" w:hAnsi="Arial" w:cs="Arial"/>
          <w:sz w:val="20"/>
          <w:szCs w:val="20"/>
        </w:rPr>
        <w:t>suggest</w:t>
      </w:r>
      <w:r>
        <w:rPr>
          <w:rFonts w:ascii="Arial" w:hAnsi="Arial" w:cs="Arial"/>
          <w:sz w:val="20"/>
          <w:szCs w:val="20"/>
        </w:rPr>
        <w:t>s</w:t>
      </w:r>
      <w:r w:rsidRPr="00D322E2">
        <w:rPr>
          <w:rFonts w:ascii="Arial" w:hAnsi="Arial" w:cs="Arial"/>
          <w:sz w:val="20"/>
          <w:szCs w:val="20"/>
        </w:rPr>
        <w:t xml:space="preserve"> the convergence of local and at least intermediate groundwater flow systems near Scott’s Creek Springs, which </w:t>
      </w:r>
      <w:r>
        <w:rPr>
          <w:rFonts w:ascii="Arial" w:hAnsi="Arial" w:cs="Arial"/>
          <w:sz w:val="20"/>
          <w:szCs w:val="20"/>
        </w:rPr>
        <w:t>suggests likely shallow water</w:t>
      </w:r>
      <w:r w:rsidRPr="00D322E2">
        <w:rPr>
          <w:rFonts w:ascii="Arial" w:hAnsi="Arial" w:cs="Arial"/>
          <w:sz w:val="20"/>
          <w:szCs w:val="20"/>
        </w:rPr>
        <w:t xml:space="preserve">table conditions and </w:t>
      </w:r>
      <w:r w:rsidR="00300A53">
        <w:rPr>
          <w:rFonts w:ascii="Arial" w:hAnsi="Arial" w:cs="Arial"/>
          <w:sz w:val="20"/>
          <w:szCs w:val="20"/>
        </w:rPr>
        <w:t xml:space="preserve">a </w:t>
      </w:r>
      <w:r w:rsidRPr="00D322E2">
        <w:rPr>
          <w:rFonts w:ascii="Arial" w:hAnsi="Arial" w:cs="Arial"/>
          <w:sz w:val="20"/>
          <w:szCs w:val="20"/>
        </w:rPr>
        <w:t xml:space="preserve">potential reliance on groundwater. </w:t>
      </w:r>
    </w:p>
    <w:p w:rsidR="00280EF6" w:rsidRPr="00280EF6" w:rsidRDefault="00280EF6" w:rsidP="003E76A1">
      <w:pPr>
        <w:pStyle w:val="ListNumber"/>
        <w:spacing w:after="200" w:line="276" w:lineRule="auto"/>
        <w:rPr>
          <w:rFonts w:ascii="Arial" w:hAnsi="Arial" w:cs="Arial"/>
          <w:sz w:val="20"/>
          <w:szCs w:val="20"/>
        </w:rPr>
      </w:pPr>
      <w:r w:rsidRPr="00280EF6">
        <w:rPr>
          <w:rFonts w:ascii="Arial" w:hAnsi="Arial" w:cs="Arial"/>
          <w:sz w:val="20"/>
          <w:szCs w:val="20"/>
        </w:rPr>
        <w:t>The proponent presents no evidence to demonstrate the likely efficacy of any of the proposed mitigation measures of the Joint Industry Plan (JIP) for Early Warning System for EPBC Springs. The proponent also does not discuss the feasibility of maintaining the mitigation measures given the length of time of predicted spring impact, with maximum impacts sometime after 2075 and an e</w:t>
      </w:r>
      <w:r>
        <w:rPr>
          <w:rFonts w:ascii="Arial" w:hAnsi="Arial" w:cs="Arial"/>
          <w:sz w:val="20"/>
          <w:szCs w:val="20"/>
        </w:rPr>
        <w:t>xtended period of slow recovery.</w:t>
      </w:r>
    </w:p>
    <w:p w:rsidR="00280EF6" w:rsidRPr="00280EF6" w:rsidRDefault="00280EF6" w:rsidP="003E76A1">
      <w:pPr>
        <w:pStyle w:val="ListNumber"/>
        <w:spacing w:after="200" w:line="276" w:lineRule="auto"/>
        <w:rPr>
          <w:rFonts w:ascii="Arial" w:hAnsi="Arial" w:cs="Arial"/>
          <w:sz w:val="20"/>
          <w:szCs w:val="20"/>
        </w:rPr>
      </w:pPr>
      <w:r w:rsidRPr="00280EF6">
        <w:rPr>
          <w:rFonts w:ascii="Arial" w:hAnsi="Arial" w:cs="Arial"/>
          <w:sz w:val="20"/>
          <w:szCs w:val="20"/>
        </w:rPr>
        <w:t xml:space="preserve">The JIP is intended to align with spring monitoring and mitigation requirements obligated by the </w:t>
      </w:r>
      <w:r w:rsidR="00B945CE" w:rsidRPr="00B945CE">
        <w:rPr>
          <w:rFonts w:ascii="Arial" w:hAnsi="Arial" w:cs="Arial"/>
          <w:sz w:val="20"/>
          <w:szCs w:val="20"/>
        </w:rPr>
        <w:t>Underground Water Impact Report</w:t>
      </w:r>
      <w:r w:rsidR="00B945CE">
        <w:rPr>
          <w:rStyle w:val="st"/>
          <w:rFonts w:ascii="Arial" w:hAnsi="Arial" w:cs="Arial"/>
          <w:color w:val="222222"/>
        </w:rPr>
        <w:t xml:space="preserve"> (</w:t>
      </w:r>
      <w:r w:rsidR="006B5F1E">
        <w:rPr>
          <w:rFonts w:ascii="Arial" w:hAnsi="Arial" w:cs="Arial"/>
          <w:sz w:val="20"/>
          <w:szCs w:val="20"/>
        </w:rPr>
        <w:t>UWIR</w:t>
      </w:r>
      <w:r w:rsidR="00B945CE">
        <w:rPr>
          <w:rFonts w:ascii="Arial" w:hAnsi="Arial" w:cs="Arial"/>
          <w:sz w:val="20"/>
          <w:szCs w:val="20"/>
        </w:rPr>
        <w:t>)</w:t>
      </w:r>
      <w:r w:rsidRPr="00280EF6">
        <w:rPr>
          <w:rFonts w:ascii="Arial" w:hAnsi="Arial" w:cs="Arial"/>
          <w:sz w:val="20"/>
          <w:szCs w:val="20"/>
        </w:rPr>
        <w:t xml:space="preserve"> for the S</w:t>
      </w:r>
      <w:r>
        <w:rPr>
          <w:rFonts w:ascii="Arial" w:hAnsi="Arial" w:cs="Arial"/>
          <w:sz w:val="20"/>
          <w:szCs w:val="20"/>
        </w:rPr>
        <w:t>urat C</w:t>
      </w:r>
      <w:r w:rsidR="006B5F1E">
        <w:rPr>
          <w:rFonts w:ascii="Arial" w:hAnsi="Arial" w:cs="Arial"/>
          <w:sz w:val="20"/>
          <w:szCs w:val="20"/>
        </w:rPr>
        <w:t>MA</w:t>
      </w:r>
      <w:r>
        <w:rPr>
          <w:rFonts w:ascii="Arial" w:hAnsi="Arial" w:cs="Arial"/>
          <w:sz w:val="20"/>
          <w:szCs w:val="20"/>
        </w:rPr>
        <w:t>.</w:t>
      </w:r>
      <w:r w:rsidR="00803ABB">
        <w:rPr>
          <w:rFonts w:ascii="Arial" w:hAnsi="Arial" w:cs="Arial"/>
          <w:sz w:val="20"/>
          <w:szCs w:val="20"/>
        </w:rPr>
        <w:t xml:space="preserve"> The UWIR includes "m</w:t>
      </w:r>
      <w:r w:rsidRPr="00280EF6">
        <w:rPr>
          <w:rFonts w:ascii="Arial" w:hAnsi="Arial" w:cs="Arial"/>
          <w:sz w:val="20"/>
          <w:szCs w:val="20"/>
        </w:rPr>
        <w:t>anaging water extraction” as a proposed mitigation measure. This may include rescheduling of CSG extraction or not extracting CSG from a buffer zone around a mitigation site</w:t>
      </w:r>
      <w:r w:rsidR="00423748">
        <w:rPr>
          <w:rFonts w:ascii="Arial" w:hAnsi="Arial" w:cs="Arial"/>
          <w:sz w:val="20"/>
          <w:szCs w:val="20"/>
        </w:rPr>
        <w:t>,</w:t>
      </w:r>
      <w:r w:rsidRPr="00280EF6">
        <w:rPr>
          <w:rFonts w:ascii="Arial" w:hAnsi="Arial" w:cs="Arial"/>
          <w:sz w:val="20"/>
          <w:szCs w:val="20"/>
        </w:rPr>
        <w:t xml:space="preserve"> </w:t>
      </w:r>
      <w:r w:rsidR="00423748">
        <w:rPr>
          <w:rFonts w:ascii="Arial" w:hAnsi="Arial" w:cs="Arial"/>
          <w:sz w:val="20"/>
          <w:szCs w:val="20"/>
        </w:rPr>
        <w:t>a</w:t>
      </w:r>
      <w:r w:rsidR="00AA4F8E">
        <w:rPr>
          <w:rFonts w:ascii="Arial" w:hAnsi="Arial" w:cs="Arial"/>
          <w:sz w:val="20"/>
          <w:szCs w:val="20"/>
        </w:rPr>
        <w:t>lthough th</w:t>
      </w:r>
      <w:r w:rsidRPr="00280EF6">
        <w:rPr>
          <w:rFonts w:ascii="Arial" w:hAnsi="Arial" w:cs="Arial"/>
          <w:sz w:val="20"/>
          <w:szCs w:val="20"/>
        </w:rPr>
        <w:t>is opt</w:t>
      </w:r>
      <w:r w:rsidR="00423748">
        <w:rPr>
          <w:rFonts w:ascii="Arial" w:hAnsi="Arial" w:cs="Arial"/>
          <w:sz w:val="20"/>
          <w:szCs w:val="20"/>
        </w:rPr>
        <w:t>ion is not mentioned in the JIP.</w:t>
      </w:r>
      <w:r w:rsidRPr="00280EF6">
        <w:rPr>
          <w:rFonts w:ascii="Arial" w:hAnsi="Arial" w:cs="Arial"/>
          <w:sz w:val="20"/>
          <w:szCs w:val="20"/>
        </w:rPr>
        <w:t xml:space="preserve"> </w:t>
      </w:r>
      <w:r w:rsidR="00AA4F8E">
        <w:rPr>
          <w:rFonts w:ascii="Arial" w:hAnsi="Arial" w:cs="Arial"/>
          <w:sz w:val="20"/>
          <w:szCs w:val="20"/>
        </w:rPr>
        <w:t>Future c</w:t>
      </w:r>
      <w:r w:rsidRPr="00280EF6">
        <w:rPr>
          <w:rFonts w:ascii="Arial" w:hAnsi="Arial" w:cs="Arial"/>
          <w:sz w:val="20"/>
          <w:szCs w:val="20"/>
        </w:rPr>
        <w:t>onsideration of this option could include identification of gas extraction wells most likely to contribute to predicted drawdown in a spring’s source aquifer</w:t>
      </w:r>
      <w:r w:rsidR="00AA4F8E">
        <w:rPr>
          <w:rFonts w:ascii="Arial" w:hAnsi="Arial" w:cs="Arial"/>
          <w:sz w:val="20"/>
          <w:szCs w:val="20"/>
        </w:rPr>
        <w:t xml:space="preserve"> </w:t>
      </w:r>
      <w:r w:rsidRPr="00280EF6">
        <w:rPr>
          <w:rFonts w:ascii="Arial" w:hAnsi="Arial" w:cs="Arial"/>
          <w:sz w:val="20"/>
          <w:szCs w:val="20"/>
        </w:rPr>
        <w:t xml:space="preserve">and </w:t>
      </w:r>
      <w:r w:rsidR="00AA4F8E">
        <w:rPr>
          <w:rFonts w:ascii="Arial" w:hAnsi="Arial" w:cs="Arial"/>
          <w:sz w:val="20"/>
          <w:szCs w:val="20"/>
        </w:rPr>
        <w:lastRenderedPageBreak/>
        <w:t xml:space="preserve">include </w:t>
      </w:r>
      <w:r w:rsidRPr="00280EF6">
        <w:rPr>
          <w:rFonts w:ascii="Arial" w:hAnsi="Arial" w:cs="Arial"/>
          <w:sz w:val="20"/>
          <w:szCs w:val="20"/>
        </w:rPr>
        <w:t xml:space="preserve">predictions of how various scenarios of well </w:t>
      </w:r>
      <w:r w:rsidR="00423748">
        <w:rPr>
          <w:rFonts w:ascii="Arial" w:hAnsi="Arial" w:cs="Arial"/>
          <w:sz w:val="20"/>
          <w:szCs w:val="20"/>
        </w:rPr>
        <w:t xml:space="preserve">placement and </w:t>
      </w:r>
      <w:r w:rsidRPr="00280EF6">
        <w:rPr>
          <w:rFonts w:ascii="Arial" w:hAnsi="Arial" w:cs="Arial"/>
          <w:sz w:val="20"/>
          <w:szCs w:val="20"/>
        </w:rPr>
        <w:t xml:space="preserve">operation may prevent </w:t>
      </w:r>
      <w:r w:rsidR="00AA4F8E">
        <w:rPr>
          <w:rFonts w:ascii="Arial" w:hAnsi="Arial" w:cs="Arial"/>
          <w:sz w:val="20"/>
          <w:szCs w:val="20"/>
        </w:rPr>
        <w:t xml:space="preserve">or limit </w:t>
      </w:r>
      <w:r w:rsidRPr="00280EF6">
        <w:rPr>
          <w:rFonts w:ascii="Arial" w:hAnsi="Arial" w:cs="Arial"/>
          <w:sz w:val="20"/>
          <w:szCs w:val="20"/>
        </w:rPr>
        <w:t>an impact to the spring.</w:t>
      </w:r>
      <w:r w:rsidR="001B5AA3">
        <w:rPr>
          <w:rFonts w:ascii="Arial" w:hAnsi="Arial" w:cs="Arial"/>
          <w:sz w:val="20"/>
          <w:szCs w:val="20"/>
        </w:rPr>
        <w:t xml:space="preserve"> </w:t>
      </w:r>
    </w:p>
    <w:p w:rsidR="00292B7D" w:rsidRPr="00292B7D" w:rsidRDefault="00280EF6" w:rsidP="003E76A1">
      <w:pPr>
        <w:pStyle w:val="ListNumber"/>
        <w:spacing w:after="200" w:line="276" w:lineRule="auto"/>
        <w:rPr>
          <w:rFonts w:ascii="Arial" w:hAnsi="Arial" w:cs="Arial"/>
          <w:bCs/>
          <w:i/>
          <w:sz w:val="20"/>
          <w:szCs w:val="20"/>
        </w:rPr>
      </w:pPr>
      <w:r w:rsidRPr="00B54378">
        <w:rPr>
          <w:rFonts w:ascii="Arial" w:hAnsi="Arial" w:cs="Arial"/>
          <w:sz w:val="20"/>
          <w:szCs w:val="20"/>
        </w:rPr>
        <w:t xml:space="preserve">The JIP states that the Clematis Sandstone is no longer classified under the Great Artesian Basin </w:t>
      </w:r>
      <w:r w:rsidR="003E76A1">
        <w:rPr>
          <w:rFonts w:ascii="Arial" w:hAnsi="Arial" w:cs="Arial"/>
          <w:sz w:val="20"/>
          <w:szCs w:val="20"/>
        </w:rPr>
        <w:t xml:space="preserve">(GAB) </w:t>
      </w:r>
      <w:r w:rsidRPr="00B54378">
        <w:rPr>
          <w:rFonts w:ascii="Arial" w:hAnsi="Arial" w:cs="Arial"/>
          <w:sz w:val="20"/>
          <w:szCs w:val="20"/>
        </w:rPr>
        <w:t>resource</w:t>
      </w:r>
      <w:r w:rsidR="00F825E4">
        <w:rPr>
          <w:rFonts w:ascii="Arial" w:hAnsi="Arial" w:cs="Arial"/>
          <w:iCs/>
          <w:sz w:val="20"/>
          <w:szCs w:val="20"/>
        </w:rPr>
        <w:t xml:space="preserve"> operations plan</w:t>
      </w:r>
      <w:r w:rsidR="00F825E4">
        <w:rPr>
          <w:rFonts w:ascii="Arial" w:hAnsi="Arial" w:cs="Arial"/>
          <w:bCs/>
          <w:iCs/>
          <w:sz w:val="20"/>
          <w:szCs w:val="20"/>
        </w:rPr>
        <w:t xml:space="preserve"> as a GAB aquifer. However, it is understood that GAB aquifers are listed under Schedule 4 the GAB Water Resource Plan 2006. Schedule 4 of the current GAB Water Resource Plan includes the Clematis Sandstone</w:t>
      </w:r>
      <w:r w:rsidR="00292B7D">
        <w:rPr>
          <w:rFonts w:ascii="Arial" w:hAnsi="Arial" w:cs="Arial"/>
          <w:bCs/>
          <w:iCs/>
          <w:sz w:val="20"/>
          <w:szCs w:val="20"/>
        </w:rPr>
        <w:t>.</w:t>
      </w:r>
      <w:r w:rsidR="00423748">
        <w:rPr>
          <w:rFonts w:ascii="Arial" w:hAnsi="Arial" w:cs="Arial"/>
          <w:bCs/>
          <w:iCs/>
          <w:sz w:val="20"/>
          <w:szCs w:val="20"/>
        </w:rPr>
        <w:t xml:space="preserve"> As such, springs sourced from the Clematis Sands</w:t>
      </w:r>
      <w:r w:rsidR="00E8217A">
        <w:rPr>
          <w:rFonts w:ascii="Arial" w:hAnsi="Arial" w:cs="Arial"/>
          <w:bCs/>
          <w:iCs/>
          <w:sz w:val="20"/>
          <w:szCs w:val="20"/>
        </w:rPr>
        <w:t>tone are potentially excluded as</w:t>
      </w:r>
      <w:r w:rsidR="00423748">
        <w:rPr>
          <w:rFonts w:ascii="Arial" w:hAnsi="Arial" w:cs="Arial"/>
          <w:bCs/>
          <w:iCs/>
          <w:sz w:val="20"/>
          <w:szCs w:val="20"/>
        </w:rPr>
        <w:t xml:space="preserve"> GAB spring</w:t>
      </w:r>
      <w:r w:rsidR="00E8217A">
        <w:rPr>
          <w:rFonts w:ascii="Arial" w:hAnsi="Arial" w:cs="Arial"/>
          <w:bCs/>
          <w:iCs/>
          <w:sz w:val="20"/>
          <w:szCs w:val="20"/>
        </w:rPr>
        <w:t>s</w:t>
      </w:r>
      <w:r w:rsidR="00423748">
        <w:rPr>
          <w:rFonts w:ascii="Arial" w:hAnsi="Arial" w:cs="Arial"/>
          <w:bCs/>
          <w:iCs/>
          <w:sz w:val="20"/>
          <w:szCs w:val="20"/>
        </w:rPr>
        <w:t>.</w:t>
      </w:r>
    </w:p>
    <w:p w:rsidR="000E360F" w:rsidRDefault="00D322E2" w:rsidP="003E76A1">
      <w:pPr>
        <w:pStyle w:val="ListNumber"/>
        <w:numPr>
          <w:ilvl w:val="0"/>
          <w:numId w:val="0"/>
        </w:numPr>
        <w:spacing w:after="200" w:line="276" w:lineRule="auto"/>
        <w:rPr>
          <w:rFonts w:ascii="Arial" w:hAnsi="Arial" w:cs="Arial"/>
          <w:bCs/>
          <w:i/>
          <w:sz w:val="20"/>
          <w:szCs w:val="20"/>
        </w:rPr>
      </w:pPr>
      <w:r w:rsidRPr="00B54378">
        <w:rPr>
          <w:rFonts w:ascii="Arial" w:hAnsi="Arial" w:cs="Arial"/>
          <w:bCs/>
          <w:i/>
          <w:sz w:val="20"/>
          <w:szCs w:val="20"/>
        </w:rPr>
        <w:t xml:space="preserve">Question 4: How likely and severe are the on-site risks of managing produced water before it reaches the existing </w:t>
      </w:r>
      <w:r w:rsidR="00F825E4">
        <w:rPr>
          <w:rFonts w:ascii="Arial" w:hAnsi="Arial" w:cs="Arial"/>
          <w:i/>
          <w:sz w:val="20"/>
          <w:szCs w:val="20"/>
        </w:rPr>
        <w:t>Woleebee Creek treatment facility</w:t>
      </w:r>
      <w:r w:rsidR="00F825E4">
        <w:rPr>
          <w:rFonts w:ascii="Arial" w:hAnsi="Arial" w:cs="Arial"/>
          <w:bCs/>
          <w:i/>
          <w:sz w:val="20"/>
          <w:szCs w:val="20"/>
        </w:rPr>
        <w:t>? What other measures would help to mitigate these risks? Has the proponent addressed whether the existing Woleebee Creek treatment facility has the capacity to deal with additional produced water volumes?</w:t>
      </w:r>
    </w:p>
    <w:p w:rsidR="00D322E2" w:rsidRPr="00D322E2" w:rsidRDefault="00AF3BC8" w:rsidP="003E76A1">
      <w:pPr>
        <w:pStyle w:val="ListNumber"/>
        <w:spacing w:after="200" w:line="276" w:lineRule="auto"/>
        <w:rPr>
          <w:rFonts w:ascii="Arial" w:hAnsi="Arial" w:cs="Arial"/>
          <w:sz w:val="20"/>
          <w:szCs w:val="20"/>
        </w:rPr>
      </w:pPr>
      <w:r>
        <w:rPr>
          <w:rFonts w:ascii="Arial" w:hAnsi="Arial" w:cs="Arial"/>
          <w:sz w:val="20"/>
          <w:szCs w:val="20"/>
        </w:rPr>
        <w:t>The on-site risks of managing produced water prior to treatment would not be expected to be significant, if managed effectively. However</w:t>
      </w:r>
      <w:r w:rsidR="00300A53">
        <w:rPr>
          <w:rFonts w:ascii="Arial" w:hAnsi="Arial" w:cs="Arial"/>
          <w:sz w:val="20"/>
          <w:szCs w:val="20"/>
        </w:rPr>
        <w:t>,</w:t>
      </w:r>
      <w:r w:rsidR="004C1698">
        <w:rPr>
          <w:rFonts w:ascii="Arial" w:hAnsi="Arial" w:cs="Arial"/>
          <w:sz w:val="20"/>
          <w:szCs w:val="20"/>
        </w:rPr>
        <w:t xml:space="preserve"> an</w:t>
      </w:r>
      <w:r w:rsidR="00D322E2" w:rsidRPr="00D322E2">
        <w:rPr>
          <w:rFonts w:ascii="Arial" w:hAnsi="Arial" w:cs="Arial"/>
          <w:sz w:val="20"/>
          <w:szCs w:val="20"/>
        </w:rPr>
        <w:t xml:space="preserve"> as yet unspecified number of storage ponds will be required as part of the temporary storage and transfer of CSG water to the </w:t>
      </w:r>
      <w:proofErr w:type="spellStart"/>
      <w:r w:rsidR="00D322E2" w:rsidRPr="00D322E2">
        <w:rPr>
          <w:rFonts w:ascii="Arial" w:hAnsi="Arial" w:cs="Arial"/>
          <w:sz w:val="20"/>
          <w:szCs w:val="20"/>
        </w:rPr>
        <w:t>Woleebee</w:t>
      </w:r>
      <w:proofErr w:type="spellEnd"/>
      <w:r w:rsidR="00D322E2" w:rsidRPr="00D322E2">
        <w:rPr>
          <w:rFonts w:ascii="Arial" w:hAnsi="Arial" w:cs="Arial"/>
          <w:sz w:val="20"/>
          <w:szCs w:val="20"/>
        </w:rPr>
        <w:t xml:space="preserve"> Creek treatment facility.</w:t>
      </w:r>
      <w:r w:rsidR="001B5AA3">
        <w:rPr>
          <w:rFonts w:ascii="Arial" w:hAnsi="Arial" w:cs="Arial"/>
          <w:sz w:val="20"/>
          <w:szCs w:val="20"/>
        </w:rPr>
        <w:t xml:space="preserve"> </w:t>
      </w:r>
      <w:r>
        <w:rPr>
          <w:rFonts w:ascii="Arial" w:hAnsi="Arial" w:cs="Arial"/>
          <w:sz w:val="20"/>
          <w:szCs w:val="20"/>
        </w:rPr>
        <w:t>Th</w:t>
      </w:r>
      <w:r w:rsidR="00D322E2" w:rsidRPr="00D322E2">
        <w:rPr>
          <w:rFonts w:ascii="Arial" w:hAnsi="Arial" w:cs="Arial"/>
          <w:sz w:val="20"/>
          <w:szCs w:val="20"/>
        </w:rPr>
        <w:t xml:space="preserve">e proponent </w:t>
      </w:r>
      <w:r>
        <w:rPr>
          <w:rFonts w:ascii="Arial" w:hAnsi="Arial" w:cs="Arial"/>
          <w:sz w:val="20"/>
          <w:szCs w:val="20"/>
        </w:rPr>
        <w:t xml:space="preserve">needs to </w:t>
      </w:r>
      <w:r w:rsidR="00D322E2" w:rsidRPr="00D322E2">
        <w:rPr>
          <w:rFonts w:ascii="Arial" w:hAnsi="Arial" w:cs="Arial"/>
          <w:sz w:val="20"/>
          <w:szCs w:val="20"/>
        </w:rPr>
        <w:t>ensure the design of these facilities incorporates sufficient freeboard allowance to avoid overtopping as a result of direct rainfall inputs or through wind generated wave action.</w:t>
      </w:r>
      <w:r w:rsidR="001B5AA3">
        <w:rPr>
          <w:rFonts w:ascii="Arial" w:hAnsi="Arial" w:cs="Arial"/>
          <w:sz w:val="20"/>
          <w:szCs w:val="20"/>
        </w:rPr>
        <w:t xml:space="preserve"> </w:t>
      </w:r>
      <w:r w:rsidR="00D322E2" w:rsidRPr="00D322E2">
        <w:rPr>
          <w:rFonts w:ascii="Arial" w:hAnsi="Arial" w:cs="Arial"/>
          <w:sz w:val="20"/>
          <w:szCs w:val="20"/>
        </w:rPr>
        <w:t>Water level sensors (or equivalent arrangements) and control systems should also be incorporated into the design to avoid over filling of the storages.</w:t>
      </w:r>
      <w:r w:rsidR="001B5AA3">
        <w:rPr>
          <w:rFonts w:ascii="Arial" w:hAnsi="Arial" w:cs="Arial"/>
          <w:sz w:val="20"/>
          <w:szCs w:val="20"/>
        </w:rPr>
        <w:t xml:space="preserve"> </w:t>
      </w:r>
      <w:r w:rsidR="00D322E2" w:rsidRPr="00D322E2">
        <w:rPr>
          <w:rFonts w:ascii="Arial" w:hAnsi="Arial" w:cs="Arial"/>
          <w:sz w:val="20"/>
          <w:szCs w:val="20"/>
        </w:rPr>
        <w:t>These measures collectively should ensure that untreated CSG water is kept separate from the natural resources of the development site or region.</w:t>
      </w:r>
    </w:p>
    <w:p w:rsidR="00D322E2" w:rsidRPr="00D322E2" w:rsidRDefault="00AF3BC8" w:rsidP="003E76A1">
      <w:pPr>
        <w:pStyle w:val="ListNumber"/>
        <w:spacing w:after="200" w:line="276" w:lineRule="auto"/>
        <w:rPr>
          <w:rFonts w:ascii="Arial" w:hAnsi="Arial" w:cs="Arial"/>
          <w:sz w:val="20"/>
          <w:szCs w:val="20"/>
        </w:rPr>
      </w:pPr>
      <w:r>
        <w:rPr>
          <w:rFonts w:ascii="Arial" w:hAnsi="Arial" w:cs="Arial"/>
          <w:sz w:val="20"/>
          <w:szCs w:val="20"/>
        </w:rPr>
        <w:t>C</w:t>
      </w:r>
      <w:r w:rsidR="00D322E2" w:rsidRPr="00D322E2">
        <w:rPr>
          <w:rFonts w:ascii="Arial" w:hAnsi="Arial" w:cs="Arial"/>
          <w:sz w:val="20"/>
          <w:szCs w:val="20"/>
        </w:rPr>
        <w:t xml:space="preserve">ollected CSG water </w:t>
      </w:r>
      <w:r>
        <w:rPr>
          <w:rFonts w:ascii="Arial" w:hAnsi="Arial" w:cs="Arial"/>
          <w:sz w:val="20"/>
          <w:szCs w:val="20"/>
        </w:rPr>
        <w:t>is to</w:t>
      </w:r>
      <w:r w:rsidR="00D322E2" w:rsidRPr="00D322E2">
        <w:rPr>
          <w:rFonts w:ascii="Arial" w:hAnsi="Arial" w:cs="Arial"/>
          <w:sz w:val="20"/>
          <w:szCs w:val="20"/>
        </w:rPr>
        <w:t xml:space="preserve"> be treated at the Northern </w:t>
      </w:r>
      <w:r w:rsidR="003E76A1">
        <w:rPr>
          <w:rFonts w:ascii="Arial" w:hAnsi="Arial" w:cs="Arial"/>
          <w:sz w:val="20"/>
          <w:szCs w:val="20"/>
        </w:rPr>
        <w:t>Water Treatment Plant</w:t>
      </w:r>
      <w:r w:rsidR="00D322E2" w:rsidRPr="00D322E2">
        <w:rPr>
          <w:rFonts w:ascii="Arial" w:hAnsi="Arial" w:cs="Arial"/>
          <w:sz w:val="20"/>
          <w:szCs w:val="20"/>
        </w:rPr>
        <w:t xml:space="preserve"> located near </w:t>
      </w:r>
      <w:proofErr w:type="spellStart"/>
      <w:r w:rsidR="00D322E2" w:rsidRPr="00D322E2">
        <w:rPr>
          <w:rFonts w:ascii="Arial" w:hAnsi="Arial" w:cs="Arial"/>
          <w:sz w:val="20"/>
          <w:szCs w:val="20"/>
        </w:rPr>
        <w:t>Woleebee</w:t>
      </w:r>
      <w:proofErr w:type="spellEnd"/>
      <w:r w:rsidR="00D322E2" w:rsidRPr="00D322E2">
        <w:rPr>
          <w:rFonts w:ascii="Arial" w:hAnsi="Arial" w:cs="Arial"/>
          <w:sz w:val="20"/>
          <w:szCs w:val="20"/>
        </w:rPr>
        <w:t xml:space="preserve"> Creek.</w:t>
      </w:r>
      <w:r w:rsidR="001B5AA3">
        <w:rPr>
          <w:rFonts w:ascii="Arial" w:hAnsi="Arial" w:cs="Arial"/>
          <w:sz w:val="20"/>
          <w:szCs w:val="20"/>
        </w:rPr>
        <w:t xml:space="preserve"> </w:t>
      </w:r>
      <w:r>
        <w:rPr>
          <w:rFonts w:ascii="Arial" w:hAnsi="Arial" w:cs="Arial"/>
          <w:sz w:val="20"/>
          <w:szCs w:val="20"/>
        </w:rPr>
        <w:t>T</w:t>
      </w:r>
      <w:r w:rsidR="00A9738D">
        <w:rPr>
          <w:rFonts w:ascii="Arial" w:hAnsi="Arial" w:cs="Arial"/>
          <w:sz w:val="20"/>
          <w:szCs w:val="20"/>
        </w:rPr>
        <w:t>his is a suitable means of treatment</w:t>
      </w:r>
      <w:r w:rsidR="00B54378">
        <w:rPr>
          <w:rFonts w:ascii="Arial" w:hAnsi="Arial" w:cs="Arial"/>
          <w:sz w:val="20"/>
          <w:szCs w:val="20"/>
        </w:rPr>
        <w:t xml:space="preserve"> if </w:t>
      </w:r>
      <w:r w:rsidR="00D322E2" w:rsidRPr="00D322E2">
        <w:rPr>
          <w:rFonts w:ascii="Arial" w:hAnsi="Arial" w:cs="Arial"/>
          <w:sz w:val="20"/>
          <w:szCs w:val="20"/>
        </w:rPr>
        <w:t>the plant</w:t>
      </w:r>
      <w:r w:rsidR="00B54378">
        <w:rPr>
          <w:rFonts w:ascii="Arial" w:hAnsi="Arial" w:cs="Arial"/>
          <w:sz w:val="20"/>
          <w:szCs w:val="20"/>
        </w:rPr>
        <w:t>’s capacity</w:t>
      </w:r>
      <w:r w:rsidR="00D322E2" w:rsidRPr="00D322E2">
        <w:rPr>
          <w:rFonts w:ascii="Arial" w:hAnsi="Arial" w:cs="Arial"/>
          <w:sz w:val="20"/>
          <w:szCs w:val="20"/>
        </w:rPr>
        <w:t xml:space="preserve"> to receive and treat the proposed volumes and quality of water for the duration of the project </w:t>
      </w:r>
      <w:r w:rsidR="00DB223B">
        <w:rPr>
          <w:rFonts w:ascii="Arial" w:hAnsi="Arial" w:cs="Arial"/>
          <w:sz w:val="20"/>
          <w:szCs w:val="20"/>
        </w:rPr>
        <w:t>is</w:t>
      </w:r>
      <w:r w:rsidR="00B54378">
        <w:rPr>
          <w:rFonts w:ascii="Arial" w:hAnsi="Arial" w:cs="Arial"/>
          <w:sz w:val="20"/>
          <w:szCs w:val="20"/>
        </w:rPr>
        <w:t xml:space="preserve"> demonstrated. </w:t>
      </w:r>
      <w:r w:rsidR="00DB223B">
        <w:rPr>
          <w:rFonts w:ascii="Arial" w:hAnsi="Arial" w:cs="Arial"/>
          <w:sz w:val="20"/>
          <w:szCs w:val="20"/>
        </w:rPr>
        <w:t>E</w:t>
      </w:r>
      <w:r w:rsidR="00DB223B" w:rsidRPr="00D322E2">
        <w:rPr>
          <w:rFonts w:ascii="Arial" w:hAnsi="Arial" w:cs="Arial"/>
          <w:sz w:val="20"/>
          <w:szCs w:val="20"/>
        </w:rPr>
        <w:t>vidence that an agreement is in place with the plant operator to treat the CSG water</w:t>
      </w:r>
      <w:r w:rsidR="00DB223B">
        <w:rPr>
          <w:rFonts w:ascii="Arial" w:hAnsi="Arial" w:cs="Arial"/>
          <w:sz w:val="20"/>
          <w:szCs w:val="20"/>
        </w:rPr>
        <w:t xml:space="preserve"> has not been provided.</w:t>
      </w:r>
    </w:p>
    <w:p w:rsidR="00D322E2" w:rsidRPr="00D322E2" w:rsidRDefault="00DB223B" w:rsidP="003E76A1">
      <w:pPr>
        <w:pStyle w:val="ListNumber"/>
        <w:spacing w:after="200" w:line="276" w:lineRule="auto"/>
        <w:rPr>
          <w:rFonts w:ascii="Arial" w:hAnsi="Arial" w:cs="Arial"/>
          <w:sz w:val="20"/>
          <w:szCs w:val="20"/>
        </w:rPr>
      </w:pPr>
      <w:r>
        <w:rPr>
          <w:rFonts w:ascii="Arial" w:hAnsi="Arial" w:cs="Arial"/>
          <w:sz w:val="20"/>
          <w:szCs w:val="20"/>
        </w:rPr>
        <w:t>A</w:t>
      </w:r>
      <w:r w:rsidR="00D322E2" w:rsidRPr="00D322E2">
        <w:rPr>
          <w:rFonts w:ascii="Arial" w:hAnsi="Arial" w:cs="Arial"/>
          <w:sz w:val="20"/>
          <w:szCs w:val="20"/>
        </w:rPr>
        <w:t xml:space="preserve"> network of pipelines and maintenance roads/tracks interconnecting the dewatering bores, collection storages and transfer lines will need t</w:t>
      </w:r>
      <w:r w:rsidR="00E87376">
        <w:rPr>
          <w:rFonts w:ascii="Arial" w:hAnsi="Arial" w:cs="Arial"/>
          <w:sz w:val="20"/>
          <w:szCs w:val="20"/>
        </w:rPr>
        <w:t xml:space="preserve">o cross numerous watercourses. </w:t>
      </w:r>
      <w:r>
        <w:rPr>
          <w:rFonts w:ascii="Arial" w:hAnsi="Arial" w:cs="Arial"/>
          <w:sz w:val="20"/>
          <w:szCs w:val="20"/>
        </w:rPr>
        <w:t>The</w:t>
      </w:r>
      <w:r w:rsidR="00D322E2" w:rsidRPr="00D322E2">
        <w:rPr>
          <w:rFonts w:ascii="Arial" w:hAnsi="Arial" w:cs="Arial"/>
          <w:sz w:val="20"/>
          <w:szCs w:val="20"/>
        </w:rPr>
        <w:t xml:space="preserve"> design and construction of any watercourse crossings or works within the</w:t>
      </w:r>
      <w:r w:rsidR="00E87376">
        <w:rPr>
          <w:rFonts w:ascii="Arial" w:hAnsi="Arial" w:cs="Arial"/>
          <w:sz w:val="20"/>
          <w:szCs w:val="20"/>
        </w:rPr>
        <w:t xml:space="preserve"> f</w:t>
      </w:r>
      <w:r w:rsidR="00D322E2" w:rsidRPr="00D322E2">
        <w:rPr>
          <w:rFonts w:ascii="Arial" w:hAnsi="Arial" w:cs="Arial"/>
          <w:sz w:val="20"/>
          <w:szCs w:val="20"/>
        </w:rPr>
        <w:t xml:space="preserve">loodplain </w:t>
      </w:r>
      <w:r>
        <w:rPr>
          <w:rFonts w:ascii="Arial" w:hAnsi="Arial" w:cs="Arial"/>
          <w:sz w:val="20"/>
          <w:szCs w:val="20"/>
        </w:rPr>
        <w:t xml:space="preserve">will need to </w:t>
      </w:r>
      <w:r w:rsidR="00A81750">
        <w:rPr>
          <w:rFonts w:ascii="Arial" w:hAnsi="Arial" w:cs="Arial"/>
          <w:sz w:val="20"/>
          <w:szCs w:val="20"/>
        </w:rPr>
        <w:t xml:space="preserve">include appropriate </w:t>
      </w:r>
      <w:r w:rsidR="00D322E2" w:rsidRPr="00D322E2">
        <w:rPr>
          <w:rFonts w:ascii="Arial" w:hAnsi="Arial" w:cs="Arial"/>
          <w:sz w:val="20"/>
          <w:szCs w:val="20"/>
        </w:rPr>
        <w:t>soil erosion and drainage</w:t>
      </w:r>
      <w:r w:rsidR="00A81750">
        <w:rPr>
          <w:rFonts w:ascii="Arial" w:hAnsi="Arial" w:cs="Arial"/>
          <w:sz w:val="20"/>
          <w:szCs w:val="20"/>
        </w:rPr>
        <w:t>/watercourse</w:t>
      </w:r>
      <w:r w:rsidR="00D322E2" w:rsidRPr="00D322E2">
        <w:rPr>
          <w:rFonts w:ascii="Arial" w:hAnsi="Arial" w:cs="Arial"/>
          <w:sz w:val="20"/>
          <w:szCs w:val="20"/>
        </w:rPr>
        <w:t xml:space="preserve"> management.</w:t>
      </w:r>
    </w:p>
    <w:p w:rsidR="00072A99" w:rsidRPr="00072A99" w:rsidRDefault="00D322E2" w:rsidP="003E76A1">
      <w:pPr>
        <w:pStyle w:val="ListNumber"/>
        <w:numPr>
          <w:ilvl w:val="0"/>
          <w:numId w:val="0"/>
        </w:numPr>
        <w:spacing w:after="200" w:line="276" w:lineRule="auto"/>
        <w:outlineLvl w:val="3"/>
        <w:rPr>
          <w:rFonts w:ascii="Arial" w:hAnsi="Arial" w:cs="Arial"/>
          <w:bCs/>
          <w:i/>
          <w:sz w:val="20"/>
          <w:szCs w:val="20"/>
        </w:rPr>
      </w:pPr>
      <w:r w:rsidRPr="000C60A7">
        <w:rPr>
          <w:rFonts w:ascii="Arial" w:hAnsi="Arial" w:cs="Arial"/>
          <w:bCs/>
          <w:i/>
          <w:sz w:val="20"/>
          <w:szCs w:val="20"/>
        </w:rPr>
        <w:t xml:space="preserve">Question 5: Does the Committee consider that the Water Monitoring and Management Plan suitably addresses the uncertainties and risks of the project identified by the Committee? What modifications or additions would address any significant shortcomings? </w:t>
      </w:r>
    </w:p>
    <w:p w:rsidR="003D5429" w:rsidRDefault="0071283F" w:rsidP="003E76A1">
      <w:pPr>
        <w:pStyle w:val="ListNumber"/>
        <w:spacing w:after="200" w:line="276" w:lineRule="auto"/>
        <w:rPr>
          <w:rFonts w:ascii="Arial" w:hAnsi="Arial" w:cs="Arial"/>
          <w:sz w:val="20"/>
          <w:szCs w:val="20"/>
        </w:rPr>
      </w:pPr>
      <w:r>
        <w:rPr>
          <w:rFonts w:ascii="Arial" w:hAnsi="Arial" w:cs="Arial"/>
          <w:sz w:val="20"/>
          <w:szCs w:val="20"/>
        </w:rPr>
        <w:t>Noting th</w:t>
      </w:r>
      <w:r w:rsidR="00072A99">
        <w:rPr>
          <w:rFonts w:ascii="Arial" w:hAnsi="Arial" w:cs="Arial"/>
          <w:sz w:val="20"/>
          <w:szCs w:val="20"/>
        </w:rPr>
        <w:t xml:space="preserve">e concerns </w:t>
      </w:r>
      <w:proofErr w:type="gramStart"/>
      <w:r w:rsidR="00072A99">
        <w:rPr>
          <w:rFonts w:ascii="Arial" w:hAnsi="Arial" w:cs="Arial"/>
          <w:sz w:val="20"/>
          <w:szCs w:val="20"/>
        </w:rPr>
        <w:t>raised</w:t>
      </w:r>
      <w:proofErr w:type="gramEnd"/>
      <w:r w:rsidR="00072A99">
        <w:rPr>
          <w:rFonts w:ascii="Arial" w:hAnsi="Arial" w:cs="Arial"/>
          <w:sz w:val="20"/>
          <w:szCs w:val="20"/>
        </w:rPr>
        <w:t xml:space="preserve"> about the use of the groundwater model as it relates to springs</w:t>
      </w:r>
      <w:r w:rsidR="00557030">
        <w:rPr>
          <w:rFonts w:ascii="Arial" w:hAnsi="Arial" w:cs="Arial"/>
          <w:sz w:val="20"/>
          <w:szCs w:val="20"/>
        </w:rPr>
        <w:t xml:space="preserve">, it is difficult to assess the monitoring and mitigation plan. </w:t>
      </w:r>
      <w:r w:rsidR="003967F4">
        <w:rPr>
          <w:rFonts w:ascii="Arial" w:hAnsi="Arial" w:cs="Arial"/>
          <w:sz w:val="20"/>
          <w:szCs w:val="20"/>
        </w:rPr>
        <w:t xml:space="preserve">The </w:t>
      </w:r>
      <w:r w:rsidR="00D322E2" w:rsidRPr="00D322E2">
        <w:rPr>
          <w:rFonts w:ascii="Arial" w:hAnsi="Arial" w:cs="Arial"/>
          <w:sz w:val="20"/>
          <w:szCs w:val="20"/>
        </w:rPr>
        <w:t xml:space="preserve">proponent’s monitoring plan </w:t>
      </w:r>
      <w:r w:rsidR="003967F4">
        <w:rPr>
          <w:rFonts w:ascii="Arial" w:hAnsi="Arial" w:cs="Arial"/>
          <w:sz w:val="20"/>
          <w:szCs w:val="20"/>
        </w:rPr>
        <w:t xml:space="preserve">should </w:t>
      </w:r>
      <w:r w:rsidR="00D322E2" w:rsidRPr="00D322E2">
        <w:rPr>
          <w:rFonts w:ascii="Arial" w:hAnsi="Arial" w:cs="Arial"/>
          <w:sz w:val="20"/>
          <w:szCs w:val="20"/>
        </w:rPr>
        <w:t>be presented in maps of potentiometric head and drawdown for each hydrogeological unit, with existing or proposed monitoring bores (both on- and off-tenure) of the appropriate un</w:t>
      </w:r>
      <w:r w:rsidR="00237137">
        <w:rPr>
          <w:rFonts w:ascii="Arial" w:hAnsi="Arial" w:cs="Arial"/>
          <w:sz w:val="20"/>
          <w:szCs w:val="20"/>
        </w:rPr>
        <w:t>it displayed on the maps. In addition t</w:t>
      </w:r>
      <w:r w:rsidR="00D322E2" w:rsidRPr="00D322E2">
        <w:rPr>
          <w:rFonts w:ascii="Arial" w:hAnsi="Arial" w:cs="Arial"/>
          <w:sz w:val="20"/>
          <w:szCs w:val="20"/>
        </w:rPr>
        <w:t>ables, for each hydrogeological unit, that lists the monitoring bores, status, function, and proposed trigger levels together with the P95 modelli</w:t>
      </w:r>
      <w:r w:rsidR="00D322E2" w:rsidRPr="0010234B">
        <w:rPr>
          <w:rFonts w:ascii="Arial" w:hAnsi="Arial" w:cs="Arial"/>
          <w:sz w:val="20"/>
          <w:szCs w:val="20"/>
        </w:rPr>
        <w:t xml:space="preserve">ng results, </w:t>
      </w:r>
      <w:r w:rsidR="00DB223B">
        <w:rPr>
          <w:rFonts w:ascii="Arial" w:hAnsi="Arial" w:cs="Arial"/>
          <w:sz w:val="20"/>
          <w:szCs w:val="20"/>
        </w:rPr>
        <w:t>sh</w:t>
      </w:r>
      <w:r w:rsidR="00237137" w:rsidRPr="0010234B">
        <w:rPr>
          <w:rFonts w:ascii="Arial" w:hAnsi="Arial" w:cs="Arial"/>
          <w:sz w:val="20"/>
          <w:szCs w:val="20"/>
        </w:rPr>
        <w:t xml:space="preserve">ould also </w:t>
      </w:r>
      <w:r w:rsidR="00D322E2" w:rsidRPr="0010234B">
        <w:rPr>
          <w:rFonts w:ascii="Arial" w:hAnsi="Arial" w:cs="Arial"/>
          <w:sz w:val="20"/>
          <w:szCs w:val="20"/>
        </w:rPr>
        <w:t>be included.</w:t>
      </w:r>
      <w:r w:rsidR="0010234B" w:rsidRPr="0010234B">
        <w:rPr>
          <w:rFonts w:ascii="Arial" w:hAnsi="Arial" w:cs="Arial"/>
          <w:sz w:val="20"/>
          <w:szCs w:val="20"/>
        </w:rPr>
        <w:t xml:space="preserve"> </w:t>
      </w:r>
    </w:p>
    <w:p w:rsidR="0010234B" w:rsidRPr="003D5429" w:rsidRDefault="0010234B" w:rsidP="003E76A1">
      <w:pPr>
        <w:pStyle w:val="ListNumber"/>
        <w:spacing w:after="200" w:line="276" w:lineRule="auto"/>
        <w:rPr>
          <w:rFonts w:ascii="Arial" w:hAnsi="Arial" w:cs="Arial"/>
          <w:sz w:val="20"/>
          <w:szCs w:val="20"/>
        </w:rPr>
      </w:pPr>
      <w:r w:rsidRPr="003D5429">
        <w:rPr>
          <w:rFonts w:ascii="Arial" w:hAnsi="Arial" w:cs="Arial"/>
          <w:sz w:val="20"/>
          <w:szCs w:val="20"/>
        </w:rPr>
        <w:t xml:space="preserve">There appear to be two monitoring site maps, the proponent’s existing and proposed monitoring bores for various hydrogeological units with the </w:t>
      </w:r>
      <w:r w:rsidR="00460C28" w:rsidRPr="003D5429">
        <w:rPr>
          <w:rFonts w:ascii="Arial" w:hAnsi="Arial" w:cs="Arial"/>
          <w:sz w:val="20"/>
          <w:szCs w:val="20"/>
        </w:rPr>
        <w:t>JIP</w:t>
      </w:r>
      <w:r w:rsidRPr="003D5429">
        <w:rPr>
          <w:rFonts w:ascii="Arial" w:hAnsi="Arial" w:cs="Arial"/>
          <w:sz w:val="20"/>
          <w:szCs w:val="20"/>
        </w:rPr>
        <w:t xml:space="preserve"> Early Warning System (EWS) related to springs. </w:t>
      </w:r>
      <w:r w:rsidR="003D5429">
        <w:rPr>
          <w:rFonts w:ascii="Arial" w:hAnsi="Arial" w:cs="Arial"/>
          <w:sz w:val="20"/>
          <w:szCs w:val="20"/>
        </w:rPr>
        <w:t xml:space="preserve">They use </w:t>
      </w:r>
      <w:r w:rsidRPr="003D5429">
        <w:rPr>
          <w:rFonts w:ascii="Arial" w:hAnsi="Arial" w:cs="Arial"/>
          <w:sz w:val="20"/>
          <w:szCs w:val="20"/>
        </w:rPr>
        <w:t xml:space="preserve">different scales and spatial coverage that make the assessment of proposed monitoring difficult and creates uncertainty </w:t>
      </w:r>
      <w:r w:rsidR="003D5429">
        <w:rPr>
          <w:rFonts w:ascii="Arial" w:hAnsi="Arial" w:cs="Arial"/>
          <w:sz w:val="20"/>
          <w:szCs w:val="20"/>
        </w:rPr>
        <w:t>in</w:t>
      </w:r>
      <w:r w:rsidR="003D5429" w:rsidRPr="003D5429">
        <w:rPr>
          <w:rFonts w:ascii="Arial" w:hAnsi="Arial" w:cs="Arial"/>
          <w:sz w:val="20"/>
          <w:szCs w:val="20"/>
        </w:rPr>
        <w:t xml:space="preserve"> </w:t>
      </w:r>
      <w:r w:rsidRPr="003D5429">
        <w:rPr>
          <w:rFonts w:ascii="Arial" w:hAnsi="Arial" w:cs="Arial"/>
          <w:sz w:val="20"/>
          <w:szCs w:val="20"/>
        </w:rPr>
        <w:t>what is being proposed for each hydrolgeological unit.</w:t>
      </w:r>
    </w:p>
    <w:p w:rsidR="00E7264C" w:rsidRPr="003D5429" w:rsidRDefault="00E7264C" w:rsidP="003E76A1">
      <w:pPr>
        <w:pStyle w:val="ListNumber"/>
        <w:spacing w:after="200" w:line="276" w:lineRule="auto"/>
        <w:rPr>
          <w:rFonts w:ascii="Arial" w:hAnsi="Arial" w:cs="Arial"/>
          <w:sz w:val="20"/>
          <w:szCs w:val="20"/>
        </w:rPr>
      </w:pPr>
      <w:r w:rsidRPr="003D5429">
        <w:rPr>
          <w:rFonts w:ascii="Arial" w:hAnsi="Arial" w:cs="Arial"/>
          <w:sz w:val="20"/>
          <w:szCs w:val="20"/>
        </w:rPr>
        <w:t xml:space="preserve">It is unclear why there are no monitoring bores to the south-west of Woleebee Creek GW1-9, where the predicted drawdown impacts are the largest in </w:t>
      </w:r>
      <w:r w:rsidR="00395AAC">
        <w:rPr>
          <w:rFonts w:ascii="Arial" w:hAnsi="Arial" w:cs="Arial"/>
          <w:sz w:val="20"/>
          <w:szCs w:val="20"/>
        </w:rPr>
        <w:t xml:space="preserve">the </w:t>
      </w:r>
      <w:r w:rsidRPr="003D5429">
        <w:rPr>
          <w:rFonts w:ascii="Arial" w:hAnsi="Arial" w:cs="Arial"/>
          <w:sz w:val="20"/>
          <w:szCs w:val="20"/>
        </w:rPr>
        <w:t xml:space="preserve">WCM, Springbok and Hutton </w:t>
      </w:r>
      <w:r w:rsidRPr="003D5429">
        <w:rPr>
          <w:rFonts w:ascii="Arial" w:hAnsi="Arial" w:cs="Arial"/>
          <w:sz w:val="20"/>
          <w:szCs w:val="20"/>
        </w:rPr>
        <w:lastRenderedPageBreak/>
        <w:t>Sandstones.</w:t>
      </w:r>
      <w:r w:rsidR="001B5AA3">
        <w:rPr>
          <w:rFonts w:ascii="Arial" w:hAnsi="Arial" w:cs="Arial"/>
          <w:sz w:val="20"/>
          <w:szCs w:val="20"/>
        </w:rPr>
        <w:t xml:space="preserve"> </w:t>
      </w:r>
      <w:r w:rsidR="00DB223B">
        <w:rPr>
          <w:rFonts w:ascii="Arial" w:hAnsi="Arial" w:cs="Arial"/>
          <w:sz w:val="20"/>
          <w:szCs w:val="20"/>
        </w:rPr>
        <w:t>T</w:t>
      </w:r>
      <w:r w:rsidRPr="003D5429">
        <w:rPr>
          <w:rFonts w:ascii="Arial" w:hAnsi="Arial" w:cs="Arial"/>
          <w:sz w:val="20"/>
          <w:szCs w:val="20"/>
        </w:rPr>
        <w:t xml:space="preserve">he maximum predicted drawdown zones are outside the </w:t>
      </w:r>
      <w:r w:rsidR="0092714B">
        <w:rPr>
          <w:rFonts w:ascii="Arial" w:hAnsi="Arial" w:cs="Arial"/>
          <w:sz w:val="20"/>
          <w:szCs w:val="20"/>
        </w:rPr>
        <w:t>proposed project</w:t>
      </w:r>
      <w:r w:rsidRPr="003D5429">
        <w:rPr>
          <w:rFonts w:ascii="Arial" w:hAnsi="Arial" w:cs="Arial"/>
          <w:sz w:val="20"/>
          <w:szCs w:val="20"/>
        </w:rPr>
        <w:t xml:space="preserve"> area. It is, however, not clear if there are no monitoring sites at all, or sites to the south-west of Woleebee Creek GW1-9 exist but are operated by other Joint Industry </w:t>
      </w:r>
      <w:r w:rsidRPr="00E7264C">
        <w:rPr>
          <w:rFonts w:ascii="Arial" w:hAnsi="Arial" w:cs="Arial"/>
          <w:sz w:val="20"/>
          <w:szCs w:val="20"/>
        </w:rPr>
        <w:t>P</w:t>
      </w:r>
      <w:r w:rsidRPr="003D5429">
        <w:rPr>
          <w:rFonts w:ascii="Arial" w:hAnsi="Arial" w:cs="Arial"/>
          <w:sz w:val="20"/>
          <w:szCs w:val="20"/>
        </w:rPr>
        <w:t>artners. If there are no monitoring sites established to the south</w:t>
      </w:r>
      <w:r w:rsidR="00DB223B">
        <w:rPr>
          <w:rFonts w:ascii="Arial" w:hAnsi="Arial" w:cs="Arial"/>
          <w:sz w:val="20"/>
          <w:szCs w:val="20"/>
        </w:rPr>
        <w:t>-west of Woleebee Creek GW1-9, t</w:t>
      </w:r>
      <w:r w:rsidRPr="003D5429">
        <w:rPr>
          <w:rFonts w:ascii="Arial" w:hAnsi="Arial" w:cs="Arial"/>
          <w:sz w:val="20"/>
          <w:szCs w:val="20"/>
        </w:rPr>
        <w:t xml:space="preserve">he IESC </w:t>
      </w:r>
      <w:r w:rsidR="00DB223B">
        <w:rPr>
          <w:rFonts w:ascii="Arial" w:hAnsi="Arial" w:cs="Arial"/>
          <w:sz w:val="20"/>
          <w:szCs w:val="20"/>
        </w:rPr>
        <w:t>recommends</w:t>
      </w:r>
      <w:r w:rsidRPr="003D5429">
        <w:rPr>
          <w:rFonts w:ascii="Arial" w:hAnsi="Arial" w:cs="Arial"/>
          <w:sz w:val="20"/>
          <w:szCs w:val="20"/>
        </w:rPr>
        <w:t xml:space="preserve"> establishing the following additional monitoring sites:</w:t>
      </w:r>
    </w:p>
    <w:p w:rsidR="00E7264C" w:rsidRPr="00E7264C" w:rsidRDefault="00E7264C" w:rsidP="003E76A1">
      <w:pPr>
        <w:pStyle w:val="ListNumber"/>
        <w:numPr>
          <w:ilvl w:val="0"/>
          <w:numId w:val="12"/>
        </w:numPr>
        <w:spacing w:after="200" w:line="276" w:lineRule="auto"/>
        <w:outlineLvl w:val="3"/>
        <w:rPr>
          <w:rFonts w:ascii="Arial" w:hAnsi="Arial" w:cs="Arial"/>
          <w:sz w:val="20"/>
          <w:szCs w:val="20"/>
        </w:rPr>
      </w:pPr>
      <w:r w:rsidRPr="003D5429">
        <w:rPr>
          <w:rFonts w:ascii="Arial" w:hAnsi="Arial" w:cs="Arial"/>
          <w:sz w:val="20"/>
          <w:szCs w:val="20"/>
        </w:rPr>
        <w:t>A Springbok Sand</w:t>
      </w:r>
      <w:r w:rsidRPr="00E7264C">
        <w:rPr>
          <w:rFonts w:ascii="Arial" w:hAnsi="Arial" w:cs="Arial"/>
          <w:sz w:val="20"/>
          <w:szCs w:val="20"/>
        </w:rPr>
        <w:t>stone Moni</w:t>
      </w:r>
      <w:r w:rsidR="00460C28">
        <w:rPr>
          <w:rFonts w:ascii="Arial" w:hAnsi="Arial" w:cs="Arial"/>
          <w:sz w:val="20"/>
          <w:szCs w:val="20"/>
        </w:rPr>
        <w:t>toring site at approximately 35</w:t>
      </w:r>
      <w:r w:rsidR="003E76A1">
        <w:rPr>
          <w:rFonts w:ascii="Arial" w:hAnsi="Arial" w:cs="Arial"/>
          <w:sz w:val="20"/>
          <w:szCs w:val="20"/>
        </w:rPr>
        <w:t xml:space="preserve"> </w:t>
      </w:r>
      <w:r w:rsidRPr="00E7264C">
        <w:rPr>
          <w:rFonts w:ascii="Arial" w:hAnsi="Arial" w:cs="Arial"/>
          <w:sz w:val="20"/>
          <w:szCs w:val="20"/>
        </w:rPr>
        <w:t>km to the South-southwest of RN48978. This site should be situated in the 10-15</w:t>
      </w:r>
      <w:r w:rsidR="003E76A1">
        <w:rPr>
          <w:rFonts w:ascii="Arial" w:hAnsi="Arial" w:cs="Arial"/>
          <w:sz w:val="20"/>
          <w:szCs w:val="20"/>
        </w:rPr>
        <w:t xml:space="preserve"> </w:t>
      </w:r>
      <w:r w:rsidRPr="00E7264C">
        <w:rPr>
          <w:rFonts w:ascii="Arial" w:hAnsi="Arial" w:cs="Arial"/>
          <w:sz w:val="20"/>
          <w:szCs w:val="20"/>
        </w:rPr>
        <w:t>m predicted drawdown zone and augment the single existing Woleebee Creek GW2 Springbok Sandstone site.</w:t>
      </w:r>
    </w:p>
    <w:p w:rsidR="00E7264C" w:rsidRPr="00E7264C" w:rsidRDefault="00E7264C" w:rsidP="003E76A1">
      <w:pPr>
        <w:pStyle w:val="ListNumber"/>
        <w:numPr>
          <w:ilvl w:val="0"/>
          <w:numId w:val="12"/>
        </w:numPr>
        <w:spacing w:after="200" w:line="276" w:lineRule="auto"/>
        <w:outlineLvl w:val="3"/>
        <w:rPr>
          <w:rFonts w:ascii="Arial" w:hAnsi="Arial" w:cs="Arial"/>
          <w:sz w:val="20"/>
          <w:szCs w:val="20"/>
        </w:rPr>
      </w:pPr>
      <w:r w:rsidRPr="00E7264C">
        <w:rPr>
          <w:rFonts w:ascii="Arial" w:hAnsi="Arial" w:cs="Arial"/>
          <w:sz w:val="20"/>
          <w:szCs w:val="20"/>
        </w:rPr>
        <w:t xml:space="preserve">A WCM monitoring site to augment the existing </w:t>
      </w:r>
      <w:proofErr w:type="spellStart"/>
      <w:r w:rsidRPr="00E7264C">
        <w:rPr>
          <w:rFonts w:ascii="Arial" w:hAnsi="Arial" w:cs="Arial"/>
          <w:sz w:val="20"/>
          <w:szCs w:val="20"/>
        </w:rPr>
        <w:t>Woleebee</w:t>
      </w:r>
      <w:proofErr w:type="spellEnd"/>
      <w:r w:rsidRPr="00E7264C">
        <w:rPr>
          <w:rFonts w:ascii="Arial" w:hAnsi="Arial" w:cs="Arial"/>
          <w:sz w:val="20"/>
          <w:szCs w:val="20"/>
        </w:rPr>
        <w:t xml:space="preserve"> Creek installations.</w:t>
      </w:r>
      <w:r w:rsidR="001B5AA3">
        <w:rPr>
          <w:rFonts w:ascii="Arial" w:hAnsi="Arial" w:cs="Arial"/>
          <w:sz w:val="20"/>
          <w:szCs w:val="20"/>
        </w:rPr>
        <w:t xml:space="preserve"> </w:t>
      </w:r>
      <w:r w:rsidRPr="00E7264C">
        <w:rPr>
          <w:rFonts w:ascii="Arial" w:hAnsi="Arial" w:cs="Arial"/>
          <w:sz w:val="20"/>
          <w:szCs w:val="20"/>
        </w:rPr>
        <w:t xml:space="preserve">The largest drawdown </w:t>
      </w:r>
      <w:r>
        <w:rPr>
          <w:rFonts w:ascii="Arial" w:hAnsi="Arial" w:cs="Arial"/>
          <w:sz w:val="20"/>
          <w:szCs w:val="20"/>
        </w:rPr>
        <w:t xml:space="preserve">impact in the WCM is predicted </w:t>
      </w:r>
      <w:r w:rsidRPr="00E7264C">
        <w:rPr>
          <w:rFonts w:ascii="Arial" w:hAnsi="Arial" w:cs="Arial"/>
          <w:sz w:val="20"/>
          <w:szCs w:val="20"/>
        </w:rPr>
        <w:t>to the south and south-west of Wandoan yet only one proposed WCM bore (Peebs GW16) is located in this zone.</w:t>
      </w:r>
    </w:p>
    <w:p w:rsidR="000D2767" w:rsidRDefault="00E7264C" w:rsidP="003E76A1">
      <w:pPr>
        <w:pStyle w:val="ListNumber"/>
        <w:numPr>
          <w:ilvl w:val="0"/>
          <w:numId w:val="12"/>
        </w:numPr>
        <w:spacing w:after="200" w:line="276" w:lineRule="auto"/>
        <w:outlineLvl w:val="3"/>
        <w:rPr>
          <w:rFonts w:ascii="Arial" w:hAnsi="Arial" w:cs="Arial"/>
          <w:sz w:val="20"/>
          <w:szCs w:val="20"/>
        </w:rPr>
      </w:pPr>
      <w:r w:rsidRPr="00E7264C">
        <w:rPr>
          <w:rFonts w:ascii="Arial" w:hAnsi="Arial" w:cs="Arial"/>
          <w:sz w:val="20"/>
          <w:szCs w:val="20"/>
        </w:rPr>
        <w:t>A Hutton Sandstone Monitoring site at approximately 35 km to the south-southwest of RN48978. This site should be situated in the predicted drawdown zone and augment the single existing Woleebee Creek GW2 Springbok Sandstone site.</w:t>
      </w:r>
    </w:p>
    <w:p w:rsidR="000D2767" w:rsidRPr="000D2767" w:rsidRDefault="000D2767" w:rsidP="003E76A1">
      <w:pPr>
        <w:pStyle w:val="ListNumber"/>
        <w:spacing w:after="200" w:line="276" w:lineRule="auto"/>
        <w:rPr>
          <w:rFonts w:ascii="Arial" w:hAnsi="Arial" w:cs="Arial"/>
          <w:sz w:val="20"/>
          <w:szCs w:val="20"/>
        </w:rPr>
      </w:pPr>
      <w:r w:rsidRPr="000D2767">
        <w:rPr>
          <w:rFonts w:ascii="Arial" w:hAnsi="Arial" w:cs="Arial"/>
          <w:sz w:val="20"/>
          <w:szCs w:val="20"/>
        </w:rPr>
        <w:t xml:space="preserve">It is unclear how the limits and triggers for bores </w:t>
      </w:r>
      <w:r w:rsidR="003967F4">
        <w:rPr>
          <w:rFonts w:ascii="Arial" w:hAnsi="Arial" w:cs="Arial"/>
          <w:sz w:val="20"/>
          <w:szCs w:val="20"/>
        </w:rPr>
        <w:t xml:space="preserve">associated with the </w:t>
      </w:r>
      <w:r w:rsidRPr="000D2767">
        <w:rPr>
          <w:rFonts w:ascii="Arial" w:hAnsi="Arial" w:cs="Arial"/>
          <w:sz w:val="20"/>
          <w:szCs w:val="20"/>
        </w:rPr>
        <w:t xml:space="preserve">springs were determined. There appear to be inconsistencies in the model predicted drawdowns and the trigger levels. </w:t>
      </w:r>
      <w:r w:rsidR="00EF0C48">
        <w:rPr>
          <w:rFonts w:ascii="Arial" w:hAnsi="Arial" w:cs="Arial"/>
          <w:sz w:val="20"/>
          <w:szCs w:val="20"/>
        </w:rPr>
        <w:t>The</w:t>
      </w:r>
      <w:r w:rsidR="00AC42DE">
        <w:rPr>
          <w:rFonts w:ascii="Arial" w:hAnsi="Arial" w:cs="Arial"/>
          <w:sz w:val="20"/>
          <w:szCs w:val="20"/>
        </w:rPr>
        <w:t xml:space="preserve"> IESC</w:t>
      </w:r>
      <w:r w:rsidRPr="000D2767">
        <w:rPr>
          <w:rFonts w:ascii="Arial" w:hAnsi="Arial" w:cs="Arial"/>
          <w:sz w:val="20"/>
          <w:szCs w:val="20"/>
        </w:rPr>
        <w:t xml:space="preserve"> recommends that in addition to drawdown triggers and limits in monitoring bores, the corresponding potentiometric heads </w:t>
      </w:r>
      <w:r w:rsidR="003967F4">
        <w:rPr>
          <w:rFonts w:ascii="Arial" w:hAnsi="Arial" w:cs="Arial"/>
          <w:sz w:val="20"/>
          <w:szCs w:val="20"/>
        </w:rPr>
        <w:t xml:space="preserve">should </w:t>
      </w:r>
      <w:r w:rsidRPr="000D2767">
        <w:rPr>
          <w:rFonts w:ascii="Arial" w:hAnsi="Arial" w:cs="Arial"/>
          <w:sz w:val="20"/>
          <w:szCs w:val="20"/>
        </w:rPr>
        <w:t xml:space="preserve">be also stated. </w:t>
      </w:r>
    </w:p>
    <w:p w:rsidR="00D322E2" w:rsidRPr="00D322E2" w:rsidRDefault="00712EC7" w:rsidP="003E76A1">
      <w:pPr>
        <w:pStyle w:val="ListNumber"/>
        <w:spacing w:after="200" w:line="276" w:lineRule="auto"/>
        <w:rPr>
          <w:rFonts w:ascii="Arial" w:hAnsi="Arial" w:cs="Arial"/>
          <w:sz w:val="20"/>
          <w:szCs w:val="20"/>
        </w:rPr>
      </w:pPr>
      <w:r>
        <w:rPr>
          <w:rFonts w:ascii="Arial" w:hAnsi="Arial" w:cs="Arial"/>
          <w:sz w:val="20"/>
          <w:szCs w:val="20"/>
        </w:rPr>
        <w:t>The IESC</w:t>
      </w:r>
      <w:r w:rsidR="00D322E2" w:rsidRPr="00D322E2">
        <w:rPr>
          <w:rFonts w:ascii="Arial" w:hAnsi="Arial" w:cs="Arial"/>
          <w:sz w:val="20"/>
          <w:szCs w:val="20"/>
        </w:rPr>
        <w:t xml:space="preserve"> </w:t>
      </w:r>
      <w:r w:rsidR="00EF0C48">
        <w:rPr>
          <w:rFonts w:ascii="Arial" w:hAnsi="Arial" w:cs="Arial"/>
          <w:sz w:val="20"/>
          <w:szCs w:val="20"/>
        </w:rPr>
        <w:t>suggests</w:t>
      </w:r>
      <w:r w:rsidR="00D322E2" w:rsidRPr="00D322E2">
        <w:rPr>
          <w:rFonts w:ascii="Arial" w:hAnsi="Arial" w:cs="Arial"/>
          <w:sz w:val="20"/>
          <w:szCs w:val="20"/>
        </w:rPr>
        <w:t xml:space="preserve"> that a regular (e.g. quarterly) inspection and reporting program for all water collection, transfer and treatment infrastructure (including watercourse crossings and bore head integrity)</w:t>
      </w:r>
      <w:r w:rsidR="00D162F5">
        <w:rPr>
          <w:rFonts w:ascii="Arial" w:hAnsi="Arial" w:cs="Arial"/>
          <w:sz w:val="20"/>
          <w:szCs w:val="20"/>
        </w:rPr>
        <w:t xml:space="preserve"> be undertaken</w:t>
      </w:r>
      <w:r w:rsidR="00D322E2" w:rsidRPr="00D322E2">
        <w:rPr>
          <w:rFonts w:ascii="Arial" w:hAnsi="Arial" w:cs="Arial"/>
          <w:sz w:val="20"/>
          <w:szCs w:val="20"/>
        </w:rPr>
        <w:t xml:space="preserve"> and any water quality treatment systems </w:t>
      </w:r>
      <w:r w:rsidR="00D162F5">
        <w:rPr>
          <w:rFonts w:ascii="Arial" w:hAnsi="Arial" w:cs="Arial"/>
          <w:sz w:val="20"/>
          <w:szCs w:val="20"/>
        </w:rPr>
        <w:t xml:space="preserve">be </w:t>
      </w:r>
      <w:r w:rsidR="00D322E2" w:rsidRPr="00D322E2">
        <w:rPr>
          <w:rFonts w:ascii="Arial" w:hAnsi="Arial" w:cs="Arial"/>
          <w:sz w:val="20"/>
          <w:szCs w:val="20"/>
        </w:rPr>
        <w:t>incorporated within the collection and transfer system.</w:t>
      </w:r>
      <w:r w:rsidR="001B5AA3">
        <w:rPr>
          <w:rFonts w:ascii="Arial" w:hAnsi="Arial" w:cs="Arial"/>
          <w:sz w:val="20"/>
          <w:szCs w:val="20"/>
        </w:rPr>
        <w:t xml:space="preserve"> </w:t>
      </w:r>
      <w:r w:rsidR="00D322E2" w:rsidRPr="00D322E2">
        <w:rPr>
          <w:rFonts w:ascii="Arial" w:hAnsi="Arial" w:cs="Arial"/>
          <w:sz w:val="20"/>
          <w:szCs w:val="20"/>
        </w:rPr>
        <w:t>The reporting program should also include a protocol for corrective action.</w:t>
      </w:r>
    </w:p>
    <w:p w:rsidR="00D322E2" w:rsidRPr="000C60A7" w:rsidRDefault="00D322E2" w:rsidP="003E76A1">
      <w:pPr>
        <w:pStyle w:val="ListNumber"/>
        <w:numPr>
          <w:ilvl w:val="0"/>
          <w:numId w:val="0"/>
        </w:numPr>
        <w:spacing w:after="200" w:line="276" w:lineRule="auto"/>
        <w:outlineLvl w:val="3"/>
        <w:rPr>
          <w:rFonts w:ascii="Arial" w:hAnsi="Arial" w:cs="Arial"/>
          <w:bCs/>
          <w:i/>
          <w:sz w:val="20"/>
          <w:szCs w:val="20"/>
        </w:rPr>
      </w:pPr>
      <w:r w:rsidRPr="000C60A7">
        <w:rPr>
          <w:rFonts w:ascii="Arial" w:hAnsi="Arial" w:cs="Arial"/>
          <w:bCs/>
          <w:i/>
          <w:sz w:val="20"/>
          <w:szCs w:val="20"/>
        </w:rPr>
        <w:t xml:space="preserve">Question 6: Does the Committee consider the risk plans and the proposed management and mitigation measures proposed </w:t>
      </w:r>
      <w:r w:rsidR="00072A99">
        <w:rPr>
          <w:rFonts w:ascii="Arial" w:hAnsi="Arial" w:cs="Arial"/>
          <w:bCs/>
          <w:i/>
          <w:sz w:val="20"/>
          <w:szCs w:val="20"/>
        </w:rPr>
        <w:t xml:space="preserve">are </w:t>
      </w:r>
      <w:r w:rsidRPr="000C60A7">
        <w:rPr>
          <w:rFonts w:ascii="Arial" w:hAnsi="Arial" w:cs="Arial"/>
          <w:bCs/>
          <w:i/>
          <w:sz w:val="20"/>
          <w:szCs w:val="20"/>
        </w:rPr>
        <w:t>adequate for a project of this size and complexity?</w:t>
      </w:r>
    </w:p>
    <w:p w:rsidR="00B27BF9" w:rsidRPr="004722CA" w:rsidRDefault="00B056D3" w:rsidP="003E76A1">
      <w:pPr>
        <w:pStyle w:val="ListNumber"/>
        <w:spacing w:after="200" w:line="276" w:lineRule="auto"/>
        <w:rPr>
          <w:rFonts w:ascii="Arial" w:hAnsi="Arial" w:cs="Arial"/>
          <w:sz w:val="20"/>
          <w:szCs w:val="20"/>
        </w:rPr>
      </w:pPr>
      <w:r w:rsidRPr="004722CA">
        <w:rPr>
          <w:rFonts w:ascii="Arial" w:hAnsi="Arial" w:cs="Arial"/>
          <w:sz w:val="20"/>
          <w:szCs w:val="20"/>
        </w:rPr>
        <w:t>Given the</w:t>
      </w:r>
      <w:r w:rsidR="004722CA" w:rsidRPr="004722CA">
        <w:rPr>
          <w:rFonts w:ascii="Arial" w:hAnsi="Arial" w:cs="Arial"/>
          <w:sz w:val="20"/>
          <w:szCs w:val="20"/>
        </w:rPr>
        <w:t xml:space="preserve"> uncertainties around the</w:t>
      </w:r>
      <w:r w:rsidRPr="004722CA">
        <w:rPr>
          <w:rFonts w:ascii="Arial" w:hAnsi="Arial" w:cs="Arial"/>
          <w:sz w:val="20"/>
          <w:szCs w:val="20"/>
        </w:rPr>
        <w:t xml:space="preserve"> </w:t>
      </w:r>
      <w:r w:rsidR="004722CA">
        <w:rPr>
          <w:rFonts w:ascii="Arial" w:hAnsi="Arial" w:cs="Arial"/>
          <w:sz w:val="20"/>
          <w:szCs w:val="20"/>
        </w:rPr>
        <w:t xml:space="preserve">model's </w:t>
      </w:r>
      <w:r w:rsidRPr="004722CA">
        <w:rPr>
          <w:rFonts w:ascii="Arial" w:hAnsi="Arial" w:cs="Arial"/>
          <w:sz w:val="20"/>
          <w:szCs w:val="20"/>
        </w:rPr>
        <w:t>application and the</w:t>
      </w:r>
      <w:r w:rsidR="004722CA" w:rsidRPr="004722CA">
        <w:rPr>
          <w:rFonts w:ascii="Arial" w:hAnsi="Arial" w:cs="Arial"/>
          <w:sz w:val="20"/>
          <w:szCs w:val="20"/>
        </w:rPr>
        <w:t xml:space="preserve"> </w:t>
      </w:r>
      <w:r w:rsidR="0092714B">
        <w:rPr>
          <w:rFonts w:ascii="Arial" w:hAnsi="Arial" w:cs="Arial"/>
          <w:sz w:val="20"/>
          <w:szCs w:val="20"/>
        </w:rPr>
        <w:t>proposed project</w:t>
      </w:r>
      <w:r w:rsidR="004722CA" w:rsidRPr="004722CA">
        <w:rPr>
          <w:rFonts w:ascii="Arial" w:hAnsi="Arial" w:cs="Arial"/>
          <w:sz w:val="20"/>
          <w:szCs w:val="20"/>
        </w:rPr>
        <w:t>'s</w:t>
      </w:r>
      <w:r w:rsidRPr="004722CA">
        <w:rPr>
          <w:rFonts w:ascii="Arial" w:hAnsi="Arial" w:cs="Arial"/>
          <w:sz w:val="20"/>
          <w:szCs w:val="20"/>
        </w:rPr>
        <w:t xml:space="preserve"> locality</w:t>
      </w:r>
      <w:r w:rsidR="00B448CB">
        <w:rPr>
          <w:rFonts w:ascii="Arial" w:hAnsi="Arial" w:cs="Arial"/>
          <w:sz w:val="20"/>
          <w:szCs w:val="20"/>
        </w:rPr>
        <w:t>,</w:t>
      </w:r>
      <w:r w:rsidRPr="004722CA">
        <w:rPr>
          <w:rFonts w:ascii="Arial" w:hAnsi="Arial" w:cs="Arial"/>
          <w:sz w:val="20"/>
          <w:szCs w:val="20"/>
        </w:rPr>
        <w:t xml:space="preserve"> the </w:t>
      </w:r>
      <w:r w:rsidR="00712EC7" w:rsidRPr="004722CA">
        <w:rPr>
          <w:rFonts w:ascii="Arial" w:hAnsi="Arial" w:cs="Arial"/>
          <w:sz w:val="20"/>
          <w:szCs w:val="20"/>
        </w:rPr>
        <w:t xml:space="preserve">IESC </w:t>
      </w:r>
      <w:r w:rsidRPr="004722CA">
        <w:rPr>
          <w:rFonts w:ascii="Arial" w:hAnsi="Arial" w:cs="Arial"/>
          <w:sz w:val="20"/>
          <w:szCs w:val="20"/>
        </w:rPr>
        <w:t>has low confidence</w:t>
      </w:r>
      <w:r w:rsidR="004722CA" w:rsidRPr="004722CA">
        <w:rPr>
          <w:rFonts w:ascii="Arial" w:hAnsi="Arial" w:cs="Arial"/>
          <w:sz w:val="20"/>
          <w:szCs w:val="20"/>
        </w:rPr>
        <w:t xml:space="preserve"> that risks to GDEs and ground and surface water </w:t>
      </w:r>
      <w:r w:rsidR="00B448CB" w:rsidRPr="004722CA">
        <w:rPr>
          <w:rFonts w:ascii="Arial" w:hAnsi="Arial" w:cs="Arial"/>
          <w:sz w:val="20"/>
          <w:szCs w:val="20"/>
        </w:rPr>
        <w:t>connectivity</w:t>
      </w:r>
      <w:r w:rsidR="004722CA" w:rsidRPr="004722CA">
        <w:rPr>
          <w:rFonts w:ascii="Arial" w:hAnsi="Arial" w:cs="Arial"/>
          <w:sz w:val="20"/>
          <w:szCs w:val="20"/>
        </w:rPr>
        <w:t xml:space="preserve"> have been identified. The IESC</w:t>
      </w:r>
      <w:r w:rsidR="005840E7" w:rsidRPr="004722CA">
        <w:rPr>
          <w:rFonts w:ascii="Arial" w:hAnsi="Arial" w:cs="Arial"/>
          <w:sz w:val="20"/>
          <w:szCs w:val="20"/>
        </w:rPr>
        <w:t xml:space="preserve"> </w:t>
      </w:r>
      <w:r w:rsidR="00A51A48" w:rsidRPr="004722CA">
        <w:rPr>
          <w:rFonts w:ascii="Arial" w:hAnsi="Arial" w:cs="Arial"/>
          <w:sz w:val="20"/>
          <w:szCs w:val="20"/>
        </w:rPr>
        <w:t xml:space="preserve">recommends </w:t>
      </w:r>
      <w:r w:rsidR="00B448CB">
        <w:rPr>
          <w:rFonts w:ascii="Arial" w:hAnsi="Arial" w:cs="Arial"/>
          <w:sz w:val="20"/>
          <w:szCs w:val="20"/>
        </w:rPr>
        <w:t>that appropriate</w:t>
      </w:r>
      <w:r w:rsidR="00F958D5">
        <w:rPr>
          <w:rFonts w:ascii="Arial" w:hAnsi="Arial" w:cs="Arial"/>
          <w:sz w:val="20"/>
          <w:szCs w:val="20"/>
        </w:rPr>
        <w:t>ly</w:t>
      </w:r>
      <w:r w:rsidR="00B448CB">
        <w:rPr>
          <w:rFonts w:ascii="Arial" w:hAnsi="Arial" w:cs="Arial"/>
          <w:sz w:val="20"/>
          <w:szCs w:val="20"/>
        </w:rPr>
        <w:t xml:space="preserve"> scaled </w:t>
      </w:r>
      <w:r w:rsidR="00F958D5">
        <w:rPr>
          <w:rFonts w:ascii="Arial" w:hAnsi="Arial" w:cs="Arial"/>
          <w:sz w:val="20"/>
          <w:szCs w:val="20"/>
        </w:rPr>
        <w:t xml:space="preserve">analyses </w:t>
      </w:r>
      <w:r w:rsidR="00B448CB">
        <w:rPr>
          <w:rFonts w:ascii="Arial" w:hAnsi="Arial" w:cs="Arial"/>
          <w:sz w:val="20"/>
          <w:szCs w:val="20"/>
        </w:rPr>
        <w:t>are undertaken to detect impacts.</w:t>
      </w:r>
      <w:r w:rsidR="001B5AA3">
        <w:rPr>
          <w:rFonts w:ascii="Arial" w:hAnsi="Arial" w:cs="Arial"/>
          <w:sz w:val="20"/>
          <w:szCs w:val="20"/>
        </w:rPr>
        <w:t xml:space="preserve"> </w:t>
      </w:r>
      <w:r w:rsidR="00B448CB">
        <w:rPr>
          <w:rFonts w:ascii="Arial" w:hAnsi="Arial" w:cs="Arial"/>
          <w:sz w:val="20"/>
          <w:szCs w:val="20"/>
        </w:rPr>
        <w:t>B</w:t>
      </w:r>
      <w:r w:rsidR="0071283F" w:rsidRPr="004722CA">
        <w:rPr>
          <w:rFonts w:ascii="Arial" w:hAnsi="Arial" w:cs="Arial"/>
          <w:sz w:val="20"/>
          <w:szCs w:val="20"/>
        </w:rPr>
        <w:t>ased on</w:t>
      </w:r>
      <w:r w:rsidR="00B448CB">
        <w:rPr>
          <w:rFonts w:ascii="Arial" w:hAnsi="Arial" w:cs="Arial"/>
          <w:sz w:val="20"/>
          <w:szCs w:val="20"/>
        </w:rPr>
        <w:t xml:space="preserve"> the resultant risks from this</w:t>
      </w:r>
      <w:r w:rsidR="00A51A48" w:rsidRPr="004722CA">
        <w:rPr>
          <w:rFonts w:ascii="Arial" w:hAnsi="Arial" w:cs="Arial"/>
          <w:sz w:val="20"/>
          <w:szCs w:val="20"/>
        </w:rPr>
        <w:t xml:space="preserve">, updated monitoring and mitigation measures </w:t>
      </w:r>
      <w:r w:rsidR="000A29BC">
        <w:rPr>
          <w:rFonts w:ascii="Arial" w:hAnsi="Arial" w:cs="Arial"/>
          <w:sz w:val="20"/>
          <w:szCs w:val="20"/>
        </w:rPr>
        <w:t xml:space="preserve">should </w:t>
      </w:r>
      <w:r w:rsidR="00A51A48" w:rsidRPr="004722CA">
        <w:rPr>
          <w:rFonts w:ascii="Arial" w:hAnsi="Arial" w:cs="Arial"/>
          <w:sz w:val="20"/>
          <w:szCs w:val="20"/>
        </w:rPr>
        <w:t>be assessed</w:t>
      </w:r>
      <w:r w:rsidR="00B448CB">
        <w:rPr>
          <w:rFonts w:ascii="Arial" w:hAnsi="Arial" w:cs="Arial"/>
          <w:sz w:val="20"/>
          <w:szCs w:val="20"/>
        </w:rPr>
        <w:t xml:space="preserve"> and documented</w:t>
      </w:r>
      <w:r w:rsidR="00A51A48" w:rsidRPr="004722CA">
        <w:rPr>
          <w:rFonts w:ascii="Arial" w:hAnsi="Arial" w:cs="Arial"/>
          <w:sz w:val="20"/>
          <w:szCs w:val="20"/>
        </w:rPr>
        <w:t>.</w:t>
      </w:r>
      <w:r w:rsidR="00B27BF9" w:rsidRPr="004722CA">
        <w:rPr>
          <w:rFonts w:ascii="Arial" w:hAnsi="Arial" w:cs="Arial"/>
          <w:sz w:val="20"/>
          <w:szCs w:val="20"/>
        </w:rPr>
        <w:t xml:space="preserve"> </w:t>
      </w:r>
    </w:p>
    <w:p w:rsidR="00D322E2" w:rsidRPr="000C60A7" w:rsidRDefault="00D322E2" w:rsidP="003E76A1">
      <w:pPr>
        <w:pStyle w:val="ListNumber"/>
        <w:numPr>
          <w:ilvl w:val="0"/>
          <w:numId w:val="0"/>
        </w:numPr>
        <w:spacing w:after="200" w:line="276" w:lineRule="auto"/>
        <w:outlineLvl w:val="3"/>
        <w:rPr>
          <w:rFonts w:ascii="Arial" w:hAnsi="Arial" w:cs="Arial"/>
          <w:bCs/>
          <w:i/>
          <w:sz w:val="20"/>
          <w:szCs w:val="20"/>
        </w:rPr>
      </w:pPr>
      <w:r w:rsidRPr="000C60A7">
        <w:rPr>
          <w:rFonts w:ascii="Arial" w:hAnsi="Arial" w:cs="Arial"/>
          <w:bCs/>
          <w:i/>
          <w:sz w:val="20"/>
          <w:szCs w:val="20"/>
        </w:rPr>
        <w:t>Question 7: What does the Committee consider are the likely impacts of the proposed action on surface and groundwater resources, in particular, changes to surface and/or groundwater dynamics and resources, including resources that may support surface habitat for listed threatened species and communities? Are there additional measures and commitments required to mitigate and manage impacts to MNES and water-related assets including ecological and human users of water?</w:t>
      </w:r>
    </w:p>
    <w:p w:rsidR="00D322E2" w:rsidRPr="00D322E2" w:rsidRDefault="00DB223B" w:rsidP="003E76A1">
      <w:pPr>
        <w:pStyle w:val="ListNumber"/>
        <w:spacing w:after="200" w:line="276" w:lineRule="auto"/>
        <w:rPr>
          <w:rFonts w:ascii="Arial" w:hAnsi="Arial" w:cs="Arial"/>
          <w:sz w:val="20"/>
          <w:szCs w:val="20"/>
        </w:rPr>
      </w:pPr>
      <w:r>
        <w:rPr>
          <w:rFonts w:ascii="Arial" w:hAnsi="Arial" w:cs="Arial"/>
          <w:sz w:val="20"/>
          <w:szCs w:val="20"/>
        </w:rPr>
        <w:t>T</w:t>
      </w:r>
      <w:r w:rsidR="00D322E2" w:rsidRPr="00D322E2">
        <w:rPr>
          <w:rFonts w:ascii="Arial" w:hAnsi="Arial" w:cs="Arial"/>
          <w:sz w:val="20"/>
          <w:szCs w:val="20"/>
        </w:rPr>
        <w:t xml:space="preserve">he likely impacts on groundwater resources are increased drawdown in the WCM, Springbok and </w:t>
      </w:r>
      <w:r w:rsidR="000E60AA">
        <w:rPr>
          <w:rFonts w:ascii="Arial" w:hAnsi="Arial" w:cs="Arial"/>
          <w:sz w:val="20"/>
          <w:szCs w:val="20"/>
        </w:rPr>
        <w:t xml:space="preserve">Hutton Sandstones and potentially </w:t>
      </w:r>
      <w:r w:rsidR="00D322E2" w:rsidRPr="00D322E2">
        <w:rPr>
          <w:rFonts w:ascii="Arial" w:hAnsi="Arial" w:cs="Arial"/>
          <w:sz w:val="20"/>
          <w:szCs w:val="20"/>
        </w:rPr>
        <w:t>in the Gubberamunda and Precipice Sandstones. The vertical groundwater flow is likely to increase between the WCM and Springbok Sandstone and between the Hutton Sandstone and the WCM. The vertical groundwater flow may also change in the Gubberamunda and Precipice Sandstones.</w:t>
      </w:r>
    </w:p>
    <w:p w:rsidR="008E48F9" w:rsidRDefault="00D322E2" w:rsidP="003E76A1">
      <w:pPr>
        <w:pStyle w:val="ListNumber"/>
        <w:spacing w:after="200" w:line="276" w:lineRule="auto"/>
        <w:rPr>
          <w:rFonts w:ascii="Arial" w:hAnsi="Arial" w:cs="Arial"/>
          <w:sz w:val="20"/>
          <w:szCs w:val="20"/>
        </w:rPr>
      </w:pPr>
      <w:r w:rsidRPr="00D322E2">
        <w:rPr>
          <w:rFonts w:ascii="Arial" w:hAnsi="Arial" w:cs="Arial"/>
          <w:sz w:val="20"/>
          <w:szCs w:val="20"/>
        </w:rPr>
        <w:t xml:space="preserve">Long term drawdown </w:t>
      </w:r>
      <w:r w:rsidR="00C92F29">
        <w:rPr>
          <w:rFonts w:ascii="Arial" w:hAnsi="Arial" w:cs="Arial"/>
          <w:sz w:val="20"/>
          <w:szCs w:val="20"/>
        </w:rPr>
        <w:t xml:space="preserve">levels </w:t>
      </w:r>
      <w:r w:rsidRPr="00D322E2">
        <w:rPr>
          <w:rFonts w:ascii="Arial" w:hAnsi="Arial" w:cs="Arial"/>
          <w:sz w:val="20"/>
          <w:szCs w:val="20"/>
        </w:rPr>
        <w:t>in Hutton and Precipice Sandstones through the Dawson River valley are an</w:t>
      </w:r>
      <w:r w:rsidR="007675B9">
        <w:rPr>
          <w:rFonts w:ascii="Arial" w:hAnsi="Arial" w:cs="Arial"/>
          <w:sz w:val="20"/>
          <w:szCs w:val="20"/>
        </w:rPr>
        <w:t>ticipated to be between 0 and 1</w:t>
      </w:r>
      <w:r w:rsidR="003E76A1">
        <w:rPr>
          <w:rFonts w:ascii="Arial" w:hAnsi="Arial" w:cs="Arial"/>
          <w:sz w:val="20"/>
          <w:szCs w:val="20"/>
        </w:rPr>
        <w:t xml:space="preserve"> </w:t>
      </w:r>
      <w:r w:rsidRPr="00D322E2">
        <w:rPr>
          <w:rFonts w:ascii="Arial" w:hAnsi="Arial" w:cs="Arial"/>
          <w:sz w:val="20"/>
          <w:szCs w:val="20"/>
        </w:rPr>
        <w:t>m.</w:t>
      </w:r>
      <w:r w:rsidR="001B5AA3">
        <w:rPr>
          <w:rFonts w:ascii="Arial" w:hAnsi="Arial" w:cs="Arial"/>
          <w:sz w:val="20"/>
          <w:szCs w:val="20"/>
        </w:rPr>
        <w:t xml:space="preserve"> </w:t>
      </w:r>
      <w:r w:rsidRPr="00ED056E">
        <w:rPr>
          <w:rFonts w:ascii="Arial" w:hAnsi="Arial" w:cs="Arial"/>
          <w:sz w:val="20"/>
          <w:szCs w:val="20"/>
        </w:rPr>
        <w:t>The proponent indicates that there will be no impacts on surface water because there is no interaction between surface waters and the deep aquifers, but this conclusion co</w:t>
      </w:r>
      <w:r w:rsidR="00ED056E" w:rsidRPr="00ED056E">
        <w:rPr>
          <w:rFonts w:ascii="Arial" w:hAnsi="Arial" w:cs="Arial"/>
          <w:sz w:val="20"/>
          <w:szCs w:val="20"/>
        </w:rPr>
        <w:t xml:space="preserve">nflicts with the </w:t>
      </w:r>
      <w:r w:rsidR="00D162F5">
        <w:rPr>
          <w:rFonts w:ascii="Arial" w:hAnsi="Arial" w:cs="Arial"/>
          <w:sz w:val="20"/>
          <w:szCs w:val="20"/>
        </w:rPr>
        <w:t xml:space="preserve">proponent’s </w:t>
      </w:r>
      <w:r w:rsidR="00ED056E" w:rsidRPr="00ED056E">
        <w:rPr>
          <w:rFonts w:ascii="Arial" w:hAnsi="Arial" w:cs="Arial"/>
          <w:sz w:val="20"/>
          <w:szCs w:val="20"/>
        </w:rPr>
        <w:t>drawdown maps</w:t>
      </w:r>
      <w:r w:rsidRPr="00ED056E">
        <w:rPr>
          <w:rFonts w:ascii="Arial" w:hAnsi="Arial" w:cs="Arial"/>
          <w:sz w:val="20"/>
          <w:szCs w:val="20"/>
        </w:rPr>
        <w:t>.</w:t>
      </w:r>
      <w:r w:rsidR="0071283F">
        <w:rPr>
          <w:rFonts w:ascii="Arial" w:hAnsi="Arial" w:cs="Arial"/>
          <w:sz w:val="20"/>
          <w:szCs w:val="20"/>
        </w:rPr>
        <w:t xml:space="preserve"> D</w:t>
      </w:r>
      <w:r w:rsidR="00ED056E" w:rsidRPr="00ED056E">
        <w:rPr>
          <w:rFonts w:ascii="Arial" w:hAnsi="Arial" w:cs="Arial"/>
          <w:sz w:val="20"/>
          <w:szCs w:val="20"/>
        </w:rPr>
        <w:t>rawdown of this magnitude (up to 1</w:t>
      </w:r>
      <w:r w:rsidR="003E76A1">
        <w:rPr>
          <w:rFonts w:ascii="Arial" w:hAnsi="Arial" w:cs="Arial"/>
          <w:sz w:val="20"/>
          <w:szCs w:val="20"/>
        </w:rPr>
        <w:t xml:space="preserve"> </w:t>
      </w:r>
      <w:r w:rsidR="00ED056E" w:rsidRPr="00ED056E">
        <w:rPr>
          <w:rFonts w:ascii="Arial" w:hAnsi="Arial" w:cs="Arial"/>
          <w:sz w:val="20"/>
          <w:szCs w:val="20"/>
        </w:rPr>
        <w:t xml:space="preserve">m) </w:t>
      </w:r>
      <w:r w:rsidR="008F029B">
        <w:rPr>
          <w:rFonts w:ascii="Arial" w:hAnsi="Arial" w:cs="Arial"/>
          <w:sz w:val="20"/>
          <w:szCs w:val="20"/>
        </w:rPr>
        <w:t>is</w:t>
      </w:r>
      <w:r w:rsidR="00ED056E" w:rsidRPr="00ED056E">
        <w:rPr>
          <w:rFonts w:ascii="Arial" w:hAnsi="Arial" w:cs="Arial"/>
          <w:sz w:val="20"/>
          <w:szCs w:val="20"/>
        </w:rPr>
        <w:t xml:space="preserve"> likely to have an impact on base flows in Dawson Creek.</w:t>
      </w:r>
    </w:p>
    <w:p w:rsidR="008E48F9" w:rsidRPr="00D322E2" w:rsidRDefault="008E48F9" w:rsidP="003E76A1">
      <w:pPr>
        <w:pStyle w:val="ListNumber"/>
        <w:spacing w:after="200" w:line="276" w:lineRule="auto"/>
        <w:rPr>
          <w:rFonts w:ascii="Arial" w:hAnsi="Arial" w:cs="Arial"/>
          <w:sz w:val="20"/>
          <w:szCs w:val="20"/>
        </w:rPr>
      </w:pPr>
      <w:r w:rsidRPr="00D322E2">
        <w:rPr>
          <w:rFonts w:ascii="Arial" w:hAnsi="Arial" w:cs="Arial"/>
          <w:sz w:val="20"/>
          <w:szCs w:val="20"/>
        </w:rPr>
        <w:lastRenderedPageBreak/>
        <w:t xml:space="preserve">The proponent advises that treated CSG water will be released to the Dawson River at Glebe weir but has not assessed the potential impacts from these releases. </w:t>
      </w:r>
    </w:p>
    <w:p w:rsidR="008E48F9" w:rsidRPr="00D322E2" w:rsidRDefault="008E48F9" w:rsidP="003E76A1">
      <w:pPr>
        <w:pStyle w:val="ListNumber"/>
        <w:numPr>
          <w:ilvl w:val="0"/>
          <w:numId w:val="13"/>
        </w:numPr>
        <w:spacing w:after="200" w:line="276" w:lineRule="auto"/>
        <w:outlineLvl w:val="3"/>
        <w:rPr>
          <w:rFonts w:ascii="Arial" w:hAnsi="Arial" w:cs="Arial"/>
          <w:sz w:val="20"/>
          <w:szCs w:val="20"/>
        </w:rPr>
      </w:pPr>
      <w:r w:rsidRPr="00D322E2">
        <w:rPr>
          <w:rFonts w:ascii="Arial" w:hAnsi="Arial" w:cs="Arial"/>
          <w:sz w:val="20"/>
          <w:szCs w:val="20"/>
        </w:rPr>
        <w:t>The present median daily flow measured at Taroom monitoring statio</w:t>
      </w:r>
      <w:r>
        <w:rPr>
          <w:rFonts w:ascii="Arial" w:hAnsi="Arial" w:cs="Arial"/>
          <w:sz w:val="20"/>
          <w:szCs w:val="20"/>
        </w:rPr>
        <w:t>n is approximately 26</w:t>
      </w:r>
      <w:r w:rsidR="00407536">
        <w:rPr>
          <w:rFonts w:ascii="Arial" w:hAnsi="Arial" w:cs="Arial"/>
          <w:sz w:val="20"/>
          <w:szCs w:val="20"/>
        </w:rPr>
        <w:t> </w:t>
      </w:r>
      <w:r>
        <w:rPr>
          <w:rFonts w:ascii="Arial" w:hAnsi="Arial" w:cs="Arial"/>
          <w:sz w:val="20"/>
          <w:szCs w:val="20"/>
        </w:rPr>
        <w:t>ML/d</w:t>
      </w:r>
      <w:r w:rsidRPr="00D322E2">
        <w:rPr>
          <w:rFonts w:ascii="Arial" w:hAnsi="Arial" w:cs="Arial"/>
          <w:sz w:val="20"/>
          <w:szCs w:val="20"/>
        </w:rPr>
        <w:t>.</w:t>
      </w:r>
      <w:r w:rsidR="001B5AA3">
        <w:rPr>
          <w:rFonts w:ascii="Arial" w:hAnsi="Arial" w:cs="Arial"/>
          <w:sz w:val="20"/>
          <w:szCs w:val="20"/>
        </w:rPr>
        <w:t xml:space="preserve"> </w:t>
      </w:r>
      <w:r w:rsidRPr="00D322E2">
        <w:rPr>
          <w:rFonts w:ascii="Arial" w:hAnsi="Arial" w:cs="Arial"/>
          <w:sz w:val="20"/>
          <w:szCs w:val="20"/>
        </w:rPr>
        <w:t>The projected CSG water generation during the years 2016 to 2024 is predicted by the p</w:t>
      </w:r>
      <w:r>
        <w:rPr>
          <w:rFonts w:ascii="Arial" w:hAnsi="Arial" w:cs="Arial"/>
          <w:sz w:val="20"/>
          <w:szCs w:val="20"/>
        </w:rPr>
        <w:t>roponent to be approximately 30</w:t>
      </w:r>
      <w:r w:rsidR="00407536">
        <w:rPr>
          <w:rFonts w:ascii="Arial" w:hAnsi="Arial" w:cs="Arial"/>
          <w:sz w:val="20"/>
          <w:szCs w:val="20"/>
        </w:rPr>
        <w:t> </w:t>
      </w:r>
      <w:r w:rsidRPr="00D322E2">
        <w:rPr>
          <w:rFonts w:ascii="Arial" w:hAnsi="Arial" w:cs="Arial"/>
          <w:sz w:val="20"/>
          <w:szCs w:val="20"/>
        </w:rPr>
        <w:t>ML/d.</w:t>
      </w:r>
      <w:r w:rsidR="001B5AA3">
        <w:rPr>
          <w:rFonts w:ascii="Arial" w:hAnsi="Arial" w:cs="Arial"/>
          <w:sz w:val="20"/>
          <w:szCs w:val="20"/>
        </w:rPr>
        <w:t xml:space="preserve"> </w:t>
      </w:r>
      <w:r w:rsidRPr="00D322E2">
        <w:rPr>
          <w:rFonts w:ascii="Arial" w:hAnsi="Arial" w:cs="Arial"/>
          <w:sz w:val="20"/>
          <w:szCs w:val="20"/>
        </w:rPr>
        <w:t>These comparisons indicate that the median daily flow at Glebe weir could be doubled.</w:t>
      </w:r>
      <w:r w:rsidR="001B5AA3">
        <w:rPr>
          <w:rFonts w:ascii="Arial" w:hAnsi="Arial" w:cs="Arial"/>
          <w:sz w:val="20"/>
          <w:szCs w:val="20"/>
        </w:rPr>
        <w:t xml:space="preserve"> </w:t>
      </w:r>
      <w:r w:rsidRPr="00D322E2">
        <w:rPr>
          <w:rFonts w:ascii="Arial" w:hAnsi="Arial" w:cs="Arial"/>
          <w:sz w:val="20"/>
          <w:szCs w:val="20"/>
        </w:rPr>
        <w:t>The proportional increase on smaller flows will be larger.</w:t>
      </w:r>
      <w:r w:rsidR="001B5AA3">
        <w:rPr>
          <w:rFonts w:ascii="Arial" w:hAnsi="Arial" w:cs="Arial"/>
          <w:sz w:val="20"/>
          <w:szCs w:val="20"/>
        </w:rPr>
        <w:t xml:space="preserve"> </w:t>
      </w:r>
      <w:r w:rsidR="004E0FEC">
        <w:rPr>
          <w:rFonts w:ascii="Arial" w:hAnsi="Arial" w:cs="Arial"/>
          <w:sz w:val="20"/>
          <w:szCs w:val="20"/>
        </w:rPr>
        <w:t>I</w:t>
      </w:r>
      <w:r w:rsidRPr="00D322E2">
        <w:rPr>
          <w:rFonts w:ascii="Arial" w:hAnsi="Arial" w:cs="Arial"/>
          <w:sz w:val="20"/>
          <w:szCs w:val="20"/>
        </w:rPr>
        <w:t xml:space="preserve">t </w:t>
      </w:r>
      <w:r w:rsidR="004E0FEC">
        <w:rPr>
          <w:rFonts w:ascii="Arial" w:hAnsi="Arial" w:cs="Arial"/>
          <w:sz w:val="20"/>
          <w:szCs w:val="20"/>
        </w:rPr>
        <w:t xml:space="preserve">is </w:t>
      </w:r>
      <w:r w:rsidRPr="00D322E2">
        <w:rPr>
          <w:rFonts w:ascii="Arial" w:hAnsi="Arial" w:cs="Arial"/>
          <w:sz w:val="20"/>
          <w:szCs w:val="20"/>
        </w:rPr>
        <w:t>likely that this increase in flow at Glebe weir will have a significant impact on the physical and ecological characteristics</w:t>
      </w:r>
      <w:r w:rsidR="00C92F29">
        <w:rPr>
          <w:rFonts w:ascii="Arial" w:hAnsi="Arial" w:cs="Arial"/>
          <w:sz w:val="20"/>
          <w:szCs w:val="20"/>
        </w:rPr>
        <w:t xml:space="preserve"> of the</w:t>
      </w:r>
      <w:r w:rsidR="00C92F29" w:rsidRPr="00C92F29">
        <w:rPr>
          <w:rFonts w:ascii="Arial" w:hAnsi="Arial" w:cs="Arial"/>
          <w:sz w:val="20"/>
          <w:szCs w:val="20"/>
        </w:rPr>
        <w:t xml:space="preserve"> </w:t>
      </w:r>
      <w:r w:rsidR="00C92F29" w:rsidRPr="00D322E2">
        <w:rPr>
          <w:rFonts w:ascii="Arial" w:hAnsi="Arial" w:cs="Arial"/>
          <w:sz w:val="20"/>
          <w:szCs w:val="20"/>
        </w:rPr>
        <w:t>watercourse</w:t>
      </w:r>
      <w:r w:rsidRPr="00D322E2">
        <w:rPr>
          <w:rFonts w:ascii="Arial" w:hAnsi="Arial" w:cs="Arial"/>
          <w:sz w:val="20"/>
          <w:szCs w:val="20"/>
        </w:rPr>
        <w:t xml:space="preserve">. </w:t>
      </w:r>
    </w:p>
    <w:p w:rsidR="00D322E2" w:rsidRPr="008E48F9" w:rsidRDefault="008E48F9" w:rsidP="003E76A1">
      <w:pPr>
        <w:pStyle w:val="ListNumber"/>
        <w:numPr>
          <w:ilvl w:val="0"/>
          <w:numId w:val="13"/>
        </w:numPr>
        <w:spacing w:after="200" w:line="276" w:lineRule="auto"/>
        <w:outlineLvl w:val="3"/>
        <w:rPr>
          <w:rFonts w:ascii="Arial" w:hAnsi="Arial" w:cs="Arial"/>
          <w:sz w:val="20"/>
          <w:szCs w:val="20"/>
        </w:rPr>
      </w:pPr>
      <w:r w:rsidRPr="00D322E2">
        <w:rPr>
          <w:rFonts w:ascii="Arial" w:hAnsi="Arial" w:cs="Arial"/>
          <w:sz w:val="20"/>
          <w:szCs w:val="20"/>
        </w:rPr>
        <w:t xml:space="preserve">The potential impacts on streamflow could initially be quantified by developing flow duration curves at Glebe weir for the pre and post CSG development scenarios. An assessment of the impacts on the geomorphology </w:t>
      </w:r>
      <w:r w:rsidR="00C92F29">
        <w:rPr>
          <w:rFonts w:ascii="Arial" w:hAnsi="Arial" w:cs="Arial"/>
          <w:sz w:val="20"/>
          <w:szCs w:val="20"/>
        </w:rPr>
        <w:t xml:space="preserve">and </w:t>
      </w:r>
      <w:r w:rsidR="00C92F29" w:rsidRPr="00D322E2">
        <w:rPr>
          <w:rFonts w:ascii="Arial" w:hAnsi="Arial" w:cs="Arial"/>
          <w:sz w:val="20"/>
          <w:szCs w:val="20"/>
        </w:rPr>
        <w:t xml:space="preserve">ecology </w:t>
      </w:r>
      <w:r w:rsidRPr="00D322E2">
        <w:rPr>
          <w:rFonts w:ascii="Arial" w:hAnsi="Arial" w:cs="Arial"/>
          <w:sz w:val="20"/>
          <w:szCs w:val="20"/>
        </w:rPr>
        <w:t>of the Dawson River downstream of Glebe weir could then be undertaken.</w:t>
      </w:r>
    </w:p>
    <w:p w:rsidR="00D322E2" w:rsidRPr="00D322E2" w:rsidRDefault="00D322E2" w:rsidP="003E76A1">
      <w:pPr>
        <w:pStyle w:val="ListNumber"/>
        <w:spacing w:after="200" w:line="276" w:lineRule="auto"/>
        <w:rPr>
          <w:rFonts w:ascii="Arial" w:hAnsi="Arial" w:cs="Arial"/>
          <w:sz w:val="20"/>
          <w:szCs w:val="20"/>
        </w:rPr>
      </w:pPr>
      <w:r w:rsidRPr="00D322E2">
        <w:rPr>
          <w:rFonts w:ascii="Arial" w:hAnsi="Arial" w:cs="Arial"/>
          <w:sz w:val="20"/>
          <w:szCs w:val="20"/>
        </w:rPr>
        <w:t xml:space="preserve">The proponent advises that there are several water harvesting and irrigation licenses located near the Juandah Creek / Dawson River confluence. A reduction in baseflow and flow duration along Dawson Creek may have an adverse impact </w:t>
      </w:r>
      <w:r w:rsidR="0071283F">
        <w:rPr>
          <w:rFonts w:ascii="Arial" w:hAnsi="Arial" w:cs="Arial"/>
          <w:sz w:val="20"/>
          <w:szCs w:val="20"/>
        </w:rPr>
        <w:t>on these water users. T</w:t>
      </w:r>
      <w:r w:rsidRPr="00D322E2">
        <w:rPr>
          <w:rFonts w:ascii="Arial" w:hAnsi="Arial" w:cs="Arial"/>
          <w:sz w:val="20"/>
          <w:szCs w:val="20"/>
        </w:rPr>
        <w:t>his has not been assessed. The extent of impact could be assessed by developing a post development flow duration curve for the Taroom monitoring station and comparing this information with t</w:t>
      </w:r>
      <w:r w:rsidR="00ED056E">
        <w:rPr>
          <w:rFonts w:ascii="Arial" w:hAnsi="Arial" w:cs="Arial"/>
          <w:sz w:val="20"/>
          <w:szCs w:val="20"/>
        </w:rPr>
        <w:t>he existing flow duration data</w:t>
      </w:r>
      <w:r w:rsidRPr="00D322E2">
        <w:rPr>
          <w:rFonts w:ascii="Arial" w:hAnsi="Arial" w:cs="Arial"/>
          <w:sz w:val="20"/>
          <w:szCs w:val="20"/>
        </w:rPr>
        <w:t>.</w:t>
      </w:r>
      <w:r w:rsidR="001B5AA3">
        <w:rPr>
          <w:rFonts w:ascii="Arial" w:hAnsi="Arial" w:cs="Arial"/>
          <w:sz w:val="20"/>
          <w:szCs w:val="20"/>
        </w:rPr>
        <w:t xml:space="preserve"> </w:t>
      </w:r>
    </w:p>
    <w:p w:rsidR="00D322E2" w:rsidRDefault="00D322E2" w:rsidP="003E76A1">
      <w:pPr>
        <w:pStyle w:val="ListNumber"/>
        <w:spacing w:after="200" w:line="276" w:lineRule="auto"/>
        <w:rPr>
          <w:rFonts w:ascii="Arial" w:hAnsi="Arial" w:cs="Arial"/>
          <w:sz w:val="20"/>
          <w:szCs w:val="20"/>
        </w:rPr>
      </w:pPr>
      <w:r w:rsidRPr="00D322E2">
        <w:rPr>
          <w:rFonts w:ascii="Arial" w:hAnsi="Arial" w:cs="Arial"/>
          <w:sz w:val="20"/>
          <w:szCs w:val="20"/>
        </w:rPr>
        <w:t xml:space="preserve">The potential impacts on the shallow alluvial groundwater systems </w:t>
      </w:r>
      <w:r w:rsidR="00C92F29">
        <w:rPr>
          <w:rFonts w:ascii="Arial" w:hAnsi="Arial" w:cs="Arial"/>
          <w:sz w:val="20"/>
          <w:szCs w:val="20"/>
        </w:rPr>
        <w:t>have</w:t>
      </w:r>
      <w:r w:rsidRPr="00D322E2">
        <w:rPr>
          <w:rFonts w:ascii="Arial" w:hAnsi="Arial" w:cs="Arial"/>
          <w:sz w:val="20"/>
          <w:szCs w:val="20"/>
        </w:rPr>
        <w:t xml:space="preserve"> not been quantified.</w:t>
      </w:r>
      <w:r w:rsidR="001B5AA3">
        <w:rPr>
          <w:rFonts w:ascii="Arial" w:hAnsi="Arial" w:cs="Arial"/>
          <w:sz w:val="20"/>
          <w:szCs w:val="20"/>
        </w:rPr>
        <w:t xml:space="preserve"> </w:t>
      </w:r>
      <w:r w:rsidRPr="00D322E2">
        <w:rPr>
          <w:rFonts w:ascii="Arial" w:hAnsi="Arial" w:cs="Arial"/>
          <w:sz w:val="20"/>
          <w:szCs w:val="20"/>
        </w:rPr>
        <w:t>These systems are likely to support terrestrial vegetation via recharge from direct rainfall infiltration and infiltration from stream beds and banks as well as floodplain infiltration.</w:t>
      </w:r>
      <w:r w:rsidR="001B5AA3">
        <w:rPr>
          <w:rFonts w:ascii="Arial" w:hAnsi="Arial" w:cs="Arial"/>
          <w:sz w:val="20"/>
          <w:szCs w:val="20"/>
        </w:rPr>
        <w:t xml:space="preserve"> </w:t>
      </w:r>
      <w:r w:rsidR="00BE532C">
        <w:rPr>
          <w:rFonts w:ascii="Arial" w:hAnsi="Arial" w:cs="Arial"/>
          <w:sz w:val="20"/>
          <w:szCs w:val="20"/>
        </w:rPr>
        <w:t xml:space="preserve">A </w:t>
      </w:r>
      <w:r w:rsidRPr="00D322E2">
        <w:rPr>
          <w:rFonts w:ascii="Arial" w:hAnsi="Arial" w:cs="Arial"/>
          <w:sz w:val="20"/>
          <w:szCs w:val="20"/>
        </w:rPr>
        <w:t xml:space="preserve">drop in groundwater level in the alluvium as a result of the development could have adverse impacts on native vegetation. </w:t>
      </w:r>
    </w:p>
    <w:p w:rsidR="00AB68B4" w:rsidRPr="00AB68B4" w:rsidRDefault="00191E1B" w:rsidP="003E76A1">
      <w:pPr>
        <w:pStyle w:val="ListNumber"/>
        <w:spacing w:after="200" w:line="276" w:lineRule="auto"/>
      </w:pPr>
      <w:r>
        <w:rPr>
          <w:rFonts w:ascii="Arial" w:hAnsi="Arial" w:cs="Arial"/>
          <w:sz w:val="20"/>
          <w:szCs w:val="20"/>
        </w:rPr>
        <w:t>Evidence is presented that</w:t>
      </w:r>
      <w:r w:rsidR="00AB68B4" w:rsidRPr="00AB68B4">
        <w:rPr>
          <w:rFonts w:ascii="Arial" w:hAnsi="Arial" w:cs="Arial"/>
          <w:sz w:val="20"/>
          <w:szCs w:val="20"/>
        </w:rPr>
        <w:t xml:space="preserve"> both vegetation and in</w:t>
      </w:r>
      <w:r w:rsidR="009B5C2C">
        <w:rPr>
          <w:rFonts w:ascii="Arial" w:hAnsi="Arial" w:cs="Arial"/>
          <w:sz w:val="20"/>
          <w:szCs w:val="20"/>
        </w:rPr>
        <w:t>-</w:t>
      </w:r>
      <w:r w:rsidR="00AB68B4" w:rsidRPr="00AB68B4">
        <w:rPr>
          <w:rFonts w:ascii="Arial" w:hAnsi="Arial" w:cs="Arial"/>
          <w:sz w:val="20"/>
          <w:szCs w:val="20"/>
        </w:rPr>
        <w:t xml:space="preserve">stream aquatic community GDEs are likely to be present. </w:t>
      </w:r>
      <w:r w:rsidR="001302EC" w:rsidRPr="001302EC">
        <w:rPr>
          <w:rFonts w:ascii="Arial" w:hAnsi="Arial" w:cs="Arial"/>
          <w:sz w:val="20"/>
          <w:szCs w:val="20"/>
        </w:rPr>
        <w:t>However, this is contradicted by a statement that no aquatic ecosystems with dependence on groundwater are thought to occ</w:t>
      </w:r>
      <w:r w:rsidR="001302EC">
        <w:rPr>
          <w:rFonts w:ascii="Arial" w:hAnsi="Arial" w:cs="Arial"/>
          <w:sz w:val="20"/>
          <w:szCs w:val="20"/>
        </w:rPr>
        <w:t>ur within the development area</w:t>
      </w:r>
      <w:r w:rsidR="004C1698">
        <w:rPr>
          <w:rFonts w:ascii="Arial" w:hAnsi="Arial" w:cs="Arial"/>
          <w:sz w:val="20"/>
          <w:szCs w:val="20"/>
        </w:rPr>
        <w:t>. It is further stated that</w:t>
      </w:r>
      <w:r w:rsidR="001302EC" w:rsidRPr="001302EC">
        <w:rPr>
          <w:rFonts w:ascii="Arial" w:hAnsi="Arial" w:cs="Arial"/>
          <w:sz w:val="20"/>
          <w:szCs w:val="20"/>
        </w:rPr>
        <w:t xml:space="preserve"> flow in the streams in the study area is ephemeral, has no connection with underlying groundwater and is purely reliant on rainfall runoff, or is intermittent, having seasonal connection with underlying groundwater</w:t>
      </w:r>
      <w:r w:rsidR="00757971" w:rsidRPr="00D322E2">
        <w:rPr>
          <w:rFonts w:ascii="Arial" w:hAnsi="Arial" w:cs="Arial"/>
          <w:sz w:val="20"/>
          <w:szCs w:val="20"/>
        </w:rPr>
        <w:t>.</w:t>
      </w:r>
      <w:r w:rsidR="001B5AA3">
        <w:rPr>
          <w:rFonts w:ascii="Arial" w:hAnsi="Arial" w:cs="Arial"/>
          <w:sz w:val="20"/>
          <w:szCs w:val="20"/>
        </w:rPr>
        <w:t xml:space="preserve"> </w:t>
      </w:r>
    </w:p>
    <w:p w:rsidR="00803ABB" w:rsidRPr="0088368A" w:rsidRDefault="00803ABB" w:rsidP="003E76A1">
      <w:pPr>
        <w:pStyle w:val="ListNumber"/>
        <w:spacing w:after="200" w:line="276" w:lineRule="auto"/>
      </w:pPr>
      <w:r w:rsidRPr="00AB68B4">
        <w:rPr>
          <w:rFonts w:ascii="Arial" w:hAnsi="Arial" w:cs="Arial"/>
          <w:sz w:val="20"/>
          <w:szCs w:val="20"/>
        </w:rPr>
        <w:t xml:space="preserve">An aquatic ecological survey of the development area was performed in 2012, but the report from this survey was </w:t>
      </w:r>
      <w:r w:rsidR="008E48F9">
        <w:rPr>
          <w:rFonts w:ascii="Arial" w:hAnsi="Arial" w:cs="Arial"/>
          <w:sz w:val="20"/>
          <w:szCs w:val="20"/>
        </w:rPr>
        <w:t xml:space="preserve">not </w:t>
      </w:r>
      <w:r w:rsidRPr="00AB68B4">
        <w:rPr>
          <w:rFonts w:ascii="Arial" w:hAnsi="Arial" w:cs="Arial"/>
          <w:sz w:val="20"/>
          <w:szCs w:val="20"/>
        </w:rPr>
        <w:t xml:space="preserve">provided. There is no information provided on the timing, location, method or results of the survey, other than that </w:t>
      </w:r>
      <w:proofErr w:type="gramStart"/>
      <w:r w:rsidRPr="00AB68B4">
        <w:rPr>
          <w:rFonts w:ascii="Arial" w:hAnsi="Arial" w:cs="Arial"/>
          <w:sz w:val="20"/>
          <w:szCs w:val="20"/>
        </w:rPr>
        <w:t>no</w:t>
      </w:r>
      <w:proofErr w:type="gramEnd"/>
      <w:r w:rsidRPr="00AB68B4">
        <w:rPr>
          <w:rFonts w:ascii="Arial" w:hAnsi="Arial" w:cs="Arial"/>
          <w:sz w:val="20"/>
          <w:szCs w:val="20"/>
        </w:rPr>
        <w:t xml:space="preserve"> rare or otherwise noteworthy species were recorded.</w:t>
      </w:r>
      <w:r w:rsidR="001B5AA3">
        <w:rPr>
          <w:rFonts w:ascii="Arial" w:hAnsi="Arial" w:cs="Arial"/>
          <w:sz w:val="20"/>
          <w:szCs w:val="20"/>
        </w:rPr>
        <w:t xml:space="preserve"> </w:t>
      </w:r>
      <w:r w:rsidRPr="00AB68B4">
        <w:rPr>
          <w:rFonts w:ascii="Arial" w:hAnsi="Arial" w:cs="Arial"/>
          <w:sz w:val="20"/>
          <w:szCs w:val="20"/>
        </w:rPr>
        <w:t>Provision of the report, together with an assessment of likely imp</w:t>
      </w:r>
      <w:r w:rsidR="008E48F9">
        <w:rPr>
          <w:rFonts w:ascii="Arial" w:hAnsi="Arial" w:cs="Arial"/>
          <w:sz w:val="20"/>
          <w:szCs w:val="20"/>
        </w:rPr>
        <w:t xml:space="preserve">acts </w:t>
      </w:r>
      <w:r w:rsidR="001302EC">
        <w:rPr>
          <w:rFonts w:ascii="Arial" w:hAnsi="Arial" w:cs="Arial"/>
          <w:sz w:val="20"/>
          <w:szCs w:val="20"/>
        </w:rPr>
        <w:t>on</w:t>
      </w:r>
      <w:r w:rsidR="00787F22">
        <w:rPr>
          <w:rFonts w:ascii="Arial" w:hAnsi="Arial" w:cs="Arial"/>
          <w:sz w:val="20"/>
          <w:szCs w:val="20"/>
        </w:rPr>
        <w:t xml:space="preserve"> aquatic </w:t>
      </w:r>
      <w:r w:rsidR="001302EC">
        <w:rPr>
          <w:rFonts w:ascii="Arial" w:hAnsi="Arial" w:cs="Arial"/>
          <w:sz w:val="20"/>
          <w:szCs w:val="20"/>
        </w:rPr>
        <w:t>systems</w:t>
      </w:r>
      <w:r w:rsidR="00787F22">
        <w:rPr>
          <w:rFonts w:ascii="Arial" w:hAnsi="Arial" w:cs="Arial"/>
          <w:sz w:val="20"/>
          <w:szCs w:val="20"/>
        </w:rPr>
        <w:t xml:space="preserve"> </w:t>
      </w:r>
      <w:r w:rsidR="008E48F9">
        <w:rPr>
          <w:rFonts w:ascii="Arial" w:hAnsi="Arial" w:cs="Arial"/>
          <w:sz w:val="20"/>
          <w:szCs w:val="20"/>
        </w:rPr>
        <w:t xml:space="preserve">from potential groundwater </w:t>
      </w:r>
      <w:r w:rsidRPr="00AB68B4">
        <w:rPr>
          <w:rFonts w:ascii="Arial" w:hAnsi="Arial" w:cs="Arial"/>
          <w:sz w:val="20"/>
          <w:szCs w:val="20"/>
        </w:rPr>
        <w:t xml:space="preserve">drawdown, would </w:t>
      </w:r>
      <w:r w:rsidR="004A2FB5">
        <w:rPr>
          <w:rFonts w:ascii="Arial" w:hAnsi="Arial" w:cs="Arial"/>
          <w:sz w:val="20"/>
          <w:szCs w:val="20"/>
        </w:rPr>
        <w:t xml:space="preserve">help to </w:t>
      </w:r>
      <w:r w:rsidR="00B703A9">
        <w:rPr>
          <w:rFonts w:ascii="Arial" w:hAnsi="Arial" w:cs="Arial"/>
          <w:sz w:val="20"/>
          <w:szCs w:val="20"/>
        </w:rPr>
        <w:t>address deficiencies in the current assessment</w:t>
      </w:r>
      <w:r w:rsidR="004A2FB5">
        <w:rPr>
          <w:rFonts w:ascii="Arial" w:hAnsi="Arial" w:cs="Arial"/>
          <w:sz w:val="20"/>
          <w:szCs w:val="20"/>
        </w:rPr>
        <w:t>.</w:t>
      </w:r>
    </w:p>
    <w:p w:rsidR="00407536" w:rsidRPr="007B4EB3" w:rsidRDefault="00AB68B4" w:rsidP="007B4EB3">
      <w:pPr>
        <w:pStyle w:val="ListNumber"/>
        <w:spacing w:after="200" w:line="276" w:lineRule="auto"/>
        <w:rPr>
          <w:rFonts w:ascii="Arial" w:hAnsi="Arial" w:cs="Arial"/>
          <w:bCs/>
          <w:iCs/>
          <w:sz w:val="20"/>
          <w:szCs w:val="20"/>
        </w:rPr>
      </w:pPr>
      <w:r w:rsidRPr="00AB68B4">
        <w:rPr>
          <w:rFonts w:ascii="Arial" w:hAnsi="Arial" w:cs="Arial"/>
          <w:bCs/>
          <w:iCs/>
          <w:sz w:val="20"/>
          <w:szCs w:val="20"/>
        </w:rPr>
        <w:t xml:space="preserve">Consideration of impacts of the proposed action on surface and groundwater resources </w:t>
      </w:r>
      <w:r w:rsidR="00D162F5">
        <w:rPr>
          <w:rFonts w:ascii="Arial" w:hAnsi="Arial" w:cs="Arial"/>
          <w:bCs/>
          <w:iCs/>
          <w:sz w:val="20"/>
          <w:szCs w:val="20"/>
        </w:rPr>
        <w:t xml:space="preserve">requires </w:t>
      </w:r>
      <w:r w:rsidRPr="00AB68B4">
        <w:rPr>
          <w:rFonts w:ascii="Arial" w:hAnsi="Arial" w:cs="Arial"/>
          <w:bCs/>
          <w:iCs/>
          <w:sz w:val="20"/>
          <w:szCs w:val="20"/>
        </w:rPr>
        <w:t>an understanding of the interconnectivit</w:t>
      </w:r>
      <w:r>
        <w:rPr>
          <w:rFonts w:ascii="Arial" w:hAnsi="Arial" w:cs="Arial"/>
          <w:bCs/>
          <w:iCs/>
          <w:sz w:val="20"/>
          <w:szCs w:val="20"/>
        </w:rPr>
        <w:t>y between the WCM</w:t>
      </w:r>
      <w:r w:rsidRPr="00AB68B4">
        <w:rPr>
          <w:rFonts w:ascii="Arial" w:hAnsi="Arial" w:cs="Arial"/>
          <w:bCs/>
          <w:iCs/>
          <w:sz w:val="20"/>
          <w:szCs w:val="20"/>
        </w:rPr>
        <w:t xml:space="preserve"> and the underlying formations including the Hutton and Precipice Sandstones which are potential source aquifers for EPBC-listed springs. Where these sandstones outcrop, discharge may occur </w:t>
      </w:r>
      <w:r>
        <w:rPr>
          <w:rFonts w:ascii="Arial" w:hAnsi="Arial" w:cs="Arial"/>
          <w:bCs/>
          <w:iCs/>
          <w:sz w:val="20"/>
          <w:szCs w:val="20"/>
        </w:rPr>
        <w:t>through stream incision</w:t>
      </w:r>
      <w:r w:rsidRPr="00AB68B4">
        <w:rPr>
          <w:rFonts w:ascii="Arial" w:hAnsi="Arial" w:cs="Arial"/>
          <w:bCs/>
          <w:iCs/>
          <w:sz w:val="20"/>
          <w:szCs w:val="20"/>
        </w:rPr>
        <w:t>.</w:t>
      </w:r>
      <w:r w:rsidR="001B5AA3">
        <w:rPr>
          <w:rFonts w:ascii="Arial" w:hAnsi="Arial" w:cs="Arial"/>
          <w:bCs/>
          <w:iCs/>
          <w:sz w:val="20"/>
          <w:szCs w:val="20"/>
        </w:rPr>
        <w:t xml:space="preserve"> </w:t>
      </w:r>
      <w:r w:rsidRPr="00AB68B4">
        <w:rPr>
          <w:rFonts w:ascii="Arial" w:hAnsi="Arial" w:cs="Arial"/>
          <w:bCs/>
          <w:iCs/>
          <w:sz w:val="20"/>
          <w:szCs w:val="20"/>
        </w:rPr>
        <w:t>Impacts from the proposed action on the vegetation and in</w:t>
      </w:r>
      <w:r w:rsidR="001C7583">
        <w:rPr>
          <w:rFonts w:ascii="Arial" w:hAnsi="Arial" w:cs="Arial"/>
          <w:bCs/>
          <w:iCs/>
          <w:sz w:val="20"/>
          <w:szCs w:val="20"/>
        </w:rPr>
        <w:t>-</w:t>
      </w:r>
      <w:r w:rsidRPr="00AB68B4">
        <w:rPr>
          <w:rFonts w:ascii="Arial" w:hAnsi="Arial" w:cs="Arial"/>
          <w:bCs/>
          <w:iCs/>
          <w:sz w:val="20"/>
          <w:szCs w:val="20"/>
        </w:rPr>
        <w:t xml:space="preserve">stream aquatic community GDEs associated with Horse Creek are </w:t>
      </w:r>
      <w:r w:rsidR="002011F3">
        <w:rPr>
          <w:rFonts w:ascii="Arial" w:hAnsi="Arial" w:cs="Arial"/>
          <w:bCs/>
          <w:iCs/>
          <w:sz w:val="20"/>
          <w:szCs w:val="20"/>
        </w:rPr>
        <w:t xml:space="preserve">unclear due to </w:t>
      </w:r>
      <w:r w:rsidRPr="00AB68B4">
        <w:rPr>
          <w:rFonts w:ascii="Arial" w:hAnsi="Arial" w:cs="Arial"/>
          <w:bCs/>
          <w:iCs/>
          <w:sz w:val="20"/>
          <w:szCs w:val="20"/>
        </w:rPr>
        <w:t>the uncertainty regarding the vertical interconnectivities between the WCM and the overlying formations including the Horse Creek Alluvium. Additional measures to improve understanding of aquifer interconnectivity and the impacts of the project could include</w:t>
      </w:r>
      <w:r w:rsidR="002011F3">
        <w:rPr>
          <w:rFonts w:ascii="Arial" w:hAnsi="Arial" w:cs="Arial"/>
          <w:bCs/>
          <w:iCs/>
          <w:sz w:val="20"/>
          <w:szCs w:val="20"/>
        </w:rPr>
        <w:t>:</w:t>
      </w:r>
      <w:r w:rsidRPr="00AB68B4">
        <w:rPr>
          <w:rFonts w:ascii="Arial" w:hAnsi="Arial" w:cs="Arial"/>
          <w:bCs/>
          <w:iCs/>
          <w:sz w:val="20"/>
          <w:szCs w:val="20"/>
        </w:rPr>
        <w:t xml:space="preserve"> monitoring of groundwater levels in the alluvium, investigations to determine the reliance of riparian vegetation on alluvial groundwater</w:t>
      </w:r>
      <w:r w:rsidR="002011F3">
        <w:rPr>
          <w:rFonts w:ascii="Arial" w:hAnsi="Arial" w:cs="Arial"/>
          <w:bCs/>
          <w:iCs/>
          <w:sz w:val="20"/>
          <w:szCs w:val="20"/>
        </w:rPr>
        <w:t>, and understanding the</w:t>
      </w:r>
      <w:r w:rsidR="00395AAC">
        <w:rPr>
          <w:rFonts w:ascii="Arial" w:hAnsi="Arial" w:cs="Arial"/>
          <w:bCs/>
          <w:iCs/>
          <w:sz w:val="20"/>
          <w:szCs w:val="20"/>
        </w:rPr>
        <w:t xml:space="preserve"> </w:t>
      </w:r>
      <w:r w:rsidRPr="00AB68B4">
        <w:rPr>
          <w:rFonts w:ascii="Arial" w:hAnsi="Arial" w:cs="Arial"/>
          <w:bCs/>
          <w:iCs/>
          <w:sz w:val="20"/>
          <w:szCs w:val="20"/>
        </w:rPr>
        <w:t>i</w:t>
      </w:r>
      <w:r w:rsidR="002011F3">
        <w:rPr>
          <w:rFonts w:ascii="Arial" w:hAnsi="Arial" w:cs="Arial"/>
          <w:bCs/>
          <w:iCs/>
          <w:sz w:val="20"/>
          <w:szCs w:val="20"/>
        </w:rPr>
        <w:t>nfluence</w:t>
      </w:r>
      <w:r w:rsidRPr="00AB68B4">
        <w:rPr>
          <w:rFonts w:ascii="Arial" w:hAnsi="Arial" w:cs="Arial"/>
          <w:bCs/>
          <w:iCs/>
          <w:sz w:val="20"/>
          <w:szCs w:val="20"/>
        </w:rPr>
        <w:t xml:space="preserve"> </w:t>
      </w:r>
      <w:r w:rsidR="001C7583">
        <w:rPr>
          <w:rFonts w:ascii="Arial" w:hAnsi="Arial" w:cs="Arial"/>
          <w:bCs/>
          <w:iCs/>
          <w:sz w:val="20"/>
          <w:szCs w:val="20"/>
        </w:rPr>
        <w:t>of</w:t>
      </w:r>
      <w:r w:rsidRPr="00AB68B4">
        <w:rPr>
          <w:rFonts w:ascii="Arial" w:hAnsi="Arial" w:cs="Arial"/>
          <w:bCs/>
          <w:iCs/>
          <w:sz w:val="20"/>
          <w:szCs w:val="20"/>
        </w:rPr>
        <w:t xml:space="preserve"> potential groundwater </w:t>
      </w:r>
      <w:r w:rsidR="001C7583" w:rsidRPr="00AB68B4">
        <w:rPr>
          <w:rFonts w:ascii="Arial" w:hAnsi="Arial" w:cs="Arial"/>
          <w:bCs/>
          <w:iCs/>
          <w:sz w:val="20"/>
          <w:szCs w:val="20"/>
        </w:rPr>
        <w:t>drawdown on this vegetation</w:t>
      </w:r>
      <w:r w:rsidR="001C7583">
        <w:rPr>
          <w:rFonts w:ascii="Arial" w:hAnsi="Arial" w:cs="Arial"/>
          <w:bCs/>
          <w:iCs/>
          <w:sz w:val="20"/>
          <w:szCs w:val="20"/>
        </w:rPr>
        <w:t>.</w:t>
      </w:r>
    </w:p>
    <w:p w:rsidR="00826D73" w:rsidRDefault="00315E8C" w:rsidP="003E76A1">
      <w:pPr>
        <w:pStyle w:val="ListNumber"/>
        <w:spacing w:after="200" w:line="276" w:lineRule="auto"/>
        <w:rPr>
          <w:rFonts w:ascii="Arial" w:hAnsi="Arial" w:cs="Arial"/>
          <w:sz w:val="20"/>
          <w:szCs w:val="20"/>
        </w:rPr>
      </w:pPr>
      <w:r>
        <w:rPr>
          <w:rFonts w:ascii="Arial" w:hAnsi="Arial" w:cs="Arial"/>
          <w:bCs/>
          <w:iCs/>
          <w:sz w:val="20"/>
          <w:szCs w:val="20"/>
        </w:rPr>
        <w:t>T</w:t>
      </w:r>
      <w:r w:rsidR="008E48F9" w:rsidRPr="002A1C42">
        <w:rPr>
          <w:rFonts w:ascii="Arial" w:hAnsi="Arial" w:cs="Arial"/>
          <w:bCs/>
          <w:iCs/>
          <w:sz w:val="20"/>
          <w:szCs w:val="20"/>
        </w:rPr>
        <w:t xml:space="preserve">he </w:t>
      </w:r>
      <w:r w:rsidR="002A1C42" w:rsidRPr="002A1C42">
        <w:rPr>
          <w:rFonts w:ascii="Arial" w:hAnsi="Arial" w:cs="Arial"/>
          <w:bCs/>
          <w:iCs/>
          <w:sz w:val="20"/>
          <w:szCs w:val="20"/>
        </w:rPr>
        <w:t xml:space="preserve">Surat UWIR </w:t>
      </w:r>
      <w:r w:rsidR="00787F22">
        <w:rPr>
          <w:rFonts w:ascii="Arial" w:hAnsi="Arial" w:cs="Arial"/>
          <w:bCs/>
          <w:iCs/>
          <w:sz w:val="20"/>
          <w:szCs w:val="20"/>
        </w:rPr>
        <w:t xml:space="preserve">is to </w:t>
      </w:r>
      <w:r w:rsidR="002A1C42" w:rsidRPr="002A1C42">
        <w:rPr>
          <w:rFonts w:ascii="Arial" w:hAnsi="Arial" w:cs="Arial"/>
          <w:bCs/>
          <w:iCs/>
          <w:sz w:val="20"/>
          <w:szCs w:val="20"/>
        </w:rPr>
        <w:t>be revised every three years to incorporate new knowledge</w:t>
      </w:r>
      <w:r w:rsidR="008E48F9" w:rsidRPr="002A1C42">
        <w:rPr>
          <w:rFonts w:ascii="Arial" w:hAnsi="Arial" w:cs="Arial"/>
          <w:bCs/>
          <w:iCs/>
          <w:sz w:val="20"/>
          <w:szCs w:val="20"/>
        </w:rPr>
        <w:t>.</w:t>
      </w:r>
      <w:r w:rsidR="001B5AA3">
        <w:rPr>
          <w:rFonts w:ascii="Arial" w:hAnsi="Arial" w:cs="Arial"/>
          <w:bCs/>
          <w:iCs/>
          <w:sz w:val="20"/>
          <w:szCs w:val="20"/>
        </w:rPr>
        <w:t xml:space="preserve"> </w:t>
      </w:r>
      <w:r w:rsidR="00787F22">
        <w:rPr>
          <w:rFonts w:ascii="Arial" w:hAnsi="Arial" w:cs="Arial"/>
          <w:bCs/>
          <w:iCs/>
          <w:sz w:val="20"/>
          <w:szCs w:val="20"/>
        </w:rPr>
        <w:t xml:space="preserve">As part of this review, </w:t>
      </w:r>
      <w:r w:rsidR="008E48F9" w:rsidRPr="002A1C42">
        <w:rPr>
          <w:rFonts w:ascii="Arial" w:hAnsi="Arial" w:cs="Arial"/>
          <w:bCs/>
          <w:iCs/>
          <w:sz w:val="20"/>
          <w:szCs w:val="20"/>
        </w:rPr>
        <w:t>the IESC suggest</w:t>
      </w:r>
      <w:r w:rsidR="00787F22">
        <w:rPr>
          <w:rFonts w:ascii="Arial" w:hAnsi="Arial" w:cs="Arial"/>
          <w:bCs/>
          <w:iCs/>
          <w:sz w:val="20"/>
          <w:szCs w:val="20"/>
        </w:rPr>
        <w:t>s</w:t>
      </w:r>
      <w:r w:rsidR="008E48F9" w:rsidRPr="002A1C42">
        <w:rPr>
          <w:rFonts w:ascii="Arial" w:hAnsi="Arial" w:cs="Arial"/>
          <w:bCs/>
          <w:iCs/>
          <w:sz w:val="20"/>
          <w:szCs w:val="20"/>
        </w:rPr>
        <w:t xml:space="preserve"> the following:</w:t>
      </w:r>
    </w:p>
    <w:p w:rsidR="00826D73" w:rsidRDefault="00FD7C96" w:rsidP="003E76A1">
      <w:pPr>
        <w:pStyle w:val="ListParagraph"/>
        <w:numPr>
          <w:ilvl w:val="0"/>
          <w:numId w:val="43"/>
        </w:numPr>
        <w:spacing w:after="200"/>
        <w:rPr>
          <w:rFonts w:ascii="Arial" w:hAnsi="Arial" w:cs="Arial"/>
          <w:sz w:val="20"/>
          <w:szCs w:val="20"/>
        </w:rPr>
      </w:pPr>
      <w:r>
        <w:rPr>
          <w:rFonts w:ascii="Arial" w:hAnsi="Arial" w:cs="Arial"/>
          <w:sz w:val="20"/>
          <w:szCs w:val="20"/>
        </w:rPr>
        <w:lastRenderedPageBreak/>
        <w:t>Explanations are</w:t>
      </w:r>
      <w:r w:rsidR="00F347BF" w:rsidRPr="00F347BF">
        <w:rPr>
          <w:rFonts w:ascii="Arial" w:hAnsi="Arial" w:cs="Arial"/>
          <w:sz w:val="20"/>
          <w:szCs w:val="20"/>
        </w:rPr>
        <w:t xml:space="preserve"> needed </w:t>
      </w:r>
      <w:r w:rsidR="006C6777">
        <w:rPr>
          <w:rFonts w:ascii="Arial" w:hAnsi="Arial" w:cs="Arial"/>
          <w:sz w:val="20"/>
          <w:szCs w:val="20"/>
        </w:rPr>
        <w:t>for</w:t>
      </w:r>
      <w:r w:rsidR="00F347BF" w:rsidRPr="00F347BF">
        <w:rPr>
          <w:rFonts w:ascii="Arial" w:hAnsi="Arial" w:cs="Arial"/>
          <w:sz w:val="20"/>
          <w:szCs w:val="20"/>
        </w:rPr>
        <w:t xml:space="preserve"> the use of the evaporation package </w:t>
      </w:r>
      <w:r>
        <w:rPr>
          <w:rFonts w:ascii="Arial" w:hAnsi="Arial" w:cs="Arial"/>
          <w:sz w:val="20"/>
          <w:szCs w:val="20"/>
        </w:rPr>
        <w:t xml:space="preserve">to simulate CSG extraction </w:t>
      </w:r>
      <w:r w:rsidR="00F347BF" w:rsidRPr="00F347BF">
        <w:rPr>
          <w:rFonts w:ascii="Arial" w:hAnsi="Arial" w:cs="Arial"/>
          <w:sz w:val="20"/>
          <w:szCs w:val="20"/>
        </w:rPr>
        <w:t>as well as the assumption of constant transmissivity</w:t>
      </w:r>
      <w:r w:rsidR="006C6777">
        <w:rPr>
          <w:rFonts w:ascii="Arial" w:hAnsi="Arial" w:cs="Arial"/>
          <w:sz w:val="20"/>
          <w:szCs w:val="20"/>
        </w:rPr>
        <w:t xml:space="preserve"> in the model</w:t>
      </w:r>
      <w:r w:rsidR="00F347BF" w:rsidRPr="00F347BF">
        <w:rPr>
          <w:rFonts w:ascii="Arial" w:hAnsi="Arial" w:cs="Arial"/>
          <w:sz w:val="20"/>
          <w:szCs w:val="20"/>
        </w:rPr>
        <w:t xml:space="preserve">. </w:t>
      </w:r>
      <w:r>
        <w:rPr>
          <w:rFonts w:ascii="Arial" w:hAnsi="Arial" w:cs="Arial"/>
          <w:sz w:val="20"/>
          <w:szCs w:val="20"/>
        </w:rPr>
        <w:t>As a localised issue, t</w:t>
      </w:r>
      <w:r w:rsidR="00F347BF" w:rsidRPr="00F347BF">
        <w:rPr>
          <w:rFonts w:ascii="Arial" w:hAnsi="Arial" w:cs="Arial"/>
          <w:sz w:val="20"/>
          <w:szCs w:val="20"/>
        </w:rPr>
        <w:t>he predicted drawdown map provided indicates</w:t>
      </w:r>
      <w:r w:rsidR="006C6777">
        <w:rPr>
          <w:rFonts w:ascii="Arial" w:hAnsi="Arial" w:cs="Arial"/>
          <w:sz w:val="20"/>
          <w:szCs w:val="20"/>
        </w:rPr>
        <w:t>,</w:t>
      </w:r>
      <w:r w:rsidR="00F347BF" w:rsidRPr="00F347BF">
        <w:rPr>
          <w:rFonts w:ascii="Arial" w:hAnsi="Arial" w:cs="Arial"/>
          <w:sz w:val="20"/>
          <w:szCs w:val="20"/>
        </w:rPr>
        <w:t xml:space="preserve"> in places, the Springbok Sandstone may become unconfined and the constant transmissivity</w:t>
      </w:r>
      <w:r>
        <w:rPr>
          <w:rFonts w:ascii="Arial" w:hAnsi="Arial" w:cs="Arial"/>
          <w:sz w:val="20"/>
          <w:szCs w:val="20"/>
        </w:rPr>
        <w:t xml:space="preserve"> assumption</w:t>
      </w:r>
      <w:r w:rsidR="00F347BF" w:rsidRPr="00F347BF">
        <w:rPr>
          <w:rFonts w:ascii="Arial" w:hAnsi="Arial" w:cs="Arial"/>
          <w:sz w:val="20"/>
          <w:szCs w:val="20"/>
        </w:rPr>
        <w:t xml:space="preserve"> may become invalid. </w:t>
      </w:r>
    </w:p>
    <w:p w:rsidR="00D17A48" w:rsidRPr="004C08B4" w:rsidRDefault="006021A6" w:rsidP="003E76A1">
      <w:pPr>
        <w:pStyle w:val="ListNumber"/>
        <w:numPr>
          <w:ilvl w:val="0"/>
          <w:numId w:val="43"/>
        </w:numPr>
        <w:spacing w:after="200" w:line="276" w:lineRule="auto"/>
        <w:outlineLvl w:val="3"/>
        <w:rPr>
          <w:rFonts w:ascii="Arial" w:hAnsi="Arial" w:cs="Arial"/>
          <w:sz w:val="20"/>
          <w:szCs w:val="20"/>
        </w:rPr>
      </w:pPr>
      <w:r w:rsidRPr="004C08B4">
        <w:rPr>
          <w:rFonts w:ascii="Arial" w:hAnsi="Arial" w:cs="Arial"/>
          <w:sz w:val="20"/>
          <w:szCs w:val="20"/>
        </w:rPr>
        <w:t>Springs do not appear to be represented in the model by any specific boundary conditions.</w:t>
      </w:r>
      <w:r w:rsidR="001B5AA3">
        <w:rPr>
          <w:rFonts w:ascii="Arial" w:hAnsi="Arial" w:cs="Arial"/>
          <w:sz w:val="20"/>
          <w:szCs w:val="20"/>
        </w:rPr>
        <w:t xml:space="preserve"> </w:t>
      </w:r>
      <w:r w:rsidR="00D4460B" w:rsidRPr="004C08B4">
        <w:rPr>
          <w:rFonts w:ascii="Arial" w:hAnsi="Arial" w:cs="Arial"/>
          <w:sz w:val="20"/>
          <w:szCs w:val="20"/>
        </w:rPr>
        <w:t xml:space="preserve">The IESC recommends that springs be represented by appropriate boundary conditions in the model and spring flow depletion, as a flux, be calculated by appropriate water budgets. </w:t>
      </w:r>
      <w:r w:rsidRPr="004C08B4">
        <w:rPr>
          <w:rFonts w:ascii="Arial" w:hAnsi="Arial" w:cs="Arial"/>
          <w:sz w:val="20"/>
          <w:szCs w:val="20"/>
        </w:rPr>
        <w:t>Impacts to springs have been characterised by the modelled drawdown in the aquifer which has been identified as the primary spring source at the location of the spring.</w:t>
      </w:r>
      <w:r w:rsidR="001B5AA3">
        <w:rPr>
          <w:rFonts w:ascii="Arial" w:hAnsi="Arial" w:cs="Arial"/>
          <w:sz w:val="20"/>
          <w:szCs w:val="20"/>
        </w:rPr>
        <w:t xml:space="preserve"> </w:t>
      </w:r>
      <w:r w:rsidRPr="004C08B4">
        <w:rPr>
          <w:rFonts w:ascii="Arial" w:hAnsi="Arial" w:cs="Arial"/>
          <w:sz w:val="20"/>
          <w:szCs w:val="20"/>
        </w:rPr>
        <w:t>Spring flow depletion (flux or volume/time) is different from drawdown (dimension: length) and it is spring flow that ultimately supports spring ecology. Furthermore, it is spring flow that is the subject of spring monitoring</w:t>
      </w:r>
      <w:r w:rsidR="00593972" w:rsidRPr="004C08B4">
        <w:rPr>
          <w:rFonts w:ascii="Arial" w:hAnsi="Arial" w:cs="Arial"/>
          <w:sz w:val="20"/>
          <w:szCs w:val="20"/>
        </w:rPr>
        <w:t xml:space="preserve">. </w:t>
      </w:r>
    </w:p>
    <w:p w:rsidR="00D17A48" w:rsidRPr="00317DA3" w:rsidRDefault="00D17A48" w:rsidP="003E76A1">
      <w:pPr>
        <w:pStyle w:val="ListNumber"/>
        <w:numPr>
          <w:ilvl w:val="0"/>
          <w:numId w:val="43"/>
        </w:numPr>
        <w:spacing w:after="200" w:line="276" w:lineRule="auto"/>
        <w:outlineLvl w:val="3"/>
        <w:rPr>
          <w:rFonts w:ascii="Arial" w:hAnsi="Arial" w:cs="Arial"/>
          <w:sz w:val="20"/>
          <w:szCs w:val="20"/>
        </w:rPr>
      </w:pPr>
      <w:r>
        <w:rPr>
          <w:rFonts w:ascii="Arial" w:hAnsi="Arial" w:cs="Arial"/>
          <w:sz w:val="20"/>
          <w:szCs w:val="20"/>
        </w:rPr>
        <w:t xml:space="preserve">Only a small sub area </w:t>
      </w:r>
      <w:r w:rsidRPr="00317DA3">
        <w:rPr>
          <w:rFonts w:ascii="Arial" w:hAnsi="Arial" w:cs="Arial"/>
          <w:sz w:val="20"/>
          <w:szCs w:val="20"/>
        </w:rPr>
        <w:t>was selected for transient</w:t>
      </w:r>
      <w:r>
        <w:rPr>
          <w:rFonts w:ascii="Arial" w:hAnsi="Arial" w:cs="Arial"/>
          <w:sz w:val="20"/>
          <w:szCs w:val="20"/>
        </w:rPr>
        <w:t xml:space="preserve"> modelling. </w:t>
      </w:r>
      <w:r w:rsidR="00593972">
        <w:rPr>
          <w:rFonts w:ascii="Arial" w:hAnsi="Arial" w:cs="Arial"/>
          <w:sz w:val="20"/>
          <w:szCs w:val="20"/>
        </w:rPr>
        <w:t>The</w:t>
      </w:r>
      <w:r>
        <w:rPr>
          <w:rFonts w:ascii="Arial" w:hAnsi="Arial" w:cs="Arial"/>
          <w:sz w:val="20"/>
          <w:szCs w:val="20"/>
        </w:rPr>
        <w:t xml:space="preserve"> transient model</w:t>
      </w:r>
      <w:r w:rsidRPr="00317DA3">
        <w:rPr>
          <w:rFonts w:ascii="Arial" w:hAnsi="Arial" w:cs="Arial"/>
          <w:sz w:val="20"/>
          <w:szCs w:val="20"/>
        </w:rPr>
        <w:t xml:space="preserve"> is situated 70</w:t>
      </w:r>
      <w:r w:rsidR="003E76A1">
        <w:rPr>
          <w:rFonts w:ascii="Arial" w:hAnsi="Arial" w:cs="Arial"/>
          <w:sz w:val="20"/>
          <w:szCs w:val="20"/>
        </w:rPr>
        <w:t xml:space="preserve"> </w:t>
      </w:r>
      <w:r w:rsidRPr="00317DA3">
        <w:rPr>
          <w:rFonts w:ascii="Arial" w:hAnsi="Arial" w:cs="Arial"/>
          <w:sz w:val="20"/>
          <w:szCs w:val="20"/>
        </w:rPr>
        <w:t>km to the south-east of the development area and therefore is not appropriate to model the transient impacts of the proposed activities within the development area. It would be beneficial to convert the entire model domain to a transient state model and re-run the model with updated extraction scenarios to reflect more realistic operations.</w:t>
      </w:r>
      <w:r w:rsidR="001B5AA3">
        <w:rPr>
          <w:rFonts w:ascii="Arial" w:hAnsi="Arial" w:cs="Arial"/>
          <w:sz w:val="20"/>
          <w:szCs w:val="20"/>
        </w:rPr>
        <w:t xml:space="preserve"> </w:t>
      </w:r>
    </w:p>
    <w:p w:rsidR="00DC30EE" w:rsidRPr="00DC30EE" w:rsidRDefault="00315E8C" w:rsidP="003E76A1">
      <w:pPr>
        <w:pStyle w:val="ListNumber"/>
        <w:numPr>
          <w:ilvl w:val="0"/>
          <w:numId w:val="43"/>
        </w:numPr>
        <w:spacing w:after="200" w:line="276" w:lineRule="auto"/>
        <w:outlineLvl w:val="3"/>
        <w:rPr>
          <w:rFonts w:ascii="Arial" w:hAnsi="Arial" w:cs="Arial"/>
          <w:sz w:val="20"/>
          <w:szCs w:val="20"/>
        </w:rPr>
      </w:pPr>
      <w:r>
        <w:rPr>
          <w:rFonts w:ascii="Arial" w:hAnsi="Arial" w:cs="Arial"/>
          <w:sz w:val="20"/>
          <w:szCs w:val="20"/>
        </w:rPr>
        <w:t>A</w:t>
      </w:r>
      <w:r w:rsidR="00DC30EE" w:rsidRPr="00DC30EE">
        <w:rPr>
          <w:rFonts w:ascii="Arial" w:hAnsi="Arial" w:cs="Arial"/>
          <w:sz w:val="20"/>
          <w:szCs w:val="20"/>
        </w:rPr>
        <w:t xml:space="preserve">nisotropy ratios, from the groundwater model, </w:t>
      </w:r>
      <w:r>
        <w:rPr>
          <w:rFonts w:ascii="Arial" w:hAnsi="Arial" w:cs="Arial"/>
          <w:sz w:val="20"/>
          <w:szCs w:val="20"/>
        </w:rPr>
        <w:t>appear to be</w:t>
      </w:r>
      <w:r w:rsidR="00DC30EE" w:rsidRPr="00DC30EE">
        <w:rPr>
          <w:rFonts w:ascii="Arial" w:hAnsi="Arial" w:cs="Arial"/>
          <w:sz w:val="20"/>
          <w:szCs w:val="20"/>
        </w:rPr>
        <w:t xml:space="preserve"> extremely high (values up to 5000). This </w:t>
      </w:r>
      <w:r w:rsidR="00F958D5">
        <w:rPr>
          <w:rFonts w:ascii="Arial" w:hAnsi="Arial" w:cs="Arial"/>
          <w:sz w:val="20"/>
          <w:szCs w:val="20"/>
        </w:rPr>
        <w:t xml:space="preserve">is likely to </w:t>
      </w:r>
      <w:r w:rsidR="00DC30EE" w:rsidRPr="00DC30EE">
        <w:rPr>
          <w:rFonts w:ascii="Arial" w:hAnsi="Arial" w:cs="Arial"/>
          <w:sz w:val="20"/>
          <w:szCs w:val="20"/>
        </w:rPr>
        <w:t>restric</w:t>
      </w:r>
      <w:r w:rsidR="00F958D5">
        <w:rPr>
          <w:rFonts w:ascii="Arial" w:hAnsi="Arial" w:cs="Arial"/>
          <w:sz w:val="20"/>
          <w:szCs w:val="20"/>
        </w:rPr>
        <w:t>t</w:t>
      </w:r>
      <w:r w:rsidR="00DC30EE" w:rsidRPr="00DC30EE">
        <w:rPr>
          <w:rFonts w:ascii="Arial" w:hAnsi="Arial" w:cs="Arial"/>
          <w:sz w:val="20"/>
          <w:szCs w:val="20"/>
        </w:rPr>
        <w:t xml:space="preserve"> the amount of induced groundwater flow predicted by the groundwater model from the Hutton Sandstone and potentially the Gubberamunda and Precipice Sandstones, thereby underestimating drawdown in these formations. </w:t>
      </w:r>
    </w:p>
    <w:p w:rsidR="00DC30EE" w:rsidRPr="00DA48C7" w:rsidRDefault="00DC30EE" w:rsidP="003E76A1">
      <w:pPr>
        <w:pStyle w:val="ListNumber"/>
        <w:numPr>
          <w:ilvl w:val="0"/>
          <w:numId w:val="43"/>
        </w:numPr>
        <w:spacing w:after="200" w:line="276" w:lineRule="auto"/>
        <w:outlineLvl w:val="3"/>
        <w:rPr>
          <w:rFonts w:ascii="Arial" w:hAnsi="Arial" w:cs="Arial"/>
          <w:sz w:val="20"/>
          <w:szCs w:val="20"/>
        </w:rPr>
      </w:pPr>
      <w:r w:rsidRPr="00DC30EE">
        <w:rPr>
          <w:rFonts w:ascii="Arial" w:hAnsi="Arial" w:cs="Arial"/>
          <w:sz w:val="20"/>
          <w:szCs w:val="20"/>
        </w:rPr>
        <w:t>As the scalability of lab tests to the regi</w:t>
      </w:r>
      <w:r w:rsidR="00315E8C">
        <w:rPr>
          <w:rFonts w:ascii="Arial" w:hAnsi="Arial" w:cs="Arial"/>
          <w:sz w:val="20"/>
          <w:szCs w:val="20"/>
        </w:rPr>
        <w:t xml:space="preserve">onal scale is questionable, </w:t>
      </w:r>
      <w:r w:rsidRPr="00DC30EE">
        <w:rPr>
          <w:rFonts w:ascii="Arial" w:hAnsi="Arial" w:cs="Arial"/>
          <w:sz w:val="20"/>
          <w:szCs w:val="20"/>
        </w:rPr>
        <w:t>the use of such data in such a broad regional model</w:t>
      </w:r>
      <w:r w:rsidR="00315E8C">
        <w:rPr>
          <w:rFonts w:ascii="Arial" w:hAnsi="Arial" w:cs="Arial"/>
          <w:sz w:val="20"/>
          <w:szCs w:val="20"/>
        </w:rPr>
        <w:t xml:space="preserve"> should</w:t>
      </w:r>
      <w:r w:rsidRPr="00DC30EE">
        <w:rPr>
          <w:rFonts w:ascii="Arial" w:hAnsi="Arial" w:cs="Arial"/>
          <w:sz w:val="20"/>
          <w:szCs w:val="20"/>
        </w:rPr>
        <w:t xml:space="preserve"> be reviewed and </w:t>
      </w:r>
      <w:r w:rsidR="000A29BC">
        <w:rPr>
          <w:rFonts w:ascii="Arial" w:hAnsi="Arial" w:cs="Arial"/>
          <w:sz w:val="20"/>
          <w:szCs w:val="20"/>
        </w:rPr>
        <w:t>hydraulic conductivity values</w:t>
      </w:r>
      <w:r w:rsidRPr="00DC30EE">
        <w:rPr>
          <w:rFonts w:ascii="Arial" w:hAnsi="Arial" w:cs="Arial"/>
          <w:sz w:val="20"/>
          <w:szCs w:val="20"/>
        </w:rPr>
        <w:t xml:space="preserve"> specific to the Surat </w:t>
      </w:r>
      <w:r w:rsidR="0071283F">
        <w:rPr>
          <w:rFonts w:ascii="Arial" w:hAnsi="Arial" w:cs="Arial"/>
          <w:sz w:val="20"/>
          <w:szCs w:val="20"/>
        </w:rPr>
        <w:t>Basin</w:t>
      </w:r>
      <w:r w:rsidR="000A29BC">
        <w:rPr>
          <w:rFonts w:ascii="Arial" w:hAnsi="Arial" w:cs="Arial"/>
          <w:sz w:val="20"/>
          <w:szCs w:val="20"/>
        </w:rPr>
        <w:t xml:space="preserve"> should </w:t>
      </w:r>
      <w:r w:rsidRPr="00DC30EE">
        <w:rPr>
          <w:rFonts w:ascii="Arial" w:hAnsi="Arial" w:cs="Arial"/>
          <w:sz w:val="20"/>
          <w:szCs w:val="20"/>
        </w:rPr>
        <w:t>be used in future iterations of the groundwater model</w:t>
      </w:r>
      <w:r w:rsidR="00DA48C7">
        <w:rPr>
          <w:rFonts w:ascii="Arial" w:hAnsi="Arial" w:cs="Arial"/>
          <w:sz w:val="20"/>
          <w:szCs w:val="20"/>
        </w:rPr>
        <w:t>.</w:t>
      </w:r>
      <w:r w:rsidRPr="00DC30EE">
        <w:rPr>
          <w:rFonts w:ascii="Arial" w:hAnsi="Arial" w:cs="Arial"/>
          <w:sz w:val="20"/>
          <w:szCs w:val="20"/>
        </w:rPr>
        <w:t xml:space="preserve"> </w:t>
      </w:r>
      <w:r w:rsidR="00315E8C">
        <w:rPr>
          <w:rFonts w:ascii="Arial" w:hAnsi="Arial" w:cs="Arial"/>
          <w:sz w:val="20"/>
          <w:szCs w:val="20"/>
        </w:rPr>
        <w:t>T</w:t>
      </w:r>
      <w:r w:rsidRPr="00DA48C7">
        <w:rPr>
          <w:rFonts w:ascii="Arial" w:hAnsi="Arial" w:cs="Arial"/>
          <w:sz w:val="20"/>
          <w:szCs w:val="20"/>
        </w:rPr>
        <w:t>his would provide greater confidence in the plausibility of formations with high anisotropy (&gt;100) ratios being used in the groundwater model and would provide an opportunity to demonstrate the sensitivity of vertical leakage to this parameter.</w:t>
      </w:r>
    </w:p>
    <w:p w:rsidR="00886E97" w:rsidRPr="00407536" w:rsidRDefault="007203C3" w:rsidP="00407536">
      <w:pPr>
        <w:pStyle w:val="ListNumber"/>
        <w:spacing w:after="200" w:line="276" w:lineRule="auto"/>
        <w:rPr>
          <w:rFonts w:ascii="Arial" w:hAnsi="Arial" w:cs="Arial"/>
          <w:sz w:val="20"/>
          <w:szCs w:val="20"/>
        </w:rPr>
      </w:pPr>
      <w:r w:rsidRPr="00B460B8">
        <w:rPr>
          <w:rFonts w:ascii="Arial" w:hAnsi="Arial" w:cs="Arial"/>
          <w:sz w:val="20"/>
          <w:szCs w:val="20"/>
        </w:rPr>
        <w:t xml:space="preserve">The </w:t>
      </w:r>
      <w:r w:rsidR="00DF7571" w:rsidRPr="00B460B8">
        <w:rPr>
          <w:rFonts w:ascii="Arial" w:hAnsi="Arial" w:cs="Arial"/>
          <w:sz w:val="20"/>
          <w:szCs w:val="20"/>
        </w:rPr>
        <w:t>Northern Inland Catchments</w:t>
      </w:r>
      <w:r w:rsidRPr="00B460B8">
        <w:rPr>
          <w:rFonts w:ascii="Arial" w:hAnsi="Arial" w:cs="Arial"/>
          <w:sz w:val="20"/>
          <w:szCs w:val="20"/>
        </w:rPr>
        <w:t xml:space="preserve">, which includes the </w:t>
      </w:r>
      <w:r w:rsidR="00DF7571" w:rsidRPr="00B460B8">
        <w:rPr>
          <w:rFonts w:ascii="Arial" w:hAnsi="Arial" w:cs="Arial"/>
          <w:sz w:val="20"/>
          <w:szCs w:val="20"/>
        </w:rPr>
        <w:t>Surat Basin</w:t>
      </w:r>
      <w:r w:rsidRPr="00B460B8">
        <w:rPr>
          <w:rFonts w:ascii="Arial" w:hAnsi="Arial" w:cs="Arial"/>
          <w:sz w:val="20"/>
          <w:szCs w:val="20"/>
        </w:rPr>
        <w:t xml:space="preserve">, has been identified as a Bioregional Assessment priority region. Data and relevant information from the proposed project should be made accessible for </w:t>
      </w:r>
      <w:r w:rsidRPr="00886E97">
        <w:rPr>
          <w:rFonts w:ascii="Arial" w:hAnsi="Arial" w:cs="Arial"/>
          <w:sz w:val="20"/>
          <w:szCs w:val="20"/>
          <w:lang w:val="en-US"/>
        </w:rPr>
        <w:t>this</w:t>
      </w:r>
      <w:r w:rsidRPr="00B460B8">
        <w:rPr>
          <w:rFonts w:ascii="Arial" w:hAnsi="Arial" w:cs="Arial"/>
          <w:sz w:val="20"/>
          <w:szCs w:val="20"/>
        </w:rPr>
        <w:t xml:space="preserve"> Bioregional Assessment to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2A6203">
        <w:trPr>
          <w:trHeight w:val="32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E509D9" w:rsidP="00B1520C">
            <w:pPr>
              <w:spacing w:line="276" w:lineRule="auto"/>
              <w:rPr>
                <w:rFonts w:ascii="Arial" w:hAnsi="Arial" w:cs="Arial"/>
                <w:sz w:val="20"/>
                <w:szCs w:val="20"/>
              </w:rPr>
            </w:pPr>
            <w:r>
              <w:rPr>
                <w:rFonts w:ascii="Arial" w:hAnsi="Arial" w:cs="Arial"/>
                <w:sz w:val="20"/>
                <w:szCs w:val="20"/>
              </w:rPr>
              <w:t>10 April</w:t>
            </w:r>
            <w:r w:rsidR="007203C3">
              <w:rPr>
                <w:rFonts w:ascii="Arial" w:hAnsi="Arial" w:cs="Arial"/>
                <w:sz w:val="20"/>
                <w:szCs w:val="20"/>
              </w:rPr>
              <w:t xml:space="preserve"> 201</w:t>
            </w:r>
            <w:r w:rsidR="00D10C4C">
              <w:rPr>
                <w:rFonts w:ascii="Arial" w:hAnsi="Arial" w:cs="Arial"/>
                <w:sz w:val="20"/>
                <w:szCs w:val="20"/>
              </w:rPr>
              <w:t>4</w:t>
            </w:r>
          </w:p>
        </w:tc>
      </w:tr>
      <w:tr w:rsidR="007203C3" w:rsidRPr="00CC2B33" w:rsidTr="00300A53">
        <w:trPr>
          <w:trHeight w:val="444"/>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7203C3" w:rsidRPr="007675B9" w:rsidRDefault="007675B9" w:rsidP="00E509D9">
            <w:pPr>
              <w:spacing w:line="276" w:lineRule="auto"/>
              <w:rPr>
                <w:rFonts w:ascii="Arial" w:hAnsi="Arial" w:cs="Arial"/>
                <w:color w:val="FF0000"/>
                <w:sz w:val="22"/>
                <w:szCs w:val="22"/>
              </w:rPr>
            </w:pPr>
            <w:r w:rsidRPr="00E509D9">
              <w:rPr>
                <w:rFonts w:ascii="Arial" w:hAnsi="Arial" w:cs="Arial"/>
                <w:sz w:val="20"/>
                <w:szCs w:val="20"/>
              </w:rPr>
              <w:t>Development of Surat Basin Acreage EPBC Referral (2013/7047) Preliminary Documentation.</w:t>
            </w:r>
            <w:r w:rsidR="001B5AA3">
              <w:rPr>
                <w:rFonts w:ascii="Arial" w:hAnsi="Arial" w:cs="Arial"/>
                <w:bCs/>
                <w:sz w:val="22"/>
                <w:szCs w:val="22"/>
                <w:lang w:val="en-US"/>
              </w:rPr>
              <w:t xml:space="preserve"> </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sidRPr="00B159F9">
              <w:rPr>
                <w:rFonts w:cs="Arial"/>
                <w:sz w:val="20"/>
              </w:rPr>
              <w:t>References cited within the Committee’s advice</w:t>
            </w:r>
          </w:p>
        </w:tc>
        <w:tc>
          <w:tcPr>
            <w:tcW w:w="8159" w:type="dxa"/>
            <w:tcBorders>
              <w:top w:val="single" w:sz="4" w:space="0" w:color="auto"/>
              <w:bottom w:val="single" w:sz="4" w:space="0" w:color="auto"/>
            </w:tcBorders>
          </w:tcPr>
          <w:p w:rsidR="007203C3" w:rsidRPr="00304CA9" w:rsidRDefault="007203C3" w:rsidP="00B1520C">
            <w:pPr>
              <w:pStyle w:val="ListNumber"/>
              <w:numPr>
                <w:ilvl w:val="0"/>
                <w:numId w:val="0"/>
              </w:numPr>
              <w:tabs>
                <w:tab w:val="left" w:pos="34"/>
              </w:tabs>
              <w:spacing w:line="276" w:lineRule="auto"/>
              <w:ind w:left="34"/>
              <w:rPr>
                <w:rFonts w:ascii="Arial" w:hAnsi="Arial" w:cs="Arial"/>
                <w:bCs/>
                <w:sz w:val="20"/>
                <w:szCs w:val="20"/>
              </w:rPr>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I</w:t>
            </w:r>
            <w:r w:rsidRPr="00886E97">
              <w:rPr>
                <w:rFonts w:ascii="Arial" w:hAnsi="Arial" w:cs="Arial"/>
                <w:sz w:val="20"/>
                <w:szCs w:val="20"/>
              </w:rPr>
              <w:t xml:space="preserve">nformation Guidelines for Proposals Relating to the Development of Coal Seam Gas and Large Coal Mines where there is a Significant Impact on Water Resources available at: </w:t>
            </w:r>
            <w:hyperlink r:id="rId9" w:history="1">
              <w:r w:rsidR="00886E97" w:rsidRPr="00886E97">
                <w:rPr>
                  <w:rStyle w:val="Hyperlink"/>
                  <w:rFonts w:ascii="Arial" w:hAnsi="Arial" w:cs="Arial"/>
                  <w:sz w:val="20"/>
                  <w:szCs w:val="20"/>
                </w:rPr>
                <w:t>http://iesc.environment.gov.au/pubs/iesc-information-guidelines.pdf</w:t>
              </w:r>
            </w:hyperlink>
          </w:p>
        </w:tc>
      </w:tr>
    </w:tbl>
    <w:p w:rsidR="007203C3" w:rsidRPr="00062A46" w:rsidRDefault="007203C3" w:rsidP="00BA03E5">
      <w:pPr>
        <w:spacing w:after="200" w:line="276" w:lineRule="auto"/>
      </w:pPr>
    </w:p>
    <w:sectPr w:rsidR="007203C3" w:rsidRPr="00062A46" w:rsidSect="007203C3">
      <w:headerReference w:type="even" r:id="rId10"/>
      <w:footerReference w:type="default" r:id="rId11"/>
      <w:headerReference w:type="first" r:id="rId12"/>
      <w:footerReference w:type="first" r:id="rId13"/>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22F" w:rsidRDefault="0040422F" w:rsidP="00A60185">
      <w:r>
        <w:separator/>
      </w:r>
    </w:p>
  </w:endnote>
  <w:endnote w:type="continuationSeparator" w:id="0">
    <w:p w:rsidR="0040422F" w:rsidRDefault="0040422F"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2F" w:rsidRPr="007203C3" w:rsidRDefault="0040422F" w:rsidP="007203C3">
    <w:pPr>
      <w:pStyle w:val="Footer"/>
      <w:pBdr>
        <w:top w:val="single" w:sz="4" w:space="1" w:color="auto"/>
      </w:pBdr>
      <w:rPr>
        <w:rFonts w:ascii="Arial" w:hAnsi="Arial" w:cs="Arial"/>
        <w:color w:val="FF0000"/>
        <w:sz w:val="12"/>
        <w:szCs w:val="20"/>
      </w:rPr>
    </w:pPr>
  </w:p>
  <w:p w:rsidR="0040422F" w:rsidRPr="006D19E2" w:rsidRDefault="0040422F" w:rsidP="007203C3">
    <w:pPr>
      <w:pStyle w:val="Footer"/>
      <w:pBdr>
        <w:top w:val="single" w:sz="4" w:space="1" w:color="auto"/>
      </w:pBdr>
      <w:rPr>
        <w:rFonts w:ascii="Arial" w:hAnsi="Arial" w:cs="Arial"/>
        <w:sz w:val="20"/>
        <w:szCs w:val="20"/>
      </w:rPr>
    </w:pPr>
    <w:r w:rsidRPr="006D19E2">
      <w:rPr>
        <w:rFonts w:ascii="Arial" w:hAnsi="Arial" w:cs="Arial"/>
        <w:sz w:val="20"/>
        <w:szCs w:val="20"/>
      </w:rPr>
      <w:t xml:space="preserve">Final Advice </w:t>
    </w:r>
    <w:r>
      <w:rPr>
        <w:rFonts w:ascii="Arial" w:hAnsi="Arial" w:cs="Arial"/>
        <w:sz w:val="20"/>
        <w:szCs w:val="20"/>
      </w:rPr>
      <w:tab/>
    </w:r>
    <w:r>
      <w:rPr>
        <w:rFonts w:ascii="Arial" w:hAnsi="Arial" w:cs="Arial"/>
        <w:sz w:val="20"/>
        <w:szCs w:val="20"/>
      </w:rPr>
      <w:tab/>
    </w:r>
    <w:r w:rsidRPr="001B5AA3">
      <w:rPr>
        <w:rFonts w:ascii="Arial" w:hAnsi="Arial" w:cs="Arial"/>
        <w:sz w:val="20"/>
        <w:szCs w:val="20"/>
      </w:rPr>
      <w:t>10 April 2014</w:t>
    </w:r>
  </w:p>
  <w:p w:rsidR="0040422F" w:rsidRPr="006D19E2" w:rsidRDefault="00317889">
    <w:pPr>
      <w:pStyle w:val="Footer"/>
      <w:jc w:val="center"/>
      <w:rPr>
        <w:rFonts w:ascii="Arial" w:hAnsi="Arial" w:cs="Arial"/>
        <w:sz w:val="20"/>
        <w:szCs w:val="20"/>
      </w:rPr>
    </w:pPr>
    <w:r w:rsidRPr="006D19E2">
      <w:rPr>
        <w:rFonts w:ascii="Arial" w:hAnsi="Arial" w:cs="Arial"/>
        <w:sz w:val="20"/>
        <w:szCs w:val="20"/>
      </w:rPr>
      <w:fldChar w:fldCharType="begin"/>
    </w:r>
    <w:r w:rsidR="0040422F" w:rsidRPr="006D19E2">
      <w:rPr>
        <w:rFonts w:ascii="Arial" w:hAnsi="Arial" w:cs="Arial"/>
        <w:sz w:val="20"/>
        <w:szCs w:val="20"/>
      </w:rPr>
      <w:instrText xml:space="preserve"> PAGE   \* MERGEFORMAT </w:instrText>
    </w:r>
    <w:r w:rsidRPr="006D19E2">
      <w:rPr>
        <w:rFonts w:ascii="Arial" w:hAnsi="Arial" w:cs="Arial"/>
        <w:sz w:val="20"/>
        <w:szCs w:val="20"/>
      </w:rPr>
      <w:fldChar w:fldCharType="separate"/>
    </w:r>
    <w:r w:rsidR="006A30A6">
      <w:rPr>
        <w:rFonts w:ascii="Arial" w:hAnsi="Arial" w:cs="Arial"/>
        <w:noProof/>
        <w:sz w:val="20"/>
        <w:szCs w:val="20"/>
      </w:rPr>
      <w:t>1</w:t>
    </w:r>
    <w:r w:rsidRPr="006D19E2">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2F" w:rsidRPr="00D15280" w:rsidRDefault="0040422F">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40422F" w:rsidRPr="00062A46" w:rsidRDefault="00317889"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40422F"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40422F">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22F" w:rsidRDefault="0040422F" w:rsidP="00A60185">
      <w:r>
        <w:separator/>
      </w:r>
    </w:p>
  </w:footnote>
  <w:footnote w:type="continuationSeparator" w:id="0">
    <w:p w:rsidR="0040422F" w:rsidRDefault="0040422F"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22F" w:rsidRDefault="0040422F"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66"/>
      <w:docPartObj>
        <w:docPartGallery w:val="Watermarks"/>
        <w:docPartUnique/>
      </w:docPartObj>
    </w:sdtPr>
    <w:sdtContent>
      <w:p w:rsidR="0040422F" w:rsidRDefault="00317889" w:rsidP="0034504D">
        <w:pPr>
          <w:pStyle w:val="Header"/>
          <w:ind w:left="-1418"/>
        </w:pPr>
        <w:r w:rsidRPr="00317889">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38A1DB2"/>
    <w:lvl w:ilvl="0">
      <w:start w:val="1"/>
      <w:numFmt w:val="decimal"/>
      <w:lvlText w:val="%1."/>
      <w:lvlJc w:val="left"/>
      <w:pPr>
        <w:tabs>
          <w:tab w:val="num" w:pos="643"/>
        </w:tabs>
        <w:ind w:left="643" w:hanging="360"/>
      </w:pPr>
    </w:lvl>
  </w:abstractNum>
  <w:abstractNum w:abstractNumId="1">
    <w:nsid w:val="FFFFFF88"/>
    <w:multiLevelType w:val="singleLevel"/>
    <w:tmpl w:val="A8E607DC"/>
    <w:lvl w:ilvl="0">
      <w:start w:val="1"/>
      <w:numFmt w:val="decimal"/>
      <w:lvlText w:val="%1."/>
      <w:lvlJc w:val="left"/>
      <w:pPr>
        <w:tabs>
          <w:tab w:val="num" w:pos="360"/>
        </w:tabs>
        <w:ind w:left="360" w:hanging="360"/>
      </w:p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8025760"/>
    <w:multiLevelType w:val="hybridMultilevel"/>
    <w:tmpl w:val="23549666"/>
    <w:lvl w:ilvl="0" w:tplc="2F5C3332">
      <w:start w:val="1"/>
      <w:numFmt w:val="bullet"/>
      <w:lvlText w:val=""/>
      <w:lvlJc w:val="left"/>
      <w:pPr>
        <w:ind w:left="360" w:hanging="360"/>
      </w:pPr>
      <w:rPr>
        <w:rFonts w:ascii="Symbol" w:hAnsi="Symbol" w:hint="default"/>
      </w:rPr>
    </w:lvl>
    <w:lvl w:ilvl="1" w:tplc="60F278EA">
      <w:start w:val="1"/>
      <w:numFmt w:val="bullet"/>
      <w:lvlText w:val="o"/>
      <w:lvlJc w:val="left"/>
      <w:pPr>
        <w:ind w:left="1080" w:hanging="360"/>
      </w:pPr>
      <w:rPr>
        <w:rFonts w:ascii="Courier New" w:hAnsi="Courier New" w:cs="Courier New" w:hint="default"/>
      </w:rPr>
    </w:lvl>
    <w:lvl w:ilvl="2" w:tplc="1DD008A6" w:tentative="1">
      <w:start w:val="1"/>
      <w:numFmt w:val="bullet"/>
      <w:lvlText w:val=""/>
      <w:lvlJc w:val="left"/>
      <w:pPr>
        <w:ind w:left="1800" w:hanging="360"/>
      </w:pPr>
      <w:rPr>
        <w:rFonts w:ascii="Wingdings" w:hAnsi="Wingdings" w:hint="default"/>
      </w:rPr>
    </w:lvl>
    <w:lvl w:ilvl="3" w:tplc="0FAA2AE2" w:tentative="1">
      <w:start w:val="1"/>
      <w:numFmt w:val="bullet"/>
      <w:lvlText w:val=""/>
      <w:lvlJc w:val="left"/>
      <w:pPr>
        <w:ind w:left="2520" w:hanging="360"/>
      </w:pPr>
      <w:rPr>
        <w:rFonts w:ascii="Symbol" w:hAnsi="Symbol" w:hint="default"/>
      </w:rPr>
    </w:lvl>
    <w:lvl w:ilvl="4" w:tplc="82FA3448" w:tentative="1">
      <w:start w:val="1"/>
      <w:numFmt w:val="bullet"/>
      <w:lvlText w:val="o"/>
      <w:lvlJc w:val="left"/>
      <w:pPr>
        <w:ind w:left="3240" w:hanging="360"/>
      </w:pPr>
      <w:rPr>
        <w:rFonts w:ascii="Courier New" w:hAnsi="Courier New" w:cs="Courier New" w:hint="default"/>
      </w:rPr>
    </w:lvl>
    <w:lvl w:ilvl="5" w:tplc="230CC490" w:tentative="1">
      <w:start w:val="1"/>
      <w:numFmt w:val="bullet"/>
      <w:lvlText w:val=""/>
      <w:lvlJc w:val="left"/>
      <w:pPr>
        <w:ind w:left="3960" w:hanging="360"/>
      </w:pPr>
      <w:rPr>
        <w:rFonts w:ascii="Wingdings" w:hAnsi="Wingdings" w:hint="default"/>
      </w:rPr>
    </w:lvl>
    <w:lvl w:ilvl="6" w:tplc="4482AA1C" w:tentative="1">
      <w:start w:val="1"/>
      <w:numFmt w:val="bullet"/>
      <w:lvlText w:val=""/>
      <w:lvlJc w:val="left"/>
      <w:pPr>
        <w:ind w:left="4680" w:hanging="360"/>
      </w:pPr>
      <w:rPr>
        <w:rFonts w:ascii="Symbol" w:hAnsi="Symbol" w:hint="default"/>
      </w:rPr>
    </w:lvl>
    <w:lvl w:ilvl="7" w:tplc="A1FCEA42" w:tentative="1">
      <w:start w:val="1"/>
      <w:numFmt w:val="bullet"/>
      <w:lvlText w:val="o"/>
      <w:lvlJc w:val="left"/>
      <w:pPr>
        <w:ind w:left="5400" w:hanging="360"/>
      </w:pPr>
      <w:rPr>
        <w:rFonts w:ascii="Courier New" w:hAnsi="Courier New" w:cs="Courier New" w:hint="default"/>
      </w:rPr>
    </w:lvl>
    <w:lvl w:ilvl="8" w:tplc="8C260248" w:tentative="1">
      <w:start w:val="1"/>
      <w:numFmt w:val="bullet"/>
      <w:lvlText w:val=""/>
      <w:lvlJc w:val="left"/>
      <w:pPr>
        <w:ind w:left="6120" w:hanging="360"/>
      </w:pPr>
      <w:rPr>
        <w:rFonts w:ascii="Wingdings" w:hAnsi="Wingdings" w:hint="default"/>
      </w:rPr>
    </w:lvl>
  </w:abstractNum>
  <w:abstractNum w:abstractNumId="4">
    <w:nsid w:val="13252D2C"/>
    <w:multiLevelType w:val="hybridMultilevel"/>
    <w:tmpl w:val="DD603ACA"/>
    <w:lvl w:ilvl="0" w:tplc="FFFFFFFF">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6E30D8"/>
    <w:multiLevelType w:val="hybridMultilevel"/>
    <w:tmpl w:val="2870AAA6"/>
    <w:lvl w:ilvl="0" w:tplc="FFFFFFFF">
      <w:start w:val="1"/>
      <w:numFmt w:val="lowerLetter"/>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0456C8"/>
    <w:multiLevelType w:val="hybridMultilevel"/>
    <w:tmpl w:val="DD603ACA"/>
    <w:lvl w:ilvl="0" w:tplc="FFFFFFFF">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3383109"/>
    <w:multiLevelType w:val="hybridMultilevel"/>
    <w:tmpl w:val="0C9AC8EE"/>
    <w:lvl w:ilvl="0" w:tplc="102CDC2C">
      <w:start w:val="1"/>
      <w:numFmt w:val="lowerLetter"/>
      <w:lvlText w:val="%1."/>
      <w:lvlJc w:val="left"/>
      <w:pPr>
        <w:ind w:left="720" w:hanging="360"/>
      </w:pPr>
      <w:rPr>
        <w:rFonts w:cs="Times New Roman"/>
      </w:rPr>
    </w:lvl>
    <w:lvl w:ilvl="1" w:tplc="FDE49E86">
      <w:start w:val="1"/>
      <w:numFmt w:val="lowerLetter"/>
      <w:lvlText w:val="%2."/>
      <w:lvlJc w:val="left"/>
      <w:pPr>
        <w:ind w:left="1440" w:hanging="360"/>
      </w:pPr>
      <w:rPr>
        <w:rFonts w:cs="Times New Roman"/>
      </w:rPr>
    </w:lvl>
    <w:lvl w:ilvl="2" w:tplc="F7820186" w:tentative="1">
      <w:start w:val="1"/>
      <w:numFmt w:val="lowerRoman"/>
      <w:lvlText w:val="%3."/>
      <w:lvlJc w:val="right"/>
      <w:pPr>
        <w:ind w:left="2160" w:hanging="180"/>
      </w:pPr>
      <w:rPr>
        <w:rFonts w:cs="Times New Roman"/>
      </w:rPr>
    </w:lvl>
    <w:lvl w:ilvl="3" w:tplc="C068CD3C" w:tentative="1">
      <w:start w:val="1"/>
      <w:numFmt w:val="decimal"/>
      <w:lvlText w:val="%4."/>
      <w:lvlJc w:val="left"/>
      <w:pPr>
        <w:ind w:left="2880" w:hanging="360"/>
      </w:pPr>
      <w:rPr>
        <w:rFonts w:cs="Times New Roman"/>
      </w:rPr>
    </w:lvl>
    <w:lvl w:ilvl="4" w:tplc="EAB0E048" w:tentative="1">
      <w:start w:val="1"/>
      <w:numFmt w:val="lowerLetter"/>
      <w:lvlText w:val="%5."/>
      <w:lvlJc w:val="left"/>
      <w:pPr>
        <w:ind w:left="3600" w:hanging="360"/>
      </w:pPr>
      <w:rPr>
        <w:rFonts w:cs="Times New Roman"/>
      </w:rPr>
    </w:lvl>
    <w:lvl w:ilvl="5" w:tplc="E3E094AC" w:tentative="1">
      <w:start w:val="1"/>
      <w:numFmt w:val="lowerRoman"/>
      <w:lvlText w:val="%6."/>
      <w:lvlJc w:val="right"/>
      <w:pPr>
        <w:ind w:left="4320" w:hanging="180"/>
      </w:pPr>
      <w:rPr>
        <w:rFonts w:cs="Times New Roman"/>
      </w:rPr>
    </w:lvl>
    <w:lvl w:ilvl="6" w:tplc="1384126A" w:tentative="1">
      <w:start w:val="1"/>
      <w:numFmt w:val="decimal"/>
      <w:lvlText w:val="%7."/>
      <w:lvlJc w:val="left"/>
      <w:pPr>
        <w:ind w:left="5040" w:hanging="360"/>
      </w:pPr>
      <w:rPr>
        <w:rFonts w:cs="Times New Roman"/>
      </w:rPr>
    </w:lvl>
    <w:lvl w:ilvl="7" w:tplc="C17434FC" w:tentative="1">
      <w:start w:val="1"/>
      <w:numFmt w:val="lowerLetter"/>
      <w:lvlText w:val="%8."/>
      <w:lvlJc w:val="left"/>
      <w:pPr>
        <w:ind w:left="5760" w:hanging="360"/>
      </w:pPr>
      <w:rPr>
        <w:rFonts w:cs="Times New Roman"/>
      </w:rPr>
    </w:lvl>
    <w:lvl w:ilvl="8" w:tplc="04C09E8E" w:tentative="1">
      <w:start w:val="1"/>
      <w:numFmt w:val="lowerRoman"/>
      <w:lvlText w:val="%9."/>
      <w:lvlJc w:val="right"/>
      <w:pPr>
        <w:ind w:left="6480" w:hanging="180"/>
      </w:pPr>
      <w:rPr>
        <w:rFonts w:cs="Times New Roman"/>
      </w:rPr>
    </w:lvl>
  </w:abstractNum>
  <w:abstractNum w:abstractNumId="9">
    <w:nsid w:val="352514C9"/>
    <w:multiLevelType w:val="hybridMultilevel"/>
    <w:tmpl w:val="0C36B048"/>
    <w:lvl w:ilvl="0" w:tplc="93128F68">
      <w:start w:val="1"/>
      <w:numFmt w:val="bullet"/>
      <w:lvlText w:val=""/>
      <w:lvlJc w:val="left"/>
      <w:pPr>
        <w:ind w:left="360" w:hanging="360"/>
      </w:pPr>
      <w:rPr>
        <w:rFonts w:ascii="Symbol" w:hAnsi="Symbol" w:hint="default"/>
      </w:rPr>
    </w:lvl>
    <w:lvl w:ilvl="1" w:tplc="1D302D58" w:tentative="1">
      <w:start w:val="1"/>
      <w:numFmt w:val="bullet"/>
      <w:lvlText w:val="o"/>
      <w:lvlJc w:val="left"/>
      <w:pPr>
        <w:ind w:left="1080" w:hanging="360"/>
      </w:pPr>
      <w:rPr>
        <w:rFonts w:ascii="Courier New" w:hAnsi="Courier New" w:cs="Courier New" w:hint="default"/>
      </w:rPr>
    </w:lvl>
    <w:lvl w:ilvl="2" w:tplc="F9060552" w:tentative="1">
      <w:start w:val="1"/>
      <w:numFmt w:val="bullet"/>
      <w:lvlText w:val=""/>
      <w:lvlJc w:val="left"/>
      <w:pPr>
        <w:ind w:left="1800" w:hanging="360"/>
      </w:pPr>
      <w:rPr>
        <w:rFonts w:ascii="Wingdings" w:hAnsi="Wingdings" w:hint="default"/>
      </w:rPr>
    </w:lvl>
    <w:lvl w:ilvl="3" w:tplc="69601C3A" w:tentative="1">
      <w:start w:val="1"/>
      <w:numFmt w:val="bullet"/>
      <w:lvlText w:val=""/>
      <w:lvlJc w:val="left"/>
      <w:pPr>
        <w:ind w:left="2520" w:hanging="360"/>
      </w:pPr>
      <w:rPr>
        <w:rFonts w:ascii="Symbol" w:hAnsi="Symbol" w:hint="default"/>
      </w:rPr>
    </w:lvl>
    <w:lvl w:ilvl="4" w:tplc="4AA89F0A" w:tentative="1">
      <w:start w:val="1"/>
      <w:numFmt w:val="bullet"/>
      <w:lvlText w:val="o"/>
      <w:lvlJc w:val="left"/>
      <w:pPr>
        <w:ind w:left="3240" w:hanging="360"/>
      </w:pPr>
      <w:rPr>
        <w:rFonts w:ascii="Courier New" w:hAnsi="Courier New" w:cs="Courier New" w:hint="default"/>
      </w:rPr>
    </w:lvl>
    <w:lvl w:ilvl="5" w:tplc="E7B48302" w:tentative="1">
      <w:start w:val="1"/>
      <w:numFmt w:val="bullet"/>
      <w:lvlText w:val=""/>
      <w:lvlJc w:val="left"/>
      <w:pPr>
        <w:ind w:left="3960" w:hanging="360"/>
      </w:pPr>
      <w:rPr>
        <w:rFonts w:ascii="Wingdings" w:hAnsi="Wingdings" w:hint="default"/>
      </w:rPr>
    </w:lvl>
    <w:lvl w:ilvl="6" w:tplc="5AFA87C0" w:tentative="1">
      <w:start w:val="1"/>
      <w:numFmt w:val="bullet"/>
      <w:lvlText w:val=""/>
      <w:lvlJc w:val="left"/>
      <w:pPr>
        <w:ind w:left="4680" w:hanging="360"/>
      </w:pPr>
      <w:rPr>
        <w:rFonts w:ascii="Symbol" w:hAnsi="Symbol" w:hint="default"/>
      </w:rPr>
    </w:lvl>
    <w:lvl w:ilvl="7" w:tplc="498CFDC2" w:tentative="1">
      <w:start w:val="1"/>
      <w:numFmt w:val="bullet"/>
      <w:lvlText w:val="o"/>
      <w:lvlJc w:val="left"/>
      <w:pPr>
        <w:ind w:left="5400" w:hanging="360"/>
      </w:pPr>
      <w:rPr>
        <w:rFonts w:ascii="Courier New" w:hAnsi="Courier New" w:cs="Courier New" w:hint="default"/>
      </w:rPr>
    </w:lvl>
    <w:lvl w:ilvl="8" w:tplc="8BC478F4" w:tentative="1">
      <w:start w:val="1"/>
      <w:numFmt w:val="bullet"/>
      <w:lvlText w:val=""/>
      <w:lvlJc w:val="left"/>
      <w:pPr>
        <w:ind w:left="6120" w:hanging="360"/>
      </w:pPr>
      <w:rPr>
        <w:rFonts w:ascii="Wingdings" w:hAnsi="Wingdings" w:hint="default"/>
      </w:rPr>
    </w:lvl>
  </w:abstractNum>
  <w:abstractNum w:abstractNumId="1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0B63D5"/>
    <w:multiLevelType w:val="hybridMultilevel"/>
    <w:tmpl w:val="0C9AC8EE"/>
    <w:lvl w:ilvl="0" w:tplc="FFFFFFFF">
      <w:start w:val="1"/>
      <w:numFmt w:val="lowerLetter"/>
      <w:lvlText w:val="%1."/>
      <w:lvlJc w:val="left"/>
      <w:pPr>
        <w:ind w:left="720" w:hanging="360"/>
      </w:pPr>
      <w:rPr>
        <w:rFonts w:cs="Times New Roman"/>
      </w:rPr>
    </w:lvl>
    <w:lvl w:ilvl="1" w:tplc="0409000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DF18B5"/>
    <w:multiLevelType w:val="hybridMultilevel"/>
    <w:tmpl w:val="E95AC4C2"/>
    <w:lvl w:ilvl="0" w:tplc="FFFFFFFF">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8471DC0"/>
    <w:multiLevelType w:val="hybridMultilevel"/>
    <w:tmpl w:val="D354B4E0"/>
    <w:lvl w:ilvl="0" w:tplc="0C090001">
      <w:start w:val="1"/>
      <w:numFmt w:val="bullet"/>
      <w:lvlText w:val=""/>
      <w:lvlJc w:val="left"/>
      <w:pPr>
        <w:ind w:left="19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103AFE"/>
    <w:multiLevelType w:val="hybridMultilevel"/>
    <w:tmpl w:val="0C9AC8EE"/>
    <w:lvl w:ilvl="0" w:tplc="1E5E7B7E">
      <w:start w:val="1"/>
      <w:numFmt w:val="lowerLetter"/>
      <w:lvlText w:val="%1."/>
      <w:lvlJc w:val="left"/>
      <w:pPr>
        <w:ind w:left="720" w:hanging="360"/>
      </w:pPr>
      <w:rPr>
        <w:rFonts w:cs="Times New Roman"/>
      </w:rPr>
    </w:lvl>
    <w:lvl w:ilvl="1" w:tplc="1158DE5C">
      <w:start w:val="1"/>
      <w:numFmt w:val="lowerLetter"/>
      <w:lvlText w:val="%2."/>
      <w:lvlJc w:val="left"/>
      <w:pPr>
        <w:ind w:left="1440" w:hanging="360"/>
      </w:pPr>
      <w:rPr>
        <w:rFonts w:cs="Times New Roman"/>
      </w:rPr>
    </w:lvl>
    <w:lvl w:ilvl="2" w:tplc="20CA3BF0" w:tentative="1">
      <w:start w:val="1"/>
      <w:numFmt w:val="lowerRoman"/>
      <w:lvlText w:val="%3."/>
      <w:lvlJc w:val="right"/>
      <w:pPr>
        <w:ind w:left="2160" w:hanging="180"/>
      </w:pPr>
      <w:rPr>
        <w:rFonts w:cs="Times New Roman"/>
      </w:rPr>
    </w:lvl>
    <w:lvl w:ilvl="3" w:tplc="D626F4AA" w:tentative="1">
      <w:start w:val="1"/>
      <w:numFmt w:val="decimal"/>
      <w:lvlText w:val="%4."/>
      <w:lvlJc w:val="left"/>
      <w:pPr>
        <w:ind w:left="2880" w:hanging="360"/>
      </w:pPr>
      <w:rPr>
        <w:rFonts w:cs="Times New Roman"/>
      </w:rPr>
    </w:lvl>
    <w:lvl w:ilvl="4" w:tplc="B35A0326" w:tentative="1">
      <w:start w:val="1"/>
      <w:numFmt w:val="lowerLetter"/>
      <w:lvlText w:val="%5."/>
      <w:lvlJc w:val="left"/>
      <w:pPr>
        <w:ind w:left="3600" w:hanging="360"/>
      </w:pPr>
      <w:rPr>
        <w:rFonts w:cs="Times New Roman"/>
      </w:rPr>
    </w:lvl>
    <w:lvl w:ilvl="5" w:tplc="41D29726" w:tentative="1">
      <w:start w:val="1"/>
      <w:numFmt w:val="lowerRoman"/>
      <w:lvlText w:val="%6."/>
      <w:lvlJc w:val="right"/>
      <w:pPr>
        <w:ind w:left="4320" w:hanging="180"/>
      </w:pPr>
      <w:rPr>
        <w:rFonts w:cs="Times New Roman"/>
      </w:rPr>
    </w:lvl>
    <w:lvl w:ilvl="6" w:tplc="F384BED8" w:tentative="1">
      <w:start w:val="1"/>
      <w:numFmt w:val="decimal"/>
      <w:lvlText w:val="%7."/>
      <w:lvlJc w:val="left"/>
      <w:pPr>
        <w:ind w:left="5040" w:hanging="360"/>
      </w:pPr>
      <w:rPr>
        <w:rFonts w:cs="Times New Roman"/>
      </w:rPr>
    </w:lvl>
    <w:lvl w:ilvl="7" w:tplc="1A800240" w:tentative="1">
      <w:start w:val="1"/>
      <w:numFmt w:val="lowerLetter"/>
      <w:lvlText w:val="%8."/>
      <w:lvlJc w:val="left"/>
      <w:pPr>
        <w:ind w:left="5760" w:hanging="360"/>
      </w:pPr>
      <w:rPr>
        <w:rFonts w:cs="Times New Roman"/>
      </w:rPr>
    </w:lvl>
    <w:lvl w:ilvl="8" w:tplc="D0D03A80" w:tentative="1">
      <w:start w:val="1"/>
      <w:numFmt w:val="lowerRoman"/>
      <w:lvlText w:val="%9."/>
      <w:lvlJc w:val="right"/>
      <w:pPr>
        <w:ind w:left="6480" w:hanging="180"/>
      </w:pPr>
      <w:rPr>
        <w:rFonts w:cs="Times New Roman"/>
      </w:rPr>
    </w:lvl>
  </w:abstractNum>
  <w:abstractNum w:abstractNumId="15">
    <w:nsid w:val="598C252A"/>
    <w:multiLevelType w:val="hybridMultilevel"/>
    <w:tmpl w:val="DD603ACA"/>
    <w:lvl w:ilvl="0" w:tplc="15641496">
      <w:start w:val="1"/>
      <w:numFmt w:val="lowerLetter"/>
      <w:lvlText w:val="%1."/>
      <w:lvlJc w:val="left"/>
      <w:pPr>
        <w:ind w:left="720" w:hanging="360"/>
      </w:pPr>
      <w:rPr>
        <w:rFonts w:cs="Times New Roman"/>
      </w:rPr>
    </w:lvl>
    <w:lvl w:ilvl="1" w:tplc="240EAF74">
      <w:start w:val="1"/>
      <w:numFmt w:val="lowerLetter"/>
      <w:lvlText w:val="%2."/>
      <w:lvlJc w:val="left"/>
      <w:pPr>
        <w:ind w:left="1440" w:hanging="360"/>
      </w:pPr>
      <w:rPr>
        <w:rFonts w:cs="Times New Roman"/>
      </w:rPr>
    </w:lvl>
    <w:lvl w:ilvl="2" w:tplc="92DA40E4" w:tentative="1">
      <w:start w:val="1"/>
      <w:numFmt w:val="lowerRoman"/>
      <w:lvlText w:val="%3."/>
      <w:lvlJc w:val="right"/>
      <w:pPr>
        <w:ind w:left="2160" w:hanging="180"/>
      </w:pPr>
      <w:rPr>
        <w:rFonts w:cs="Times New Roman"/>
      </w:rPr>
    </w:lvl>
    <w:lvl w:ilvl="3" w:tplc="FA1A5546" w:tentative="1">
      <w:start w:val="1"/>
      <w:numFmt w:val="decimal"/>
      <w:lvlText w:val="%4."/>
      <w:lvlJc w:val="left"/>
      <w:pPr>
        <w:ind w:left="2880" w:hanging="360"/>
      </w:pPr>
      <w:rPr>
        <w:rFonts w:cs="Times New Roman"/>
      </w:rPr>
    </w:lvl>
    <w:lvl w:ilvl="4" w:tplc="EC481098" w:tentative="1">
      <w:start w:val="1"/>
      <w:numFmt w:val="lowerLetter"/>
      <w:lvlText w:val="%5."/>
      <w:lvlJc w:val="left"/>
      <w:pPr>
        <w:ind w:left="3600" w:hanging="360"/>
      </w:pPr>
      <w:rPr>
        <w:rFonts w:cs="Times New Roman"/>
      </w:rPr>
    </w:lvl>
    <w:lvl w:ilvl="5" w:tplc="E71CC952" w:tentative="1">
      <w:start w:val="1"/>
      <w:numFmt w:val="lowerRoman"/>
      <w:lvlText w:val="%6."/>
      <w:lvlJc w:val="right"/>
      <w:pPr>
        <w:ind w:left="4320" w:hanging="180"/>
      </w:pPr>
      <w:rPr>
        <w:rFonts w:cs="Times New Roman"/>
      </w:rPr>
    </w:lvl>
    <w:lvl w:ilvl="6" w:tplc="CD84DBF6" w:tentative="1">
      <w:start w:val="1"/>
      <w:numFmt w:val="decimal"/>
      <w:lvlText w:val="%7."/>
      <w:lvlJc w:val="left"/>
      <w:pPr>
        <w:ind w:left="5040" w:hanging="360"/>
      </w:pPr>
      <w:rPr>
        <w:rFonts w:cs="Times New Roman"/>
      </w:rPr>
    </w:lvl>
    <w:lvl w:ilvl="7" w:tplc="14CE8F6C" w:tentative="1">
      <w:start w:val="1"/>
      <w:numFmt w:val="lowerLetter"/>
      <w:lvlText w:val="%8."/>
      <w:lvlJc w:val="left"/>
      <w:pPr>
        <w:ind w:left="5760" w:hanging="360"/>
      </w:pPr>
      <w:rPr>
        <w:rFonts w:cs="Times New Roman"/>
      </w:rPr>
    </w:lvl>
    <w:lvl w:ilvl="8" w:tplc="B4161C60" w:tentative="1">
      <w:start w:val="1"/>
      <w:numFmt w:val="lowerRoman"/>
      <w:lvlText w:val="%9."/>
      <w:lvlJc w:val="right"/>
      <w:pPr>
        <w:ind w:left="6480" w:hanging="180"/>
      </w:pPr>
      <w:rPr>
        <w:rFonts w:cs="Times New Roman"/>
      </w:rPr>
    </w:lvl>
  </w:abstractNum>
  <w:abstractNum w:abstractNumId="16">
    <w:nsid w:val="5E646B85"/>
    <w:multiLevelType w:val="hybridMultilevel"/>
    <w:tmpl w:val="410CBC94"/>
    <w:lvl w:ilvl="0" w:tplc="0C090019">
      <w:start w:val="1"/>
      <w:numFmt w:val="lowerLetter"/>
      <w:lvlText w:val="%1."/>
      <w:lvlJc w:val="left"/>
      <w:pPr>
        <w:ind w:left="360" w:hanging="360"/>
      </w:pPr>
      <w:rPr>
        <w:rFonts w:hint="default"/>
      </w:rPr>
    </w:lvl>
    <w:lvl w:ilvl="1" w:tplc="60F278EA">
      <w:start w:val="1"/>
      <w:numFmt w:val="bullet"/>
      <w:lvlText w:val="o"/>
      <w:lvlJc w:val="left"/>
      <w:pPr>
        <w:ind w:left="1080" w:hanging="360"/>
      </w:pPr>
      <w:rPr>
        <w:rFonts w:ascii="Courier New" w:hAnsi="Courier New" w:cs="Courier New" w:hint="default"/>
      </w:rPr>
    </w:lvl>
    <w:lvl w:ilvl="2" w:tplc="1DD008A6" w:tentative="1">
      <w:start w:val="1"/>
      <w:numFmt w:val="bullet"/>
      <w:lvlText w:val=""/>
      <w:lvlJc w:val="left"/>
      <w:pPr>
        <w:ind w:left="1800" w:hanging="360"/>
      </w:pPr>
      <w:rPr>
        <w:rFonts w:ascii="Wingdings" w:hAnsi="Wingdings" w:hint="default"/>
      </w:rPr>
    </w:lvl>
    <w:lvl w:ilvl="3" w:tplc="0FAA2AE2" w:tentative="1">
      <w:start w:val="1"/>
      <w:numFmt w:val="bullet"/>
      <w:lvlText w:val=""/>
      <w:lvlJc w:val="left"/>
      <w:pPr>
        <w:ind w:left="2520" w:hanging="360"/>
      </w:pPr>
      <w:rPr>
        <w:rFonts w:ascii="Symbol" w:hAnsi="Symbol" w:hint="default"/>
      </w:rPr>
    </w:lvl>
    <w:lvl w:ilvl="4" w:tplc="82FA3448" w:tentative="1">
      <w:start w:val="1"/>
      <w:numFmt w:val="bullet"/>
      <w:lvlText w:val="o"/>
      <w:lvlJc w:val="left"/>
      <w:pPr>
        <w:ind w:left="3240" w:hanging="360"/>
      </w:pPr>
      <w:rPr>
        <w:rFonts w:ascii="Courier New" w:hAnsi="Courier New" w:cs="Courier New" w:hint="default"/>
      </w:rPr>
    </w:lvl>
    <w:lvl w:ilvl="5" w:tplc="230CC490" w:tentative="1">
      <w:start w:val="1"/>
      <w:numFmt w:val="bullet"/>
      <w:lvlText w:val=""/>
      <w:lvlJc w:val="left"/>
      <w:pPr>
        <w:ind w:left="3960" w:hanging="360"/>
      </w:pPr>
      <w:rPr>
        <w:rFonts w:ascii="Wingdings" w:hAnsi="Wingdings" w:hint="default"/>
      </w:rPr>
    </w:lvl>
    <w:lvl w:ilvl="6" w:tplc="4482AA1C" w:tentative="1">
      <w:start w:val="1"/>
      <w:numFmt w:val="bullet"/>
      <w:lvlText w:val=""/>
      <w:lvlJc w:val="left"/>
      <w:pPr>
        <w:ind w:left="4680" w:hanging="360"/>
      </w:pPr>
      <w:rPr>
        <w:rFonts w:ascii="Symbol" w:hAnsi="Symbol" w:hint="default"/>
      </w:rPr>
    </w:lvl>
    <w:lvl w:ilvl="7" w:tplc="A1FCEA42" w:tentative="1">
      <w:start w:val="1"/>
      <w:numFmt w:val="bullet"/>
      <w:lvlText w:val="o"/>
      <w:lvlJc w:val="left"/>
      <w:pPr>
        <w:ind w:left="5400" w:hanging="360"/>
      </w:pPr>
      <w:rPr>
        <w:rFonts w:ascii="Courier New" w:hAnsi="Courier New" w:cs="Courier New" w:hint="default"/>
      </w:rPr>
    </w:lvl>
    <w:lvl w:ilvl="8" w:tplc="8C260248" w:tentative="1">
      <w:start w:val="1"/>
      <w:numFmt w:val="bullet"/>
      <w:lvlText w:val=""/>
      <w:lvlJc w:val="left"/>
      <w:pPr>
        <w:ind w:left="6120" w:hanging="360"/>
      </w:pPr>
      <w:rPr>
        <w:rFonts w:ascii="Wingdings" w:hAnsi="Wingdings" w:hint="default"/>
      </w:rPr>
    </w:lvl>
  </w:abstractNum>
  <w:abstractNum w:abstractNumId="17">
    <w:nsid w:val="65456429"/>
    <w:multiLevelType w:val="multilevel"/>
    <w:tmpl w:val="38B046E6"/>
    <w:lvl w:ilvl="0">
      <w:start w:val="1"/>
      <w:numFmt w:val="decimal"/>
      <w:pStyle w:val="ListNumber"/>
      <w:lvlText w:val="%1."/>
      <w:lvlJc w:val="left"/>
      <w:pPr>
        <w:ind w:left="369" w:hanging="369"/>
      </w:pPr>
      <w:rPr>
        <w:rFonts w:ascii="Arial" w:hAnsi="Arial" w:hint="default"/>
        <w:i w:val="0"/>
        <w:sz w:val="20"/>
        <w:szCs w:val="20"/>
      </w:rPr>
    </w:lvl>
    <w:lvl w:ilvl="1">
      <w:start w:val="1"/>
      <w:numFmt w:val="lowerLetter"/>
      <w:pStyle w:val="ListNumber2"/>
      <w:lvlText w:val="%2."/>
      <w:lvlJc w:val="left"/>
      <w:pPr>
        <w:ind w:left="738" w:hanging="369"/>
      </w:pPr>
      <w:rPr>
        <w:rFonts w:ascii="Arial" w:hAnsi="Arial" w:cs="Arial" w:hint="default"/>
        <w:i w:val="0"/>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731E23D2"/>
    <w:multiLevelType w:val="hybridMultilevel"/>
    <w:tmpl w:val="B3228E2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nsid w:val="747862F7"/>
    <w:multiLevelType w:val="hybridMultilevel"/>
    <w:tmpl w:val="0C9AC8EE"/>
    <w:lvl w:ilvl="0" w:tplc="1E5E7B7E">
      <w:start w:val="1"/>
      <w:numFmt w:val="lowerLetter"/>
      <w:lvlText w:val="%1."/>
      <w:lvlJc w:val="left"/>
      <w:pPr>
        <w:ind w:left="720" w:hanging="360"/>
      </w:pPr>
      <w:rPr>
        <w:rFonts w:cs="Times New Roman"/>
      </w:rPr>
    </w:lvl>
    <w:lvl w:ilvl="1" w:tplc="1158DE5C">
      <w:start w:val="1"/>
      <w:numFmt w:val="lowerLetter"/>
      <w:lvlText w:val="%2."/>
      <w:lvlJc w:val="left"/>
      <w:pPr>
        <w:ind w:left="1440" w:hanging="360"/>
      </w:pPr>
      <w:rPr>
        <w:rFonts w:cs="Times New Roman"/>
      </w:rPr>
    </w:lvl>
    <w:lvl w:ilvl="2" w:tplc="20CA3BF0" w:tentative="1">
      <w:start w:val="1"/>
      <w:numFmt w:val="lowerRoman"/>
      <w:lvlText w:val="%3."/>
      <w:lvlJc w:val="right"/>
      <w:pPr>
        <w:ind w:left="2160" w:hanging="180"/>
      </w:pPr>
      <w:rPr>
        <w:rFonts w:cs="Times New Roman"/>
      </w:rPr>
    </w:lvl>
    <w:lvl w:ilvl="3" w:tplc="D626F4AA" w:tentative="1">
      <w:start w:val="1"/>
      <w:numFmt w:val="decimal"/>
      <w:lvlText w:val="%4."/>
      <w:lvlJc w:val="left"/>
      <w:pPr>
        <w:ind w:left="2880" w:hanging="360"/>
      </w:pPr>
      <w:rPr>
        <w:rFonts w:cs="Times New Roman"/>
      </w:rPr>
    </w:lvl>
    <w:lvl w:ilvl="4" w:tplc="B35A0326" w:tentative="1">
      <w:start w:val="1"/>
      <w:numFmt w:val="lowerLetter"/>
      <w:lvlText w:val="%5."/>
      <w:lvlJc w:val="left"/>
      <w:pPr>
        <w:ind w:left="3600" w:hanging="360"/>
      </w:pPr>
      <w:rPr>
        <w:rFonts w:cs="Times New Roman"/>
      </w:rPr>
    </w:lvl>
    <w:lvl w:ilvl="5" w:tplc="41D29726" w:tentative="1">
      <w:start w:val="1"/>
      <w:numFmt w:val="lowerRoman"/>
      <w:lvlText w:val="%6."/>
      <w:lvlJc w:val="right"/>
      <w:pPr>
        <w:ind w:left="4320" w:hanging="180"/>
      </w:pPr>
      <w:rPr>
        <w:rFonts w:cs="Times New Roman"/>
      </w:rPr>
    </w:lvl>
    <w:lvl w:ilvl="6" w:tplc="F384BED8" w:tentative="1">
      <w:start w:val="1"/>
      <w:numFmt w:val="decimal"/>
      <w:lvlText w:val="%7."/>
      <w:lvlJc w:val="left"/>
      <w:pPr>
        <w:ind w:left="5040" w:hanging="360"/>
      </w:pPr>
      <w:rPr>
        <w:rFonts w:cs="Times New Roman"/>
      </w:rPr>
    </w:lvl>
    <w:lvl w:ilvl="7" w:tplc="1A800240" w:tentative="1">
      <w:start w:val="1"/>
      <w:numFmt w:val="lowerLetter"/>
      <w:lvlText w:val="%8."/>
      <w:lvlJc w:val="left"/>
      <w:pPr>
        <w:ind w:left="5760" w:hanging="360"/>
      </w:pPr>
      <w:rPr>
        <w:rFonts w:cs="Times New Roman"/>
      </w:rPr>
    </w:lvl>
    <w:lvl w:ilvl="8" w:tplc="D0D03A80" w:tentative="1">
      <w:start w:val="1"/>
      <w:numFmt w:val="lowerRoman"/>
      <w:lvlText w:val="%9."/>
      <w:lvlJc w:val="right"/>
      <w:pPr>
        <w:ind w:left="6480" w:hanging="180"/>
      </w:pPr>
      <w:rPr>
        <w:rFonts w:cs="Times New Roman"/>
      </w:rPr>
    </w:lvl>
  </w:abstractNum>
  <w:abstractNum w:abstractNumId="2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nsid w:val="7B960F4B"/>
    <w:multiLevelType w:val="hybridMultilevel"/>
    <w:tmpl w:val="0C9AC8EE"/>
    <w:lvl w:ilvl="0" w:tplc="102CDC2C">
      <w:start w:val="1"/>
      <w:numFmt w:val="lowerLetter"/>
      <w:lvlText w:val="%1."/>
      <w:lvlJc w:val="left"/>
      <w:pPr>
        <w:ind w:left="720" w:hanging="360"/>
      </w:pPr>
      <w:rPr>
        <w:rFonts w:cs="Times New Roman"/>
      </w:rPr>
    </w:lvl>
    <w:lvl w:ilvl="1" w:tplc="FDE49E86">
      <w:start w:val="1"/>
      <w:numFmt w:val="lowerLetter"/>
      <w:lvlText w:val="%2."/>
      <w:lvlJc w:val="left"/>
      <w:pPr>
        <w:ind w:left="1440" w:hanging="360"/>
      </w:pPr>
      <w:rPr>
        <w:rFonts w:cs="Times New Roman"/>
      </w:rPr>
    </w:lvl>
    <w:lvl w:ilvl="2" w:tplc="F7820186" w:tentative="1">
      <w:start w:val="1"/>
      <w:numFmt w:val="lowerRoman"/>
      <w:lvlText w:val="%3."/>
      <w:lvlJc w:val="right"/>
      <w:pPr>
        <w:ind w:left="2160" w:hanging="180"/>
      </w:pPr>
      <w:rPr>
        <w:rFonts w:cs="Times New Roman"/>
      </w:rPr>
    </w:lvl>
    <w:lvl w:ilvl="3" w:tplc="C068CD3C" w:tentative="1">
      <w:start w:val="1"/>
      <w:numFmt w:val="decimal"/>
      <w:lvlText w:val="%4."/>
      <w:lvlJc w:val="left"/>
      <w:pPr>
        <w:ind w:left="2880" w:hanging="360"/>
      </w:pPr>
      <w:rPr>
        <w:rFonts w:cs="Times New Roman"/>
      </w:rPr>
    </w:lvl>
    <w:lvl w:ilvl="4" w:tplc="EAB0E048" w:tentative="1">
      <w:start w:val="1"/>
      <w:numFmt w:val="lowerLetter"/>
      <w:lvlText w:val="%5."/>
      <w:lvlJc w:val="left"/>
      <w:pPr>
        <w:ind w:left="3600" w:hanging="360"/>
      </w:pPr>
      <w:rPr>
        <w:rFonts w:cs="Times New Roman"/>
      </w:rPr>
    </w:lvl>
    <w:lvl w:ilvl="5" w:tplc="E3E094AC" w:tentative="1">
      <w:start w:val="1"/>
      <w:numFmt w:val="lowerRoman"/>
      <w:lvlText w:val="%6."/>
      <w:lvlJc w:val="right"/>
      <w:pPr>
        <w:ind w:left="4320" w:hanging="180"/>
      </w:pPr>
      <w:rPr>
        <w:rFonts w:cs="Times New Roman"/>
      </w:rPr>
    </w:lvl>
    <w:lvl w:ilvl="6" w:tplc="1384126A" w:tentative="1">
      <w:start w:val="1"/>
      <w:numFmt w:val="decimal"/>
      <w:lvlText w:val="%7."/>
      <w:lvlJc w:val="left"/>
      <w:pPr>
        <w:ind w:left="5040" w:hanging="360"/>
      </w:pPr>
      <w:rPr>
        <w:rFonts w:cs="Times New Roman"/>
      </w:rPr>
    </w:lvl>
    <w:lvl w:ilvl="7" w:tplc="C17434FC" w:tentative="1">
      <w:start w:val="1"/>
      <w:numFmt w:val="lowerLetter"/>
      <w:lvlText w:val="%8."/>
      <w:lvlJc w:val="left"/>
      <w:pPr>
        <w:ind w:left="5760" w:hanging="360"/>
      </w:pPr>
      <w:rPr>
        <w:rFonts w:cs="Times New Roman"/>
      </w:rPr>
    </w:lvl>
    <w:lvl w:ilvl="8" w:tplc="04C09E8E" w:tentative="1">
      <w:start w:val="1"/>
      <w:numFmt w:val="lowerRoman"/>
      <w:lvlText w:val="%9."/>
      <w:lvlJc w:val="right"/>
      <w:pPr>
        <w:ind w:left="6480" w:hanging="180"/>
      </w:pPr>
      <w:rPr>
        <w:rFonts w:cs="Times New Roman"/>
      </w:rPr>
    </w:lvl>
  </w:abstractNum>
  <w:abstractNum w:abstractNumId="22">
    <w:nsid w:val="7D2A09FA"/>
    <w:multiLevelType w:val="hybridMultilevel"/>
    <w:tmpl w:val="E242AD80"/>
    <w:lvl w:ilvl="0" w:tplc="0C09001B">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20"/>
  </w:num>
  <w:num w:numId="2">
    <w:abstractNumId w:val="2"/>
  </w:num>
  <w:num w:numId="3">
    <w:abstractNumId w:val="10"/>
  </w:num>
  <w:num w:numId="4">
    <w:abstractNumId w:val="7"/>
  </w:num>
  <w:num w:numId="5">
    <w:abstractNumId w:val="17"/>
  </w:num>
  <w:num w:numId="6">
    <w:abstractNumId w:val="13"/>
  </w:num>
  <w:num w:numId="7">
    <w:abstractNumId w:val="3"/>
  </w:num>
  <w:num w:numId="8">
    <w:abstractNumId w:val="9"/>
  </w:num>
  <w:num w:numId="9">
    <w:abstractNumId w:val="15"/>
  </w:num>
  <w:num w:numId="10">
    <w:abstractNumId w:val="4"/>
  </w:num>
  <w:num w:numId="11">
    <w:abstractNumId w:val="6"/>
  </w:num>
  <w:num w:numId="12">
    <w:abstractNumId w:val="21"/>
  </w:num>
  <w:num w:numId="13">
    <w:abstractNumId w:val="19"/>
  </w:num>
  <w:num w:numId="14">
    <w:abstractNumId w:val="22"/>
  </w:num>
  <w:num w:numId="15">
    <w:abstractNumId w:val="17"/>
  </w:num>
  <w:num w:numId="16">
    <w:abstractNumId w:val="8"/>
  </w:num>
  <w:num w:numId="17">
    <w:abstractNumId w:val="12"/>
  </w:num>
  <w:num w:numId="18">
    <w:abstractNumId w:val="17"/>
  </w:num>
  <w:num w:numId="19">
    <w:abstractNumId w:val="0"/>
  </w:num>
  <w:num w:numId="20">
    <w:abstractNumId w:val="7"/>
  </w:num>
  <w:num w:numId="21">
    <w:abstractNumId w:val="1"/>
  </w:num>
  <w:num w:numId="22">
    <w:abstractNumId w:val="18"/>
  </w:num>
  <w:num w:numId="23">
    <w:abstractNumId w:val="5"/>
  </w:num>
  <w:num w:numId="24">
    <w:abstractNumId w:val="17"/>
  </w:num>
  <w:num w:numId="25">
    <w:abstractNumId w:val="7"/>
  </w:num>
  <w:num w:numId="26">
    <w:abstractNumId w:val="17"/>
  </w:num>
  <w:num w:numId="27">
    <w:abstractNumId w:val="17"/>
  </w:num>
  <w:num w:numId="28">
    <w:abstractNumId w:val="17"/>
  </w:num>
  <w:num w:numId="29">
    <w:abstractNumId w:val="16"/>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1"/>
  </w:num>
  <w:num w:numId="37">
    <w:abstractNumId w:val="7"/>
  </w:num>
  <w:num w:numId="3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7"/>
  </w:num>
  <w:num w:numId="41">
    <w:abstractNumId w:val="17"/>
  </w:num>
  <w:num w:numId="42">
    <w:abstractNumId w:val="17"/>
  </w:num>
  <w:num w:numId="43">
    <w:abstractNumId w:val="14"/>
  </w:num>
  <w:num w:numId="44">
    <w:abstractNumId w:val="17"/>
  </w:num>
  <w:num w:numId="45">
    <w:abstractNumId w:val="17"/>
  </w:num>
  <w:num w:numId="46">
    <w:abstractNumId w:val="17"/>
  </w:num>
  <w:num w:numId="47">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41275D"/>
    <w:rsid w:val="00004AEE"/>
    <w:rsid w:val="00005CAA"/>
    <w:rsid w:val="00010210"/>
    <w:rsid w:val="00012D66"/>
    <w:rsid w:val="00015ADA"/>
    <w:rsid w:val="00020C99"/>
    <w:rsid w:val="0002707B"/>
    <w:rsid w:val="00031B32"/>
    <w:rsid w:val="00042813"/>
    <w:rsid w:val="00050990"/>
    <w:rsid w:val="0005148E"/>
    <w:rsid w:val="000547F0"/>
    <w:rsid w:val="000626BB"/>
    <w:rsid w:val="00062A46"/>
    <w:rsid w:val="00072A99"/>
    <w:rsid w:val="000759E5"/>
    <w:rsid w:val="0007601C"/>
    <w:rsid w:val="00076D3B"/>
    <w:rsid w:val="00084AC6"/>
    <w:rsid w:val="00091608"/>
    <w:rsid w:val="0009196E"/>
    <w:rsid w:val="00091D2A"/>
    <w:rsid w:val="00092F92"/>
    <w:rsid w:val="0009333C"/>
    <w:rsid w:val="0009384D"/>
    <w:rsid w:val="0009704F"/>
    <w:rsid w:val="000A0F11"/>
    <w:rsid w:val="000A125A"/>
    <w:rsid w:val="000A228F"/>
    <w:rsid w:val="000A29BC"/>
    <w:rsid w:val="000A57CD"/>
    <w:rsid w:val="000B2FF3"/>
    <w:rsid w:val="000B3758"/>
    <w:rsid w:val="000B4BD4"/>
    <w:rsid w:val="000B7681"/>
    <w:rsid w:val="000B7B42"/>
    <w:rsid w:val="000C02B7"/>
    <w:rsid w:val="000C2814"/>
    <w:rsid w:val="000C451B"/>
    <w:rsid w:val="000C5342"/>
    <w:rsid w:val="000C60A7"/>
    <w:rsid w:val="000C706A"/>
    <w:rsid w:val="000D2767"/>
    <w:rsid w:val="000D2887"/>
    <w:rsid w:val="000D6D63"/>
    <w:rsid w:val="000D706B"/>
    <w:rsid w:val="000D7810"/>
    <w:rsid w:val="000E0081"/>
    <w:rsid w:val="000E07CF"/>
    <w:rsid w:val="000E360F"/>
    <w:rsid w:val="000E58DA"/>
    <w:rsid w:val="000E60AA"/>
    <w:rsid w:val="000E73DE"/>
    <w:rsid w:val="000F5BCE"/>
    <w:rsid w:val="00100BEF"/>
    <w:rsid w:val="0010234B"/>
    <w:rsid w:val="00102E17"/>
    <w:rsid w:val="00103936"/>
    <w:rsid w:val="001128A8"/>
    <w:rsid w:val="0011498E"/>
    <w:rsid w:val="00116F28"/>
    <w:rsid w:val="00117A45"/>
    <w:rsid w:val="001224AE"/>
    <w:rsid w:val="00123035"/>
    <w:rsid w:val="001302EC"/>
    <w:rsid w:val="001337D4"/>
    <w:rsid w:val="001340EA"/>
    <w:rsid w:val="00144C32"/>
    <w:rsid w:val="00145380"/>
    <w:rsid w:val="00147C12"/>
    <w:rsid w:val="00147EFC"/>
    <w:rsid w:val="001527A1"/>
    <w:rsid w:val="001530DC"/>
    <w:rsid w:val="001539AF"/>
    <w:rsid w:val="001540D5"/>
    <w:rsid w:val="00154989"/>
    <w:rsid w:val="001553CF"/>
    <w:rsid w:val="00155A9F"/>
    <w:rsid w:val="0015684F"/>
    <w:rsid w:val="00160262"/>
    <w:rsid w:val="0016186F"/>
    <w:rsid w:val="0016281C"/>
    <w:rsid w:val="0016433A"/>
    <w:rsid w:val="00165FC3"/>
    <w:rsid w:val="0016780A"/>
    <w:rsid w:val="001713FA"/>
    <w:rsid w:val="00173EBF"/>
    <w:rsid w:val="001765DA"/>
    <w:rsid w:val="001842A2"/>
    <w:rsid w:val="00185039"/>
    <w:rsid w:val="00185407"/>
    <w:rsid w:val="00187FA8"/>
    <w:rsid w:val="00191E1B"/>
    <w:rsid w:val="001922D0"/>
    <w:rsid w:val="00192F5E"/>
    <w:rsid w:val="00197772"/>
    <w:rsid w:val="001A45CC"/>
    <w:rsid w:val="001A51C8"/>
    <w:rsid w:val="001B472B"/>
    <w:rsid w:val="001B4CA8"/>
    <w:rsid w:val="001B5AA3"/>
    <w:rsid w:val="001C2A92"/>
    <w:rsid w:val="001C3054"/>
    <w:rsid w:val="001C46C2"/>
    <w:rsid w:val="001C4F3D"/>
    <w:rsid w:val="001C7583"/>
    <w:rsid w:val="001D0CDC"/>
    <w:rsid w:val="001D1D82"/>
    <w:rsid w:val="001E1182"/>
    <w:rsid w:val="001F0E8B"/>
    <w:rsid w:val="00200944"/>
    <w:rsid w:val="002011F3"/>
    <w:rsid w:val="00201679"/>
    <w:rsid w:val="00202387"/>
    <w:rsid w:val="00202C90"/>
    <w:rsid w:val="00213DE8"/>
    <w:rsid w:val="00216118"/>
    <w:rsid w:val="002209AB"/>
    <w:rsid w:val="002251E3"/>
    <w:rsid w:val="002262E6"/>
    <w:rsid w:val="00227A95"/>
    <w:rsid w:val="002316BD"/>
    <w:rsid w:val="002336F3"/>
    <w:rsid w:val="00237137"/>
    <w:rsid w:val="00243195"/>
    <w:rsid w:val="00246CF4"/>
    <w:rsid w:val="002473FC"/>
    <w:rsid w:val="00252E3C"/>
    <w:rsid w:val="00262198"/>
    <w:rsid w:val="00280EF6"/>
    <w:rsid w:val="00284841"/>
    <w:rsid w:val="00285F1B"/>
    <w:rsid w:val="00292B7D"/>
    <w:rsid w:val="00292B81"/>
    <w:rsid w:val="0029322E"/>
    <w:rsid w:val="00296477"/>
    <w:rsid w:val="002974BC"/>
    <w:rsid w:val="002A1C42"/>
    <w:rsid w:val="002A5EC3"/>
    <w:rsid w:val="002A6203"/>
    <w:rsid w:val="002A6BFF"/>
    <w:rsid w:val="002B18AE"/>
    <w:rsid w:val="002B6472"/>
    <w:rsid w:val="002B67D3"/>
    <w:rsid w:val="002C1C93"/>
    <w:rsid w:val="002C3738"/>
    <w:rsid w:val="002C5066"/>
    <w:rsid w:val="002D1077"/>
    <w:rsid w:val="002D4AAC"/>
    <w:rsid w:val="002D6C33"/>
    <w:rsid w:val="002E48F4"/>
    <w:rsid w:val="002F045A"/>
    <w:rsid w:val="002F27B3"/>
    <w:rsid w:val="002F4348"/>
    <w:rsid w:val="0030039D"/>
    <w:rsid w:val="00300715"/>
    <w:rsid w:val="00300A53"/>
    <w:rsid w:val="0030326F"/>
    <w:rsid w:val="00310701"/>
    <w:rsid w:val="00311510"/>
    <w:rsid w:val="003138AC"/>
    <w:rsid w:val="00315980"/>
    <w:rsid w:val="00315E8C"/>
    <w:rsid w:val="00316F7F"/>
    <w:rsid w:val="00317889"/>
    <w:rsid w:val="00317DA3"/>
    <w:rsid w:val="00320162"/>
    <w:rsid w:val="0032087E"/>
    <w:rsid w:val="003218E8"/>
    <w:rsid w:val="00330DCE"/>
    <w:rsid w:val="00331E11"/>
    <w:rsid w:val="00334761"/>
    <w:rsid w:val="00337EBC"/>
    <w:rsid w:val="0034033E"/>
    <w:rsid w:val="00341DCD"/>
    <w:rsid w:val="0034504D"/>
    <w:rsid w:val="0034563E"/>
    <w:rsid w:val="003504CC"/>
    <w:rsid w:val="003518D6"/>
    <w:rsid w:val="00353B56"/>
    <w:rsid w:val="0035460C"/>
    <w:rsid w:val="003556BD"/>
    <w:rsid w:val="00365147"/>
    <w:rsid w:val="00366673"/>
    <w:rsid w:val="0037016E"/>
    <w:rsid w:val="00370E55"/>
    <w:rsid w:val="00372908"/>
    <w:rsid w:val="003748A4"/>
    <w:rsid w:val="00376457"/>
    <w:rsid w:val="00381917"/>
    <w:rsid w:val="00383020"/>
    <w:rsid w:val="00387655"/>
    <w:rsid w:val="00395AAC"/>
    <w:rsid w:val="003967F4"/>
    <w:rsid w:val="003975FD"/>
    <w:rsid w:val="003A0593"/>
    <w:rsid w:val="003A751D"/>
    <w:rsid w:val="003B3548"/>
    <w:rsid w:val="003B60CC"/>
    <w:rsid w:val="003B6209"/>
    <w:rsid w:val="003C1B25"/>
    <w:rsid w:val="003C2443"/>
    <w:rsid w:val="003C31E0"/>
    <w:rsid w:val="003C37EA"/>
    <w:rsid w:val="003C5DA3"/>
    <w:rsid w:val="003C6D53"/>
    <w:rsid w:val="003D4BCD"/>
    <w:rsid w:val="003D5429"/>
    <w:rsid w:val="003E01D8"/>
    <w:rsid w:val="003E2100"/>
    <w:rsid w:val="003E2BDB"/>
    <w:rsid w:val="003E45FA"/>
    <w:rsid w:val="003E53CA"/>
    <w:rsid w:val="003E5ED5"/>
    <w:rsid w:val="003E76A1"/>
    <w:rsid w:val="003F0CB7"/>
    <w:rsid w:val="003F6F5B"/>
    <w:rsid w:val="0040342D"/>
    <w:rsid w:val="00403FB9"/>
    <w:rsid w:val="0040422F"/>
    <w:rsid w:val="00405E1C"/>
    <w:rsid w:val="00407536"/>
    <w:rsid w:val="0041192D"/>
    <w:rsid w:val="0041275D"/>
    <w:rsid w:val="00413EE1"/>
    <w:rsid w:val="0042128E"/>
    <w:rsid w:val="00423748"/>
    <w:rsid w:val="0042465A"/>
    <w:rsid w:val="00432B60"/>
    <w:rsid w:val="004333E6"/>
    <w:rsid w:val="00437340"/>
    <w:rsid w:val="00440698"/>
    <w:rsid w:val="00450B7E"/>
    <w:rsid w:val="004540E2"/>
    <w:rsid w:val="00454454"/>
    <w:rsid w:val="00460C28"/>
    <w:rsid w:val="00467924"/>
    <w:rsid w:val="004712A5"/>
    <w:rsid w:val="004722CA"/>
    <w:rsid w:val="0047266F"/>
    <w:rsid w:val="00476D6B"/>
    <w:rsid w:val="004861E6"/>
    <w:rsid w:val="0049013A"/>
    <w:rsid w:val="00492C16"/>
    <w:rsid w:val="0049340E"/>
    <w:rsid w:val="00496011"/>
    <w:rsid w:val="004A0678"/>
    <w:rsid w:val="004A2FB5"/>
    <w:rsid w:val="004A48A3"/>
    <w:rsid w:val="004B0D92"/>
    <w:rsid w:val="004B0EC0"/>
    <w:rsid w:val="004B1F53"/>
    <w:rsid w:val="004B32B2"/>
    <w:rsid w:val="004B66F1"/>
    <w:rsid w:val="004C08B4"/>
    <w:rsid w:val="004C1698"/>
    <w:rsid w:val="004C3B7B"/>
    <w:rsid w:val="004C3EA0"/>
    <w:rsid w:val="004C7B7E"/>
    <w:rsid w:val="004D7CAF"/>
    <w:rsid w:val="004E0FEC"/>
    <w:rsid w:val="004E3662"/>
    <w:rsid w:val="004F0295"/>
    <w:rsid w:val="004F0A11"/>
    <w:rsid w:val="004F3D69"/>
    <w:rsid w:val="004F7169"/>
    <w:rsid w:val="00500D66"/>
    <w:rsid w:val="005036A6"/>
    <w:rsid w:val="00511E3E"/>
    <w:rsid w:val="00514C8E"/>
    <w:rsid w:val="00515849"/>
    <w:rsid w:val="00517F35"/>
    <w:rsid w:val="00523A57"/>
    <w:rsid w:val="00523ED3"/>
    <w:rsid w:val="00531DBF"/>
    <w:rsid w:val="005337FC"/>
    <w:rsid w:val="00545759"/>
    <w:rsid w:val="00545BE0"/>
    <w:rsid w:val="005532E3"/>
    <w:rsid w:val="00554C6A"/>
    <w:rsid w:val="00557030"/>
    <w:rsid w:val="00562E85"/>
    <w:rsid w:val="0056332F"/>
    <w:rsid w:val="005719D4"/>
    <w:rsid w:val="00581C39"/>
    <w:rsid w:val="005834A4"/>
    <w:rsid w:val="005840E7"/>
    <w:rsid w:val="00584F6B"/>
    <w:rsid w:val="005903B6"/>
    <w:rsid w:val="00592B20"/>
    <w:rsid w:val="00593972"/>
    <w:rsid w:val="005A0247"/>
    <w:rsid w:val="005A126E"/>
    <w:rsid w:val="005A452F"/>
    <w:rsid w:val="005A703F"/>
    <w:rsid w:val="005B140D"/>
    <w:rsid w:val="005B538F"/>
    <w:rsid w:val="005C1FEA"/>
    <w:rsid w:val="005C2BB7"/>
    <w:rsid w:val="005C32CD"/>
    <w:rsid w:val="005C3495"/>
    <w:rsid w:val="005C3785"/>
    <w:rsid w:val="005C5385"/>
    <w:rsid w:val="005D2EC2"/>
    <w:rsid w:val="005E13EA"/>
    <w:rsid w:val="005E15E0"/>
    <w:rsid w:val="005E3889"/>
    <w:rsid w:val="005E3DFC"/>
    <w:rsid w:val="005E60AF"/>
    <w:rsid w:val="005E7B4E"/>
    <w:rsid w:val="005F1DEA"/>
    <w:rsid w:val="005F378A"/>
    <w:rsid w:val="005F4932"/>
    <w:rsid w:val="005F7CFC"/>
    <w:rsid w:val="00600490"/>
    <w:rsid w:val="006021A6"/>
    <w:rsid w:val="00602FCB"/>
    <w:rsid w:val="00607FC9"/>
    <w:rsid w:val="00610955"/>
    <w:rsid w:val="0061490C"/>
    <w:rsid w:val="00616861"/>
    <w:rsid w:val="00622FE1"/>
    <w:rsid w:val="0062521C"/>
    <w:rsid w:val="00626FCF"/>
    <w:rsid w:val="00630A2B"/>
    <w:rsid w:val="00630BA2"/>
    <w:rsid w:val="0063283F"/>
    <w:rsid w:val="00632DC7"/>
    <w:rsid w:val="00633896"/>
    <w:rsid w:val="006357FB"/>
    <w:rsid w:val="00636BD2"/>
    <w:rsid w:val="006406FC"/>
    <w:rsid w:val="0064407B"/>
    <w:rsid w:val="00646122"/>
    <w:rsid w:val="00653E16"/>
    <w:rsid w:val="00657220"/>
    <w:rsid w:val="0066104B"/>
    <w:rsid w:val="00661419"/>
    <w:rsid w:val="006655EE"/>
    <w:rsid w:val="00667C10"/>
    <w:rsid w:val="00667EF4"/>
    <w:rsid w:val="00672B85"/>
    <w:rsid w:val="00673B97"/>
    <w:rsid w:val="00674772"/>
    <w:rsid w:val="00674E59"/>
    <w:rsid w:val="00676F8E"/>
    <w:rsid w:val="00676FCA"/>
    <w:rsid w:val="00677177"/>
    <w:rsid w:val="0068056B"/>
    <w:rsid w:val="0068612E"/>
    <w:rsid w:val="00687858"/>
    <w:rsid w:val="00687C92"/>
    <w:rsid w:val="006903B7"/>
    <w:rsid w:val="00690782"/>
    <w:rsid w:val="00693A26"/>
    <w:rsid w:val="0069534E"/>
    <w:rsid w:val="00696365"/>
    <w:rsid w:val="0069669C"/>
    <w:rsid w:val="006A1200"/>
    <w:rsid w:val="006A2C5A"/>
    <w:rsid w:val="006A30A6"/>
    <w:rsid w:val="006A4F4E"/>
    <w:rsid w:val="006B14DB"/>
    <w:rsid w:val="006B21C4"/>
    <w:rsid w:val="006B5F1E"/>
    <w:rsid w:val="006C4A1A"/>
    <w:rsid w:val="006C6777"/>
    <w:rsid w:val="006C7DAD"/>
    <w:rsid w:val="006D0393"/>
    <w:rsid w:val="006D19E2"/>
    <w:rsid w:val="006D1A83"/>
    <w:rsid w:val="006D5D1E"/>
    <w:rsid w:val="006E1CFE"/>
    <w:rsid w:val="006E31A2"/>
    <w:rsid w:val="006E6D10"/>
    <w:rsid w:val="006F10C4"/>
    <w:rsid w:val="006F40E9"/>
    <w:rsid w:val="006F5603"/>
    <w:rsid w:val="006F5E6A"/>
    <w:rsid w:val="00701400"/>
    <w:rsid w:val="007037CF"/>
    <w:rsid w:val="00703BB8"/>
    <w:rsid w:val="00703F6D"/>
    <w:rsid w:val="00706A6E"/>
    <w:rsid w:val="0071283F"/>
    <w:rsid w:val="00712EC7"/>
    <w:rsid w:val="00716583"/>
    <w:rsid w:val="007167C0"/>
    <w:rsid w:val="007203C3"/>
    <w:rsid w:val="00720481"/>
    <w:rsid w:val="00721642"/>
    <w:rsid w:val="0072510B"/>
    <w:rsid w:val="00727C18"/>
    <w:rsid w:val="00727E2F"/>
    <w:rsid w:val="00733193"/>
    <w:rsid w:val="00737CBA"/>
    <w:rsid w:val="00752FF8"/>
    <w:rsid w:val="00754C17"/>
    <w:rsid w:val="0075732A"/>
    <w:rsid w:val="00757971"/>
    <w:rsid w:val="00760262"/>
    <w:rsid w:val="0076310C"/>
    <w:rsid w:val="0076744F"/>
    <w:rsid w:val="007675B9"/>
    <w:rsid w:val="00767BCE"/>
    <w:rsid w:val="00767EFC"/>
    <w:rsid w:val="007707DE"/>
    <w:rsid w:val="00770B5D"/>
    <w:rsid w:val="007752F1"/>
    <w:rsid w:val="00776768"/>
    <w:rsid w:val="00782D61"/>
    <w:rsid w:val="00785288"/>
    <w:rsid w:val="00786A64"/>
    <w:rsid w:val="00787F22"/>
    <w:rsid w:val="00791024"/>
    <w:rsid w:val="007921C6"/>
    <w:rsid w:val="00794818"/>
    <w:rsid w:val="007A2573"/>
    <w:rsid w:val="007A3B9C"/>
    <w:rsid w:val="007A6D8E"/>
    <w:rsid w:val="007B106C"/>
    <w:rsid w:val="007B1A4E"/>
    <w:rsid w:val="007B3D05"/>
    <w:rsid w:val="007B4EB3"/>
    <w:rsid w:val="007B5503"/>
    <w:rsid w:val="007B7C3E"/>
    <w:rsid w:val="007C6BB3"/>
    <w:rsid w:val="007D14B4"/>
    <w:rsid w:val="007D3AD7"/>
    <w:rsid w:val="007D6A0C"/>
    <w:rsid w:val="007E24F6"/>
    <w:rsid w:val="007F366E"/>
    <w:rsid w:val="00800F64"/>
    <w:rsid w:val="008025D5"/>
    <w:rsid w:val="00802F0B"/>
    <w:rsid w:val="00803ABB"/>
    <w:rsid w:val="008101B8"/>
    <w:rsid w:val="00810A67"/>
    <w:rsid w:val="0081315B"/>
    <w:rsid w:val="00826D73"/>
    <w:rsid w:val="00830C90"/>
    <w:rsid w:val="00833CF7"/>
    <w:rsid w:val="00843E18"/>
    <w:rsid w:val="00845601"/>
    <w:rsid w:val="008524B9"/>
    <w:rsid w:val="00855C5C"/>
    <w:rsid w:val="00855DCA"/>
    <w:rsid w:val="0086233C"/>
    <w:rsid w:val="00865CFA"/>
    <w:rsid w:val="0087616B"/>
    <w:rsid w:val="00883CE7"/>
    <w:rsid w:val="00886E97"/>
    <w:rsid w:val="008A187F"/>
    <w:rsid w:val="008A3C96"/>
    <w:rsid w:val="008B0BBA"/>
    <w:rsid w:val="008B1627"/>
    <w:rsid w:val="008B4019"/>
    <w:rsid w:val="008B505F"/>
    <w:rsid w:val="008B65C9"/>
    <w:rsid w:val="008C2D4A"/>
    <w:rsid w:val="008C6A05"/>
    <w:rsid w:val="008C7DBB"/>
    <w:rsid w:val="008D068F"/>
    <w:rsid w:val="008D09B3"/>
    <w:rsid w:val="008D3900"/>
    <w:rsid w:val="008D6E1D"/>
    <w:rsid w:val="008D6EDB"/>
    <w:rsid w:val="008E36FE"/>
    <w:rsid w:val="008E48F9"/>
    <w:rsid w:val="008F029B"/>
    <w:rsid w:val="008F39B4"/>
    <w:rsid w:val="008F4162"/>
    <w:rsid w:val="008F4E5B"/>
    <w:rsid w:val="008F5830"/>
    <w:rsid w:val="00902630"/>
    <w:rsid w:val="00903E02"/>
    <w:rsid w:val="00905607"/>
    <w:rsid w:val="00913175"/>
    <w:rsid w:val="00916EDB"/>
    <w:rsid w:val="00920861"/>
    <w:rsid w:val="00922B13"/>
    <w:rsid w:val="009242EF"/>
    <w:rsid w:val="00924AB9"/>
    <w:rsid w:val="009266A8"/>
    <w:rsid w:val="0092714B"/>
    <w:rsid w:val="00932291"/>
    <w:rsid w:val="00933B1B"/>
    <w:rsid w:val="0093408E"/>
    <w:rsid w:val="00940467"/>
    <w:rsid w:val="00947507"/>
    <w:rsid w:val="00952DDF"/>
    <w:rsid w:val="00952EC4"/>
    <w:rsid w:val="00970104"/>
    <w:rsid w:val="00972423"/>
    <w:rsid w:val="0097775A"/>
    <w:rsid w:val="009812D4"/>
    <w:rsid w:val="00982653"/>
    <w:rsid w:val="00984BC5"/>
    <w:rsid w:val="009873F4"/>
    <w:rsid w:val="00991648"/>
    <w:rsid w:val="009920D8"/>
    <w:rsid w:val="009A371F"/>
    <w:rsid w:val="009B38BE"/>
    <w:rsid w:val="009B4556"/>
    <w:rsid w:val="009B5C2C"/>
    <w:rsid w:val="009B682F"/>
    <w:rsid w:val="009B7F9E"/>
    <w:rsid w:val="009C3D0F"/>
    <w:rsid w:val="009D6232"/>
    <w:rsid w:val="009D748A"/>
    <w:rsid w:val="009E1B19"/>
    <w:rsid w:val="009E1D6D"/>
    <w:rsid w:val="009E67BE"/>
    <w:rsid w:val="009E7480"/>
    <w:rsid w:val="009F35E2"/>
    <w:rsid w:val="009F438B"/>
    <w:rsid w:val="009F65F9"/>
    <w:rsid w:val="009F68BA"/>
    <w:rsid w:val="009F73B2"/>
    <w:rsid w:val="009F7E18"/>
    <w:rsid w:val="00A06277"/>
    <w:rsid w:val="00A079DC"/>
    <w:rsid w:val="00A1029E"/>
    <w:rsid w:val="00A10BAB"/>
    <w:rsid w:val="00A111C2"/>
    <w:rsid w:val="00A17C39"/>
    <w:rsid w:val="00A21440"/>
    <w:rsid w:val="00A238AA"/>
    <w:rsid w:val="00A338E7"/>
    <w:rsid w:val="00A35CAA"/>
    <w:rsid w:val="00A36E7F"/>
    <w:rsid w:val="00A41E65"/>
    <w:rsid w:val="00A426F9"/>
    <w:rsid w:val="00A43517"/>
    <w:rsid w:val="00A43E0A"/>
    <w:rsid w:val="00A46247"/>
    <w:rsid w:val="00A47F07"/>
    <w:rsid w:val="00A51A48"/>
    <w:rsid w:val="00A530C7"/>
    <w:rsid w:val="00A55F5B"/>
    <w:rsid w:val="00A60185"/>
    <w:rsid w:val="00A661EA"/>
    <w:rsid w:val="00A66263"/>
    <w:rsid w:val="00A6775C"/>
    <w:rsid w:val="00A70A6C"/>
    <w:rsid w:val="00A7333A"/>
    <w:rsid w:val="00A81750"/>
    <w:rsid w:val="00A830E5"/>
    <w:rsid w:val="00A83482"/>
    <w:rsid w:val="00A84BF3"/>
    <w:rsid w:val="00A86657"/>
    <w:rsid w:val="00A87135"/>
    <w:rsid w:val="00A93280"/>
    <w:rsid w:val="00A93C73"/>
    <w:rsid w:val="00A951EA"/>
    <w:rsid w:val="00A961A6"/>
    <w:rsid w:val="00A9738D"/>
    <w:rsid w:val="00A973E1"/>
    <w:rsid w:val="00A97F71"/>
    <w:rsid w:val="00AA1C65"/>
    <w:rsid w:val="00AA2548"/>
    <w:rsid w:val="00AA3B6E"/>
    <w:rsid w:val="00AA4F8E"/>
    <w:rsid w:val="00AA58C4"/>
    <w:rsid w:val="00AB11C8"/>
    <w:rsid w:val="00AB2248"/>
    <w:rsid w:val="00AB3EB5"/>
    <w:rsid w:val="00AB68B4"/>
    <w:rsid w:val="00AC08A8"/>
    <w:rsid w:val="00AC42DE"/>
    <w:rsid w:val="00AD56C8"/>
    <w:rsid w:val="00AD58F2"/>
    <w:rsid w:val="00AD6881"/>
    <w:rsid w:val="00AF3BC8"/>
    <w:rsid w:val="00AF5EA3"/>
    <w:rsid w:val="00AF6573"/>
    <w:rsid w:val="00AF7690"/>
    <w:rsid w:val="00B0512A"/>
    <w:rsid w:val="00B0529F"/>
    <w:rsid w:val="00B0564B"/>
    <w:rsid w:val="00B056D3"/>
    <w:rsid w:val="00B05D52"/>
    <w:rsid w:val="00B1418B"/>
    <w:rsid w:val="00B151A0"/>
    <w:rsid w:val="00B1520C"/>
    <w:rsid w:val="00B1560E"/>
    <w:rsid w:val="00B21195"/>
    <w:rsid w:val="00B22B3D"/>
    <w:rsid w:val="00B23C77"/>
    <w:rsid w:val="00B24B22"/>
    <w:rsid w:val="00B25310"/>
    <w:rsid w:val="00B27BF9"/>
    <w:rsid w:val="00B32F8F"/>
    <w:rsid w:val="00B448CB"/>
    <w:rsid w:val="00B460B8"/>
    <w:rsid w:val="00B4690F"/>
    <w:rsid w:val="00B47C42"/>
    <w:rsid w:val="00B510B1"/>
    <w:rsid w:val="00B54378"/>
    <w:rsid w:val="00B54DE9"/>
    <w:rsid w:val="00B553EC"/>
    <w:rsid w:val="00B55870"/>
    <w:rsid w:val="00B703A9"/>
    <w:rsid w:val="00B70771"/>
    <w:rsid w:val="00B74D0E"/>
    <w:rsid w:val="00B77732"/>
    <w:rsid w:val="00B80D6D"/>
    <w:rsid w:val="00B86C3F"/>
    <w:rsid w:val="00B9154F"/>
    <w:rsid w:val="00B93DD0"/>
    <w:rsid w:val="00B945CE"/>
    <w:rsid w:val="00B97732"/>
    <w:rsid w:val="00BA03E5"/>
    <w:rsid w:val="00BA56D7"/>
    <w:rsid w:val="00BA65A8"/>
    <w:rsid w:val="00BA6A97"/>
    <w:rsid w:val="00BA6D19"/>
    <w:rsid w:val="00BA7461"/>
    <w:rsid w:val="00BA7DA9"/>
    <w:rsid w:val="00BB15DB"/>
    <w:rsid w:val="00BC4215"/>
    <w:rsid w:val="00BD0396"/>
    <w:rsid w:val="00BD1A6F"/>
    <w:rsid w:val="00BD5B71"/>
    <w:rsid w:val="00BE532C"/>
    <w:rsid w:val="00BE6D3C"/>
    <w:rsid w:val="00BE7852"/>
    <w:rsid w:val="00BF6D87"/>
    <w:rsid w:val="00BF7CEE"/>
    <w:rsid w:val="00C03880"/>
    <w:rsid w:val="00C04F2F"/>
    <w:rsid w:val="00C135CF"/>
    <w:rsid w:val="00C23ECC"/>
    <w:rsid w:val="00C2683F"/>
    <w:rsid w:val="00C3184D"/>
    <w:rsid w:val="00C43084"/>
    <w:rsid w:val="00C4714E"/>
    <w:rsid w:val="00C50941"/>
    <w:rsid w:val="00C5504F"/>
    <w:rsid w:val="00C55991"/>
    <w:rsid w:val="00C63086"/>
    <w:rsid w:val="00C63376"/>
    <w:rsid w:val="00C66CB4"/>
    <w:rsid w:val="00C74F97"/>
    <w:rsid w:val="00C75382"/>
    <w:rsid w:val="00C76A08"/>
    <w:rsid w:val="00C803D7"/>
    <w:rsid w:val="00C8091E"/>
    <w:rsid w:val="00C8276E"/>
    <w:rsid w:val="00C83AD1"/>
    <w:rsid w:val="00C842AC"/>
    <w:rsid w:val="00C85B7B"/>
    <w:rsid w:val="00C92AD5"/>
    <w:rsid w:val="00C92F29"/>
    <w:rsid w:val="00C92F89"/>
    <w:rsid w:val="00C93152"/>
    <w:rsid w:val="00C93FD9"/>
    <w:rsid w:val="00C96688"/>
    <w:rsid w:val="00CA0723"/>
    <w:rsid w:val="00CA4542"/>
    <w:rsid w:val="00CB0178"/>
    <w:rsid w:val="00CB1690"/>
    <w:rsid w:val="00CB6E6D"/>
    <w:rsid w:val="00CC2B33"/>
    <w:rsid w:val="00CC4365"/>
    <w:rsid w:val="00CC693F"/>
    <w:rsid w:val="00CD11B0"/>
    <w:rsid w:val="00CD5E0E"/>
    <w:rsid w:val="00CD638E"/>
    <w:rsid w:val="00CE4924"/>
    <w:rsid w:val="00CE6649"/>
    <w:rsid w:val="00CE71C2"/>
    <w:rsid w:val="00CF2242"/>
    <w:rsid w:val="00CF42D5"/>
    <w:rsid w:val="00CF4EDA"/>
    <w:rsid w:val="00D00281"/>
    <w:rsid w:val="00D01E11"/>
    <w:rsid w:val="00D021CB"/>
    <w:rsid w:val="00D10C4C"/>
    <w:rsid w:val="00D10F1A"/>
    <w:rsid w:val="00D116F8"/>
    <w:rsid w:val="00D15280"/>
    <w:rsid w:val="00D162F5"/>
    <w:rsid w:val="00D17596"/>
    <w:rsid w:val="00D17A48"/>
    <w:rsid w:val="00D22640"/>
    <w:rsid w:val="00D22FAC"/>
    <w:rsid w:val="00D26D3A"/>
    <w:rsid w:val="00D322E2"/>
    <w:rsid w:val="00D4460B"/>
    <w:rsid w:val="00D45C91"/>
    <w:rsid w:val="00D45EE3"/>
    <w:rsid w:val="00D50618"/>
    <w:rsid w:val="00D509E9"/>
    <w:rsid w:val="00D53B1C"/>
    <w:rsid w:val="00D56F10"/>
    <w:rsid w:val="00D61714"/>
    <w:rsid w:val="00D620BE"/>
    <w:rsid w:val="00D652C8"/>
    <w:rsid w:val="00D656FF"/>
    <w:rsid w:val="00D82448"/>
    <w:rsid w:val="00D83615"/>
    <w:rsid w:val="00D83AAD"/>
    <w:rsid w:val="00D97037"/>
    <w:rsid w:val="00D9743D"/>
    <w:rsid w:val="00DA1B12"/>
    <w:rsid w:val="00DA48C7"/>
    <w:rsid w:val="00DA4F90"/>
    <w:rsid w:val="00DA54C9"/>
    <w:rsid w:val="00DA6739"/>
    <w:rsid w:val="00DA6CAE"/>
    <w:rsid w:val="00DB1A9E"/>
    <w:rsid w:val="00DB223B"/>
    <w:rsid w:val="00DB31D6"/>
    <w:rsid w:val="00DB3296"/>
    <w:rsid w:val="00DB4005"/>
    <w:rsid w:val="00DB44E2"/>
    <w:rsid w:val="00DB61F1"/>
    <w:rsid w:val="00DC2051"/>
    <w:rsid w:val="00DC30EE"/>
    <w:rsid w:val="00DC325B"/>
    <w:rsid w:val="00DC34EB"/>
    <w:rsid w:val="00DC4E2E"/>
    <w:rsid w:val="00DC78C0"/>
    <w:rsid w:val="00DE2075"/>
    <w:rsid w:val="00DE2C10"/>
    <w:rsid w:val="00DE4588"/>
    <w:rsid w:val="00DE6D02"/>
    <w:rsid w:val="00DF14C9"/>
    <w:rsid w:val="00DF1E5B"/>
    <w:rsid w:val="00DF2275"/>
    <w:rsid w:val="00DF3F5E"/>
    <w:rsid w:val="00DF5653"/>
    <w:rsid w:val="00DF7571"/>
    <w:rsid w:val="00E0596E"/>
    <w:rsid w:val="00E06F66"/>
    <w:rsid w:val="00E1444B"/>
    <w:rsid w:val="00E2111A"/>
    <w:rsid w:val="00E21678"/>
    <w:rsid w:val="00E225C9"/>
    <w:rsid w:val="00E2323D"/>
    <w:rsid w:val="00E2589D"/>
    <w:rsid w:val="00E344AA"/>
    <w:rsid w:val="00E356E5"/>
    <w:rsid w:val="00E36F81"/>
    <w:rsid w:val="00E378A8"/>
    <w:rsid w:val="00E40B9B"/>
    <w:rsid w:val="00E448D5"/>
    <w:rsid w:val="00E45765"/>
    <w:rsid w:val="00E47CE0"/>
    <w:rsid w:val="00E5098C"/>
    <w:rsid w:val="00E509D9"/>
    <w:rsid w:val="00E54ECD"/>
    <w:rsid w:val="00E574EF"/>
    <w:rsid w:val="00E57CD8"/>
    <w:rsid w:val="00E57E07"/>
    <w:rsid w:val="00E60213"/>
    <w:rsid w:val="00E661B2"/>
    <w:rsid w:val="00E7264C"/>
    <w:rsid w:val="00E74D29"/>
    <w:rsid w:val="00E7581E"/>
    <w:rsid w:val="00E806FF"/>
    <w:rsid w:val="00E8217A"/>
    <w:rsid w:val="00E83C0D"/>
    <w:rsid w:val="00E83C74"/>
    <w:rsid w:val="00E83CEE"/>
    <w:rsid w:val="00E87376"/>
    <w:rsid w:val="00E91F18"/>
    <w:rsid w:val="00E9226D"/>
    <w:rsid w:val="00E96424"/>
    <w:rsid w:val="00EA2A91"/>
    <w:rsid w:val="00EA416C"/>
    <w:rsid w:val="00EA5941"/>
    <w:rsid w:val="00EB5A3E"/>
    <w:rsid w:val="00EB60CE"/>
    <w:rsid w:val="00EB7D53"/>
    <w:rsid w:val="00EC4AA7"/>
    <w:rsid w:val="00EC596B"/>
    <w:rsid w:val="00ED056E"/>
    <w:rsid w:val="00EE13C5"/>
    <w:rsid w:val="00EE3146"/>
    <w:rsid w:val="00EF0C48"/>
    <w:rsid w:val="00EF50BB"/>
    <w:rsid w:val="00EF71E4"/>
    <w:rsid w:val="00F00192"/>
    <w:rsid w:val="00F01DF6"/>
    <w:rsid w:val="00F027B8"/>
    <w:rsid w:val="00F0340D"/>
    <w:rsid w:val="00F035F2"/>
    <w:rsid w:val="00F059A6"/>
    <w:rsid w:val="00F23756"/>
    <w:rsid w:val="00F2464C"/>
    <w:rsid w:val="00F2523A"/>
    <w:rsid w:val="00F25FFA"/>
    <w:rsid w:val="00F310D2"/>
    <w:rsid w:val="00F311EB"/>
    <w:rsid w:val="00F347BF"/>
    <w:rsid w:val="00F36F3D"/>
    <w:rsid w:val="00F372EC"/>
    <w:rsid w:val="00F37C48"/>
    <w:rsid w:val="00F40FB8"/>
    <w:rsid w:val="00F46E8F"/>
    <w:rsid w:val="00F477BD"/>
    <w:rsid w:val="00F50333"/>
    <w:rsid w:val="00F53491"/>
    <w:rsid w:val="00F54656"/>
    <w:rsid w:val="00F55386"/>
    <w:rsid w:val="00F56411"/>
    <w:rsid w:val="00F57569"/>
    <w:rsid w:val="00F60181"/>
    <w:rsid w:val="00F65A1C"/>
    <w:rsid w:val="00F66F50"/>
    <w:rsid w:val="00F77377"/>
    <w:rsid w:val="00F77432"/>
    <w:rsid w:val="00F81162"/>
    <w:rsid w:val="00F825E4"/>
    <w:rsid w:val="00F82FF8"/>
    <w:rsid w:val="00F8330D"/>
    <w:rsid w:val="00F84305"/>
    <w:rsid w:val="00F8485C"/>
    <w:rsid w:val="00F87149"/>
    <w:rsid w:val="00F8720E"/>
    <w:rsid w:val="00F872D4"/>
    <w:rsid w:val="00F87FFE"/>
    <w:rsid w:val="00F954C9"/>
    <w:rsid w:val="00F958D5"/>
    <w:rsid w:val="00FA4CF0"/>
    <w:rsid w:val="00FA61AA"/>
    <w:rsid w:val="00FA69A4"/>
    <w:rsid w:val="00FB1279"/>
    <w:rsid w:val="00FB1495"/>
    <w:rsid w:val="00FB3569"/>
    <w:rsid w:val="00FB7984"/>
    <w:rsid w:val="00FC20F8"/>
    <w:rsid w:val="00FD1694"/>
    <w:rsid w:val="00FD68CA"/>
    <w:rsid w:val="00FD7636"/>
    <w:rsid w:val="00FD7C96"/>
    <w:rsid w:val="00FE3229"/>
    <w:rsid w:val="00FE5334"/>
    <w:rsid w:val="00FE74C3"/>
    <w:rsid w:val="00FF215C"/>
    <w:rsid w:val="00FF3AEE"/>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C23ECC"/>
    <w:rPr>
      <w:color w:val="800080" w:themeColor="followedHyperlink"/>
      <w:u w:val="single"/>
    </w:rPr>
  </w:style>
  <w:style w:type="character" w:styleId="CommentReference">
    <w:name w:val="annotation reference"/>
    <w:basedOn w:val="DefaultParagraphFont"/>
    <w:uiPriority w:val="99"/>
    <w:semiHidden/>
    <w:rsid w:val="00103936"/>
    <w:rPr>
      <w:rFonts w:cs="Times New Roman"/>
      <w:sz w:val="16"/>
      <w:szCs w:val="16"/>
    </w:rPr>
  </w:style>
  <w:style w:type="paragraph" w:styleId="CommentText">
    <w:name w:val="annotation text"/>
    <w:basedOn w:val="Normal"/>
    <w:link w:val="CommentTextChar"/>
    <w:uiPriority w:val="99"/>
    <w:semiHidden/>
    <w:rsid w:val="00103936"/>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rsid w:val="00103936"/>
    <w:rPr>
      <w:lang w:eastAsia="en-US"/>
    </w:rPr>
  </w:style>
  <w:style w:type="paragraph" w:styleId="CommentSubject">
    <w:name w:val="annotation subject"/>
    <w:basedOn w:val="CommentText"/>
    <w:next w:val="CommentText"/>
    <w:link w:val="CommentSubjectChar"/>
    <w:uiPriority w:val="99"/>
    <w:semiHidden/>
    <w:unhideWhenUsed/>
    <w:rsid w:val="000C60A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C60A7"/>
    <w:rPr>
      <w:rFonts w:ascii="Times New Roman" w:eastAsia="Times New Roman" w:hAnsi="Times New Roman"/>
      <w:b/>
      <w:bCs/>
      <w:lang w:eastAsia="en-US"/>
    </w:rPr>
  </w:style>
  <w:style w:type="character" w:customStyle="1" w:styleId="st">
    <w:name w:val="st"/>
    <w:basedOn w:val="DefaultParagraphFont"/>
    <w:rsid w:val="00B945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C23ECC"/>
    <w:rPr>
      <w:color w:val="800080" w:themeColor="followedHyperlink"/>
      <w:u w:val="single"/>
    </w:rPr>
  </w:style>
  <w:style w:type="character" w:styleId="CommentReference">
    <w:name w:val="annotation reference"/>
    <w:basedOn w:val="DefaultParagraphFont"/>
    <w:uiPriority w:val="99"/>
    <w:semiHidden/>
    <w:rsid w:val="00103936"/>
    <w:rPr>
      <w:rFonts w:cs="Times New Roman"/>
      <w:sz w:val="16"/>
      <w:szCs w:val="16"/>
    </w:rPr>
  </w:style>
  <w:style w:type="paragraph" w:styleId="CommentText">
    <w:name w:val="annotation text"/>
    <w:basedOn w:val="Normal"/>
    <w:link w:val="CommentTextChar"/>
    <w:uiPriority w:val="99"/>
    <w:semiHidden/>
    <w:rsid w:val="00103936"/>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semiHidden/>
    <w:rsid w:val="00103936"/>
    <w:rPr>
      <w:lang w:eastAsia="en-US"/>
    </w:rPr>
  </w:style>
  <w:style w:type="paragraph" w:styleId="CommentSubject">
    <w:name w:val="annotation subject"/>
    <w:basedOn w:val="CommentText"/>
    <w:next w:val="CommentText"/>
    <w:link w:val="CommentSubjectChar"/>
    <w:uiPriority w:val="99"/>
    <w:semiHidden/>
    <w:unhideWhenUsed/>
    <w:rsid w:val="000C60A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C60A7"/>
    <w:rPr>
      <w:rFonts w:ascii="Times New Roman" w:eastAsia="Times New Roman" w:hAnsi="Times New Roman"/>
      <w:b/>
      <w:bCs/>
      <w:lang w:eastAsia="en-U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490094233">
      <w:bodyDiv w:val="1"/>
      <w:marLeft w:val="0"/>
      <w:marRight w:val="0"/>
      <w:marTop w:val="0"/>
      <w:marBottom w:val="0"/>
      <w:divBdr>
        <w:top w:val="none" w:sz="0" w:space="0" w:color="auto"/>
        <w:left w:val="none" w:sz="0" w:space="0" w:color="auto"/>
        <w:bottom w:val="none" w:sz="0" w:space="0" w:color="auto"/>
        <w:right w:val="none" w:sz="0" w:space="0" w:color="auto"/>
      </w:divBdr>
    </w:div>
    <w:div w:id="18032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esc.environment.gov.au/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5B50B-0464-4B4D-9D45-76A6A9A2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new natural gas acreage in Surat Basin, Queensland (The Surat North Development)</dc:title>
  <dc:creator/>
  <cp:lastModifiedBy/>
  <cp:revision>1</cp:revision>
  <dcterms:created xsi:type="dcterms:W3CDTF">2014-07-01T07:17:00Z</dcterms:created>
  <dcterms:modified xsi:type="dcterms:W3CDTF">2014-07-01T07:17:00Z</dcterms:modified>
</cp:coreProperties>
</file>