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bookmarkStart w:id="0" w:name="OLE_LINK9"/>
      <w:bookmarkStart w:id="1" w:name="OLE_LINK10"/>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p w:rsidR="004861E6" w:rsidRDefault="00D10C4C" w:rsidP="006A4787">
      <w:pPr>
        <w:pStyle w:val="Header"/>
        <w:keepLines/>
        <w:tabs>
          <w:tab w:val="clear" w:pos="4513"/>
          <w:tab w:val="clear" w:pos="9026"/>
        </w:tabs>
        <w:spacing w:after="200" w:line="276" w:lineRule="auto"/>
        <w:ind w:right="-188"/>
        <w:jc w:val="center"/>
        <w:rPr>
          <w:rFonts w:ascii="Arial" w:hAnsi="Arial" w:cs="Arial"/>
          <w:b/>
          <w:sz w:val="20"/>
          <w:lang w:eastAsia="en-AU"/>
        </w:rPr>
      </w:pPr>
      <w:r>
        <w:rPr>
          <w:rFonts w:ascii="Arial" w:hAnsi="Arial" w:cs="Arial"/>
          <w:b/>
          <w:sz w:val="20"/>
          <w:lang w:eastAsia="en-AU"/>
        </w:rPr>
        <w:t>IES</w:t>
      </w:r>
      <w:r w:rsidRPr="00AD2FE6">
        <w:rPr>
          <w:rFonts w:ascii="Arial" w:hAnsi="Arial" w:cs="Arial"/>
          <w:b/>
          <w:sz w:val="20"/>
          <w:lang w:eastAsia="en-AU"/>
        </w:rPr>
        <w:t xml:space="preserve">C </w:t>
      </w:r>
      <w:r w:rsidR="00C43084" w:rsidRPr="00AD2FE6">
        <w:rPr>
          <w:rFonts w:ascii="Arial" w:hAnsi="Arial" w:cs="Arial"/>
          <w:b/>
          <w:sz w:val="20"/>
          <w:lang w:eastAsia="en-AU"/>
        </w:rPr>
        <w:t>201</w:t>
      </w:r>
      <w:r w:rsidR="0095113C" w:rsidRPr="00AD2FE6">
        <w:rPr>
          <w:rFonts w:ascii="Arial" w:hAnsi="Arial" w:cs="Arial"/>
          <w:b/>
          <w:sz w:val="20"/>
          <w:lang w:eastAsia="en-AU"/>
        </w:rPr>
        <w:t>4</w:t>
      </w:r>
      <w:r w:rsidR="00CC27E7" w:rsidRPr="00AD2FE6">
        <w:rPr>
          <w:rFonts w:ascii="Arial" w:hAnsi="Arial" w:cs="Arial"/>
          <w:b/>
          <w:sz w:val="20"/>
          <w:lang w:eastAsia="en-AU"/>
        </w:rPr>
        <w:t>-</w:t>
      </w:r>
      <w:r w:rsidRPr="00AD2FE6">
        <w:rPr>
          <w:rFonts w:ascii="Arial" w:hAnsi="Arial" w:cs="Arial"/>
          <w:b/>
          <w:sz w:val="20"/>
          <w:lang w:eastAsia="en-AU"/>
        </w:rPr>
        <w:t>0</w:t>
      </w:r>
      <w:r w:rsidR="00AD2FE6" w:rsidRPr="00AD2FE6">
        <w:rPr>
          <w:rFonts w:ascii="Arial" w:hAnsi="Arial" w:cs="Arial"/>
          <w:b/>
          <w:sz w:val="20"/>
          <w:lang w:eastAsia="en-AU"/>
        </w:rPr>
        <w:t>5</w:t>
      </w:r>
      <w:r w:rsidR="00A4428D">
        <w:rPr>
          <w:rFonts w:ascii="Arial" w:hAnsi="Arial" w:cs="Arial"/>
          <w:b/>
          <w:sz w:val="20"/>
          <w:lang w:eastAsia="en-AU"/>
        </w:rPr>
        <w:t>4</w:t>
      </w:r>
      <w:r w:rsidR="001765DA" w:rsidRPr="00AD2FE6">
        <w:rPr>
          <w:rFonts w:ascii="Arial" w:hAnsi="Arial" w:cs="Arial"/>
          <w:b/>
          <w:sz w:val="20"/>
          <w:lang w:eastAsia="en-AU"/>
        </w:rPr>
        <w:t>:</w:t>
      </w:r>
      <w:r w:rsidR="002974BC" w:rsidRPr="00AD2FE6">
        <w:rPr>
          <w:rFonts w:ascii="Arial" w:hAnsi="Arial" w:cs="Arial"/>
          <w:b/>
          <w:sz w:val="20"/>
          <w:lang w:eastAsia="en-AU"/>
        </w:rPr>
        <w:t xml:space="preserve"> </w:t>
      </w:r>
      <w:r w:rsidR="00A4428D">
        <w:rPr>
          <w:rFonts w:ascii="Arial Bold" w:hAnsi="Arial Bold" w:cs="Arial"/>
          <w:b/>
          <w:sz w:val="20"/>
          <w:lang w:eastAsia="en-AU"/>
        </w:rPr>
        <w:t>Springvale Mine Extension Project</w:t>
      </w:r>
      <w:r w:rsidR="00C803D7" w:rsidRPr="00AD2FE6">
        <w:rPr>
          <w:rFonts w:ascii="Arial" w:hAnsi="Arial" w:cs="Arial"/>
          <w:b/>
          <w:sz w:val="20"/>
          <w:lang w:eastAsia="en-AU"/>
        </w:rPr>
        <w:t xml:space="preserve"> </w:t>
      </w:r>
      <w:r w:rsidR="00D83AAD" w:rsidRPr="00AD2FE6">
        <w:rPr>
          <w:rFonts w:ascii="Arial" w:hAnsi="Arial" w:cs="Arial"/>
          <w:b/>
          <w:sz w:val="20"/>
          <w:lang w:eastAsia="en-AU"/>
        </w:rPr>
        <w:t>(</w:t>
      </w:r>
      <w:r w:rsidR="00D83AAD" w:rsidRPr="002A5EC3">
        <w:rPr>
          <w:rFonts w:ascii="Arial" w:hAnsi="Arial" w:cs="Arial"/>
          <w:b/>
          <w:sz w:val="20"/>
          <w:lang w:eastAsia="en-AU"/>
        </w:rPr>
        <w:t>EPBC</w:t>
      </w:r>
      <w:r w:rsidR="007B047A">
        <w:rPr>
          <w:rFonts w:ascii="Arial" w:hAnsi="Arial" w:cs="Arial"/>
          <w:b/>
          <w:sz w:val="20"/>
          <w:lang w:eastAsia="en-AU"/>
        </w:rPr>
        <w:t xml:space="preserve"> </w:t>
      </w:r>
      <w:r w:rsidR="00AD2FE6">
        <w:rPr>
          <w:rFonts w:ascii="Arial" w:hAnsi="Arial" w:cs="Arial"/>
          <w:b/>
          <w:sz w:val="20"/>
          <w:lang w:eastAsia="en-AU"/>
        </w:rPr>
        <w:t>2013</w:t>
      </w:r>
      <w:r w:rsidR="009110D5" w:rsidRPr="002A5EC3">
        <w:rPr>
          <w:rFonts w:ascii="Arial" w:hAnsi="Arial" w:cs="Arial"/>
          <w:b/>
          <w:sz w:val="20"/>
          <w:lang w:eastAsia="en-AU"/>
        </w:rPr>
        <w:t>/</w:t>
      </w:r>
      <w:r w:rsidR="00AD2FE6">
        <w:rPr>
          <w:rFonts w:ascii="Arial" w:hAnsi="Arial" w:cs="Arial"/>
          <w:b/>
          <w:sz w:val="20"/>
          <w:lang w:eastAsia="en-AU"/>
        </w:rPr>
        <w:t>688</w:t>
      </w:r>
      <w:r w:rsidR="00A4428D">
        <w:rPr>
          <w:rFonts w:ascii="Arial" w:hAnsi="Arial" w:cs="Arial"/>
          <w:b/>
          <w:sz w:val="20"/>
          <w:lang w:eastAsia="en-AU"/>
        </w:rPr>
        <w:t>1</w:t>
      </w:r>
      <w:r w:rsidR="00AD2FE6">
        <w:rPr>
          <w:rFonts w:ascii="Arial" w:hAnsi="Arial" w:cs="Arial"/>
          <w:b/>
          <w:sz w:val="20"/>
          <w:lang w:eastAsia="en-AU"/>
        </w:rPr>
        <w:t>;</w:t>
      </w:r>
      <w:r w:rsidR="007B047A">
        <w:rPr>
          <w:rFonts w:ascii="Arial" w:hAnsi="Arial" w:cs="Arial"/>
          <w:b/>
          <w:sz w:val="20"/>
          <w:lang w:eastAsia="en-AU"/>
        </w:rPr>
        <w:t xml:space="preserve"> </w:t>
      </w:r>
      <w:r w:rsidR="00A4428D">
        <w:rPr>
          <w:rFonts w:ascii="Arial" w:hAnsi="Arial" w:cs="Arial"/>
          <w:b/>
          <w:sz w:val="20"/>
          <w:lang w:eastAsia="en-AU"/>
        </w:rPr>
        <w:t>SSD - 5594</w:t>
      </w:r>
      <w:r w:rsidR="00D83AAD" w:rsidRPr="00D83AAD">
        <w:rPr>
          <w:rFonts w:ascii="Arial" w:hAnsi="Arial" w:cs="Arial"/>
          <w:b/>
          <w:sz w:val="20"/>
          <w:lang w:eastAsia="en-AU"/>
        </w:rPr>
        <w: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9110D5">
        <w:trPr>
          <w:trHeight w:val="563"/>
        </w:trPr>
        <w:tc>
          <w:tcPr>
            <w:tcW w:w="1809" w:type="dxa"/>
            <w:tcBorders>
              <w:top w:val="single" w:sz="4" w:space="0" w:color="auto"/>
              <w:bottom w:val="single" w:sz="4" w:space="0" w:color="auto"/>
            </w:tcBorders>
          </w:tcPr>
          <w:bookmarkEnd w:id="0"/>
          <w:bookmarkEnd w:id="1"/>
          <w:p w:rsidR="001765DA" w:rsidRPr="002A5EC3" w:rsidRDefault="001765DA" w:rsidP="009110D5">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AD2FE6">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2" w:name="_GoBack"/>
            <w:bookmarkEnd w:id="2"/>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p w:rsidR="003E2BDB" w:rsidRPr="00C43084" w:rsidRDefault="00B1520C" w:rsidP="00AD2FE6">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sidRPr="00C43084">
              <w:rPr>
                <w:rFonts w:ascii="Arial" w:hAnsi="Arial" w:cs="Arial"/>
                <w:sz w:val="20"/>
                <w:szCs w:val="20"/>
              </w:rPr>
              <w:t xml:space="preserve">New South Wales </w:t>
            </w:r>
            <w:r w:rsidRPr="00C43084">
              <w:rPr>
                <w:rFonts w:ascii="Arial" w:hAnsi="Arial" w:cs="Arial"/>
                <w:sz w:val="20"/>
                <w:szCs w:val="20"/>
              </w:rPr>
              <w:t xml:space="preserve">Department of Planning and </w:t>
            </w:r>
            <w:r w:rsidR="004B5A51">
              <w:rPr>
                <w:rFonts w:ascii="Arial" w:hAnsi="Arial" w:cs="Arial"/>
                <w:sz w:val="20"/>
                <w:szCs w:val="20"/>
              </w:rPr>
              <w:t>Environment</w:t>
            </w:r>
            <w:r w:rsidR="003E2BDB" w:rsidRPr="00C43084">
              <w:rPr>
                <w:rFonts w:ascii="Arial" w:hAnsi="Arial" w:cs="Arial"/>
                <w:b/>
                <w:color w:val="FF0000"/>
                <w:sz w:val="20"/>
                <w:szCs w:val="20"/>
              </w:rPr>
              <w:t xml:space="preserve"> </w:t>
            </w:r>
          </w:p>
        </w:tc>
      </w:tr>
      <w:tr w:rsidR="001765DA" w:rsidRPr="002A5EC3" w:rsidTr="009110D5">
        <w:trPr>
          <w:trHeight w:val="19"/>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544C29" w:rsidP="00AD2FE6">
            <w:pPr>
              <w:spacing w:line="276" w:lineRule="auto"/>
              <w:rPr>
                <w:rFonts w:ascii="Arial" w:hAnsi="Arial" w:cs="Arial"/>
                <w:sz w:val="20"/>
                <w:szCs w:val="20"/>
              </w:rPr>
            </w:pPr>
            <w:r>
              <w:rPr>
                <w:rFonts w:ascii="Arial" w:hAnsi="Arial" w:cs="Arial"/>
                <w:sz w:val="20"/>
                <w:szCs w:val="20"/>
              </w:rPr>
              <w:t>3</w:t>
            </w:r>
            <w:r w:rsidR="00AD2FE6">
              <w:rPr>
                <w:rFonts w:ascii="Arial" w:hAnsi="Arial" w:cs="Arial"/>
                <w:sz w:val="20"/>
                <w:szCs w:val="20"/>
              </w:rPr>
              <w:t xml:space="preserve"> July</w:t>
            </w:r>
            <w:r w:rsidR="00A10BAB" w:rsidRPr="002A5EC3">
              <w:rPr>
                <w:rFonts w:ascii="Arial" w:hAnsi="Arial" w:cs="Arial"/>
                <w:sz w:val="20"/>
                <w:szCs w:val="20"/>
              </w:rPr>
              <w:t xml:space="preserve"> </w:t>
            </w:r>
            <w:r w:rsidR="00716583" w:rsidRPr="002A5EC3">
              <w:rPr>
                <w:rFonts w:ascii="Arial" w:hAnsi="Arial" w:cs="Arial"/>
                <w:sz w:val="20"/>
                <w:szCs w:val="20"/>
              </w:rPr>
              <w:t>201</w:t>
            </w:r>
            <w:r w:rsidR="00AD2FE6">
              <w:rPr>
                <w:rFonts w:ascii="Arial" w:hAnsi="Arial" w:cs="Arial"/>
                <w:sz w:val="20"/>
                <w:szCs w:val="20"/>
              </w:rPr>
              <w:t>4</w:t>
            </w:r>
          </w:p>
        </w:tc>
      </w:tr>
      <w:tr w:rsidR="00185039" w:rsidRPr="002A5EC3" w:rsidTr="009110D5">
        <w:trPr>
          <w:trHeight w:val="19"/>
        </w:trPr>
        <w:tc>
          <w:tcPr>
            <w:tcW w:w="1809" w:type="dxa"/>
            <w:tcBorders>
              <w:top w:val="single" w:sz="4" w:space="0" w:color="auto"/>
              <w:bottom w:val="single" w:sz="4" w:space="0" w:color="auto"/>
            </w:tcBorders>
          </w:tcPr>
          <w:p w:rsidR="00185039" w:rsidRPr="002A5EC3" w:rsidRDefault="00185039" w:rsidP="009110D5">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544C29" w:rsidP="00544C29">
            <w:pPr>
              <w:spacing w:line="276" w:lineRule="auto"/>
              <w:rPr>
                <w:rFonts w:ascii="Arial" w:hAnsi="Arial" w:cs="Arial"/>
                <w:color w:val="FF0000"/>
                <w:sz w:val="20"/>
                <w:szCs w:val="20"/>
              </w:rPr>
            </w:pPr>
            <w:r>
              <w:rPr>
                <w:rFonts w:ascii="Arial" w:hAnsi="Arial" w:cs="Arial"/>
                <w:sz w:val="20"/>
                <w:szCs w:val="20"/>
              </w:rPr>
              <w:t>3</w:t>
            </w:r>
            <w:r w:rsidR="00185039" w:rsidRPr="002A5EC3">
              <w:rPr>
                <w:rFonts w:ascii="Arial" w:hAnsi="Arial" w:cs="Arial"/>
                <w:sz w:val="20"/>
                <w:szCs w:val="20"/>
              </w:rPr>
              <w:t xml:space="preserve"> </w:t>
            </w:r>
            <w:r>
              <w:rPr>
                <w:rFonts w:ascii="Arial" w:hAnsi="Arial" w:cs="Arial"/>
                <w:sz w:val="20"/>
                <w:szCs w:val="20"/>
              </w:rPr>
              <w:t>July</w:t>
            </w:r>
            <w:r w:rsidR="00185039" w:rsidRPr="002A5EC3">
              <w:rPr>
                <w:rFonts w:ascii="Arial" w:hAnsi="Arial" w:cs="Arial"/>
                <w:sz w:val="20"/>
                <w:szCs w:val="20"/>
              </w:rPr>
              <w:t xml:space="preserve"> 201</w:t>
            </w:r>
            <w:r>
              <w:rPr>
                <w:rFonts w:ascii="Arial" w:hAnsi="Arial" w:cs="Arial"/>
                <w:sz w:val="20"/>
                <w:szCs w:val="20"/>
              </w:rPr>
              <w:t>4</w:t>
            </w:r>
          </w:p>
        </w:tc>
      </w:tr>
      <w:tr w:rsidR="00062A46" w:rsidRPr="002A5EC3" w:rsidTr="009110D5">
        <w:trPr>
          <w:trHeight w:val="19"/>
        </w:trPr>
        <w:tc>
          <w:tcPr>
            <w:tcW w:w="1809" w:type="dxa"/>
            <w:tcBorders>
              <w:top w:val="single" w:sz="4" w:space="0" w:color="auto"/>
              <w:bottom w:val="single" w:sz="4" w:space="0" w:color="auto"/>
            </w:tcBorders>
          </w:tcPr>
          <w:p w:rsidR="00062A46" w:rsidRPr="00B451D3" w:rsidRDefault="00062A46" w:rsidP="009110D5">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tcPr>
          <w:p w:rsidR="00062A46" w:rsidRPr="00B451D3" w:rsidRDefault="00062A46" w:rsidP="009110D5">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A622EC" w:rsidRDefault="00A622EC" w:rsidP="007203C3">
      <w:pPr>
        <w:pStyle w:val="tablelabel"/>
        <w:spacing w:before="200" w:after="200" w:line="276" w:lineRule="auto"/>
        <w:rPr>
          <w:rFonts w:cs="Arial"/>
          <w:sz w:val="20"/>
        </w:rPr>
      </w:pPr>
      <w:r>
        <w:rPr>
          <w:rFonts w:cs="Arial"/>
          <w:sz w:val="20"/>
        </w:rPr>
        <w:t>Context</w:t>
      </w:r>
    </w:p>
    <w:p w:rsidR="00A622EC" w:rsidRDefault="00A622EC" w:rsidP="00A622E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Pr>
          <w:rFonts w:ascii="Arial" w:hAnsi="Arial" w:cs="Arial"/>
          <w:sz w:val="20"/>
          <w:szCs w:val="20"/>
        </w:rPr>
        <w:t xml:space="preserve">by </w:t>
      </w:r>
      <w:r w:rsidRPr="00D10C4C">
        <w:rPr>
          <w:rFonts w:ascii="Arial" w:hAnsi="Arial" w:cs="Arial"/>
          <w:sz w:val="20"/>
          <w:szCs w:val="20"/>
        </w:rPr>
        <w:t>the</w:t>
      </w:r>
      <w:r>
        <w:rPr>
          <w:rFonts w:ascii="Arial" w:hAnsi="Arial" w:cs="Arial"/>
          <w:sz w:val="20"/>
          <w:szCs w:val="20"/>
        </w:rPr>
        <w:t xml:space="preserve"> Australian Government</w:t>
      </w:r>
      <w:r w:rsidRPr="00D10C4C">
        <w:rPr>
          <w:rFonts w:ascii="Arial" w:hAnsi="Arial" w:cs="Arial"/>
          <w:sz w:val="20"/>
          <w:szCs w:val="20"/>
        </w:rPr>
        <w:t xml:space="preserve"> Department of </w:t>
      </w:r>
      <w:r>
        <w:rPr>
          <w:rFonts w:ascii="Arial" w:hAnsi="Arial" w:cs="Arial"/>
          <w:sz w:val="20"/>
          <w:szCs w:val="20"/>
        </w:rPr>
        <w:t xml:space="preserve">the </w:t>
      </w:r>
      <w:r w:rsidRPr="00D10C4C">
        <w:rPr>
          <w:rFonts w:ascii="Arial" w:hAnsi="Arial" w:cs="Arial"/>
          <w:sz w:val="20"/>
          <w:szCs w:val="20"/>
        </w:rPr>
        <w:t>Environment</w:t>
      </w:r>
      <w:r w:rsidR="005741CE">
        <w:rPr>
          <w:rFonts w:ascii="Arial" w:hAnsi="Arial" w:cs="Arial"/>
          <w:sz w:val="20"/>
          <w:szCs w:val="20"/>
        </w:rPr>
        <w:t xml:space="preserve"> and t</w:t>
      </w:r>
      <w:r>
        <w:rPr>
          <w:rFonts w:ascii="Arial" w:hAnsi="Arial" w:cs="Arial"/>
          <w:sz w:val="20"/>
          <w:szCs w:val="20"/>
        </w:rPr>
        <w:t>he New South Wa</w:t>
      </w:r>
      <w:r w:rsidR="00400F8F">
        <w:rPr>
          <w:rFonts w:ascii="Arial" w:hAnsi="Arial" w:cs="Arial"/>
          <w:sz w:val="20"/>
          <w:szCs w:val="20"/>
        </w:rPr>
        <w:t>les Department of Planning and Environment</w:t>
      </w:r>
      <w:r>
        <w:rPr>
          <w:rFonts w:ascii="Arial" w:hAnsi="Arial" w:cs="Arial"/>
          <w:sz w:val="20"/>
          <w:szCs w:val="20"/>
        </w:rPr>
        <w:t xml:space="preserve"> </w:t>
      </w:r>
      <w:r w:rsidRPr="00CC2B33">
        <w:rPr>
          <w:rFonts w:ascii="Arial" w:hAnsi="Arial" w:cs="Arial"/>
          <w:sz w:val="20"/>
          <w:szCs w:val="20"/>
        </w:rPr>
        <w:t xml:space="preserve">to provide advice on the </w:t>
      </w:r>
      <w:r w:rsidR="007F19A8">
        <w:rPr>
          <w:rFonts w:ascii="Arial" w:hAnsi="Arial" w:cs="Arial"/>
          <w:sz w:val="20"/>
          <w:szCs w:val="20"/>
        </w:rPr>
        <w:t>Springvale Coal</w:t>
      </w:r>
      <w:r w:rsidR="001869F9" w:rsidRPr="001869F9">
        <w:rPr>
          <w:rFonts w:ascii="Arial" w:hAnsi="Arial" w:cs="Arial"/>
          <w:sz w:val="20"/>
          <w:szCs w:val="20"/>
        </w:rPr>
        <w:t xml:space="preserve"> Pty Ltd, </w:t>
      </w:r>
      <w:r w:rsidR="007F19A8">
        <w:rPr>
          <w:rFonts w:ascii="Arial" w:hAnsi="Arial" w:cs="Arial"/>
          <w:sz w:val="20"/>
          <w:szCs w:val="20"/>
        </w:rPr>
        <w:t>Springvale Mine</w:t>
      </w:r>
      <w:r w:rsidR="001869F9" w:rsidRPr="001869F9">
        <w:rPr>
          <w:rFonts w:ascii="Arial" w:hAnsi="Arial" w:cs="Arial"/>
          <w:sz w:val="20"/>
          <w:szCs w:val="20"/>
        </w:rPr>
        <w:t xml:space="preserve"> Extension Project</w:t>
      </w:r>
      <w:r w:rsidR="004B5A51">
        <w:rPr>
          <w:rFonts w:ascii="Arial" w:hAnsi="Arial" w:cs="Arial"/>
          <w:color w:val="FF0000"/>
          <w:sz w:val="20"/>
          <w:szCs w:val="20"/>
        </w:rPr>
        <w:t xml:space="preserve"> </w:t>
      </w:r>
      <w:r w:rsidR="00880137" w:rsidRPr="00880137">
        <w:rPr>
          <w:rFonts w:ascii="Arial" w:hAnsi="Arial" w:cs="Arial"/>
          <w:sz w:val="20"/>
          <w:szCs w:val="20"/>
        </w:rPr>
        <w:t xml:space="preserve">(SMEP) </w:t>
      </w:r>
      <w:r w:rsidRPr="00CC2B33">
        <w:rPr>
          <w:rFonts w:ascii="Arial" w:hAnsi="Arial" w:cs="Arial"/>
          <w:sz w:val="20"/>
          <w:szCs w:val="20"/>
        </w:rPr>
        <w:t xml:space="preserve">in </w:t>
      </w:r>
      <w:r w:rsidR="001869F9">
        <w:rPr>
          <w:rFonts w:ascii="Arial" w:hAnsi="Arial" w:cs="Arial"/>
          <w:sz w:val="20"/>
          <w:szCs w:val="20"/>
        </w:rPr>
        <w:t>New South Wales</w:t>
      </w:r>
      <w:r w:rsidRPr="00D10C4C">
        <w:rPr>
          <w:rFonts w:ascii="Arial" w:hAnsi="Arial" w:cs="Arial"/>
          <w:sz w:val="20"/>
          <w:szCs w:val="20"/>
        </w:rPr>
        <w:t>.</w:t>
      </w:r>
    </w:p>
    <w:p w:rsidR="00A622EC" w:rsidRPr="00CC2B33" w:rsidRDefault="00A622EC" w:rsidP="00A622E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sidR="00AE4011">
        <w:rPr>
          <w:rFonts w:ascii="Arial" w:hAnsi="Arial" w:cs="Arial"/>
          <w:sz w:val="20"/>
          <w:szCs w:val="20"/>
        </w:rPr>
        <w:t xml:space="preserve">draft </w:t>
      </w:r>
      <w:r>
        <w:rPr>
          <w:rFonts w:ascii="Arial" w:hAnsi="Arial" w:cs="Arial"/>
          <w:sz w:val="20"/>
          <w:szCs w:val="20"/>
        </w:rPr>
        <w:t>Environmental Impact Statement</w:t>
      </w:r>
      <w:r w:rsidR="00106A5C" w:rsidRPr="00106A5C">
        <w:rPr>
          <w:rFonts w:ascii="Arial" w:hAnsi="Arial" w:cs="Arial"/>
          <w:sz w:val="20"/>
          <w:szCs w:val="20"/>
        </w:rPr>
        <w:t xml:space="preserve"> (EIS)</w:t>
      </w:r>
      <w:r w:rsidRPr="00CC2B33">
        <w:rPr>
          <w:rFonts w:ascii="Arial" w:hAnsi="Arial" w:cs="Arial"/>
          <w:sz w:val="20"/>
          <w:szCs w:val="20"/>
        </w:rPr>
        <w:t xml:space="preserve">, together with the expert deliberations of the </w:t>
      </w:r>
      <w:r>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Pr>
          <w:rFonts w:ascii="Arial" w:hAnsi="Arial" w:cs="Arial"/>
          <w:sz w:val="20"/>
          <w:szCs w:val="20"/>
        </w:rPr>
        <w:t>IESC</w:t>
      </w:r>
      <w:r w:rsidRPr="00CC2B33">
        <w:rPr>
          <w:rFonts w:ascii="Arial" w:hAnsi="Arial" w:cs="Arial"/>
          <w:sz w:val="20"/>
          <w:szCs w:val="20"/>
        </w:rPr>
        <w:t xml:space="preserve"> are listed in the source documentation at the end of this advice.</w:t>
      </w:r>
    </w:p>
    <w:p w:rsidR="00880137" w:rsidRPr="00B74705" w:rsidRDefault="00880137" w:rsidP="00880137">
      <w:pPr>
        <w:autoSpaceDE w:val="0"/>
        <w:autoSpaceDN w:val="0"/>
        <w:adjustRightInd w:val="0"/>
        <w:spacing w:after="200" w:line="276" w:lineRule="auto"/>
        <w:rPr>
          <w:rFonts w:ascii="Arial" w:hAnsi="Arial" w:cs="Arial"/>
          <w:sz w:val="20"/>
          <w:szCs w:val="20"/>
          <w:lang w:val="en-US"/>
        </w:rPr>
      </w:pPr>
      <w:r w:rsidRPr="00B74705">
        <w:rPr>
          <w:rFonts w:ascii="Arial" w:hAnsi="Arial" w:cs="Arial"/>
          <w:sz w:val="20"/>
          <w:szCs w:val="20"/>
        </w:rPr>
        <w:t xml:space="preserve">The SMEP is proposed to enable the </w:t>
      </w:r>
      <w:r w:rsidR="00AE4011">
        <w:rPr>
          <w:rFonts w:ascii="Arial" w:hAnsi="Arial" w:cs="Arial"/>
          <w:sz w:val="20"/>
          <w:szCs w:val="20"/>
        </w:rPr>
        <w:t>expanded</w:t>
      </w:r>
      <w:r w:rsidRPr="00B74705">
        <w:rPr>
          <w:rFonts w:ascii="Arial" w:hAnsi="Arial" w:cs="Arial"/>
          <w:sz w:val="20"/>
          <w:szCs w:val="20"/>
        </w:rPr>
        <w:t xml:space="preserve"> operations of the existing Springvale mine, located approximately 10 km northwest of Lithgow and 120 km west of Sydney in New South Wales. The proposal involves the extraction of approximately 4</w:t>
      </w:r>
      <w:r w:rsidR="00AE4011">
        <w:rPr>
          <w:rFonts w:ascii="Arial" w:hAnsi="Arial" w:cs="Arial"/>
          <w:sz w:val="20"/>
          <w:szCs w:val="20"/>
        </w:rPr>
        <w:t>.5 million tonnes per annum of run of mine</w:t>
      </w:r>
      <w:r w:rsidRPr="00B74705">
        <w:rPr>
          <w:rFonts w:ascii="Arial" w:hAnsi="Arial" w:cs="Arial"/>
          <w:sz w:val="20"/>
          <w:szCs w:val="20"/>
        </w:rPr>
        <w:t xml:space="preserve"> coal from the Lithgow Coal Seam, through new underground </w:t>
      </w:r>
      <w:proofErr w:type="spellStart"/>
      <w:r w:rsidRPr="00B74705">
        <w:rPr>
          <w:rFonts w:ascii="Arial" w:hAnsi="Arial" w:cs="Arial"/>
          <w:sz w:val="20"/>
          <w:szCs w:val="20"/>
        </w:rPr>
        <w:t>longwall</w:t>
      </w:r>
      <w:proofErr w:type="spellEnd"/>
      <w:r w:rsidRPr="00B74705">
        <w:rPr>
          <w:rFonts w:ascii="Arial" w:hAnsi="Arial" w:cs="Arial"/>
          <w:sz w:val="20"/>
          <w:szCs w:val="20"/>
        </w:rPr>
        <w:t xml:space="preserve"> mining operations. </w:t>
      </w:r>
      <w:r w:rsidRPr="00B74705">
        <w:rPr>
          <w:rFonts w:ascii="Arial" w:hAnsi="Arial" w:cs="Arial"/>
          <w:sz w:val="20"/>
          <w:szCs w:val="20"/>
          <w:lang w:val="en-US"/>
        </w:rPr>
        <w:t xml:space="preserve">Mining of </w:t>
      </w:r>
      <w:proofErr w:type="spellStart"/>
      <w:r w:rsidRPr="00B74705">
        <w:rPr>
          <w:rFonts w:ascii="Arial" w:hAnsi="Arial" w:cs="Arial"/>
          <w:sz w:val="20"/>
          <w:szCs w:val="20"/>
          <w:lang w:val="en-US"/>
        </w:rPr>
        <w:t>longwalls</w:t>
      </w:r>
      <w:proofErr w:type="spellEnd"/>
      <w:r w:rsidRPr="00B74705">
        <w:rPr>
          <w:rFonts w:ascii="Arial" w:hAnsi="Arial" w:cs="Arial"/>
          <w:sz w:val="20"/>
          <w:szCs w:val="20"/>
          <w:lang w:val="en-US"/>
        </w:rPr>
        <w:t xml:space="preserve"> is proposed to take place un</w:t>
      </w:r>
      <w:r w:rsidR="006969F8" w:rsidRPr="00B74705">
        <w:rPr>
          <w:rFonts w:ascii="Arial" w:hAnsi="Arial" w:cs="Arial"/>
          <w:sz w:val="20"/>
          <w:szCs w:val="20"/>
          <w:lang w:val="en-US"/>
        </w:rPr>
        <w:t xml:space="preserve">der the </w:t>
      </w:r>
      <w:proofErr w:type="spellStart"/>
      <w:r w:rsidR="006969F8" w:rsidRPr="00B74705">
        <w:rPr>
          <w:rFonts w:ascii="Arial" w:hAnsi="Arial" w:cs="Arial"/>
          <w:sz w:val="20"/>
          <w:szCs w:val="20"/>
          <w:lang w:val="en-US"/>
        </w:rPr>
        <w:t>Newnes</w:t>
      </w:r>
      <w:proofErr w:type="spellEnd"/>
      <w:r w:rsidR="006969F8" w:rsidRPr="00B74705">
        <w:rPr>
          <w:rFonts w:ascii="Arial" w:hAnsi="Arial" w:cs="Arial"/>
          <w:sz w:val="20"/>
          <w:szCs w:val="20"/>
          <w:lang w:val="en-US"/>
        </w:rPr>
        <w:t xml:space="preserve"> State Forest. </w:t>
      </w:r>
      <w:r w:rsidR="006969F8" w:rsidRPr="00293B46">
        <w:rPr>
          <w:rFonts w:ascii="Arial" w:hAnsi="Arial" w:cs="Arial"/>
          <w:sz w:val="20"/>
          <w:szCs w:val="20"/>
          <w:lang w:val="en-US"/>
        </w:rPr>
        <w:t xml:space="preserve">A large proportion of </w:t>
      </w:r>
      <w:r w:rsidR="00242F40" w:rsidRPr="00293B46">
        <w:rPr>
          <w:rFonts w:ascii="Arial" w:hAnsi="Arial" w:cs="Arial"/>
          <w:sz w:val="20"/>
          <w:szCs w:val="20"/>
          <w:lang w:val="en-US"/>
        </w:rPr>
        <w:t>the extant distribution</w:t>
      </w:r>
      <w:r w:rsidRPr="00293B46">
        <w:rPr>
          <w:rFonts w:ascii="Arial" w:hAnsi="Arial" w:cs="Arial"/>
          <w:sz w:val="20"/>
          <w:szCs w:val="20"/>
          <w:lang w:val="en-US"/>
        </w:rPr>
        <w:t xml:space="preserve"> Temperate Highland Peat Swamps on Sandstone (THPSS</w:t>
      </w:r>
      <w:r w:rsidR="00242F40" w:rsidRPr="00293B46">
        <w:rPr>
          <w:rFonts w:ascii="Arial" w:hAnsi="Arial" w:cs="Arial"/>
          <w:sz w:val="20"/>
          <w:szCs w:val="20"/>
          <w:lang w:val="en-US"/>
        </w:rPr>
        <w:t>)</w:t>
      </w:r>
      <w:r w:rsidRPr="00293B46">
        <w:rPr>
          <w:rFonts w:ascii="Arial" w:hAnsi="Arial" w:cs="Arial"/>
          <w:sz w:val="20"/>
          <w:szCs w:val="20"/>
          <w:lang w:val="en-US"/>
        </w:rPr>
        <w:t xml:space="preserve"> </w:t>
      </w:r>
      <w:r w:rsidR="00242F40" w:rsidRPr="00293B46">
        <w:rPr>
          <w:rFonts w:ascii="Arial" w:hAnsi="Arial" w:cs="Arial"/>
          <w:sz w:val="20"/>
          <w:szCs w:val="20"/>
          <w:lang w:val="en-US"/>
        </w:rPr>
        <w:t xml:space="preserve">occurs within the project area. The THPSS are </w:t>
      </w:r>
      <w:r w:rsidRPr="00293B46">
        <w:rPr>
          <w:rFonts w:ascii="Arial" w:hAnsi="Arial" w:cs="Arial"/>
          <w:sz w:val="20"/>
          <w:szCs w:val="20"/>
          <w:lang w:val="en-US"/>
        </w:rPr>
        <w:t xml:space="preserve">ecological communities listed as endangered under the </w:t>
      </w:r>
      <w:r w:rsidRPr="00293B46">
        <w:rPr>
          <w:rFonts w:ascii="Arial" w:hAnsi="Arial" w:cs="Arial"/>
          <w:i/>
          <w:sz w:val="20"/>
          <w:szCs w:val="20"/>
          <w:lang w:val="en-US"/>
        </w:rPr>
        <w:t xml:space="preserve">Environment Protection and </w:t>
      </w:r>
      <w:proofErr w:type="gramStart"/>
      <w:r w:rsidRPr="00293B46">
        <w:rPr>
          <w:rFonts w:ascii="Arial" w:hAnsi="Arial" w:cs="Arial"/>
          <w:i/>
          <w:sz w:val="20"/>
          <w:szCs w:val="20"/>
          <w:lang w:val="en-US"/>
        </w:rPr>
        <w:t>Biodiversity Conservation Act 1999</w:t>
      </w:r>
      <w:r w:rsidRPr="00293B46">
        <w:rPr>
          <w:rFonts w:ascii="Arial" w:hAnsi="Arial" w:cs="Arial"/>
          <w:sz w:val="20"/>
          <w:szCs w:val="20"/>
          <w:lang w:val="en-US"/>
        </w:rPr>
        <w:t xml:space="preserve"> (EPBC Act)</w:t>
      </w:r>
      <w:r w:rsidRPr="00B74705">
        <w:rPr>
          <w:rFonts w:ascii="Arial" w:hAnsi="Arial" w:cs="Arial"/>
          <w:sz w:val="20"/>
          <w:szCs w:val="20"/>
          <w:lang w:val="en-US"/>
        </w:rPr>
        <w:t>.</w:t>
      </w:r>
      <w:proofErr w:type="gramEnd"/>
      <w:r w:rsidRPr="00B74705">
        <w:rPr>
          <w:rFonts w:ascii="Arial" w:hAnsi="Arial" w:cs="Arial"/>
          <w:sz w:val="20"/>
          <w:szCs w:val="20"/>
          <w:lang w:val="en-US"/>
        </w:rPr>
        <w:t xml:space="preserve"> </w:t>
      </w:r>
    </w:p>
    <w:p w:rsidR="00F137F9" w:rsidRDefault="00F137F9" w:rsidP="00F137F9">
      <w:pPr>
        <w:autoSpaceDE w:val="0"/>
        <w:autoSpaceDN w:val="0"/>
        <w:adjustRightInd w:val="0"/>
        <w:spacing w:after="200" w:line="276" w:lineRule="auto"/>
        <w:rPr>
          <w:rFonts w:ascii="Arial" w:hAnsi="Arial" w:cs="Arial"/>
          <w:sz w:val="20"/>
          <w:szCs w:val="20"/>
          <w:lang w:val="en-US"/>
        </w:rPr>
      </w:pPr>
      <w:r w:rsidRPr="00D37ECB">
        <w:rPr>
          <w:rFonts w:ascii="Arial" w:hAnsi="Arial" w:cs="Arial"/>
          <w:sz w:val="20"/>
          <w:szCs w:val="20"/>
          <w:lang w:val="en-US"/>
        </w:rPr>
        <w:t>The project area lies wit</w:t>
      </w:r>
      <w:r>
        <w:rPr>
          <w:rFonts w:ascii="Arial" w:hAnsi="Arial" w:cs="Arial"/>
          <w:sz w:val="20"/>
          <w:szCs w:val="20"/>
          <w:lang w:val="en-US"/>
        </w:rPr>
        <w:t xml:space="preserve">hin the Wolgan </w:t>
      </w:r>
      <w:r w:rsidRPr="00D37ECB">
        <w:rPr>
          <w:rFonts w:ascii="Arial" w:hAnsi="Arial" w:cs="Arial"/>
          <w:sz w:val="20"/>
          <w:szCs w:val="20"/>
          <w:lang w:val="en-US"/>
        </w:rPr>
        <w:t xml:space="preserve">and </w:t>
      </w:r>
      <w:proofErr w:type="spellStart"/>
      <w:r w:rsidRPr="00D37ECB">
        <w:rPr>
          <w:rFonts w:ascii="Arial" w:hAnsi="Arial" w:cs="Arial"/>
          <w:sz w:val="20"/>
          <w:szCs w:val="20"/>
          <w:lang w:val="en-US"/>
        </w:rPr>
        <w:t>Coxs</w:t>
      </w:r>
      <w:proofErr w:type="spellEnd"/>
      <w:r w:rsidRPr="00D37ECB">
        <w:rPr>
          <w:rFonts w:ascii="Arial" w:hAnsi="Arial" w:cs="Arial"/>
          <w:sz w:val="20"/>
          <w:szCs w:val="20"/>
          <w:lang w:val="en-US"/>
        </w:rPr>
        <w:t xml:space="preserve"> River catchments and </w:t>
      </w:r>
      <w:r>
        <w:rPr>
          <w:rFonts w:ascii="Arial" w:hAnsi="Arial" w:cs="Arial"/>
          <w:sz w:val="20"/>
          <w:szCs w:val="20"/>
          <w:lang w:val="en-US"/>
        </w:rPr>
        <w:t>proposes to</w:t>
      </w:r>
      <w:r w:rsidRPr="00D37ECB">
        <w:rPr>
          <w:rFonts w:ascii="Arial" w:hAnsi="Arial" w:cs="Arial"/>
          <w:sz w:val="20"/>
          <w:szCs w:val="20"/>
          <w:lang w:val="en-US"/>
        </w:rPr>
        <w:t xml:space="preserve"> discharge mine water and extracted groundwater into the upper reaches of the </w:t>
      </w:r>
      <w:proofErr w:type="spellStart"/>
      <w:r w:rsidRPr="00D37ECB">
        <w:rPr>
          <w:rFonts w:ascii="Arial" w:hAnsi="Arial" w:cs="Arial"/>
          <w:sz w:val="20"/>
          <w:szCs w:val="20"/>
          <w:lang w:val="en-US"/>
        </w:rPr>
        <w:t>Coxs</w:t>
      </w:r>
      <w:proofErr w:type="spellEnd"/>
      <w:r w:rsidRPr="00D37ECB">
        <w:rPr>
          <w:rFonts w:ascii="Arial" w:hAnsi="Arial" w:cs="Arial"/>
          <w:sz w:val="20"/>
          <w:szCs w:val="20"/>
          <w:lang w:val="en-US"/>
        </w:rPr>
        <w:t xml:space="preserve"> River. The </w:t>
      </w:r>
      <w:proofErr w:type="spellStart"/>
      <w:r w:rsidRPr="00D37ECB">
        <w:rPr>
          <w:rFonts w:ascii="Arial" w:hAnsi="Arial" w:cs="Arial"/>
          <w:sz w:val="20"/>
          <w:szCs w:val="20"/>
          <w:lang w:val="en-US"/>
        </w:rPr>
        <w:t>Coxs</w:t>
      </w:r>
      <w:proofErr w:type="spellEnd"/>
      <w:r w:rsidRPr="00D37ECB">
        <w:rPr>
          <w:rFonts w:ascii="Arial" w:hAnsi="Arial" w:cs="Arial"/>
          <w:sz w:val="20"/>
          <w:szCs w:val="20"/>
          <w:lang w:val="en-US"/>
        </w:rPr>
        <w:t xml:space="preserve"> River flows south into Lake </w:t>
      </w:r>
      <w:proofErr w:type="spellStart"/>
      <w:r w:rsidRPr="00D37ECB">
        <w:rPr>
          <w:rFonts w:ascii="Arial" w:hAnsi="Arial" w:cs="Arial"/>
          <w:sz w:val="20"/>
          <w:szCs w:val="20"/>
          <w:lang w:val="en-US"/>
        </w:rPr>
        <w:t>Burragorang</w:t>
      </w:r>
      <w:proofErr w:type="spellEnd"/>
      <w:r w:rsidRPr="00D37ECB">
        <w:rPr>
          <w:rFonts w:ascii="Arial" w:hAnsi="Arial" w:cs="Arial"/>
          <w:sz w:val="20"/>
          <w:szCs w:val="20"/>
          <w:lang w:val="en-US"/>
        </w:rPr>
        <w:t xml:space="preserve"> (</w:t>
      </w:r>
      <w:proofErr w:type="spellStart"/>
      <w:r w:rsidRPr="00D37ECB">
        <w:rPr>
          <w:rFonts w:ascii="Arial" w:hAnsi="Arial" w:cs="Arial"/>
          <w:sz w:val="20"/>
          <w:szCs w:val="20"/>
          <w:lang w:val="en-US"/>
        </w:rPr>
        <w:t>Warragamba</w:t>
      </w:r>
      <w:proofErr w:type="spellEnd"/>
      <w:r w:rsidRPr="00D37ECB">
        <w:rPr>
          <w:rFonts w:ascii="Arial" w:hAnsi="Arial" w:cs="Arial"/>
          <w:sz w:val="20"/>
          <w:szCs w:val="20"/>
          <w:lang w:val="en-US"/>
        </w:rPr>
        <w:t xml:space="preserve"> Dam) which </w:t>
      </w:r>
      <w:r>
        <w:rPr>
          <w:rFonts w:ascii="Arial" w:hAnsi="Arial" w:cs="Arial"/>
          <w:sz w:val="20"/>
          <w:szCs w:val="20"/>
          <w:lang w:val="en-US"/>
        </w:rPr>
        <w:t>is</w:t>
      </w:r>
      <w:r w:rsidRPr="00D37ECB">
        <w:rPr>
          <w:rFonts w:ascii="Arial" w:hAnsi="Arial" w:cs="Arial"/>
          <w:sz w:val="20"/>
          <w:szCs w:val="20"/>
          <w:lang w:val="en-US"/>
        </w:rPr>
        <w:t xml:space="preserve"> </w:t>
      </w:r>
      <w:r>
        <w:rPr>
          <w:rFonts w:ascii="Arial" w:hAnsi="Arial" w:cs="Arial"/>
          <w:sz w:val="20"/>
          <w:szCs w:val="20"/>
          <w:lang w:val="en-US"/>
        </w:rPr>
        <w:t xml:space="preserve">a potable water supply for the city of </w:t>
      </w:r>
      <w:r w:rsidRPr="00D37ECB">
        <w:rPr>
          <w:rFonts w:ascii="Arial" w:hAnsi="Arial" w:cs="Arial"/>
          <w:sz w:val="20"/>
          <w:szCs w:val="20"/>
          <w:lang w:val="en-US"/>
        </w:rPr>
        <w:t>Sydney.</w:t>
      </w:r>
    </w:p>
    <w:p w:rsidR="00880137" w:rsidRDefault="00880137" w:rsidP="00880137">
      <w:pPr>
        <w:autoSpaceDE w:val="0"/>
        <w:autoSpaceDN w:val="0"/>
        <w:adjustRightInd w:val="0"/>
        <w:spacing w:after="200" w:line="276" w:lineRule="auto"/>
        <w:rPr>
          <w:rFonts w:ascii="Arial" w:hAnsi="Arial" w:cs="Arial"/>
          <w:sz w:val="20"/>
          <w:szCs w:val="20"/>
        </w:rPr>
      </w:pPr>
      <w:r>
        <w:rPr>
          <w:rFonts w:ascii="Arial" w:hAnsi="Arial" w:cs="Arial"/>
          <w:sz w:val="20"/>
          <w:szCs w:val="20"/>
          <w:lang w:val="en-US"/>
        </w:rPr>
        <w:t xml:space="preserve">This advice is provided in parallel with advice </w:t>
      </w:r>
      <w:r w:rsidR="00094F69">
        <w:rPr>
          <w:rFonts w:ascii="Arial" w:hAnsi="Arial" w:cs="Arial"/>
          <w:sz w:val="20"/>
          <w:szCs w:val="20"/>
          <w:lang w:val="en-US"/>
        </w:rPr>
        <w:t>on</w:t>
      </w:r>
      <w:r>
        <w:rPr>
          <w:rFonts w:ascii="Arial" w:hAnsi="Arial" w:cs="Arial"/>
          <w:sz w:val="20"/>
          <w:szCs w:val="20"/>
          <w:lang w:val="en-US"/>
        </w:rPr>
        <w:t xml:space="preserve"> the </w:t>
      </w:r>
      <w:r w:rsidR="002A2CD1">
        <w:rPr>
          <w:rFonts w:ascii="Arial" w:hAnsi="Arial" w:cs="Arial"/>
          <w:sz w:val="20"/>
          <w:szCs w:val="20"/>
          <w:lang w:val="en-US"/>
        </w:rPr>
        <w:t>Angus Place</w:t>
      </w:r>
      <w:r>
        <w:rPr>
          <w:rFonts w:ascii="Arial" w:hAnsi="Arial" w:cs="Arial"/>
          <w:sz w:val="20"/>
          <w:szCs w:val="20"/>
          <w:lang w:val="en-US"/>
        </w:rPr>
        <w:t xml:space="preserve"> Mi</w:t>
      </w:r>
      <w:r w:rsidR="000F1AF7">
        <w:rPr>
          <w:rFonts w:ascii="Arial" w:hAnsi="Arial" w:cs="Arial"/>
          <w:sz w:val="20"/>
          <w:szCs w:val="20"/>
          <w:lang w:val="en-US"/>
        </w:rPr>
        <w:t>ne Extension Project (EPBC </w:t>
      </w:r>
      <w:r w:rsidR="00094F69">
        <w:rPr>
          <w:rFonts w:ascii="Arial" w:hAnsi="Arial" w:cs="Arial"/>
          <w:sz w:val="20"/>
          <w:szCs w:val="20"/>
          <w:lang w:val="en-US"/>
        </w:rPr>
        <w:t>2013/688</w:t>
      </w:r>
      <w:r w:rsidR="000F1AF7">
        <w:rPr>
          <w:rFonts w:ascii="Arial" w:hAnsi="Arial" w:cs="Arial"/>
          <w:sz w:val="20"/>
          <w:szCs w:val="20"/>
          <w:lang w:val="en-US"/>
        </w:rPr>
        <w:t>9</w:t>
      </w:r>
      <w:r w:rsidR="00094F69">
        <w:rPr>
          <w:rFonts w:ascii="Arial" w:hAnsi="Arial" w:cs="Arial"/>
          <w:sz w:val="20"/>
          <w:szCs w:val="20"/>
          <w:lang w:val="en-US"/>
        </w:rPr>
        <w:t>; SSD – 5</w:t>
      </w:r>
      <w:r w:rsidR="000F1AF7">
        <w:rPr>
          <w:rFonts w:ascii="Arial" w:hAnsi="Arial" w:cs="Arial"/>
          <w:sz w:val="20"/>
          <w:szCs w:val="20"/>
          <w:lang w:val="en-US"/>
        </w:rPr>
        <w:t>602</w:t>
      </w:r>
      <w:r w:rsidR="00094F69">
        <w:rPr>
          <w:rFonts w:ascii="Arial" w:hAnsi="Arial" w:cs="Arial"/>
          <w:sz w:val="20"/>
          <w:szCs w:val="20"/>
          <w:lang w:val="en-US"/>
        </w:rPr>
        <w:t xml:space="preserve">), which </w:t>
      </w:r>
      <w:r>
        <w:rPr>
          <w:rFonts w:ascii="Arial" w:hAnsi="Arial" w:cs="Arial"/>
          <w:sz w:val="20"/>
          <w:szCs w:val="20"/>
          <w:lang w:val="en-US"/>
        </w:rPr>
        <w:t xml:space="preserve">directly adjoins the </w:t>
      </w:r>
      <w:r w:rsidR="007F0CDC">
        <w:rPr>
          <w:rFonts w:ascii="Arial" w:hAnsi="Arial" w:cs="Arial"/>
          <w:sz w:val="20"/>
          <w:szCs w:val="20"/>
          <w:lang w:val="en-US"/>
        </w:rPr>
        <w:t>northern</w:t>
      </w:r>
      <w:r>
        <w:rPr>
          <w:rFonts w:ascii="Arial" w:hAnsi="Arial" w:cs="Arial"/>
          <w:sz w:val="20"/>
          <w:szCs w:val="20"/>
          <w:lang w:val="en-US"/>
        </w:rPr>
        <w:t xml:space="preserve"> boundary of </w:t>
      </w:r>
      <w:r w:rsidR="002A2CD1">
        <w:rPr>
          <w:rFonts w:ascii="Arial" w:hAnsi="Arial" w:cs="Arial"/>
          <w:sz w:val="20"/>
          <w:szCs w:val="20"/>
          <w:lang w:val="en-US"/>
        </w:rPr>
        <w:t>SMEP</w:t>
      </w:r>
      <w:r w:rsidR="00094F69">
        <w:rPr>
          <w:rFonts w:ascii="Arial" w:hAnsi="Arial" w:cs="Arial"/>
          <w:sz w:val="20"/>
          <w:szCs w:val="20"/>
          <w:lang w:val="en-US"/>
        </w:rPr>
        <w:t xml:space="preserve"> and</w:t>
      </w:r>
      <w:r>
        <w:rPr>
          <w:rFonts w:ascii="Arial" w:hAnsi="Arial" w:cs="Arial"/>
          <w:sz w:val="20"/>
          <w:szCs w:val="20"/>
          <w:lang w:val="en-US"/>
        </w:rPr>
        <w:t xml:space="preserve"> should be </w:t>
      </w:r>
      <w:r w:rsidR="00B74705">
        <w:rPr>
          <w:rFonts w:ascii="Arial" w:hAnsi="Arial" w:cs="Arial"/>
          <w:sz w:val="20"/>
          <w:szCs w:val="20"/>
          <w:lang w:val="en-US"/>
        </w:rPr>
        <w:t xml:space="preserve">considered with reference </w:t>
      </w:r>
      <w:r w:rsidR="00E22338">
        <w:rPr>
          <w:rFonts w:ascii="Arial" w:hAnsi="Arial" w:cs="Arial"/>
          <w:sz w:val="20"/>
          <w:szCs w:val="20"/>
          <w:lang w:val="en-US"/>
        </w:rPr>
        <w:t xml:space="preserve">to </w:t>
      </w:r>
      <w:r w:rsidR="00094F69">
        <w:rPr>
          <w:rFonts w:ascii="Arial" w:hAnsi="Arial" w:cs="Arial"/>
          <w:sz w:val="20"/>
          <w:szCs w:val="20"/>
          <w:lang w:val="en-US"/>
        </w:rPr>
        <w:t>this</w:t>
      </w:r>
      <w:r w:rsidR="00B74705">
        <w:rPr>
          <w:rFonts w:ascii="Arial" w:hAnsi="Arial" w:cs="Arial"/>
          <w:sz w:val="20"/>
          <w:szCs w:val="20"/>
          <w:lang w:val="en-US"/>
        </w:rPr>
        <w:t xml:space="preserve"> advice</w:t>
      </w:r>
      <w:r>
        <w:rPr>
          <w:rFonts w:ascii="Arial" w:hAnsi="Arial" w:cs="Arial"/>
          <w:sz w:val="20"/>
          <w:szCs w:val="20"/>
          <w:lang w:val="en-US"/>
        </w:rPr>
        <w:t xml:space="preserve">. </w:t>
      </w:r>
    </w:p>
    <w:p w:rsidR="00F137F9" w:rsidRDefault="00F137F9" w:rsidP="004B5A51">
      <w:pPr>
        <w:pStyle w:val="PlainText"/>
        <w:spacing w:after="200" w:line="276" w:lineRule="auto"/>
        <w:rPr>
          <w:rFonts w:ascii="Arial" w:eastAsia="Times New Roman" w:hAnsi="Arial" w:cs="Arial"/>
          <w:sz w:val="20"/>
          <w:szCs w:val="20"/>
          <w:u w:val="single"/>
        </w:rPr>
      </w:pPr>
    </w:p>
    <w:p w:rsidR="006066FC" w:rsidRDefault="006066FC" w:rsidP="006066FC">
      <w:pPr>
        <w:pStyle w:val="PlainText"/>
        <w:spacing w:after="200" w:line="276" w:lineRule="auto"/>
        <w:rPr>
          <w:rFonts w:ascii="Arial" w:eastAsia="Times New Roman" w:hAnsi="Arial" w:cs="Arial"/>
          <w:sz w:val="20"/>
          <w:szCs w:val="20"/>
          <w:u w:val="single"/>
        </w:rPr>
      </w:pPr>
      <w:r>
        <w:rPr>
          <w:rFonts w:ascii="Arial" w:eastAsia="Times New Roman" w:hAnsi="Arial" w:cs="Arial"/>
          <w:sz w:val="20"/>
          <w:szCs w:val="20"/>
          <w:u w:val="single"/>
        </w:rPr>
        <w:lastRenderedPageBreak/>
        <w:t>Key potential impacts</w:t>
      </w:r>
    </w:p>
    <w:p w:rsidR="00D41945" w:rsidRDefault="00D41945" w:rsidP="00D41945">
      <w:pPr>
        <w:pStyle w:val="PlainText"/>
        <w:spacing w:after="200" w:line="276" w:lineRule="auto"/>
        <w:rPr>
          <w:rFonts w:ascii="Arial" w:eastAsia="Times New Roman" w:hAnsi="Arial" w:cs="Arial"/>
          <w:sz w:val="20"/>
          <w:szCs w:val="20"/>
          <w:u w:val="single"/>
        </w:rPr>
      </w:pPr>
      <w:r>
        <w:rPr>
          <w:rFonts w:ascii="Arial" w:eastAsia="Times New Roman" w:hAnsi="Arial" w:cs="Arial"/>
          <w:sz w:val="20"/>
          <w:szCs w:val="20"/>
        </w:rPr>
        <w:t>The key potential water related impacts of the SMEP are those expected to occur to THPSS. Key potential impacts to THPSS include: subsidence impacts such as bedrock fracturing; changes to the hydrological (</w:t>
      </w:r>
      <w:r w:rsidR="00AB5633">
        <w:rPr>
          <w:rFonts w:ascii="Arial" w:eastAsia="Times New Roman" w:hAnsi="Arial" w:cs="Arial"/>
          <w:sz w:val="20"/>
          <w:szCs w:val="20"/>
        </w:rPr>
        <w:t xml:space="preserve">surface </w:t>
      </w:r>
      <w:r>
        <w:rPr>
          <w:rFonts w:ascii="Arial" w:eastAsia="Times New Roman" w:hAnsi="Arial" w:cs="Arial"/>
          <w:sz w:val="20"/>
          <w:szCs w:val="20"/>
        </w:rPr>
        <w:t>flow</w:t>
      </w:r>
      <w:r w:rsidR="00AB5633">
        <w:rPr>
          <w:rFonts w:ascii="Arial" w:eastAsia="Times New Roman" w:hAnsi="Arial" w:cs="Arial"/>
          <w:sz w:val="20"/>
          <w:szCs w:val="20"/>
        </w:rPr>
        <w:t>s from upstream tributaries</w:t>
      </w:r>
      <w:r>
        <w:rPr>
          <w:rFonts w:ascii="Arial" w:eastAsia="Times New Roman" w:hAnsi="Arial" w:cs="Arial"/>
          <w:sz w:val="20"/>
          <w:szCs w:val="20"/>
        </w:rPr>
        <w:t xml:space="preserve"> and inundation) and </w:t>
      </w:r>
      <w:proofErr w:type="spellStart"/>
      <w:r>
        <w:rPr>
          <w:rFonts w:ascii="Arial" w:eastAsia="Times New Roman" w:hAnsi="Arial" w:cs="Arial"/>
          <w:sz w:val="20"/>
          <w:szCs w:val="20"/>
        </w:rPr>
        <w:t>hydrogeological</w:t>
      </w:r>
      <w:proofErr w:type="spellEnd"/>
      <w:r>
        <w:rPr>
          <w:rFonts w:ascii="Arial" w:eastAsia="Times New Roman" w:hAnsi="Arial" w:cs="Arial"/>
          <w:sz w:val="20"/>
          <w:szCs w:val="20"/>
        </w:rPr>
        <w:t xml:space="preserve"> (</w:t>
      </w:r>
      <w:r w:rsidR="00AB5633">
        <w:rPr>
          <w:rFonts w:ascii="Arial" w:eastAsia="Times New Roman" w:hAnsi="Arial" w:cs="Arial"/>
          <w:sz w:val="20"/>
          <w:szCs w:val="20"/>
        </w:rPr>
        <w:t xml:space="preserve">groundwater </w:t>
      </w:r>
      <w:r>
        <w:rPr>
          <w:rFonts w:ascii="Arial" w:eastAsia="Times New Roman" w:hAnsi="Arial" w:cs="Arial"/>
          <w:sz w:val="20"/>
          <w:szCs w:val="20"/>
        </w:rPr>
        <w:t xml:space="preserve">drawdown and </w:t>
      </w:r>
      <w:proofErr w:type="spellStart"/>
      <w:r>
        <w:rPr>
          <w:rFonts w:ascii="Arial" w:eastAsia="Times New Roman" w:hAnsi="Arial" w:cs="Arial"/>
          <w:sz w:val="20"/>
          <w:szCs w:val="20"/>
        </w:rPr>
        <w:t>baseflow</w:t>
      </w:r>
      <w:proofErr w:type="spellEnd"/>
      <w:r>
        <w:rPr>
          <w:rFonts w:ascii="Arial" w:eastAsia="Times New Roman" w:hAnsi="Arial" w:cs="Arial"/>
          <w:sz w:val="20"/>
          <w:szCs w:val="20"/>
        </w:rPr>
        <w:t xml:space="preserve">) regimes; peat desiccation, erosion (scour) and slumping; decline of vegetation communities and swamp extent, including EPBC Act threatened species. </w:t>
      </w:r>
      <w:r w:rsidRPr="00293B46">
        <w:rPr>
          <w:rFonts w:ascii="Arial" w:eastAsia="Times New Roman" w:hAnsi="Arial" w:cs="Arial"/>
          <w:sz w:val="20"/>
          <w:szCs w:val="20"/>
        </w:rPr>
        <w:t>It is highly likely that impacts to THPSS and dependent threatened species will be severe and potentially irreparable.</w:t>
      </w:r>
      <w:r w:rsidRPr="00824E07">
        <w:rPr>
          <w:rFonts w:ascii="Arial" w:eastAsia="Times New Roman" w:hAnsi="Arial" w:cs="Arial"/>
          <w:sz w:val="20"/>
          <w:szCs w:val="20"/>
        </w:rPr>
        <w:t xml:space="preserve"> </w:t>
      </w:r>
      <w:r w:rsidRPr="00293B46">
        <w:rPr>
          <w:rFonts w:ascii="Arial" w:eastAsia="Times New Roman" w:hAnsi="Arial" w:cs="Arial"/>
          <w:sz w:val="20"/>
          <w:szCs w:val="20"/>
        </w:rPr>
        <w:t>Further, there is no scientific literature currently available to</w:t>
      </w:r>
      <w:r w:rsidRPr="00824E07">
        <w:rPr>
          <w:rFonts w:ascii="Arial" w:eastAsia="Times New Roman" w:hAnsi="Arial" w:cs="Arial"/>
          <w:sz w:val="20"/>
          <w:szCs w:val="20"/>
        </w:rPr>
        <w:t xml:space="preserve"> demonstrate the effectiveness of potential mitigation or remediation measures. </w:t>
      </w:r>
      <w:r w:rsidRPr="00293B46">
        <w:rPr>
          <w:rFonts w:ascii="Arial" w:hAnsi="Arial" w:cs="Arial"/>
          <w:sz w:val="20"/>
          <w:szCs w:val="20"/>
        </w:rPr>
        <w:t>The only known strategy to minimise impacts to THPSS is to alter the mine layout such that swamps</w:t>
      </w:r>
      <w:r w:rsidR="00CA5C72">
        <w:rPr>
          <w:rFonts w:ascii="Arial" w:hAnsi="Arial" w:cs="Arial"/>
          <w:sz w:val="20"/>
          <w:szCs w:val="20"/>
        </w:rPr>
        <w:t xml:space="preserve"> </w:t>
      </w:r>
      <w:r w:rsidRPr="00293B46">
        <w:rPr>
          <w:rFonts w:ascii="Arial" w:hAnsi="Arial" w:cs="Arial"/>
          <w:sz w:val="20"/>
          <w:szCs w:val="20"/>
        </w:rPr>
        <w:t xml:space="preserve">are not undermined by </w:t>
      </w:r>
      <w:proofErr w:type="spellStart"/>
      <w:r w:rsidRPr="00293B46">
        <w:rPr>
          <w:rFonts w:ascii="Arial" w:hAnsi="Arial" w:cs="Arial"/>
          <w:sz w:val="20"/>
          <w:szCs w:val="20"/>
        </w:rPr>
        <w:t>longwall</w:t>
      </w:r>
      <w:proofErr w:type="spellEnd"/>
      <w:r w:rsidRPr="00293B46">
        <w:rPr>
          <w:rFonts w:ascii="Arial" w:hAnsi="Arial" w:cs="Arial"/>
          <w:sz w:val="20"/>
          <w:szCs w:val="20"/>
        </w:rPr>
        <w:t xml:space="preserve"> panels</w:t>
      </w:r>
      <w:r w:rsidR="004F07DC">
        <w:rPr>
          <w:rFonts w:ascii="Arial" w:hAnsi="Arial" w:cs="Arial"/>
          <w:sz w:val="20"/>
          <w:szCs w:val="20"/>
        </w:rPr>
        <w:t xml:space="preserve"> and </w:t>
      </w:r>
      <w:proofErr w:type="spellStart"/>
      <w:r w:rsidR="004F07DC">
        <w:rPr>
          <w:rFonts w:ascii="Arial" w:hAnsi="Arial" w:cs="Arial"/>
          <w:sz w:val="20"/>
          <w:szCs w:val="20"/>
        </w:rPr>
        <w:t>longwalls</w:t>
      </w:r>
      <w:proofErr w:type="spellEnd"/>
      <w:r w:rsidR="004F07DC">
        <w:rPr>
          <w:rFonts w:ascii="Arial" w:hAnsi="Arial" w:cs="Arial"/>
          <w:sz w:val="20"/>
          <w:szCs w:val="20"/>
        </w:rPr>
        <w:t xml:space="preserve"> are </w:t>
      </w:r>
      <w:r w:rsidR="00867748">
        <w:rPr>
          <w:rFonts w:ascii="Arial" w:hAnsi="Arial" w:cs="Arial"/>
          <w:sz w:val="20"/>
          <w:szCs w:val="20"/>
        </w:rPr>
        <w:t>located</w:t>
      </w:r>
      <w:r w:rsidR="004F07DC">
        <w:rPr>
          <w:rFonts w:ascii="Arial" w:hAnsi="Arial" w:cs="Arial"/>
          <w:sz w:val="20"/>
          <w:szCs w:val="20"/>
        </w:rPr>
        <w:t xml:space="preserve"> such that </w:t>
      </w:r>
      <w:r w:rsidR="00BF5296">
        <w:rPr>
          <w:rFonts w:ascii="Arial" w:hAnsi="Arial" w:cs="Arial"/>
          <w:sz w:val="20"/>
          <w:szCs w:val="20"/>
        </w:rPr>
        <w:t>tensile and</w:t>
      </w:r>
      <w:r w:rsidR="004F07DC">
        <w:rPr>
          <w:rFonts w:ascii="Arial" w:hAnsi="Arial" w:cs="Arial"/>
          <w:sz w:val="20"/>
          <w:szCs w:val="20"/>
        </w:rPr>
        <w:t xml:space="preserve"> </w:t>
      </w:r>
      <w:r w:rsidR="00BF5296">
        <w:rPr>
          <w:rFonts w:ascii="Arial" w:hAnsi="Arial" w:cs="Arial"/>
          <w:sz w:val="20"/>
          <w:szCs w:val="20"/>
        </w:rPr>
        <w:t xml:space="preserve">compressive </w:t>
      </w:r>
      <w:r w:rsidR="004F07DC">
        <w:rPr>
          <w:rFonts w:ascii="Arial" w:hAnsi="Arial" w:cs="Arial"/>
          <w:sz w:val="20"/>
          <w:szCs w:val="20"/>
        </w:rPr>
        <w:t xml:space="preserve">strains </w:t>
      </w:r>
      <w:r w:rsidR="00486807">
        <w:rPr>
          <w:rFonts w:ascii="Arial" w:hAnsi="Arial" w:cs="Arial"/>
          <w:sz w:val="20"/>
          <w:szCs w:val="20"/>
        </w:rPr>
        <w:t xml:space="preserve">at </w:t>
      </w:r>
      <w:r w:rsidR="007635F3">
        <w:rPr>
          <w:rFonts w:ascii="Arial" w:hAnsi="Arial" w:cs="Arial"/>
          <w:sz w:val="20"/>
          <w:szCs w:val="20"/>
        </w:rPr>
        <w:t>these</w:t>
      </w:r>
      <w:r w:rsidR="00486807">
        <w:rPr>
          <w:rFonts w:ascii="Arial" w:hAnsi="Arial" w:cs="Arial"/>
          <w:sz w:val="20"/>
          <w:szCs w:val="20"/>
        </w:rPr>
        <w:t xml:space="preserve"> sites </w:t>
      </w:r>
      <w:r w:rsidR="004F07DC">
        <w:rPr>
          <w:rFonts w:ascii="Arial" w:hAnsi="Arial" w:cs="Arial"/>
          <w:sz w:val="20"/>
          <w:szCs w:val="20"/>
        </w:rPr>
        <w:t>are below 0.5 mm/m and 2 mm/m respectively</w:t>
      </w:r>
      <w:r w:rsidR="004F07DC">
        <w:rPr>
          <w:rFonts w:ascii="Arial" w:hAnsi="Arial" w:cs="Arial"/>
          <w:sz w:val="20"/>
          <w:szCs w:val="20"/>
          <w:vertAlign w:val="superscript"/>
        </w:rPr>
        <w:t>5</w:t>
      </w:r>
      <w:r w:rsidR="004F07DC">
        <w:rPr>
          <w:rFonts w:ascii="Arial" w:hAnsi="Arial" w:cs="Arial"/>
          <w:sz w:val="20"/>
          <w:szCs w:val="20"/>
        </w:rPr>
        <w:t>.</w:t>
      </w:r>
      <w:r w:rsidR="00CA5C72" w:rsidRPr="00CA5C72">
        <w:rPr>
          <w:rFonts w:ascii="Arial" w:hAnsi="Arial" w:cs="Arial"/>
          <w:sz w:val="20"/>
          <w:szCs w:val="20"/>
        </w:rPr>
        <w:t xml:space="preserve"> </w:t>
      </w:r>
      <w:r w:rsidR="00565A3A">
        <w:rPr>
          <w:rFonts w:ascii="Arial" w:hAnsi="Arial" w:cs="Arial"/>
          <w:sz w:val="20"/>
          <w:szCs w:val="20"/>
        </w:rPr>
        <w:t>To avoid impacts to the hydrological regime of individual THPSS, t</w:t>
      </w:r>
      <w:r w:rsidR="00CA5C72">
        <w:rPr>
          <w:rFonts w:ascii="Arial" w:hAnsi="Arial" w:cs="Arial"/>
          <w:sz w:val="20"/>
          <w:szCs w:val="20"/>
        </w:rPr>
        <w:t xml:space="preserve">his avoidance strategy </w:t>
      </w:r>
      <w:r w:rsidR="00513472">
        <w:rPr>
          <w:rFonts w:ascii="Arial" w:hAnsi="Arial" w:cs="Arial"/>
          <w:sz w:val="20"/>
          <w:szCs w:val="20"/>
        </w:rPr>
        <w:t>would</w:t>
      </w:r>
      <w:r w:rsidR="00CA5C72">
        <w:rPr>
          <w:rFonts w:ascii="Arial" w:hAnsi="Arial" w:cs="Arial"/>
          <w:sz w:val="20"/>
          <w:szCs w:val="20"/>
        </w:rPr>
        <w:t xml:space="preserve"> also</w:t>
      </w:r>
      <w:r w:rsidR="00513472">
        <w:rPr>
          <w:rFonts w:ascii="Arial" w:hAnsi="Arial" w:cs="Arial"/>
          <w:sz w:val="20"/>
          <w:szCs w:val="20"/>
        </w:rPr>
        <w:t xml:space="preserve"> need to</w:t>
      </w:r>
      <w:r w:rsidR="00CA5C72">
        <w:rPr>
          <w:rFonts w:ascii="Arial" w:hAnsi="Arial" w:cs="Arial"/>
          <w:sz w:val="20"/>
          <w:szCs w:val="20"/>
        </w:rPr>
        <w:t xml:space="preserve"> be applied to any upstream tributaries that provide a significant proportion of surface flow to THPSS.</w:t>
      </w:r>
    </w:p>
    <w:p w:rsidR="004B5A51" w:rsidRPr="004B5A51" w:rsidRDefault="004B5A51" w:rsidP="004B5A51">
      <w:pPr>
        <w:pStyle w:val="PlainText"/>
        <w:spacing w:after="200" w:line="276" w:lineRule="auto"/>
        <w:rPr>
          <w:rFonts w:ascii="Arial" w:eastAsia="Times New Roman" w:hAnsi="Arial" w:cs="Arial"/>
          <w:sz w:val="20"/>
          <w:szCs w:val="20"/>
          <w:u w:val="single"/>
        </w:rPr>
      </w:pPr>
      <w:r w:rsidRPr="004B5A51">
        <w:rPr>
          <w:rFonts w:ascii="Arial" w:eastAsia="Times New Roman" w:hAnsi="Arial" w:cs="Arial"/>
          <w:sz w:val="20"/>
          <w:szCs w:val="20"/>
          <w:u w:val="single"/>
        </w:rPr>
        <w:t>Assessment against information guidelines</w:t>
      </w:r>
    </w:p>
    <w:p w:rsidR="00A622EC" w:rsidRDefault="00A622EC" w:rsidP="00A622E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Pr>
          <w:rFonts w:ascii="Arial" w:hAnsi="Arial" w:cs="Arial"/>
          <w:sz w:val="20"/>
          <w:szCs w:val="20"/>
        </w:rPr>
        <w:t>IESC</w:t>
      </w:r>
      <w:r w:rsidRPr="00CC2B33">
        <w:rPr>
          <w:rFonts w:ascii="Arial" w:hAnsi="Arial" w:cs="Arial"/>
          <w:sz w:val="20"/>
          <w:szCs w:val="20"/>
        </w:rPr>
        <w:t>,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6066FC" w:rsidRPr="00E270CE" w:rsidRDefault="006066FC" w:rsidP="006066FC">
      <w:pPr>
        <w:pStyle w:val="PlainText"/>
        <w:spacing w:after="200" w:line="276" w:lineRule="auto"/>
        <w:rPr>
          <w:rFonts w:ascii="Arial" w:eastAsia="Times New Roman" w:hAnsi="Arial" w:cs="Arial"/>
          <w:i/>
          <w:sz w:val="20"/>
          <w:szCs w:val="20"/>
        </w:rPr>
      </w:pPr>
      <w:bookmarkStart w:id="3" w:name="OLE_LINK5"/>
      <w:bookmarkStart w:id="4" w:name="OLE_LINK6"/>
      <w:r w:rsidRPr="00E270CE">
        <w:rPr>
          <w:rFonts w:ascii="Arial" w:eastAsia="Times New Roman" w:hAnsi="Arial" w:cs="Arial"/>
          <w:i/>
          <w:sz w:val="20"/>
          <w:szCs w:val="20"/>
        </w:rPr>
        <w:t>Relevant data and information: key conclusions</w:t>
      </w:r>
    </w:p>
    <w:p w:rsidR="00E7466D" w:rsidRPr="00C0271A" w:rsidRDefault="00E7466D" w:rsidP="00E7466D">
      <w:pPr>
        <w:autoSpaceDE w:val="0"/>
        <w:autoSpaceDN w:val="0"/>
        <w:adjustRightInd w:val="0"/>
        <w:spacing w:after="200" w:line="276" w:lineRule="auto"/>
        <w:rPr>
          <w:rFonts w:ascii="Arial" w:hAnsi="Arial" w:cs="Arial"/>
          <w:sz w:val="20"/>
          <w:szCs w:val="20"/>
          <w:lang w:val="en-US"/>
        </w:rPr>
      </w:pPr>
      <w:r w:rsidRPr="00C0271A" w:rsidDel="00ED166B">
        <w:rPr>
          <w:rFonts w:ascii="Arial" w:hAnsi="Arial" w:cs="Arial"/>
          <w:sz w:val="20"/>
          <w:szCs w:val="20"/>
          <w:lang w:val="en-US"/>
        </w:rPr>
        <w:t xml:space="preserve">The proponent has not </w:t>
      </w:r>
      <w:proofErr w:type="spellStart"/>
      <w:r w:rsidRPr="00C0271A" w:rsidDel="00ED166B">
        <w:rPr>
          <w:rFonts w:ascii="Arial" w:hAnsi="Arial" w:cs="Arial"/>
          <w:sz w:val="20"/>
          <w:szCs w:val="20"/>
          <w:lang w:val="en-US"/>
        </w:rPr>
        <w:t>characteris</w:t>
      </w:r>
      <w:r>
        <w:rPr>
          <w:rFonts w:ascii="Arial" w:hAnsi="Arial" w:cs="Arial"/>
          <w:sz w:val="20"/>
          <w:szCs w:val="20"/>
          <w:lang w:val="en-US"/>
        </w:rPr>
        <w:t>ed</w:t>
      </w:r>
      <w:proofErr w:type="spellEnd"/>
      <w:r w:rsidRPr="00C0271A" w:rsidDel="00ED166B">
        <w:rPr>
          <w:rFonts w:ascii="Arial" w:hAnsi="Arial" w:cs="Arial"/>
          <w:sz w:val="20"/>
          <w:szCs w:val="20"/>
          <w:lang w:val="en-US"/>
        </w:rPr>
        <w:t xml:space="preserve"> existing </w:t>
      </w:r>
      <w:r>
        <w:rPr>
          <w:rFonts w:ascii="Arial" w:hAnsi="Arial" w:cs="Arial"/>
          <w:sz w:val="20"/>
          <w:szCs w:val="20"/>
          <w:lang w:val="en-US"/>
        </w:rPr>
        <w:t xml:space="preserve">surface water, groundwater and ecological </w:t>
      </w:r>
      <w:r w:rsidRPr="00C0271A" w:rsidDel="00ED166B">
        <w:rPr>
          <w:rFonts w:ascii="Arial" w:hAnsi="Arial" w:cs="Arial"/>
          <w:sz w:val="20"/>
          <w:szCs w:val="20"/>
          <w:lang w:val="en-US"/>
        </w:rPr>
        <w:t>conditions for the majority</w:t>
      </w:r>
      <w:r w:rsidR="00B93D3F">
        <w:rPr>
          <w:rFonts w:ascii="Arial" w:hAnsi="Arial" w:cs="Arial"/>
          <w:sz w:val="20"/>
          <w:szCs w:val="20"/>
          <w:lang w:val="en-US"/>
        </w:rPr>
        <w:t xml:space="preserve"> of</w:t>
      </w:r>
      <w:r w:rsidRPr="00C0271A" w:rsidDel="00ED166B">
        <w:rPr>
          <w:rFonts w:ascii="Arial" w:hAnsi="Arial" w:cs="Arial"/>
          <w:sz w:val="20"/>
          <w:szCs w:val="20"/>
          <w:lang w:val="en-US"/>
        </w:rPr>
        <w:t xml:space="preserve"> </w:t>
      </w:r>
      <w:r>
        <w:rPr>
          <w:rFonts w:ascii="Arial" w:hAnsi="Arial" w:cs="Arial"/>
          <w:sz w:val="20"/>
          <w:szCs w:val="20"/>
          <w:lang w:val="en-US"/>
        </w:rPr>
        <w:t>THPSS</w:t>
      </w:r>
      <w:r w:rsidRPr="00C0271A" w:rsidDel="00ED166B">
        <w:rPr>
          <w:rFonts w:ascii="Arial" w:hAnsi="Arial" w:cs="Arial"/>
          <w:sz w:val="20"/>
          <w:szCs w:val="20"/>
          <w:lang w:val="en-US"/>
        </w:rPr>
        <w:t xml:space="preserve"> within the proposed project area</w:t>
      </w:r>
      <w:r>
        <w:rPr>
          <w:rFonts w:ascii="Arial" w:hAnsi="Arial" w:cs="Arial"/>
          <w:sz w:val="20"/>
          <w:szCs w:val="20"/>
          <w:lang w:val="en-US"/>
        </w:rPr>
        <w:t xml:space="preserve">. </w:t>
      </w:r>
      <w:r w:rsidRPr="00FF3AB5">
        <w:rPr>
          <w:rFonts w:ascii="Arial" w:hAnsi="Arial" w:cs="Arial"/>
          <w:sz w:val="20"/>
          <w:szCs w:val="20"/>
          <w:lang w:val="en-US"/>
        </w:rPr>
        <w:t xml:space="preserve">Seasonal surface water flow and an assessment, or estimation, of the </w:t>
      </w:r>
      <w:proofErr w:type="spellStart"/>
      <w:r w:rsidRPr="00FF3AB5">
        <w:rPr>
          <w:rFonts w:ascii="Arial" w:hAnsi="Arial" w:cs="Arial"/>
          <w:sz w:val="20"/>
          <w:szCs w:val="20"/>
          <w:lang w:val="en-US"/>
        </w:rPr>
        <w:t>baseflow</w:t>
      </w:r>
      <w:proofErr w:type="spellEnd"/>
      <w:r w:rsidRPr="00FF3AB5">
        <w:rPr>
          <w:rFonts w:ascii="Arial" w:hAnsi="Arial" w:cs="Arial"/>
          <w:sz w:val="20"/>
          <w:szCs w:val="20"/>
          <w:lang w:val="en-US"/>
        </w:rPr>
        <w:t xml:space="preserve"> component of the </w:t>
      </w:r>
      <w:proofErr w:type="spellStart"/>
      <w:r w:rsidRPr="00FF3AB5">
        <w:rPr>
          <w:rFonts w:ascii="Arial" w:hAnsi="Arial" w:cs="Arial"/>
          <w:sz w:val="20"/>
          <w:szCs w:val="20"/>
          <w:lang w:val="en-US"/>
        </w:rPr>
        <w:t>Coxs</w:t>
      </w:r>
      <w:proofErr w:type="spellEnd"/>
      <w:r w:rsidRPr="00FF3AB5">
        <w:rPr>
          <w:rFonts w:ascii="Arial" w:hAnsi="Arial" w:cs="Arial"/>
          <w:sz w:val="20"/>
          <w:szCs w:val="20"/>
          <w:lang w:val="en-US"/>
        </w:rPr>
        <w:t xml:space="preserve"> River </w:t>
      </w:r>
      <w:r w:rsidR="00652DC2" w:rsidRPr="00FF3AB5">
        <w:rPr>
          <w:rFonts w:ascii="Arial" w:hAnsi="Arial" w:cs="Arial"/>
          <w:sz w:val="20"/>
          <w:szCs w:val="20"/>
          <w:lang w:val="en-US"/>
        </w:rPr>
        <w:t>are</w:t>
      </w:r>
      <w:r w:rsidRPr="00FF3AB5">
        <w:rPr>
          <w:rFonts w:ascii="Arial" w:hAnsi="Arial" w:cs="Arial"/>
          <w:sz w:val="20"/>
          <w:szCs w:val="20"/>
          <w:lang w:val="en-US"/>
        </w:rPr>
        <w:t xml:space="preserve"> not provided</w:t>
      </w:r>
      <w:r w:rsidR="00652DC2" w:rsidRPr="00FF3AB5">
        <w:rPr>
          <w:rFonts w:ascii="Arial" w:hAnsi="Arial" w:cs="Arial"/>
          <w:sz w:val="20"/>
          <w:szCs w:val="20"/>
          <w:lang w:val="en-US"/>
        </w:rPr>
        <w:t xml:space="preserve"> and are needed</w:t>
      </w:r>
      <w:r w:rsidRPr="00FF3AB5">
        <w:rPr>
          <w:rFonts w:ascii="Arial" w:hAnsi="Arial" w:cs="Arial"/>
          <w:sz w:val="20"/>
          <w:szCs w:val="20"/>
          <w:lang w:val="en-US"/>
        </w:rPr>
        <w:t xml:space="preserve"> to enable</w:t>
      </w:r>
      <w:r w:rsidR="00652DC2" w:rsidRPr="00FF3AB5">
        <w:rPr>
          <w:rFonts w:ascii="Arial" w:hAnsi="Arial" w:cs="Arial"/>
          <w:sz w:val="20"/>
          <w:szCs w:val="20"/>
          <w:lang w:val="en-US"/>
        </w:rPr>
        <w:t xml:space="preserve"> the</w:t>
      </w:r>
      <w:r w:rsidRPr="00FF3AB5">
        <w:rPr>
          <w:rFonts w:ascii="Arial" w:hAnsi="Arial" w:cs="Arial"/>
          <w:sz w:val="20"/>
          <w:szCs w:val="20"/>
          <w:lang w:val="en-US"/>
        </w:rPr>
        <w:t xml:space="preserve"> prediction of impacts to seasonal flows within, and interactions between,</w:t>
      </w:r>
      <w:r w:rsidRPr="00652DC2">
        <w:rPr>
          <w:rFonts w:ascii="Arial" w:hAnsi="Arial" w:cs="Arial"/>
          <w:sz w:val="20"/>
          <w:szCs w:val="20"/>
          <w:highlight w:val="yellow"/>
          <w:lang w:val="en-US"/>
        </w:rPr>
        <w:t xml:space="preserve"> </w:t>
      </w:r>
      <w:r w:rsidRPr="00D41945">
        <w:rPr>
          <w:rFonts w:ascii="Arial" w:hAnsi="Arial" w:cs="Arial"/>
          <w:sz w:val="20"/>
          <w:szCs w:val="20"/>
          <w:lang w:val="en-US"/>
        </w:rPr>
        <w:t>surface water and groundwater systems, including</w:t>
      </w:r>
      <w:r w:rsidR="00B93D3F" w:rsidRPr="00D41945">
        <w:rPr>
          <w:rFonts w:ascii="Arial" w:hAnsi="Arial" w:cs="Arial"/>
          <w:sz w:val="20"/>
          <w:szCs w:val="20"/>
          <w:lang w:val="en-US"/>
        </w:rPr>
        <w:t xml:space="preserve"> those </w:t>
      </w:r>
      <w:r w:rsidR="00AA7B43" w:rsidRPr="00D41945">
        <w:rPr>
          <w:rFonts w:ascii="Arial" w:hAnsi="Arial" w:cs="Arial"/>
          <w:sz w:val="20"/>
          <w:szCs w:val="20"/>
          <w:lang w:val="en-US"/>
        </w:rPr>
        <w:t>associated with</w:t>
      </w:r>
      <w:r w:rsidRPr="00D41945">
        <w:rPr>
          <w:rFonts w:ascii="Arial" w:hAnsi="Arial" w:cs="Arial"/>
          <w:sz w:val="20"/>
          <w:szCs w:val="20"/>
          <w:lang w:val="en-US"/>
        </w:rPr>
        <w:t xml:space="preserve"> THPSS</w:t>
      </w:r>
      <w:r w:rsidRPr="00C0271A">
        <w:rPr>
          <w:rFonts w:ascii="Arial" w:hAnsi="Arial" w:cs="Arial"/>
          <w:sz w:val="20"/>
          <w:szCs w:val="20"/>
          <w:lang w:val="en-US"/>
        </w:rPr>
        <w:t xml:space="preserve">. This </w:t>
      </w:r>
      <w:r>
        <w:rPr>
          <w:rFonts w:ascii="Arial" w:hAnsi="Arial" w:cs="Arial"/>
          <w:sz w:val="20"/>
          <w:szCs w:val="20"/>
          <w:lang w:val="en-US"/>
        </w:rPr>
        <w:t>information</w:t>
      </w:r>
      <w:r w:rsidRPr="00C0271A">
        <w:rPr>
          <w:rFonts w:ascii="Arial" w:hAnsi="Arial" w:cs="Arial"/>
          <w:sz w:val="20"/>
          <w:szCs w:val="20"/>
          <w:lang w:val="en-US"/>
        </w:rPr>
        <w:t xml:space="preserve"> would also improve predictions of </w:t>
      </w:r>
      <w:r w:rsidR="0014510E">
        <w:rPr>
          <w:rFonts w:ascii="Arial" w:hAnsi="Arial" w:cs="Arial"/>
          <w:sz w:val="20"/>
          <w:szCs w:val="20"/>
          <w:lang w:val="en-US"/>
        </w:rPr>
        <w:t>discharge</w:t>
      </w:r>
      <w:r w:rsidRPr="00C0271A">
        <w:rPr>
          <w:rFonts w:ascii="Arial" w:hAnsi="Arial" w:cs="Arial"/>
          <w:sz w:val="20"/>
          <w:szCs w:val="20"/>
          <w:lang w:val="en-US"/>
        </w:rPr>
        <w:t xml:space="preserve"> and </w:t>
      </w:r>
      <w:proofErr w:type="spellStart"/>
      <w:r w:rsidRPr="00C0271A">
        <w:rPr>
          <w:rFonts w:ascii="Arial" w:hAnsi="Arial" w:cs="Arial"/>
          <w:sz w:val="20"/>
          <w:szCs w:val="20"/>
          <w:lang w:val="en-US"/>
        </w:rPr>
        <w:t>baseflow</w:t>
      </w:r>
      <w:proofErr w:type="spellEnd"/>
      <w:r w:rsidRPr="00C0271A">
        <w:rPr>
          <w:rFonts w:ascii="Arial" w:hAnsi="Arial" w:cs="Arial"/>
          <w:sz w:val="20"/>
          <w:szCs w:val="20"/>
          <w:lang w:val="en-US"/>
        </w:rPr>
        <w:t xml:space="preserve"> losses within the </w:t>
      </w:r>
      <w:proofErr w:type="spellStart"/>
      <w:r w:rsidRPr="00C0271A">
        <w:rPr>
          <w:rFonts w:ascii="Arial" w:hAnsi="Arial" w:cs="Arial"/>
          <w:sz w:val="20"/>
          <w:szCs w:val="20"/>
          <w:lang w:val="en-US"/>
        </w:rPr>
        <w:t>Coxs</w:t>
      </w:r>
      <w:proofErr w:type="spellEnd"/>
      <w:r w:rsidRPr="00C0271A">
        <w:rPr>
          <w:rFonts w:ascii="Arial" w:hAnsi="Arial" w:cs="Arial"/>
          <w:sz w:val="20"/>
          <w:szCs w:val="20"/>
          <w:lang w:val="en-US"/>
        </w:rPr>
        <w:t xml:space="preserve"> River and the potential for downstream impacts to occur.</w:t>
      </w:r>
    </w:p>
    <w:p w:rsidR="006066FC" w:rsidRPr="00E270CE" w:rsidRDefault="006066FC" w:rsidP="006066FC">
      <w:pPr>
        <w:pStyle w:val="PlainText"/>
        <w:spacing w:after="200" w:line="276" w:lineRule="auto"/>
        <w:rPr>
          <w:rFonts w:ascii="Arial" w:hAnsi="Arial" w:cs="Arial"/>
          <w:i/>
          <w:sz w:val="20"/>
          <w:szCs w:val="20"/>
        </w:rPr>
      </w:pPr>
      <w:r w:rsidRPr="00E270CE">
        <w:rPr>
          <w:rFonts w:ascii="Arial" w:hAnsi="Arial" w:cs="Arial"/>
          <w:i/>
          <w:sz w:val="20"/>
          <w:szCs w:val="20"/>
        </w:rPr>
        <w:t>Application of appropriate methodologies: key conclusions</w:t>
      </w:r>
    </w:p>
    <w:p w:rsidR="006066FC" w:rsidRDefault="006066FC" w:rsidP="006066FC">
      <w:pPr>
        <w:autoSpaceDE w:val="0"/>
        <w:autoSpaceDN w:val="0"/>
        <w:adjustRightInd w:val="0"/>
        <w:spacing w:after="200" w:line="276" w:lineRule="auto"/>
        <w:rPr>
          <w:rFonts w:ascii="Arial" w:hAnsi="Arial" w:cs="Arial"/>
          <w:sz w:val="20"/>
          <w:szCs w:val="20"/>
          <w:lang w:val="en-US"/>
        </w:rPr>
      </w:pPr>
      <w:r w:rsidRPr="00C0271A">
        <w:rPr>
          <w:rFonts w:ascii="Arial" w:hAnsi="Arial" w:cs="Arial"/>
          <w:sz w:val="20"/>
          <w:szCs w:val="20"/>
          <w:lang w:val="en-US"/>
        </w:rPr>
        <w:t xml:space="preserve">The groundwater model has been constructed using industry best </w:t>
      </w:r>
      <w:r w:rsidR="000E1A66" w:rsidRPr="00C0271A">
        <w:rPr>
          <w:rFonts w:ascii="Arial" w:hAnsi="Arial" w:cs="Arial"/>
          <w:sz w:val="20"/>
          <w:szCs w:val="20"/>
          <w:lang w:val="en-US"/>
        </w:rPr>
        <w:t>practice</w:t>
      </w:r>
      <w:r w:rsidRPr="00C0271A">
        <w:rPr>
          <w:rFonts w:ascii="Arial" w:hAnsi="Arial" w:cs="Arial"/>
          <w:sz w:val="20"/>
          <w:szCs w:val="20"/>
          <w:lang w:val="en-US"/>
        </w:rPr>
        <w:t xml:space="preserve"> methods and is acceptable for predicting mine inflows. However, the scale of the groundwater model is inappropriate to predict groundwater related impacts to individual </w:t>
      </w:r>
      <w:r>
        <w:rPr>
          <w:rFonts w:ascii="Arial" w:hAnsi="Arial" w:cs="Arial"/>
          <w:sz w:val="20"/>
          <w:szCs w:val="20"/>
          <w:lang w:val="en-US"/>
        </w:rPr>
        <w:t>THPSS</w:t>
      </w:r>
      <w:r w:rsidRPr="00C0271A">
        <w:rPr>
          <w:rFonts w:ascii="Arial" w:hAnsi="Arial" w:cs="Arial"/>
          <w:sz w:val="20"/>
          <w:szCs w:val="20"/>
          <w:lang w:val="en-US"/>
        </w:rPr>
        <w:t xml:space="preserve">. </w:t>
      </w:r>
      <w:r>
        <w:rPr>
          <w:rFonts w:ascii="Arial" w:hAnsi="Arial" w:cs="Arial"/>
          <w:sz w:val="20"/>
          <w:szCs w:val="20"/>
          <w:lang w:val="en-US"/>
        </w:rPr>
        <w:t xml:space="preserve">Further, </w:t>
      </w:r>
      <w:r w:rsidRPr="00C0271A">
        <w:rPr>
          <w:rFonts w:ascii="Arial" w:hAnsi="Arial" w:cs="Arial"/>
          <w:sz w:val="20"/>
          <w:szCs w:val="20"/>
          <w:lang w:val="en-US"/>
        </w:rPr>
        <w:t>a number of swamps are not incorporated into the groundwater model</w:t>
      </w:r>
      <w:r>
        <w:rPr>
          <w:rFonts w:ascii="Arial" w:hAnsi="Arial" w:cs="Arial"/>
          <w:sz w:val="20"/>
          <w:szCs w:val="20"/>
          <w:lang w:val="en-US"/>
        </w:rPr>
        <w:t>.</w:t>
      </w:r>
      <w:r w:rsidRPr="00C0271A">
        <w:rPr>
          <w:rFonts w:ascii="Arial" w:hAnsi="Arial" w:cs="Arial"/>
          <w:sz w:val="20"/>
          <w:szCs w:val="20"/>
          <w:lang w:val="en-US"/>
        </w:rPr>
        <w:t xml:space="preserve"> Finer scaled, site specific models, informed by a </w:t>
      </w:r>
      <w:proofErr w:type="spellStart"/>
      <w:r w:rsidRPr="00C0271A">
        <w:rPr>
          <w:rFonts w:ascii="Arial" w:hAnsi="Arial" w:cs="Arial"/>
          <w:sz w:val="20"/>
          <w:szCs w:val="20"/>
          <w:lang w:val="en-US"/>
        </w:rPr>
        <w:t>conceptualisation</w:t>
      </w:r>
      <w:proofErr w:type="spellEnd"/>
      <w:r w:rsidRPr="00C0271A">
        <w:rPr>
          <w:rFonts w:ascii="Arial" w:hAnsi="Arial" w:cs="Arial"/>
          <w:sz w:val="20"/>
          <w:szCs w:val="20"/>
          <w:lang w:val="en-US"/>
        </w:rPr>
        <w:t xml:space="preserve"> of the hydrology and hydrogeology, would be needed to </w:t>
      </w:r>
      <w:r>
        <w:rPr>
          <w:rFonts w:ascii="Arial" w:hAnsi="Arial" w:cs="Arial"/>
          <w:sz w:val="20"/>
          <w:szCs w:val="20"/>
          <w:lang w:val="en-US"/>
        </w:rPr>
        <w:t>have</w:t>
      </w:r>
      <w:r w:rsidRPr="00C0271A">
        <w:rPr>
          <w:rFonts w:ascii="Arial" w:hAnsi="Arial" w:cs="Arial"/>
          <w:sz w:val="20"/>
          <w:szCs w:val="20"/>
          <w:lang w:val="en-US"/>
        </w:rPr>
        <w:t xml:space="preserve"> confidence in the predictions of groundwater impacts to individual swamps. </w:t>
      </w:r>
    </w:p>
    <w:p w:rsidR="006C424B" w:rsidRPr="00C0271A" w:rsidRDefault="006C424B" w:rsidP="006C424B">
      <w:pPr>
        <w:autoSpaceDE w:val="0"/>
        <w:autoSpaceDN w:val="0"/>
        <w:adjustRightInd w:val="0"/>
        <w:spacing w:after="200" w:line="276" w:lineRule="auto"/>
        <w:rPr>
          <w:rFonts w:ascii="Arial" w:hAnsi="Arial" w:cs="Arial"/>
          <w:sz w:val="20"/>
          <w:szCs w:val="20"/>
          <w:lang w:val="en-US"/>
        </w:rPr>
      </w:pPr>
      <w:r w:rsidRPr="00D41945">
        <w:rPr>
          <w:rFonts w:ascii="Arial" w:hAnsi="Arial" w:cs="Arial"/>
          <w:sz w:val="20"/>
          <w:szCs w:val="20"/>
          <w:lang w:val="en-US"/>
        </w:rPr>
        <w:t xml:space="preserve">Water quality impact estimations for the </w:t>
      </w:r>
      <w:proofErr w:type="spellStart"/>
      <w:r w:rsidRPr="00D41945">
        <w:rPr>
          <w:rFonts w:ascii="Arial" w:hAnsi="Arial" w:cs="Arial"/>
          <w:sz w:val="20"/>
          <w:szCs w:val="20"/>
          <w:lang w:val="en-US"/>
        </w:rPr>
        <w:t>Coxs</w:t>
      </w:r>
      <w:proofErr w:type="spellEnd"/>
      <w:r w:rsidRPr="00D41945">
        <w:rPr>
          <w:rFonts w:ascii="Arial" w:hAnsi="Arial" w:cs="Arial"/>
          <w:sz w:val="20"/>
          <w:szCs w:val="20"/>
          <w:lang w:val="en-US"/>
        </w:rPr>
        <w:t xml:space="preserve"> River need to consider increased discharge volumes to </w:t>
      </w:r>
      <w:proofErr w:type="spellStart"/>
      <w:r w:rsidRPr="00D41945">
        <w:rPr>
          <w:rFonts w:ascii="Arial" w:hAnsi="Arial" w:cs="Arial"/>
          <w:sz w:val="20"/>
          <w:szCs w:val="20"/>
          <w:lang w:val="en-US"/>
        </w:rPr>
        <w:t>Coxs</w:t>
      </w:r>
      <w:proofErr w:type="spellEnd"/>
      <w:r w:rsidRPr="00D41945">
        <w:rPr>
          <w:rFonts w:ascii="Arial" w:hAnsi="Arial" w:cs="Arial"/>
          <w:sz w:val="20"/>
          <w:szCs w:val="20"/>
          <w:lang w:val="en-US"/>
        </w:rPr>
        <w:t xml:space="preserve"> River resulting from reduced demand from the </w:t>
      </w:r>
      <w:proofErr w:type="spellStart"/>
      <w:r w:rsidRPr="00D41945">
        <w:rPr>
          <w:rFonts w:ascii="Arial" w:hAnsi="Arial" w:cs="Arial"/>
          <w:sz w:val="20"/>
          <w:szCs w:val="20"/>
          <w:lang w:val="en-US"/>
        </w:rPr>
        <w:t>Wallerawang</w:t>
      </w:r>
      <w:proofErr w:type="spellEnd"/>
      <w:r w:rsidRPr="00D41945">
        <w:rPr>
          <w:rFonts w:ascii="Arial" w:hAnsi="Arial" w:cs="Arial"/>
          <w:sz w:val="20"/>
          <w:szCs w:val="20"/>
          <w:lang w:val="en-US"/>
        </w:rPr>
        <w:t xml:space="preserve"> Power Station. The assessment of mine water discharges needs to consider the resulting cumulative concentrations of a range of contaminants, in addition to salt, within </w:t>
      </w:r>
      <w:proofErr w:type="spellStart"/>
      <w:r w:rsidRPr="00D41945">
        <w:rPr>
          <w:rFonts w:ascii="Arial" w:hAnsi="Arial" w:cs="Arial"/>
          <w:sz w:val="20"/>
          <w:szCs w:val="20"/>
          <w:lang w:val="en-US"/>
        </w:rPr>
        <w:t>Coxs</w:t>
      </w:r>
      <w:proofErr w:type="spellEnd"/>
      <w:r w:rsidRPr="00D41945">
        <w:rPr>
          <w:rFonts w:ascii="Arial" w:hAnsi="Arial" w:cs="Arial"/>
          <w:sz w:val="20"/>
          <w:szCs w:val="20"/>
          <w:lang w:val="en-US"/>
        </w:rPr>
        <w:t xml:space="preserve"> River.</w:t>
      </w:r>
    </w:p>
    <w:p w:rsidR="006066FC" w:rsidRPr="00E270CE" w:rsidRDefault="006066FC" w:rsidP="006066FC">
      <w:pPr>
        <w:pStyle w:val="PlainText"/>
        <w:spacing w:after="200" w:line="276" w:lineRule="auto"/>
        <w:rPr>
          <w:rFonts w:ascii="Arial" w:eastAsia="Times New Roman" w:hAnsi="Arial" w:cs="Arial"/>
          <w:i/>
          <w:sz w:val="20"/>
          <w:szCs w:val="20"/>
        </w:rPr>
      </w:pPr>
      <w:r w:rsidRPr="00E270CE">
        <w:rPr>
          <w:rFonts w:ascii="Arial" w:eastAsia="Times New Roman" w:hAnsi="Arial" w:cs="Arial"/>
          <w:i/>
          <w:sz w:val="20"/>
          <w:szCs w:val="20"/>
        </w:rPr>
        <w:t>Reasonable values and parameters in calculation: key conclusions</w:t>
      </w:r>
    </w:p>
    <w:p w:rsidR="00F829A7" w:rsidRPr="00C0271A" w:rsidRDefault="006066FC" w:rsidP="006066FC">
      <w:pPr>
        <w:autoSpaceDE w:val="0"/>
        <w:autoSpaceDN w:val="0"/>
        <w:adjustRightInd w:val="0"/>
        <w:spacing w:after="200" w:line="276" w:lineRule="auto"/>
        <w:rPr>
          <w:rFonts w:ascii="Arial" w:hAnsi="Arial" w:cs="Arial"/>
          <w:sz w:val="20"/>
          <w:szCs w:val="20"/>
          <w:lang w:val="en-US"/>
        </w:rPr>
      </w:pPr>
      <w:r w:rsidRPr="00C0271A">
        <w:rPr>
          <w:rFonts w:ascii="Arial" w:hAnsi="Arial" w:cs="Arial"/>
          <w:sz w:val="20"/>
          <w:szCs w:val="20"/>
          <w:lang w:val="en-US"/>
        </w:rPr>
        <w:t xml:space="preserve">Confidence in groundwater model predictions is limited by a lack of site specific </w:t>
      </w:r>
      <w:proofErr w:type="spellStart"/>
      <w:r w:rsidRPr="00C0271A">
        <w:rPr>
          <w:rFonts w:ascii="Arial" w:hAnsi="Arial" w:cs="Arial"/>
          <w:sz w:val="20"/>
          <w:szCs w:val="20"/>
          <w:lang w:val="en-US"/>
        </w:rPr>
        <w:t>hydrogeological</w:t>
      </w:r>
      <w:proofErr w:type="spellEnd"/>
      <w:r w:rsidRPr="00C0271A">
        <w:rPr>
          <w:rFonts w:ascii="Arial" w:hAnsi="Arial" w:cs="Arial"/>
          <w:sz w:val="20"/>
          <w:szCs w:val="20"/>
          <w:lang w:val="en-US"/>
        </w:rPr>
        <w:t xml:space="preserve"> data and lineam</w:t>
      </w:r>
      <w:r>
        <w:rPr>
          <w:rFonts w:ascii="Arial" w:hAnsi="Arial" w:cs="Arial"/>
          <w:sz w:val="20"/>
          <w:szCs w:val="20"/>
          <w:lang w:val="en-US"/>
        </w:rPr>
        <w:t xml:space="preserve">ent groundwater flow behavior. </w:t>
      </w:r>
      <w:r w:rsidRPr="00C0271A">
        <w:rPr>
          <w:rFonts w:ascii="Arial" w:hAnsi="Arial" w:cs="Arial"/>
          <w:sz w:val="20"/>
          <w:szCs w:val="20"/>
          <w:lang w:val="en-US"/>
        </w:rPr>
        <w:t xml:space="preserve">The assessment of surface water impacts, including cumulative impacts, needs to consider contaminants such as copper, zinc, nitrogen and phosphorus, which groundwater quality </w:t>
      </w:r>
      <w:r>
        <w:rPr>
          <w:rFonts w:ascii="Arial" w:hAnsi="Arial" w:cs="Arial"/>
          <w:sz w:val="20"/>
          <w:szCs w:val="20"/>
          <w:lang w:val="en-US"/>
        </w:rPr>
        <w:t xml:space="preserve">monitoring shows all </w:t>
      </w:r>
      <w:r w:rsidRPr="00C0271A">
        <w:rPr>
          <w:rFonts w:ascii="Arial" w:hAnsi="Arial" w:cs="Arial"/>
          <w:sz w:val="20"/>
          <w:szCs w:val="20"/>
          <w:lang w:val="en-US"/>
        </w:rPr>
        <w:t>exceed ANZECC guidelines</w:t>
      </w:r>
      <w:r w:rsidRPr="00A71F70">
        <w:rPr>
          <w:rFonts w:ascii="Arial" w:hAnsi="Arial" w:cs="Arial"/>
          <w:sz w:val="20"/>
          <w:szCs w:val="20"/>
          <w:vertAlign w:val="superscript"/>
          <w:lang w:val="en-US"/>
        </w:rPr>
        <w:t>2</w:t>
      </w:r>
      <w:r w:rsidRPr="00C0271A">
        <w:rPr>
          <w:rFonts w:ascii="Arial" w:hAnsi="Arial" w:cs="Arial"/>
          <w:sz w:val="20"/>
          <w:szCs w:val="20"/>
          <w:lang w:val="en-US"/>
        </w:rPr>
        <w:t xml:space="preserve">. </w:t>
      </w:r>
    </w:p>
    <w:bookmarkEnd w:id="3"/>
    <w:bookmarkEnd w:id="4"/>
    <w:p w:rsidR="00CB7EE9" w:rsidRDefault="00CB7EE9" w:rsidP="00F829A7">
      <w:pPr>
        <w:pStyle w:val="tablelabel"/>
        <w:spacing w:before="200" w:after="200" w:line="276" w:lineRule="auto"/>
        <w:rPr>
          <w:rFonts w:cs="Arial"/>
          <w:sz w:val="20"/>
        </w:rPr>
      </w:pPr>
    </w:p>
    <w:p w:rsidR="00CB7EE9" w:rsidRDefault="00CB7EE9" w:rsidP="00F829A7">
      <w:pPr>
        <w:pStyle w:val="tablelabel"/>
        <w:spacing w:before="200" w:after="200" w:line="276" w:lineRule="auto"/>
        <w:rPr>
          <w:rFonts w:cs="Arial"/>
          <w:sz w:val="20"/>
        </w:rPr>
      </w:pPr>
    </w:p>
    <w:p w:rsidR="00F829A7" w:rsidRDefault="00F829A7" w:rsidP="00F829A7">
      <w:pPr>
        <w:pStyle w:val="tablelabel"/>
        <w:spacing w:before="200" w:after="200" w:line="276" w:lineRule="auto"/>
        <w:rPr>
          <w:rFonts w:cs="Arial"/>
          <w:sz w:val="20"/>
        </w:rPr>
      </w:pPr>
      <w:r w:rsidRPr="00F37C48">
        <w:rPr>
          <w:rFonts w:cs="Arial"/>
          <w:sz w:val="20"/>
        </w:rPr>
        <w:lastRenderedPageBreak/>
        <w:t>Advice</w:t>
      </w:r>
    </w:p>
    <w:p w:rsidR="00F829A7" w:rsidRDefault="00F829A7" w:rsidP="00F829A7">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IESC’s advice, in response to the requesting agency’s specific questions is provided below. </w:t>
      </w:r>
    </w:p>
    <w:p w:rsidR="00F829A7" w:rsidRPr="00513E1F" w:rsidRDefault="00F829A7" w:rsidP="00F829A7">
      <w:pPr>
        <w:pStyle w:val="Question"/>
        <w:rPr>
          <w:b w:val="0"/>
          <w:sz w:val="20"/>
        </w:rPr>
      </w:pPr>
      <w:r w:rsidRPr="00513E1F">
        <w:rPr>
          <w:b w:val="0"/>
          <w:sz w:val="20"/>
        </w:rPr>
        <w:t>Questions 1 to 4 relate specifically to the risks identified within the EIS documentation in relation to the Temperate Highland Peat Swamps on Sandstone Ecological Community, listed as endangered under the EPBC Act.</w:t>
      </w:r>
    </w:p>
    <w:p w:rsidR="00F829A7" w:rsidRPr="00A4475C" w:rsidRDefault="00F829A7" w:rsidP="00F829A7">
      <w:pPr>
        <w:pStyle w:val="Question"/>
        <w:rPr>
          <w:b w:val="0"/>
          <w:sz w:val="20"/>
        </w:rPr>
      </w:pPr>
      <w:r w:rsidRPr="00A4475C">
        <w:rPr>
          <w:b w:val="0"/>
          <w:sz w:val="20"/>
        </w:rPr>
        <w:t>Question 1: Does the EIS, and in particular the groundwater model and the treatment of subsidence and fracturing predictions, provide a reasonable assessment of the likelihood, extent and significance of impacts on overlying adjacent swamps?</w:t>
      </w:r>
    </w:p>
    <w:p w:rsidR="00F829A7" w:rsidRPr="009110D5" w:rsidRDefault="00F829A7" w:rsidP="00F829A7">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Response</w:t>
      </w:r>
    </w:p>
    <w:p w:rsidR="00DB044B" w:rsidRPr="00352CFB" w:rsidRDefault="00DB044B" w:rsidP="00DB044B">
      <w:pPr>
        <w:pStyle w:val="ListNumber"/>
        <w:widowControl w:val="0"/>
        <w:spacing w:after="200" w:line="276" w:lineRule="auto"/>
        <w:rPr>
          <w:rFonts w:ascii="Arial" w:hAnsi="Arial" w:cs="Arial"/>
          <w:sz w:val="20"/>
        </w:rPr>
      </w:pPr>
      <w:bookmarkStart w:id="5" w:name="OLE_LINK3"/>
      <w:bookmarkStart w:id="6" w:name="OLE_LINK4"/>
      <w:r w:rsidRPr="00352CFB">
        <w:rPr>
          <w:rFonts w:ascii="Arial" w:hAnsi="Arial" w:cs="Arial"/>
          <w:sz w:val="20"/>
          <w:szCs w:val="20"/>
        </w:rPr>
        <w:t>The EIS, including the groundwater model, does not provide a reasonable assessment of impacts to THPSS. Confidence</w:t>
      </w:r>
      <w:r w:rsidRPr="00352CFB">
        <w:rPr>
          <w:rFonts w:ascii="Arial" w:hAnsi="Arial" w:cs="Arial"/>
          <w:sz w:val="20"/>
          <w:szCs w:val="20"/>
          <w:lang w:val="en-US"/>
        </w:rPr>
        <w:t xml:space="preserve"> in the groundwater model’s </w:t>
      </w:r>
      <w:r w:rsidR="00BD6DF3">
        <w:rPr>
          <w:rFonts w:ascii="Arial" w:hAnsi="Arial" w:cs="Arial"/>
          <w:sz w:val="20"/>
          <w:szCs w:val="20"/>
          <w:lang w:val="en-US"/>
        </w:rPr>
        <w:t>capacity</w:t>
      </w:r>
      <w:r w:rsidRPr="00352CFB">
        <w:rPr>
          <w:rFonts w:ascii="Arial" w:hAnsi="Arial" w:cs="Arial"/>
          <w:sz w:val="20"/>
          <w:szCs w:val="20"/>
          <w:lang w:val="en-US"/>
        </w:rPr>
        <w:t xml:space="preserve"> to predict site specific impacts to individual THPSS</w:t>
      </w:r>
      <w:r w:rsidR="00030E79">
        <w:rPr>
          <w:rFonts w:ascii="Arial" w:hAnsi="Arial" w:cs="Arial"/>
          <w:sz w:val="20"/>
          <w:szCs w:val="20"/>
          <w:lang w:val="en-US"/>
        </w:rPr>
        <w:t xml:space="preserve"> is low. In particular</w:t>
      </w:r>
      <w:r>
        <w:rPr>
          <w:rFonts w:ascii="Arial" w:hAnsi="Arial" w:cs="Arial"/>
          <w:sz w:val="20"/>
          <w:szCs w:val="20"/>
          <w:lang w:val="en-US"/>
        </w:rPr>
        <w:t xml:space="preserve"> t</w:t>
      </w:r>
      <w:r w:rsidRPr="00352CFB">
        <w:rPr>
          <w:rFonts w:ascii="Arial" w:hAnsi="Arial" w:cs="Arial"/>
          <w:sz w:val="20"/>
        </w:rPr>
        <w:t>he model scale is not appropriate to predict impacts to THPSS</w:t>
      </w:r>
      <w:r>
        <w:rPr>
          <w:rFonts w:ascii="Arial" w:hAnsi="Arial" w:cs="Arial"/>
          <w:sz w:val="20"/>
        </w:rPr>
        <w:t xml:space="preserve">, and a number of THPSS are not included within the groundwater model and therefore groundwater related impacts to these swamps </w:t>
      </w:r>
      <w:r w:rsidR="00606B7A">
        <w:rPr>
          <w:rFonts w:ascii="Arial" w:hAnsi="Arial" w:cs="Arial"/>
          <w:sz w:val="20"/>
        </w:rPr>
        <w:t>cannot</w:t>
      </w:r>
      <w:r>
        <w:rPr>
          <w:rFonts w:ascii="Arial" w:hAnsi="Arial" w:cs="Arial"/>
          <w:sz w:val="20"/>
        </w:rPr>
        <w:t xml:space="preserve"> be predicted.</w:t>
      </w:r>
    </w:p>
    <w:bookmarkEnd w:id="5"/>
    <w:bookmarkEnd w:id="6"/>
    <w:p w:rsidR="001F0D78" w:rsidRDefault="001F0D78" w:rsidP="001F0D78">
      <w:pPr>
        <w:pStyle w:val="ListNumber"/>
        <w:spacing w:after="200" w:line="276" w:lineRule="auto"/>
        <w:rPr>
          <w:rFonts w:ascii="Arial" w:hAnsi="Arial" w:cs="Arial"/>
          <w:sz w:val="20"/>
          <w:szCs w:val="20"/>
        </w:rPr>
      </w:pPr>
      <w:r w:rsidRPr="00D3543F">
        <w:rPr>
          <w:rFonts w:ascii="Arial" w:hAnsi="Arial" w:cs="Arial"/>
          <w:sz w:val="20"/>
          <w:szCs w:val="20"/>
        </w:rPr>
        <w:t xml:space="preserve">The incremental profile </w:t>
      </w:r>
      <w:r>
        <w:rPr>
          <w:rFonts w:ascii="Arial" w:hAnsi="Arial" w:cs="Arial"/>
          <w:sz w:val="20"/>
          <w:szCs w:val="20"/>
        </w:rPr>
        <w:t>method</w:t>
      </w:r>
      <w:r w:rsidRPr="00D3543F">
        <w:rPr>
          <w:rFonts w:ascii="Arial" w:hAnsi="Arial" w:cs="Arial"/>
          <w:sz w:val="20"/>
          <w:szCs w:val="20"/>
        </w:rPr>
        <w:t xml:space="preserve"> utilised in the EIS provides reasonable predictions of subsidence </w:t>
      </w:r>
      <w:r>
        <w:rPr>
          <w:rFonts w:ascii="Arial" w:hAnsi="Arial" w:cs="Arial"/>
          <w:sz w:val="20"/>
          <w:szCs w:val="20"/>
        </w:rPr>
        <w:t>likely to</w:t>
      </w:r>
      <w:r w:rsidRPr="00D3543F">
        <w:rPr>
          <w:rFonts w:ascii="Arial" w:hAnsi="Arial" w:cs="Arial"/>
          <w:sz w:val="20"/>
          <w:szCs w:val="20"/>
        </w:rPr>
        <w:t xml:space="preserve"> occur as a result of the proposed </w:t>
      </w:r>
      <w:proofErr w:type="spellStart"/>
      <w:r w:rsidRPr="00D3543F">
        <w:rPr>
          <w:rFonts w:ascii="Arial" w:hAnsi="Arial" w:cs="Arial"/>
          <w:sz w:val="20"/>
          <w:szCs w:val="20"/>
        </w:rPr>
        <w:t>longwall</w:t>
      </w:r>
      <w:proofErr w:type="spellEnd"/>
      <w:r w:rsidRPr="00D3543F">
        <w:rPr>
          <w:rFonts w:ascii="Arial" w:hAnsi="Arial" w:cs="Arial"/>
          <w:sz w:val="20"/>
          <w:szCs w:val="20"/>
        </w:rPr>
        <w:t xml:space="preserve"> design. </w:t>
      </w:r>
      <w:r>
        <w:rPr>
          <w:rFonts w:ascii="Arial" w:hAnsi="Arial" w:cs="Arial"/>
          <w:sz w:val="20"/>
          <w:szCs w:val="20"/>
        </w:rPr>
        <w:t xml:space="preserve">However, there is a lower degree of confidence in subsidence predictions proximal to </w:t>
      </w:r>
      <w:r w:rsidR="00D41945" w:rsidRPr="00293B46">
        <w:rPr>
          <w:rFonts w:ascii="Arial" w:hAnsi="Arial" w:cs="Arial"/>
          <w:sz w:val="20"/>
          <w:szCs w:val="20"/>
        </w:rPr>
        <w:t xml:space="preserve">“type 1” and “type 2” lineaments, which are the </w:t>
      </w:r>
      <w:r w:rsidR="001C7E53">
        <w:rPr>
          <w:rFonts w:ascii="Arial" w:hAnsi="Arial" w:cs="Arial"/>
          <w:sz w:val="20"/>
          <w:szCs w:val="20"/>
        </w:rPr>
        <w:t>shallow</w:t>
      </w:r>
      <w:r w:rsidR="00D41945" w:rsidRPr="00293B46">
        <w:rPr>
          <w:rFonts w:ascii="Arial" w:hAnsi="Arial" w:cs="Arial"/>
          <w:sz w:val="20"/>
          <w:szCs w:val="20"/>
        </w:rPr>
        <w:t xml:space="preserve"> manifestation</w:t>
      </w:r>
      <w:r w:rsidR="001C7E53">
        <w:rPr>
          <w:rFonts w:ascii="Arial" w:hAnsi="Arial" w:cs="Arial"/>
          <w:sz w:val="20"/>
          <w:szCs w:val="20"/>
        </w:rPr>
        <w:t>s</w:t>
      </w:r>
      <w:r w:rsidR="00D41945" w:rsidRPr="00293B46">
        <w:rPr>
          <w:rFonts w:ascii="Arial" w:hAnsi="Arial" w:cs="Arial"/>
          <w:sz w:val="20"/>
          <w:szCs w:val="20"/>
        </w:rPr>
        <w:t xml:space="preserve"> of deep, underlying faults.</w:t>
      </w:r>
      <w:r w:rsidRPr="00D41945">
        <w:rPr>
          <w:rFonts w:ascii="Arial" w:hAnsi="Arial" w:cs="Arial"/>
          <w:sz w:val="20"/>
          <w:szCs w:val="20"/>
        </w:rPr>
        <w:t xml:space="preserve"> As a result,</w:t>
      </w:r>
      <w:r>
        <w:rPr>
          <w:rFonts w:ascii="Arial" w:hAnsi="Arial" w:cs="Arial"/>
          <w:sz w:val="20"/>
          <w:szCs w:val="20"/>
        </w:rPr>
        <w:t xml:space="preserve"> t</w:t>
      </w:r>
      <w:r w:rsidRPr="00D3543F">
        <w:rPr>
          <w:rFonts w:ascii="Arial" w:hAnsi="Arial" w:cs="Arial"/>
          <w:sz w:val="20"/>
          <w:szCs w:val="20"/>
        </w:rPr>
        <w:t>he EIS</w:t>
      </w:r>
      <w:r>
        <w:rPr>
          <w:rFonts w:ascii="Arial" w:hAnsi="Arial" w:cs="Arial"/>
          <w:sz w:val="20"/>
          <w:szCs w:val="20"/>
        </w:rPr>
        <w:t xml:space="preserve"> subsidence and flora</w:t>
      </w:r>
      <w:r w:rsidRPr="00D3543F">
        <w:rPr>
          <w:rFonts w:ascii="Arial" w:hAnsi="Arial" w:cs="Arial"/>
          <w:sz w:val="20"/>
          <w:szCs w:val="20"/>
        </w:rPr>
        <w:t xml:space="preserve"> </w:t>
      </w:r>
      <w:r>
        <w:rPr>
          <w:rFonts w:ascii="Arial" w:hAnsi="Arial" w:cs="Arial"/>
          <w:sz w:val="20"/>
          <w:szCs w:val="20"/>
        </w:rPr>
        <w:t xml:space="preserve">impact </w:t>
      </w:r>
      <w:r w:rsidRPr="00D3543F">
        <w:rPr>
          <w:rFonts w:ascii="Arial" w:hAnsi="Arial" w:cs="Arial"/>
          <w:sz w:val="20"/>
          <w:szCs w:val="20"/>
        </w:rPr>
        <w:t xml:space="preserve">assessments based on the subsidence predictions do not adequately consider the potential site specific </w:t>
      </w:r>
      <w:r>
        <w:rPr>
          <w:rFonts w:ascii="Arial" w:hAnsi="Arial" w:cs="Arial"/>
          <w:sz w:val="20"/>
          <w:szCs w:val="20"/>
        </w:rPr>
        <w:t>subsidence impacts</w:t>
      </w:r>
      <w:r w:rsidRPr="00D3543F">
        <w:rPr>
          <w:rFonts w:ascii="Arial" w:hAnsi="Arial" w:cs="Arial"/>
          <w:sz w:val="20"/>
          <w:szCs w:val="20"/>
        </w:rPr>
        <w:t xml:space="preserve"> to </w:t>
      </w:r>
      <w:r>
        <w:rPr>
          <w:rFonts w:ascii="Arial" w:hAnsi="Arial" w:cs="Arial"/>
          <w:sz w:val="20"/>
          <w:szCs w:val="20"/>
        </w:rPr>
        <w:t xml:space="preserve">overlying </w:t>
      </w:r>
      <w:r w:rsidRPr="00D3543F">
        <w:rPr>
          <w:rFonts w:ascii="Arial" w:hAnsi="Arial" w:cs="Arial"/>
          <w:sz w:val="20"/>
          <w:szCs w:val="20"/>
        </w:rPr>
        <w:t xml:space="preserve">individual </w:t>
      </w:r>
      <w:r>
        <w:rPr>
          <w:rFonts w:ascii="Arial" w:hAnsi="Arial" w:cs="Arial"/>
          <w:sz w:val="20"/>
          <w:szCs w:val="20"/>
        </w:rPr>
        <w:t>THPSS</w:t>
      </w:r>
      <w:r w:rsidRPr="00D3543F">
        <w:rPr>
          <w:rFonts w:ascii="Arial" w:hAnsi="Arial" w:cs="Arial"/>
          <w:sz w:val="20"/>
          <w:szCs w:val="20"/>
        </w:rPr>
        <w:t>.</w:t>
      </w:r>
    </w:p>
    <w:p w:rsidR="00F829A7" w:rsidRPr="009110D5" w:rsidRDefault="00F829A7" w:rsidP="00F829A7">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F829A7" w:rsidRPr="003021AD" w:rsidRDefault="00CB7EE9" w:rsidP="00F829A7">
      <w:pPr>
        <w:pStyle w:val="ListNumber"/>
        <w:numPr>
          <w:ilvl w:val="0"/>
          <w:numId w:val="0"/>
        </w:numPr>
        <w:spacing w:after="200" w:line="276" w:lineRule="auto"/>
        <w:ind w:left="369" w:hanging="369"/>
        <w:rPr>
          <w:rFonts w:ascii="Arial" w:hAnsi="Arial" w:cs="Arial"/>
          <w:i/>
          <w:sz w:val="20"/>
          <w:szCs w:val="20"/>
        </w:rPr>
      </w:pPr>
      <w:r>
        <w:rPr>
          <w:rFonts w:ascii="Arial" w:hAnsi="Arial" w:cs="Arial"/>
          <w:i/>
          <w:sz w:val="20"/>
          <w:szCs w:val="20"/>
        </w:rPr>
        <w:t xml:space="preserve">Swamp </w:t>
      </w:r>
      <w:r w:rsidR="00F829A7">
        <w:rPr>
          <w:rFonts w:ascii="Arial" w:hAnsi="Arial" w:cs="Arial"/>
          <w:i/>
          <w:sz w:val="20"/>
          <w:szCs w:val="20"/>
        </w:rPr>
        <w:t>treatment within the g</w:t>
      </w:r>
      <w:r w:rsidR="00F829A7" w:rsidRPr="003021AD">
        <w:rPr>
          <w:rFonts w:ascii="Arial" w:hAnsi="Arial" w:cs="Arial"/>
          <w:i/>
          <w:sz w:val="20"/>
          <w:szCs w:val="20"/>
        </w:rPr>
        <w:t>roundwater model</w:t>
      </w:r>
      <w:r w:rsidR="00F829A7">
        <w:rPr>
          <w:rFonts w:ascii="Arial" w:hAnsi="Arial" w:cs="Arial"/>
          <w:i/>
          <w:sz w:val="20"/>
          <w:szCs w:val="20"/>
        </w:rPr>
        <w:t xml:space="preserve"> </w:t>
      </w:r>
    </w:p>
    <w:p w:rsidR="00F829A7" w:rsidRPr="002539FA" w:rsidRDefault="00F829A7" w:rsidP="00F829A7">
      <w:pPr>
        <w:pStyle w:val="ListNumber"/>
        <w:spacing w:after="200" w:line="276" w:lineRule="auto"/>
        <w:rPr>
          <w:rFonts w:ascii="Arial" w:hAnsi="Arial" w:cs="Arial"/>
          <w:sz w:val="20"/>
          <w:szCs w:val="20"/>
        </w:rPr>
      </w:pPr>
      <w:r w:rsidRPr="002539FA">
        <w:rPr>
          <w:rFonts w:ascii="Arial" w:hAnsi="Arial" w:cs="Arial"/>
          <w:sz w:val="20"/>
          <w:szCs w:val="20"/>
        </w:rPr>
        <w:t xml:space="preserve">Within proximity of the project area, the groundwater model uses a 60 m mesh size, which has limited ability to predict fine scale interactions between surface water and groundwater in THPSS. Further, </w:t>
      </w:r>
      <w:proofErr w:type="spellStart"/>
      <w:r w:rsidRPr="002539FA">
        <w:rPr>
          <w:rFonts w:ascii="Arial" w:hAnsi="Arial" w:cs="Arial"/>
          <w:sz w:val="20"/>
          <w:szCs w:val="20"/>
        </w:rPr>
        <w:t>baseflow</w:t>
      </w:r>
      <w:proofErr w:type="spellEnd"/>
      <w:r w:rsidRPr="002539FA">
        <w:rPr>
          <w:rFonts w:ascii="Arial" w:hAnsi="Arial" w:cs="Arial"/>
          <w:sz w:val="20"/>
          <w:szCs w:val="20"/>
        </w:rPr>
        <w:t xml:space="preserve"> data was only available for a single swamp (</w:t>
      </w:r>
      <w:r>
        <w:rPr>
          <w:rFonts w:ascii="Arial" w:hAnsi="Arial" w:cs="Arial"/>
          <w:sz w:val="20"/>
          <w:szCs w:val="20"/>
        </w:rPr>
        <w:t>Sunnyside</w:t>
      </w:r>
      <w:r w:rsidRPr="002539FA">
        <w:rPr>
          <w:rFonts w:ascii="Arial" w:hAnsi="Arial" w:cs="Arial"/>
          <w:sz w:val="20"/>
          <w:szCs w:val="20"/>
        </w:rPr>
        <w:t xml:space="preserve"> Swamp), which was used as a calibration target. </w:t>
      </w:r>
      <w:r w:rsidRPr="00542F3E">
        <w:rPr>
          <w:rFonts w:ascii="Arial" w:hAnsi="Arial" w:cs="Arial"/>
          <w:sz w:val="20"/>
          <w:szCs w:val="20"/>
        </w:rPr>
        <w:t xml:space="preserve">While the groundwater model’s calibration shows a good level of agreement between modelled and observed </w:t>
      </w:r>
      <w:proofErr w:type="spellStart"/>
      <w:r>
        <w:rPr>
          <w:rFonts w:ascii="Arial" w:hAnsi="Arial" w:cs="Arial"/>
          <w:sz w:val="20"/>
          <w:szCs w:val="20"/>
        </w:rPr>
        <w:t>baseflow</w:t>
      </w:r>
      <w:proofErr w:type="spellEnd"/>
      <w:r>
        <w:rPr>
          <w:rFonts w:ascii="Arial" w:hAnsi="Arial" w:cs="Arial"/>
          <w:sz w:val="20"/>
          <w:szCs w:val="20"/>
        </w:rPr>
        <w:t xml:space="preserve"> </w:t>
      </w:r>
      <w:r w:rsidRPr="00542F3E">
        <w:rPr>
          <w:rFonts w:ascii="Arial" w:hAnsi="Arial" w:cs="Arial"/>
          <w:sz w:val="20"/>
          <w:szCs w:val="20"/>
        </w:rPr>
        <w:t>values for Sunnyside Swamp, the proponent has not identified how modelled</w:t>
      </w:r>
      <w:r w:rsidR="007E19C3">
        <w:rPr>
          <w:rFonts w:ascii="Arial" w:hAnsi="Arial" w:cs="Arial"/>
          <w:sz w:val="20"/>
          <w:szCs w:val="20"/>
        </w:rPr>
        <w:t xml:space="preserve"> </w:t>
      </w:r>
      <w:proofErr w:type="spellStart"/>
      <w:r w:rsidR="007E19C3">
        <w:rPr>
          <w:rFonts w:ascii="Arial" w:hAnsi="Arial" w:cs="Arial"/>
          <w:sz w:val="20"/>
          <w:szCs w:val="20"/>
        </w:rPr>
        <w:t>baseflows</w:t>
      </w:r>
      <w:proofErr w:type="spellEnd"/>
      <w:r w:rsidRPr="00542F3E">
        <w:rPr>
          <w:rFonts w:ascii="Arial" w:hAnsi="Arial" w:cs="Arial"/>
          <w:sz w:val="20"/>
          <w:szCs w:val="20"/>
        </w:rPr>
        <w:t xml:space="preserve"> for other swamps </w:t>
      </w:r>
      <w:r>
        <w:rPr>
          <w:rFonts w:ascii="Arial" w:hAnsi="Arial" w:cs="Arial"/>
          <w:sz w:val="20"/>
          <w:szCs w:val="20"/>
        </w:rPr>
        <w:t>compare</w:t>
      </w:r>
      <w:r w:rsidRPr="00542F3E">
        <w:rPr>
          <w:rFonts w:ascii="Arial" w:hAnsi="Arial" w:cs="Arial"/>
          <w:sz w:val="20"/>
          <w:szCs w:val="20"/>
        </w:rPr>
        <w:t xml:space="preserve"> with observed values.</w:t>
      </w:r>
      <w:r>
        <w:rPr>
          <w:rFonts w:ascii="Arial" w:hAnsi="Arial" w:cs="Arial"/>
          <w:sz w:val="20"/>
          <w:szCs w:val="20"/>
        </w:rPr>
        <w:t xml:space="preserve"> </w:t>
      </w:r>
      <w:r w:rsidRPr="002539FA">
        <w:rPr>
          <w:rFonts w:ascii="Arial" w:hAnsi="Arial" w:cs="Arial"/>
          <w:sz w:val="20"/>
          <w:szCs w:val="20"/>
        </w:rPr>
        <w:t>This approach does not consi</w:t>
      </w:r>
      <w:r w:rsidR="007E19C3">
        <w:rPr>
          <w:rFonts w:ascii="Arial" w:hAnsi="Arial" w:cs="Arial"/>
          <w:sz w:val="20"/>
          <w:szCs w:val="20"/>
        </w:rPr>
        <w:t xml:space="preserve">der the unique hydrological </w:t>
      </w:r>
      <w:r w:rsidRPr="002539FA">
        <w:rPr>
          <w:rFonts w:ascii="Arial" w:hAnsi="Arial" w:cs="Arial"/>
          <w:sz w:val="20"/>
          <w:szCs w:val="20"/>
        </w:rPr>
        <w:t xml:space="preserve">regimes within each THPSS. </w:t>
      </w:r>
    </w:p>
    <w:p w:rsidR="00F829A7" w:rsidRPr="002539FA" w:rsidRDefault="00F829A7" w:rsidP="00F829A7">
      <w:pPr>
        <w:pStyle w:val="ListNumber"/>
        <w:spacing w:after="200" w:line="276" w:lineRule="auto"/>
        <w:rPr>
          <w:rFonts w:ascii="Arial" w:hAnsi="Arial" w:cs="Arial"/>
          <w:sz w:val="20"/>
          <w:szCs w:val="20"/>
        </w:rPr>
      </w:pPr>
      <w:r w:rsidRPr="002539FA">
        <w:rPr>
          <w:rFonts w:ascii="Arial" w:hAnsi="Arial" w:cs="Arial"/>
          <w:sz w:val="20"/>
          <w:szCs w:val="20"/>
        </w:rPr>
        <w:t xml:space="preserve">To increase confidence in the groundwater model’s prediction </w:t>
      </w:r>
      <w:r w:rsidRPr="00293B46">
        <w:rPr>
          <w:rFonts w:ascii="Arial" w:hAnsi="Arial" w:cs="Arial"/>
          <w:sz w:val="20"/>
          <w:szCs w:val="20"/>
        </w:rPr>
        <w:t xml:space="preserve">of </w:t>
      </w:r>
      <w:r w:rsidR="009751D0" w:rsidRPr="00293B46">
        <w:rPr>
          <w:rFonts w:ascii="Arial" w:hAnsi="Arial" w:cs="Arial"/>
          <w:sz w:val="20"/>
          <w:szCs w:val="20"/>
        </w:rPr>
        <w:t xml:space="preserve">hydrological </w:t>
      </w:r>
      <w:r w:rsidRPr="00293B46">
        <w:rPr>
          <w:rFonts w:ascii="Arial" w:hAnsi="Arial" w:cs="Arial"/>
          <w:sz w:val="20"/>
          <w:szCs w:val="20"/>
        </w:rPr>
        <w:t>impacts</w:t>
      </w:r>
      <w:r w:rsidRPr="002539FA">
        <w:rPr>
          <w:rFonts w:ascii="Arial" w:hAnsi="Arial" w:cs="Arial"/>
          <w:sz w:val="20"/>
          <w:szCs w:val="20"/>
        </w:rPr>
        <w:t xml:space="preserve"> to THPSS, finer scale modelling </w:t>
      </w:r>
      <w:r>
        <w:rPr>
          <w:rFonts w:ascii="Arial" w:hAnsi="Arial" w:cs="Arial"/>
          <w:sz w:val="20"/>
          <w:szCs w:val="20"/>
        </w:rPr>
        <w:t xml:space="preserve">is needed </w:t>
      </w:r>
      <w:r w:rsidRPr="002539FA">
        <w:rPr>
          <w:rFonts w:ascii="Arial" w:hAnsi="Arial" w:cs="Arial"/>
          <w:sz w:val="20"/>
          <w:szCs w:val="20"/>
        </w:rPr>
        <w:t>that better represent</w:t>
      </w:r>
      <w:r>
        <w:rPr>
          <w:rFonts w:ascii="Arial" w:hAnsi="Arial" w:cs="Arial"/>
          <w:sz w:val="20"/>
          <w:szCs w:val="20"/>
        </w:rPr>
        <w:t>s</w:t>
      </w:r>
      <w:r w:rsidRPr="002539FA">
        <w:rPr>
          <w:rFonts w:ascii="Arial" w:hAnsi="Arial" w:cs="Arial"/>
          <w:sz w:val="20"/>
          <w:szCs w:val="20"/>
        </w:rPr>
        <w:t xml:space="preserve"> the site specific hydraulic properties, including the </w:t>
      </w:r>
      <w:proofErr w:type="spellStart"/>
      <w:r w:rsidRPr="002539FA">
        <w:rPr>
          <w:rFonts w:ascii="Arial" w:hAnsi="Arial" w:cs="Arial"/>
          <w:sz w:val="20"/>
          <w:szCs w:val="20"/>
        </w:rPr>
        <w:t>baseflow</w:t>
      </w:r>
      <w:proofErr w:type="spellEnd"/>
      <w:r w:rsidRPr="002539FA">
        <w:rPr>
          <w:rFonts w:ascii="Arial" w:hAnsi="Arial" w:cs="Arial"/>
          <w:sz w:val="20"/>
          <w:szCs w:val="20"/>
        </w:rPr>
        <w:t xml:space="preserve"> requirements, of each THPSS. These finer scale models should then be coupled with the larger scale groundwater model.</w:t>
      </w:r>
      <w:r>
        <w:rPr>
          <w:rFonts w:ascii="Arial" w:hAnsi="Arial" w:cs="Arial"/>
          <w:sz w:val="20"/>
          <w:szCs w:val="20"/>
        </w:rPr>
        <w:t xml:space="preserve"> These models should be informed by </w:t>
      </w:r>
      <w:proofErr w:type="spellStart"/>
      <w:r>
        <w:rPr>
          <w:rFonts w:ascii="Arial" w:hAnsi="Arial" w:cs="Arial"/>
          <w:sz w:val="20"/>
          <w:szCs w:val="20"/>
        </w:rPr>
        <w:t>baseflow</w:t>
      </w:r>
      <w:proofErr w:type="spellEnd"/>
      <w:r>
        <w:rPr>
          <w:rFonts w:ascii="Arial" w:hAnsi="Arial" w:cs="Arial"/>
          <w:sz w:val="20"/>
          <w:szCs w:val="20"/>
        </w:rPr>
        <w:t xml:space="preserve"> monitoring</w:t>
      </w:r>
      <w:r w:rsidRPr="00CB19E9">
        <w:rPr>
          <w:rFonts w:ascii="Arial" w:hAnsi="Arial" w:cs="Arial"/>
          <w:sz w:val="20"/>
          <w:szCs w:val="20"/>
        </w:rPr>
        <w:t xml:space="preserve"> </w:t>
      </w:r>
      <w:r>
        <w:rPr>
          <w:rFonts w:ascii="Arial" w:hAnsi="Arial" w:cs="Arial"/>
          <w:sz w:val="20"/>
          <w:szCs w:val="20"/>
        </w:rPr>
        <w:t>results, combined with daily climate data, for swamps and streams.</w:t>
      </w:r>
    </w:p>
    <w:p w:rsidR="00F829A7" w:rsidRDefault="004B4797" w:rsidP="00F829A7">
      <w:pPr>
        <w:pStyle w:val="ListNumber"/>
        <w:spacing w:after="200" w:line="276" w:lineRule="auto"/>
        <w:rPr>
          <w:rFonts w:ascii="Arial" w:hAnsi="Arial" w:cs="Arial"/>
          <w:sz w:val="20"/>
          <w:szCs w:val="20"/>
        </w:rPr>
      </w:pPr>
      <w:r w:rsidRPr="00293B46">
        <w:rPr>
          <w:rFonts w:ascii="Arial" w:hAnsi="Arial" w:cs="Arial"/>
          <w:sz w:val="20"/>
          <w:szCs w:val="20"/>
        </w:rPr>
        <w:t xml:space="preserve">Excluded swamps need to be </w:t>
      </w:r>
      <w:r w:rsidR="00933050" w:rsidRPr="00293B46">
        <w:rPr>
          <w:rFonts w:ascii="Arial" w:hAnsi="Arial" w:cs="Arial"/>
          <w:sz w:val="20"/>
          <w:szCs w:val="20"/>
        </w:rPr>
        <w:t xml:space="preserve">included in </w:t>
      </w:r>
      <w:r w:rsidRPr="00293B46">
        <w:rPr>
          <w:rFonts w:ascii="Arial" w:hAnsi="Arial" w:cs="Arial"/>
          <w:sz w:val="20"/>
          <w:szCs w:val="20"/>
        </w:rPr>
        <w:t xml:space="preserve">a revised groundwater model before the potential impacts to these swamps </w:t>
      </w:r>
      <w:r w:rsidR="00A30298" w:rsidRPr="00293B46">
        <w:rPr>
          <w:rFonts w:ascii="Arial" w:hAnsi="Arial" w:cs="Arial"/>
          <w:sz w:val="20"/>
          <w:szCs w:val="20"/>
        </w:rPr>
        <w:t>can</w:t>
      </w:r>
      <w:r w:rsidRPr="00293B46">
        <w:rPr>
          <w:rFonts w:ascii="Arial" w:hAnsi="Arial" w:cs="Arial"/>
          <w:sz w:val="20"/>
          <w:szCs w:val="20"/>
        </w:rPr>
        <w:t xml:space="preserve"> be predicted</w:t>
      </w:r>
      <w:r w:rsidRPr="00E07414">
        <w:rPr>
          <w:rFonts w:ascii="Arial" w:hAnsi="Arial" w:cs="Arial"/>
          <w:sz w:val="20"/>
          <w:szCs w:val="20"/>
        </w:rPr>
        <w:t>.</w:t>
      </w:r>
      <w:r>
        <w:rPr>
          <w:rFonts w:ascii="Arial" w:hAnsi="Arial" w:cs="Arial"/>
          <w:sz w:val="20"/>
          <w:szCs w:val="20"/>
        </w:rPr>
        <w:t xml:space="preserve"> </w:t>
      </w:r>
      <w:r w:rsidR="00F829A7" w:rsidRPr="00E07414">
        <w:rPr>
          <w:rFonts w:ascii="Arial" w:hAnsi="Arial" w:cs="Arial"/>
          <w:sz w:val="20"/>
          <w:szCs w:val="20"/>
        </w:rPr>
        <w:t xml:space="preserve">Trail 6 Swamp, Narrow Swamp, West Wolgan Swamp and East Wolgan Swamp are not included within the groundwater model, and therefore groundwater related impacts to these swamps </w:t>
      </w:r>
      <w:r w:rsidR="00CE4F44">
        <w:rPr>
          <w:rFonts w:ascii="Arial" w:hAnsi="Arial" w:cs="Arial"/>
          <w:sz w:val="20"/>
          <w:szCs w:val="20"/>
        </w:rPr>
        <w:t>cannot</w:t>
      </w:r>
      <w:r w:rsidR="00F829A7" w:rsidRPr="00E07414">
        <w:rPr>
          <w:rFonts w:ascii="Arial" w:hAnsi="Arial" w:cs="Arial"/>
          <w:sz w:val="20"/>
          <w:szCs w:val="20"/>
        </w:rPr>
        <w:t xml:space="preserve"> be assessed. A range of other swamps that fall outside of the</w:t>
      </w:r>
      <w:r w:rsidR="00CE4F44">
        <w:rPr>
          <w:rFonts w:ascii="Arial" w:hAnsi="Arial" w:cs="Arial"/>
          <w:sz w:val="20"/>
          <w:szCs w:val="20"/>
        </w:rPr>
        <w:t xml:space="preserve"> extent of the</w:t>
      </w:r>
      <w:r w:rsidR="00F829A7" w:rsidRPr="00E07414">
        <w:rPr>
          <w:rFonts w:ascii="Arial" w:hAnsi="Arial" w:cs="Arial"/>
          <w:sz w:val="20"/>
          <w:szCs w:val="20"/>
        </w:rPr>
        <w:t xml:space="preserve"> proposed </w:t>
      </w:r>
      <w:proofErr w:type="spellStart"/>
      <w:r w:rsidR="00F829A7" w:rsidRPr="00E07414">
        <w:rPr>
          <w:rFonts w:ascii="Arial" w:hAnsi="Arial" w:cs="Arial"/>
          <w:sz w:val="20"/>
          <w:szCs w:val="20"/>
        </w:rPr>
        <w:t>longwalls</w:t>
      </w:r>
      <w:proofErr w:type="spellEnd"/>
      <w:r w:rsidR="00F829A7" w:rsidRPr="00E07414">
        <w:rPr>
          <w:rFonts w:ascii="Arial" w:hAnsi="Arial" w:cs="Arial"/>
          <w:sz w:val="20"/>
          <w:szCs w:val="20"/>
        </w:rPr>
        <w:t xml:space="preserve">, </w:t>
      </w:r>
      <w:r w:rsidR="00F829A7">
        <w:rPr>
          <w:rFonts w:ascii="Arial" w:hAnsi="Arial" w:cs="Arial"/>
          <w:sz w:val="20"/>
          <w:szCs w:val="20"/>
        </w:rPr>
        <w:t>but</w:t>
      </w:r>
      <w:r w:rsidR="00F829A7" w:rsidRPr="00E07414">
        <w:rPr>
          <w:rFonts w:ascii="Arial" w:hAnsi="Arial" w:cs="Arial"/>
          <w:sz w:val="20"/>
          <w:szCs w:val="20"/>
        </w:rPr>
        <w:t xml:space="preserve"> are located within the lateral extent of drawdown, are also excluded from the model (for example </w:t>
      </w:r>
      <w:r w:rsidR="009F5868">
        <w:rPr>
          <w:rFonts w:ascii="Arial" w:hAnsi="Arial" w:cs="Arial"/>
          <w:sz w:val="20"/>
          <w:szCs w:val="20"/>
        </w:rPr>
        <w:t xml:space="preserve">east of </w:t>
      </w:r>
      <w:r w:rsidR="00F829A7" w:rsidRPr="00E07414">
        <w:rPr>
          <w:rFonts w:ascii="Arial" w:hAnsi="Arial" w:cs="Arial"/>
          <w:sz w:val="20"/>
          <w:szCs w:val="20"/>
        </w:rPr>
        <w:t>Barrier Swamp).</w:t>
      </w:r>
      <w:r w:rsidR="00F829A7" w:rsidRPr="003021AD">
        <w:rPr>
          <w:rFonts w:ascii="Arial" w:hAnsi="Arial" w:cs="Arial"/>
          <w:sz w:val="20"/>
          <w:szCs w:val="20"/>
        </w:rPr>
        <w:t xml:space="preserve"> </w:t>
      </w:r>
    </w:p>
    <w:p w:rsidR="00CB7EE9" w:rsidRDefault="00CB7EE9" w:rsidP="00F829A7">
      <w:pPr>
        <w:pStyle w:val="ListNumber"/>
        <w:numPr>
          <w:ilvl w:val="0"/>
          <w:numId w:val="0"/>
        </w:numPr>
        <w:spacing w:after="200" w:line="276" w:lineRule="auto"/>
        <w:rPr>
          <w:rFonts w:ascii="Arial" w:hAnsi="Arial" w:cs="Arial"/>
          <w:i/>
          <w:sz w:val="20"/>
          <w:szCs w:val="20"/>
        </w:rPr>
      </w:pPr>
    </w:p>
    <w:p w:rsidR="00CB7EE9" w:rsidRDefault="00CB7EE9" w:rsidP="00F829A7">
      <w:pPr>
        <w:pStyle w:val="ListNumber"/>
        <w:numPr>
          <w:ilvl w:val="0"/>
          <w:numId w:val="0"/>
        </w:numPr>
        <w:spacing w:after="200" w:line="276" w:lineRule="auto"/>
        <w:rPr>
          <w:rFonts w:ascii="Arial" w:hAnsi="Arial" w:cs="Arial"/>
          <w:i/>
          <w:sz w:val="20"/>
          <w:szCs w:val="20"/>
        </w:rPr>
      </w:pPr>
    </w:p>
    <w:p w:rsidR="00F829A7" w:rsidRPr="00A61133" w:rsidRDefault="00F829A7" w:rsidP="00F829A7">
      <w:pPr>
        <w:pStyle w:val="ListNumber"/>
        <w:numPr>
          <w:ilvl w:val="0"/>
          <w:numId w:val="0"/>
        </w:numPr>
        <w:spacing w:after="200" w:line="276" w:lineRule="auto"/>
        <w:rPr>
          <w:rFonts w:ascii="Arial" w:hAnsi="Arial" w:cs="Arial"/>
          <w:i/>
          <w:sz w:val="20"/>
          <w:szCs w:val="20"/>
        </w:rPr>
      </w:pPr>
      <w:r w:rsidRPr="00A61133">
        <w:rPr>
          <w:rFonts w:ascii="Arial" w:hAnsi="Arial" w:cs="Arial"/>
          <w:i/>
          <w:sz w:val="20"/>
          <w:szCs w:val="20"/>
        </w:rPr>
        <w:lastRenderedPageBreak/>
        <w:t>Subsidence induced fracturing</w:t>
      </w:r>
      <w:r>
        <w:rPr>
          <w:rFonts w:ascii="Arial" w:hAnsi="Arial" w:cs="Arial"/>
          <w:i/>
          <w:sz w:val="20"/>
          <w:szCs w:val="20"/>
        </w:rPr>
        <w:t xml:space="preserve"> – groundwater model</w:t>
      </w:r>
    </w:p>
    <w:p w:rsidR="00F829A7" w:rsidRPr="00E12E79" w:rsidRDefault="00F829A7" w:rsidP="00F829A7">
      <w:pPr>
        <w:pStyle w:val="ListNumber"/>
        <w:spacing w:after="200" w:line="276" w:lineRule="auto"/>
        <w:rPr>
          <w:rFonts w:ascii="Arial" w:hAnsi="Arial" w:cs="Arial"/>
          <w:sz w:val="20"/>
          <w:szCs w:val="20"/>
        </w:rPr>
      </w:pPr>
      <w:r w:rsidRPr="00E12E79">
        <w:rPr>
          <w:rFonts w:ascii="Arial" w:hAnsi="Arial" w:cs="Arial"/>
          <w:sz w:val="20"/>
          <w:szCs w:val="20"/>
        </w:rPr>
        <w:t xml:space="preserve">The proponent’s assertion that drawdown and fracturing related impacts are not </w:t>
      </w:r>
      <w:r>
        <w:rPr>
          <w:rFonts w:ascii="Arial" w:hAnsi="Arial" w:cs="Arial"/>
          <w:sz w:val="20"/>
          <w:szCs w:val="20"/>
        </w:rPr>
        <w:t>predicted</w:t>
      </w:r>
      <w:r w:rsidRPr="00E12E79">
        <w:rPr>
          <w:rFonts w:ascii="Arial" w:hAnsi="Arial" w:cs="Arial"/>
          <w:sz w:val="20"/>
          <w:szCs w:val="20"/>
        </w:rPr>
        <w:t xml:space="preserve"> within strata above the Mt York Claystone </w:t>
      </w:r>
      <w:r w:rsidR="00B46AEE">
        <w:rPr>
          <w:rFonts w:ascii="Arial" w:hAnsi="Arial" w:cs="Arial"/>
          <w:sz w:val="20"/>
          <w:szCs w:val="20"/>
        </w:rPr>
        <w:t>is not supported</w:t>
      </w:r>
      <w:r w:rsidRPr="00E12E79">
        <w:rPr>
          <w:rFonts w:ascii="Arial" w:hAnsi="Arial" w:cs="Arial"/>
          <w:sz w:val="20"/>
          <w:szCs w:val="20"/>
        </w:rPr>
        <w:t xml:space="preserve"> by evidence. The EIS documentation contains limited data in relation to the hydraulic properties of the Mt York Claystone and other overlying semi</w:t>
      </w:r>
      <w:r w:rsidR="00030E79">
        <w:rPr>
          <w:rFonts w:ascii="Arial" w:hAnsi="Arial" w:cs="Arial"/>
          <w:sz w:val="20"/>
          <w:szCs w:val="20"/>
        </w:rPr>
        <w:t>-</w:t>
      </w:r>
      <w:r w:rsidRPr="00E12E79">
        <w:rPr>
          <w:rFonts w:ascii="Arial" w:hAnsi="Arial" w:cs="Arial"/>
          <w:sz w:val="20"/>
          <w:szCs w:val="20"/>
        </w:rPr>
        <w:t xml:space="preserve">permeable layers. </w:t>
      </w:r>
      <w:r>
        <w:rPr>
          <w:rFonts w:ascii="Arial" w:hAnsi="Arial" w:cs="Arial"/>
          <w:sz w:val="20"/>
          <w:szCs w:val="20"/>
        </w:rPr>
        <w:t>This data</w:t>
      </w:r>
      <w:r w:rsidRPr="00E12E79">
        <w:rPr>
          <w:rFonts w:ascii="Arial" w:hAnsi="Arial" w:cs="Arial"/>
          <w:sz w:val="20"/>
          <w:szCs w:val="20"/>
        </w:rPr>
        <w:t xml:space="preserve"> should be</w:t>
      </w:r>
      <w:r>
        <w:rPr>
          <w:rFonts w:ascii="Arial" w:hAnsi="Arial" w:cs="Arial"/>
          <w:sz w:val="20"/>
          <w:szCs w:val="20"/>
        </w:rPr>
        <w:t xml:space="preserve"> provided and</w:t>
      </w:r>
      <w:r w:rsidRPr="00E12E79">
        <w:rPr>
          <w:rFonts w:ascii="Arial" w:hAnsi="Arial" w:cs="Arial"/>
          <w:sz w:val="20"/>
          <w:szCs w:val="20"/>
        </w:rPr>
        <w:t xml:space="preserve"> incorporated into the groundwater model to improve confidence in the groundwater impact prediction</w:t>
      </w:r>
      <w:r>
        <w:rPr>
          <w:rFonts w:ascii="Arial" w:hAnsi="Arial" w:cs="Arial"/>
          <w:sz w:val="20"/>
          <w:szCs w:val="20"/>
        </w:rPr>
        <w:t>s, and to inform the assessment</w:t>
      </w:r>
      <w:r w:rsidRPr="00E12E79">
        <w:rPr>
          <w:rFonts w:ascii="Arial" w:hAnsi="Arial" w:cs="Arial"/>
          <w:sz w:val="20"/>
          <w:szCs w:val="20"/>
        </w:rPr>
        <w:t xml:space="preserve"> of impacts to overlying aqu</w:t>
      </w:r>
      <w:r w:rsidR="000431E5">
        <w:rPr>
          <w:rFonts w:ascii="Arial" w:hAnsi="Arial" w:cs="Arial"/>
          <w:sz w:val="20"/>
          <w:szCs w:val="20"/>
        </w:rPr>
        <w:t>ifers, swamps and surface water</w:t>
      </w:r>
      <w:r w:rsidRPr="00E12E79">
        <w:rPr>
          <w:rFonts w:ascii="Arial" w:hAnsi="Arial" w:cs="Arial"/>
          <w:sz w:val="20"/>
          <w:szCs w:val="20"/>
        </w:rPr>
        <w:t>courses.</w:t>
      </w:r>
    </w:p>
    <w:p w:rsidR="00F829A7" w:rsidRPr="00725D3A" w:rsidRDefault="00F829A7" w:rsidP="00F829A7">
      <w:pPr>
        <w:pStyle w:val="ListNumber"/>
        <w:numPr>
          <w:ilvl w:val="0"/>
          <w:numId w:val="0"/>
        </w:numPr>
        <w:spacing w:after="200" w:line="276" w:lineRule="auto"/>
        <w:rPr>
          <w:rFonts w:ascii="Arial" w:hAnsi="Arial" w:cs="Arial"/>
          <w:i/>
          <w:sz w:val="20"/>
          <w:szCs w:val="20"/>
        </w:rPr>
      </w:pPr>
      <w:r w:rsidRPr="00725D3A">
        <w:rPr>
          <w:rFonts w:ascii="Arial" w:hAnsi="Arial" w:cs="Arial"/>
          <w:i/>
          <w:sz w:val="20"/>
          <w:szCs w:val="20"/>
        </w:rPr>
        <w:t>Geological structures</w:t>
      </w:r>
    </w:p>
    <w:p w:rsidR="00B65CBD" w:rsidRPr="00857805" w:rsidRDefault="00B65CBD" w:rsidP="00B65CBD">
      <w:pPr>
        <w:pStyle w:val="ListNumber"/>
        <w:spacing w:after="200" w:line="276" w:lineRule="auto"/>
        <w:rPr>
          <w:rFonts w:ascii="Arial" w:hAnsi="Arial" w:cs="Arial"/>
          <w:sz w:val="20"/>
          <w:szCs w:val="20"/>
        </w:rPr>
      </w:pPr>
      <w:r w:rsidRPr="00293B46">
        <w:rPr>
          <w:rFonts w:ascii="Arial" w:hAnsi="Arial" w:cs="Arial"/>
          <w:sz w:val="20"/>
          <w:szCs w:val="20"/>
        </w:rPr>
        <w:t xml:space="preserve">A </w:t>
      </w:r>
      <w:r w:rsidR="00A1514B" w:rsidRPr="00293B46">
        <w:rPr>
          <w:rFonts w:ascii="Arial" w:hAnsi="Arial" w:cs="Arial"/>
          <w:sz w:val="20"/>
          <w:szCs w:val="20"/>
        </w:rPr>
        <w:t>series of lineaments (</w:t>
      </w:r>
      <w:r w:rsidR="001C7E53">
        <w:rPr>
          <w:rFonts w:ascii="Arial" w:hAnsi="Arial" w:cs="Arial"/>
          <w:sz w:val="20"/>
          <w:szCs w:val="20"/>
        </w:rPr>
        <w:t>shallow</w:t>
      </w:r>
      <w:r w:rsidRPr="00293B46">
        <w:rPr>
          <w:rFonts w:ascii="Arial" w:hAnsi="Arial" w:cs="Arial"/>
          <w:sz w:val="20"/>
          <w:szCs w:val="20"/>
        </w:rPr>
        <w:t xml:space="preserve"> manifestation</w:t>
      </w:r>
      <w:r w:rsidR="001C7E53">
        <w:rPr>
          <w:rFonts w:ascii="Arial" w:hAnsi="Arial" w:cs="Arial"/>
          <w:sz w:val="20"/>
          <w:szCs w:val="20"/>
        </w:rPr>
        <w:t>s</w:t>
      </w:r>
      <w:r w:rsidRPr="00293B46">
        <w:rPr>
          <w:rFonts w:ascii="Arial" w:hAnsi="Arial" w:cs="Arial"/>
          <w:sz w:val="20"/>
          <w:szCs w:val="20"/>
        </w:rPr>
        <w:t xml:space="preserve"> of deep, underlying faults) have been identified within the geological strata of the project area and are, in some areas, several hundred metres wide.</w:t>
      </w:r>
      <w:r w:rsidRPr="00857805">
        <w:rPr>
          <w:rFonts w:ascii="Arial" w:hAnsi="Arial" w:cs="Arial"/>
          <w:sz w:val="20"/>
          <w:szCs w:val="20"/>
        </w:rPr>
        <w:t xml:space="preserve"> Four lineament types were identified, and two of these types (“type 1” and “type 2”) are considered important in determining the structural stability of the underground mining areas and the overlying geological strata. </w:t>
      </w:r>
      <w:r w:rsidRPr="00293B46">
        <w:rPr>
          <w:rFonts w:ascii="Arial" w:hAnsi="Arial" w:cs="Arial"/>
          <w:sz w:val="20"/>
          <w:szCs w:val="20"/>
        </w:rPr>
        <w:t>These lineament zones increase the risk and severity of subsidence in their vicinity.</w:t>
      </w:r>
    </w:p>
    <w:p w:rsidR="00BE096A" w:rsidRDefault="00BE096A" w:rsidP="00BE096A">
      <w:pPr>
        <w:pStyle w:val="ListNumber"/>
        <w:spacing w:after="200" w:line="276" w:lineRule="auto"/>
        <w:rPr>
          <w:rFonts w:ascii="Arial" w:hAnsi="Arial" w:cs="Arial"/>
          <w:sz w:val="20"/>
          <w:szCs w:val="20"/>
        </w:rPr>
      </w:pPr>
      <w:r>
        <w:rPr>
          <w:rFonts w:ascii="Arial" w:hAnsi="Arial" w:cs="Arial"/>
          <w:sz w:val="20"/>
          <w:szCs w:val="20"/>
        </w:rPr>
        <w:t xml:space="preserve">While the </w:t>
      </w:r>
      <w:r w:rsidR="00401F7D">
        <w:rPr>
          <w:rFonts w:ascii="Arial" w:hAnsi="Arial" w:cs="Arial"/>
          <w:sz w:val="20"/>
          <w:szCs w:val="20"/>
        </w:rPr>
        <w:t>i</w:t>
      </w:r>
      <w:r>
        <w:rPr>
          <w:rFonts w:ascii="Arial" w:hAnsi="Arial" w:cs="Arial"/>
          <w:sz w:val="20"/>
          <w:szCs w:val="20"/>
        </w:rPr>
        <w:t xml:space="preserve">ncremental </w:t>
      </w:r>
      <w:r w:rsidR="00401F7D">
        <w:rPr>
          <w:rFonts w:ascii="Arial" w:hAnsi="Arial" w:cs="Arial"/>
          <w:sz w:val="20"/>
          <w:szCs w:val="20"/>
        </w:rPr>
        <w:t>p</w:t>
      </w:r>
      <w:r>
        <w:rPr>
          <w:rFonts w:ascii="Arial" w:hAnsi="Arial" w:cs="Arial"/>
          <w:sz w:val="20"/>
          <w:szCs w:val="20"/>
        </w:rPr>
        <w:t xml:space="preserve">rofile </w:t>
      </w:r>
      <w:r w:rsidR="00401F7D">
        <w:rPr>
          <w:rFonts w:ascii="Arial" w:hAnsi="Arial" w:cs="Arial"/>
          <w:sz w:val="20"/>
          <w:szCs w:val="20"/>
        </w:rPr>
        <w:t>method</w:t>
      </w:r>
      <w:r>
        <w:rPr>
          <w:rFonts w:ascii="Arial" w:hAnsi="Arial" w:cs="Arial"/>
          <w:sz w:val="20"/>
          <w:szCs w:val="20"/>
        </w:rPr>
        <w:t xml:space="preserve"> applied within the subsidence assessment generally provides reasonable predictions of subsidence parameters, ther</w:t>
      </w:r>
      <w:r w:rsidR="00955881">
        <w:rPr>
          <w:rFonts w:ascii="Arial" w:hAnsi="Arial" w:cs="Arial"/>
          <w:sz w:val="20"/>
          <w:szCs w:val="20"/>
        </w:rPr>
        <w:t>e is low confidence in the</w:t>
      </w:r>
      <w:r>
        <w:rPr>
          <w:rFonts w:ascii="Arial" w:hAnsi="Arial" w:cs="Arial"/>
          <w:sz w:val="20"/>
          <w:szCs w:val="20"/>
        </w:rPr>
        <w:t xml:space="preserve"> approach of increasing subsidence predictions by 25 per cent in the vicinity of “type 1” and “type 2”structural lineaments. </w:t>
      </w:r>
      <w:r w:rsidR="004B4797" w:rsidRPr="00B65CBD">
        <w:rPr>
          <w:rFonts w:ascii="Arial" w:hAnsi="Arial" w:cs="Arial"/>
          <w:sz w:val="20"/>
          <w:szCs w:val="20"/>
        </w:rPr>
        <w:t>T</w:t>
      </w:r>
      <w:r w:rsidR="00F94F03" w:rsidRPr="00B65CBD">
        <w:rPr>
          <w:rFonts w:ascii="Arial" w:hAnsi="Arial" w:cs="Arial"/>
          <w:sz w:val="20"/>
          <w:szCs w:val="20"/>
        </w:rPr>
        <w:t>he EIS</w:t>
      </w:r>
      <w:r w:rsidR="004B4797" w:rsidRPr="00B65CBD">
        <w:rPr>
          <w:rFonts w:ascii="Arial" w:hAnsi="Arial" w:cs="Arial"/>
          <w:sz w:val="20"/>
          <w:szCs w:val="20"/>
        </w:rPr>
        <w:t xml:space="preserve"> states</w:t>
      </w:r>
      <w:r w:rsidR="00F94F03" w:rsidRPr="00B65CBD">
        <w:rPr>
          <w:rFonts w:ascii="Arial" w:hAnsi="Arial" w:cs="Arial"/>
          <w:sz w:val="20"/>
          <w:szCs w:val="20"/>
        </w:rPr>
        <w:t>, (Appendix D, p. 34),</w:t>
      </w:r>
      <w:r w:rsidR="00F94F03">
        <w:rPr>
          <w:rFonts w:ascii="Arial" w:hAnsi="Arial" w:cs="Arial"/>
          <w:sz w:val="20"/>
          <w:szCs w:val="20"/>
        </w:rPr>
        <w:t xml:space="preserve"> o</w:t>
      </w:r>
      <w:r>
        <w:rPr>
          <w:rFonts w:ascii="Arial" w:hAnsi="Arial" w:cs="Arial"/>
          <w:sz w:val="20"/>
          <w:szCs w:val="20"/>
        </w:rPr>
        <w:t xml:space="preserve">bserved subsidence effects in the vicinity of these lineaments at the existing operations are highly variable and are, in places, </w:t>
      </w:r>
      <w:r w:rsidR="00BC2981" w:rsidRPr="00A63619">
        <w:rPr>
          <w:rFonts w:ascii="Arial" w:hAnsi="Arial" w:cs="Arial"/>
          <w:sz w:val="20"/>
          <w:szCs w:val="20"/>
        </w:rPr>
        <w:t xml:space="preserve">up to </w:t>
      </w:r>
      <w:r w:rsidR="00F94F03">
        <w:rPr>
          <w:rFonts w:ascii="Arial" w:hAnsi="Arial" w:cs="Arial"/>
          <w:sz w:val="20"/>
          <w:szCs w:val="20"/>
        </w:rPr>
        <w:t>eight</w:t>
      </w:r>
      <w:r w:rsidR="00BC2981" w:rsidRPr="00A63619">
        <w:rPr>
          <w:rFonts w:ascii="Arial" w:hAnsi="Arial" w:cs="Arial"/>
          <w:sz w:val="20"/>
          <w:szCs w:val="20"/>
        </w:rPr>
        <w:t xml:space="preserve"> times greater than predictions derived using this approach</w:t>
      </w:r>
      <w:r>
        <w:rPr>
          <w:rFonts w:ascii="Arial" w:hAnsi="Arial" w:cs="Arial"/>
          <w:sz w:val="20"/>
          <w:szCs w:val="20"/>
        </w:rPr>
        <w:t xml:space="preserve">. Subsidence over previously mined </w:t>
      </w:r>
      <w:proofErr w:type="spellStart"/>
      <w:r>
        <w:rPr>
          <w:rFonts w:ascii="Arial" w:hAnsi="Arial" w:cs="Arial"/>
          <w:sz w:val="20"/>
          <w:szCs w:val="20"/>
        </w:rPr>
        <w:t>longwall</w:t>
      </w:r>
      <w:proofErr w:type="spellEnd"/>
      <w:r>
        <w:rPr>
          <w:rFonts w:ascii="Arial" w:hAnsi="Arial" w:cs="Arial"/>
          <w:sz w:val="20"/>
          <w:szCs w:val="20"/>
        </w:rPr>
        <w:t xml:space="preserve"> panels</w:t>
      </w:r>
      <w:r w:rsidR="00651174">
        <w:rPr>
          <w:rFonts w:ascii="Arial" w:hAnsi="Arial" w:cs="Arial"/>
          <w:sz w:val="20"/>
          <w:szCs w:val="20"/>
        </w:rPr>
        <w:t>, in proximity to “type 1” and “type 2” structural lineaments,</w:t>
      </w:r>
      <w:r>
        <w:rPr>
          <w:rFonts w:ascii="Arial" w:hAnsi="Arial" w:cs="Arial"/>
          <w:sz w:val="20"/>
          <w:szCs w:val="20"/>
        </w:rPr>
        <w:t xml:space="preserve"> at the adjacent Angus Place operations contributed to severe impacts to overlying THPSS</w:t>
      </w:r>
      <w:r w:rsidR="000431E5" w:rsidRPr="000431E5">
        <w:rPr>
          <w:rFonts w:ascii="Arial" w:hAnsi="Arial" w:cs="Arial"/>
          <w:sz w:val="20"/>
          <w:szCs w:val="20"/>
          <w:vertAlign w:val="superscript"/>
        </w:rPr>
        <w:t>5</w:t>
      </w:r>
      <w:r>
        <w:rPr>
          <w:rFonts w:ascii="Arial" w:hAnsi="Arial" w:cs="Arial"/>
          <w:sz w:val="20"/>
          <w:szCs w:val="20"/>
        </w:rPr>
        <w:t>.</w:t>
      </w:r>
    </w:p>
    <w:p w:rsidR="00F829A7" w:rsidRDefault="00F829A7" w:rsidP="00F829A7">
      <w:pPr>
        <w:pStyle w:val="ListNumber"/>
        <w:spacing w:after="200" w:line="276" w:lineRule="auto"/>
        <w:rPr>
          <w:rFonts w:ascii="Arial" w:hAnsi="Arial" w:cs="Arial"/>
          <w:sz w:val="20"/>
          <w:szCs w:val="20"/>
        </w:rPr>
      </w:pPr>
      <w:r>
        <w:rPr>
          <w:rFonts w:ascii="Arial" w:hAnsi="Arial" w:cs="Arial"/>
          <w:sz w:val="20"/>
          <w:szCs w:val="20"/>
        </w:rPr>
        <w:t xml:space="preserve">At the surface, “type 1” and “type 2” lineaments are, in places, the sites of THPSS. </w:t>
      </w:r>
      <w:r w:rsidRPr="00D241D8">
        <w:rPr>
          <w:rFonts w:ascii="Arial" w:hAnsi="Arial" w:cs="Arial"/>
          <w:sz w:val="20"/>
          <w:szCs w:val="20"/>
        </w:rPr>
        <w:t>These lineament zones are not included within the groundwater model and their effect on groundwater flow is unknown.</w:t>
      </w:r>
      <w:r>
        <w:rPr>
          <w:rFonts w:ascii="Arial" w:hAnsi="Arial" w:cs="Arial"/>
          <w:sz w:val="20"/>
          <w:szCs w:val="20"/>
        </w:rPr>
        <w:t xml:space="preserve"> Given the regional scale of “type 1” and “type 2” lineaments, their topographical importance in the landscape as host location of THPSS, and the severe subsidence risks in their vicinity (see </w:t>
      </w:r>
      <w:r w:rsidRPr="00E12E79">
        <w:rPr>
          <w:rFonts w:ascii="Arial" w:hAnsi="Arial" w:cs="Arial"/>
          <w:sz w:val="20"/>
          <w:szCs w:val="20"/>
        </w:rPr>
        <w:t>paragraph</w:t>
      </w:r>
      <w:r w:rsidR="005C3B5C">
        <w:rPr>
          <w:rFonts w:ascii="Arial" w:hAnsi="Arial" w:cs="Arial"/>
          <w:sz w:val="20"/>
          <w:szCs w:val="20"/>
        </w:rPr>
        <w:t>s</w:t>
      </w:r>
      <w:r w:rsidRPr="00E12E79">
        <w:rPr>
          <w:rFonts w:ascii="Arial" w:hAnsi="Arial" w:cs="Arial"/>
          <w:sz w:val="20"/>
          <w:szCs w:val="20"/>
        </w:rPr>
        <w:t xml:space="preserve"> </w:t>
      </w:r>
      <w:r w:rsidR="000E1EAD">
        <w:rPr>
          <w:rFonts w:ascii="Arial" w:hAnsi="Arial" w:cs="Arial"/>
          <w:sz w:val="20"/>
          <w:szCs w:val="20"/>
        </w:rPr>
        <w:t>16</w:t>
      </w:r>
      <w:r w:rsidR="005C3B5C">
        <w:rPr>
          <w:rFonts w:ascii="Arial" w:hAnsi="Arial" w:cs="Arial"/>
          <w:sz w:val="20"/>
          <w:szCs w:val="20"/>
        </w:rPr>
        <w:t>, 19</w:t>
      </w:r>
      <w:r w:rsidR="000E1EAD">
        <w:rPr>
          <w:rFonts w:ascii="Arial" w:hAnsi="Arial" w:cs="Arial"/>
          <w:sz w:val="20"/>
          <w:szCs w:val="20"/>
        </w:rPr>
        <w:t xml:space="preserve"> and 20</w:t>
      </w:r>
      <w:r>
        <w:rPr>
          <w:rFonts w:ascii="Arial" w:hAnsi="Arial" w:cs="Arial"/>
          <w:sz w:val="20"/>
          <w:szCs w:val="20"/>
        </w:rPr>
        <w:t xml:space="preserve">, Question 2), </w:t>
      </w:r>
      <w:r w:rsidRPr="00D241D8">
        <w:rPr>
          <w:rFonts w:ascii="Arial" w:hAnsi="Arial" w:cs="Arial"/>
          <w:sz w:val="20"/>
          <w:szCs w:val="20"/>
        </w:rPr>
        <w:t xml:space="preserve">these </w:t>
      </w:r>
      <w:r>
        <w:rPr>
          <w:rFonts w:ascii="Arial" w:hAnsi="Arial" w:cs="Arial"/>
          <w:sz w:val="20"/>
          <w:szCs w:val="20"/>
        </w:rPr>
        <w:t xml:space="preserve">large structural lineaments </w:t>
      </w:r>
      <w:r w:rsidRPr="00D241D8">
        <w:rPr>
          <w:rFonts w:ascii="Arial" w:hAnsi="Arial" w:cs="Arial"/>
          <w:sz w:val="20"/>
          <w:szCs w:val="20"/>
        </w:rPr>
        <w:t xml:space="preserve">should be </w:t>
      </w:r>
      <w:r w:rsidR="00865FB9">
        <w:rPr>
          <w:rFonts w:ascii="Arial" w:hAnsi="Arial" w:cs="Arial"/>
          <w:sz w:val="20"/>
          <w:szCs w:val="20"/>
        </w:rPr>
        <w:t>included</w:t>
      </w:r>
      <w:r w:rsidRPr="00D241D8">
        <w:rPr>
          <w:rFonts w:ascii="Arial" w:hAnsi="Arial" w:cs="Arial"/>
          <w:sz w:val="20"/>
          <w:szCs w:val="20"/>
        </w:rPr>
        <w:t xml:space="preserve"> in updated versions of the groundwater model</w:t>
      </w:r>
      <w:r>
        <w:rPr>
          <w:rFonts w:ascii="Arial" w:hAnsi="Arial" w:cs="Arial"/>
          <w:sz w:val="20"/>
          <w:szCs w:val="20"/>
        </w:rPr>
        <w:t xml:space="preserve"> and their effect on groundwater flow and </w:t>
      </w:r>
      <w:proofErr w:type="spellStart"/>
      <w:r w:rsidR="004B4797">
        <w:rPr>
          <w:rFonts w:ascii="Arial" w:hAnsi="Arial" w:cs="Arial"/>
          <w:sz w:val="20"/>
          <w:szCs w:val="20"/>
        </w:rPr>
        <w:t>baseflow</w:t>
      </w:r>
      <w:proofErr w:type="spellEnd"/>
      <w:r w:rsidR="004B4797">
        <w:rPr>
          <w:rFonts w:ascii="Arial" w:hAnsi="Arial" w:cs="Arial"/>
          <w:sz w:val="20"/>
          <w:szCs w:val="20"/>
        </w:rPr>
        <w:t xml:space="preserve"> provision to </w:t>
      </w:r>
      <w:r>
        <w:rPr>
          <w:rFonts w:ascii="Arial" w:hAnsi="Arial" w:cs="Arial"/>
          <w:sz w:val="20"/>
          <w:szCs w:val="20"/>
        </w:rPr>
        <w:t>THPSS subsequently assessed.</w:t>
      </w:r>
      <w:r w:rsidRPr="006C091C">
        <w:rPr>
          <w:rFonts w:ascii="Arial" w:hAnsi="Arial" w:cs="Arial"/>
          <w:sz w:val="20"/>
          <w:szCs w:val="20"/>
        </w:rPr>
        <w:t xml:space="preserve"> </w:t>
      </w:r>
    </w:p>
    <w:p w:rsidR="00F829A7" w:rsidRDefault="00F829A7" w:rsidP="00F829A7">
      <w:pPr>
        <w:pStyle w:val="ListNumber"/>
        <w:numPr>
          <w:ilvl w:val="0"/>
          <w:numId w:val="0"/>
        </w:numPr>
        <w:spacing w:after="200" w:line="276" w:lineRule="auto"/>
        <w:ind w:left="369" w:hanging="369"/>
        <w:rPr>
          <w:rFonts w:ascii="Arial" w:hAnsi="Arial" w:cs="Arial"/>
          <w:i/>
          <w:sz w:val="20"/>
          <w:szCs w:val="20"/>
        </w:rPr>
      </w:pPr>
      <w:r>
        <w:rPr>
          <w:rFonts w:ascii="Arial" w:hAnsi="Arial" w:cs="Arial"/>
          <w:i/>
          <w:sz w:val="20"/>
          <w:szCs w:val="20"/>
        </w:rPr>
        <w:t>Swamp ecology</w:t>
      </w:r>
    </w:p>
    <w:p w:rsidR="00F829A7" w:rsidRDefault="00F829A7" w:rsidP="00F829A7">
      <w:pPr>
        <w:pStyle w:val="ListNumber"/>
        <w:spacing w:after="200" w:line="276" w:lineRule="auto"/>
        <w:rPr>
          <w:rFonts w:ascii="Arial" w:hAnsi="Arial" w:cs="Arial"/>
          <w:sz w:val="20"/>
          <w:szCs w:val="20"/>
        </w:rPr>
      </w:pPr>
      <w:r>
        <w:rPr>
          <w:rFonts w:ascii="Arial" w:hAnsi="Arial" w:cs="Arial"/>
          <w:sz w:val="20"/>
          <w:szCs w:val="20"/>
        </w:rPr>
        <w:t>The proponent has not provided site specific</w:t>
      </w:r>
      <w:r w:rsidR="001F0D78">
        <w:rPr>
          <w:rFonts w:ascii="Arial" w:hAnsi="Arial" w:cs="Arial"/>
          <w:sz w:val="20"/>
          <w:szCs w:val="20"/>
        </w:rPr>
        <w:t xml:space="preserve"> data on</w:t>
      </w:r>
      <w:r>
        <w:rPr>
          <w:rFonts w:ascii="Arial" w:hAnsi="Arial" w:cs="Arial"/>
          <w:sz w:val="20"/>
          <w:szCs w:val="20"/>
        </w:rPr>
        <w:t xml:space="preserve"> existing conditions for the majority of THPSS that occur within the extent of predicted subsidence. An assessment of existing condition is important to determine the extent of change in THPSS condition that is caused by </w:t>
      </w:r>
      <w:proofErr w:type="spellStart"/>
      <w:r>
        <w:rPr>
          <w:rFonts w:ascii="Arial" w:hAnsi="Arial" w:cs="Arial"/>
          <w:sz w:val="20"/>
          <w:szCs w:val="20"/>
        </w:rPr>
        <w:t>longwall</w:t>
      </w:r>
      <w:proofErr w:type="spellEnd"/>
      <w:r>
        <w:rPr>
          <w:rFonts w:ascii="Arial" w:hAnsi="Arial" w:cs="Arial"/>
          <w:sz w:val="20"/>
          <w:szCs w:val="20"/>
        </w:rPr>
        <w:t xml:space="preserve"> mining impacts or is within natural fluctuation</w:t>
      </w:r>
      <w:r w:rsidRPr="00146BF2">
        <w:rPr>
          <w:rFonts w:ascii="Arial" w:hAnsi="Arial" w:cs="Arial"/>
          <w:sz w:val="20"/>
          <w:szCs w:val="20"/>
          <w:vertAlign w:val="superscript"/>
        </w:rPr>
        <w:t>3</w:t>
      </w:r>
      <w:r>
        <w:rPr>
          <w:rFonts w:ascii="Arial" w:hAnsi="Arial" w:cs="Arial"/>
          <w:sz w:val="20"/>
          <w:szCs w:val="20"/>
        </w:rPr>
        <w:t xml:space="preserve">. This assessment needs to include, groundwater levels, </w:t>
      </w:r>
      <w:proofErr w:type="spellStart"/>
      <w:r>
        <w:rPr>
          <w:rFonts w:ascii="Arial" w:hAnsi="Arial" w:cs="Arial"/>
          <w:sz w:val="20"/>
          <w:szCs w:val="20"/>
        </w:rPr>
        <w:t>baseflows</w:t>
      </w:r>
      <w:proofErr w:type="spellEnd"/>
      <w:r w:rsidR="00AB5633">
        <w:rPr>
          <w:rFonts w:ascii="Arial" w:hAnsi="Arial" w:cs="Arial"/>
          <w:sz w:val="20"/>
          <w:szCs w:val="20"/>
        </w:rPr>
        <w:t xml:space="preserve"> and surface water flows</w:t>
      </w:r>
      <w:r>
        <w:rPr>
          <w:rFonts w:ascii="Arial" w:hAnsi="Arial" w:cs="Arial"/>
          <w:sz w:val="20"/>
          <w:szCs w:val="20"/>
        </w:rPr>
        <w:t xml:space="preserve">, surface standing water levels, </w:t>
      </w:r>
      <w:r w:rsidR="00DB345C">
        <w:rPr>
          <w:rFonts w:ascii="Arial" w:hAnsi="Arial" w:cs="Arial"/>
          <w:sz w:val="20"/>
          <w:szCs w:val="20"/>
        </w:rPr>
        <w:t>surface elevation,</w:t>
      </w:r>
      <w:r w:rsidR="00DB345C" w:rsidRPr="00DB345C">
        <w:rPr>
          <w:rFonts w:ascii="Arial" w:hAnsi="Arial" w:cs="Arial"/>
          <w:sz w:val="20"/>
          <w:szCs w:val="20"/>
        </w:rPr>
        <w:t xml:space="preserve"> </w:t>
      </w:r>
      <w:r w:rsidR="00DB345C">
        <w:rPr>
          <w:rFonts w:ascii="Arial" w:hAnsi="Arial" w:cs="Arial"/>
          <w:sz w:val="20"/>
          <w:szCs w:val="20"/>
        </w:rPr>
        <w:t>swamp extent, species composition</w:t>
      </w:r>
      <w:r w:rsidR="009751D0" w:rsidRPr="009751D0">
        <w:rPr>
          <w:rFonts w:ascii="Arial" w:hAnsi="Arial" w:cs="Arial"/>
          <w:sz w:val="20"/>
          <w:szCs w:val="20"/>
        </w:rPr>
        <w:t xml:space="preserve"> </w:t>
      </w:r>
      <w:r w:rsidR="009751D0">
        <w:rPr>
          <w:rFonts w:ascii="Arial" w:hAnsi="Arial" w:cs="Arial"/>
          <w:sz w:val="20"/>
          <w:szCs w:val="20"/>
        </w:rPr>
        <w:t>and ecological condition</w:t>
      </w:r>
      <w:r>
        <w:rPr>
          <w:rFonts w:ascii="Arial" w:hAnsi="Arial" w:cs="Arial"/>
          <w:sz w:val="20"/>
          <w:szCs w:val="20"/>
        </w:rPr>
        <w:t xml:space="preserve">. </w:t>
      </w:r>
    </w:p>
    <w:p w:rsidR="00F829A7" w:rsidRDefault="00F829A7" w:rsidP="00F829A7">
      <w:pPr>
        <w:pStyle w:val="ListNumber"/>
        <w:spacing w:after="200" w:line="276" w:lineRule="auto"/>
        <w:rPr>
          <w:rFonts w:ascii="Arial" w:hAnsi="Arial" w:cs="Arial"/>
          <w:sz w:val="20"/>
          <w:szCs w:val="20"/>
        </w:rPr>
      </w:pPr>
      <w:r w:rsidRPr="00771CB5">
        <w:rPr>
          <w:rFonts w:ascii="Arial" w:hAnsi="Arial" w:cs="Arial"/>
          <w:sz w:val="20"/>
          <w:szCs w:val="20"/>
        </w:rPr>
        <w:t xml:space="preserve">The impact assessment </w:t>
      </w:r>
      <w:r>
        <w:rPr>
          <w:rFonts w:ascii="Arial" w:hAnsi="Arial" w:cs="Arial"/>
          <w:sz w:val="20"/>
          <w:szCs w:val="20"/>
        </w:rPr>
        <w:t>needs to</w:t>
      </w:r>
      <w:r w:rsidRPr="00771CB5">
        <w:rPr>
          <w:rFonts w:ascii="Arial" w:hAnsi="Arial" w:cs="Arial"/>
          <w:sz w:val="20"/>
          <w:szCs w:val="20"/>
        </w:rPr>
        <w:t xml:space="preserve"> be informed by an individual conceptualisation of each </w:t>
      </w:r>
      <w:r>
        <w:rPr>
          <w:rFonts w:ascii="Arial" w:hAnsi="Arial" w:cs="Arial"/>
          <w:sz w:val="20"/>
          <w:szCs w:val="20"/>
        </w:rPr>
        <w:t>THPSS</w:t>
      </w:r>
      <w:r w:rsidRPr="00771CB5">
        <w:rPr>
          <w:rFonts w:ascii="Arial" w:hAnsi="Arial" w:cs="Arial"/>
          <w:sz w:val="20"/>
          <w:szCs w:val="20"/>
        </w:rPr>
        <w:t xml:space="preserve">, with particular regard to whether swamps are reliant upon surface water, groundwater or </w:t>
      </w:r>
      <w:r w:rsidRPr="00293B46">
        <w:rPr>
          <w:rFonts w:ascii="Arial" w:hAnsi="Arial" w:cs="Arial"/>
          <w:sz w:val="20"/>
          <w:szCs w:val="20"/>
        </w:rPr>
        <w:t>both</w:t>
      </w:r>
      <w:r w:rsidR="00A1514B" w:rsidRPr="00293B46">
        <w:rPr>
          <w:rFonts w:ascii="Arial" w:hAnsi="Arial" w:cs="Arial"/>
          <w:sz w:val="20"/>
          <w:szCs w:val="20"/>
          <w:vertAlign w:val="superscript"/>
        </w:rPr>
        <w:t>5</w:t>
      </w:r>
      <w:r w:rsidRPr="00293B46">
        <w:rPr>
          <w:rFonts w:ascii="Arial" w:hAnsi="Arial" w:cs="Arial"/>
          <w:sz w:val="20"/>
          <w:szCs w:val="20"/>
        </w:rPr>
        <w:t>.</w:t>
      </w:r>
      <w:r w:rsidRPr="00771CB5">
        <w:rPr>
          <w:rFonts w:ascii="Arial" w:hAnsi="Arial" w:cs="Arial"/>
          <w:sz w:val="20"/>
          <w:szCs w:val="20"/>
        </w:rPr>
        <w:t xml:space="preserve"> The conceptualisation of each swamp should identify the hydrological and </w:t>
      </w:r>
      <w:proofErr w:type="spellStart"/>
      <w:r w:rsidRPr="00771CB5">
        <w:rPr>
          <w:rFonts w:ascii="Arial" w:hAnsi="Arial" w:cs="Arial"/>
          <w:sz w:val="20"/>
          <w:szCs w:val="20"/>
        </w:rPr>
        <w:t>hydrogeological</w:t>
      </w:r>
      <w:proofErr w:type="spellEnd"/>
      <w:r w:rsidRPr="00771CB5">
        <w:rPr>
          <w:rFonts w:ascii="Arial" w:hAnsi="Arial" w:cs="Arial"/>
          <w:sz w:val="20"/>
          <w:szCs w:val="20"/>
        </w:rPr>
        <w:t xml:space="preserve"> regimes, including which aquifer/s support each swamp, as well as the surface water catchment </w:t>
      </w:r>
      <w:r w:rsidR="00F41A13">
        <w:rPr>
          <w:rFonts w:ascii="Arial" w:hAnsi="Arial" w:cs="Arial"/>
          <w:sz w:val="20"/>
          <w:szCs w:val="20"/>
        </w:rPr>
        <w:t xml:space="preserve">extents </w:t>
      </w:r>
      <w:r w:rsidRPr="00771CB5">
        <w:rPr>
          <w:rFonts w:ascii="Arial" w:hAnsi="Arial" w:cs="Arial"/>
          <w:sz w:val="20"/>
          <w:szCs w:val="20"/>
        </w:rPr>
        <w:t xml:space="preserve">and the </w:t>
      </w:r>
      <w:r w:rsidR="00F41A13">
        <w:rPr>
          <w:rFonts w:ascii="Arial" w:hAnsi="Arial" w:cs="Arial"/>
          <w:sz w:val="20"/>
          <w:szCs w:val="20"/>
        </w:rPr>
        <w:t>ecosystems</w:t>
      </w:r>
      <w:r w:rsidRPr="00771CB5">
        <w:rPr>
          <w:rFonts w:ascii="Arial" w:hAnsi="Arial" w:cs="Arial"/>
          <w:sz w:val="20"/>
          <w:szCs w:val="20"/>
        </w:rPr>
        <w:t xml:space="preserve"> which are supported by these regimes. Identification of the key flora and fauna species that comprise the ecological community should also be identified</w:t>
      </w:r>
      <w:r w:rsidR="00D81662" w:rsidRPr="00865FB9">
        <w:rPr>
          <w:rFonts w:ascii="Arial" w:hAnsi="Arial" w:cs="Arial"/>
          <w:sz w:val="20"/>
          <w:szCs w:val="20"/>
        </w:rPr>
        <w:t>.</w:t>
      </w:r>
    </w:p>
    <w:p w:rsidR="00F829A7" w:rsidRPr="003D5B53" w:rsidRDefault="00F829A7" w:rsidP="00F829A7">
      <w:pPr>
        <w:pStyle w:val="ListNumber"/>
        <w:spacing w:after="200" w:line="276" w:lineRule="auto"/>
        <w:rPr>
          <w:rFonts w:ascii="Arial" w:hAnsi="Arial" w:cs="Arial"/>
          <w:sz w:val="20"/>
          <w:szCs w:val="20"/>
        </w:rPr>
      </w:pPr>
      <w:r>
        <w:rPr>
          <w:rFonts w:ascii="Arial" w:hAnsi="Arial" w:cs="Arial"/>
          <w:sz w:val="20"/>
          <w:szCs w:val="20"/>
        </w:rPr>
        <w:t xml:space="preserve">The groundwater model predicts that the majority of THPSS overlying the project area will </w:t>
      </w:r>
      <w:r w:rsidR="009751D0">
        <w:rPr>
          <w:rFonts w:ascii="Arial" w:hAnsi="Arial" w:cs="Arial"/>
          <w:sz w:val="20"/>
          <w:szCs w:val="20"/>
        </w:rPr>
        <w:t>experience</w:t>
      </w:r>
      <w:r w:rsidRPr="00F357CD">
        <w:rPr>
          <w:rFonts w:ascii="Arial" w:hAnsi="Arial" w:cs="Arial"/>
          <w:sz w:val="20"/>
          <w:szCs w:val="20"/>
        </w:rPr>
        <w:t xml:space="preserve"> </w:t>
      </w:r>
      <w:proofErr w:type="spellStart"/>
      <w:r>
        <w:rPr>
          <w:rFonts w:ascii="Arial" w:hAnsi="Arial" w:cs="Arial"/>
          <w:sz w:val="20"/>
          <w:szCs w:val="20"/>
        </w:rPr>
        <w:t>baseflow</w:t>
      </w:r>
      <w:proofErr w:type="spellEnd"/>
      <w:r>
        <w:rPr>
          <w:rFonts w:ascii="Arial" w:hAnsi="Arial" w:cs="Arial"/>
          <w:sz w:val="20"/>
          <w:szCs w:val="20"/>
        </w:rPr>
        <w:t xml:space="preserve"> reductions. However, three swamps are predicted to have an increase in </w:t>
      </w:r>
      <w:proofErr w:type="spellStart"/>
      <w:r>
        <w:rPr>
          <w:rFonts w:ascii="Arial" w:hAnsi="Arial" w:cs="Arial"/>
          <w:sz w:val="20"/>
          <w:szCs w:val="20"/>
        </w:rPr>
        <w:t>baseflow</w:t>
      </w:r>
      <w:proofErr w:type="spellEnd"/>
      <w:r>
        <w:rPr>
          <w:rFonts w:ascii="Arial" w:hAnsi="Arial" w:cs="Arial"/>
          <w:sz w:val="20"/>
          <w:szCs w:val="20"/>
        </w:rPr>
        <w:t xml:space="preserve"> due to an increase in groundwater head. </w:t>
      </w:r>
      <w:r w:rsidR="00832149">
        <w:rPr>
          <w:rFonts w:ascii="Arial" w:hAnsi="Arial" w:cs="Arial"/>
          <w:sz w:val="20"/>
          <w:szCs w:val="20"/>
        </w:rPr>
        <w:t>B</w:t>
      </w:r>
      <w:r w:rsidRPr="0092415A">
        <w:rPr>
          <w:rFonts w:ascii="Arial" w:hAnsi="Arial" w:cs="Arial"/>
          <w:sz w:val="20"/>
        </w:rPr>
        <w:t xml:space="preserve">ayesian belief network modelling undertaken by </w:t>
      </w:r>
      <w:r>
        <w:rPr>
          <w:rFonts w:ascii="Arial" w:hAnsi="Arial" w:cs="Arial"/>
          <w:sz w:val="20"/>
        </w:rPr>
        <w:t xml:space="preserve">the </w:t>
      </w:r>
      <w:r w:rsidRPr="0092415A">
        <w:rPr>
          <w:rFonts w:ascii="Arial" w:hAnsi="Arial" w:cs="Arial"/>
          <w:sz w:val="20"/>
        </w:rPr>
        <w:t>Commonwealth of Australia, (2014)</w:t>
      </w:r>
      <w:r w:rsidR="00651174">
        <w:rPr>
          <w:rFonts w:ascii="Arial" w:hAnsi="Arial" w:cs="Arial"/>
          <w:sz w:val="20"/>
          <w:vertAlign w:val="superscript"/>
        </w:rPr>
        <w:t>4</w:t>
      </w:r>
      <w:r w:rsidR="00651174" w:rsidRPr="0092415A">
        <w:rPr>
          <w:rFonts w:ascii="Arial" w:hAnsi="Arial" w:cs="Arial"/>
          <w:sz w:val="20"/>
        </w:rPr>
        <w:t xml:space="preserve"> </w:t>
      </w:r>
      <w:r w:rsidRPr="0092415A">
        <w:rPr>
          <w:rFonts w:ascii="Arial" w:hAnsi="Arial" w:cs="Arial"/>
          <w:sz w:val="20"/>
        </w:rPr>
        <w:t xml:space="preserve">identified </w:t>
      </w:r>
      <w:r w:rsidR="00865FB9">
        <w:rPr>
          <w:rFonts w:ascii="Arial" w:hAnsi="Arial" w:cs="Arial"/>
          <w:sz w:val="20"/>
        </w:rPr>
        <w:t>THPSS</w:t>
      </w:r>
      <w:r w:rsidRPr="0092415A">
        <w:rPr>
          <w:rFonts w:ascii="Arial" w:hAnsi="Arial" w:cs="Arial"/>
          <w:sz w:val="20"/>
        </w:rPr>
        <w:t xml:space="preserve"> ecosystems as being most sensitive </w:t>
      </w:r>
      <w:r w:rsidRPr="0092415A">
        <w:rPr>
          <w:rFonts w:ascii="Arial" w:hAnsi="Arial" w:cs="Arial"/>
          <w:sz w:val="20"/>
        </w:rPr>
        <w:lastRenderedPageBreak/>
        <w:t>to alterations of the inundation regime</w:t>
      </w:r>
      <w:r w:rsidR="00832149">
        <w:rPr>
          <w:rFonts w:ascii="Arial" w:hAnsi="Arial" w:cs="Arial"/>
          <w:sz w:val="20"/>
        </w:rPr>
        <w:t>. Therefore,</w:t>
      </w:r>
      <w:r>
        <w:rPr>
          <w:rFonts w:ascii="Arial" w:hAnsi="Arial" w:cs="Arial"/>
          <w:sz w:val="20"/>
        </w:rPr>
        <w:t xml:space="preserve"> t</w:t>
      </w:r>
      <w:r w:rsidRPr="003D5B53">
        <w:rPr>
          <w:rFonts w:ascii="Arial" w:hAnsi="Arial" w:cs="Arial"/>
          <w:sz w:val="20"/>
          <w:szCs w:val="20"/>
        </w:rPr>
        <w:t xml:space="preserve">he proponent needs to </w:t>
      </w:r>
      <w:r w:rsidR="00865FB9">
        <w:rPr>
          <w:rFonts w:ascii="Arial" w:hAnsi="Arial" w:cs="Arial"/>
          <w:sz w:val="20"/>
          <w:szCs w:val="20"/>
        </w:rPr>
        <w:t>consider</w:t>
      </w:r>
      <w:r w:rsidRPr="003D5B53">
        <w:rPr>
          <w:rFonts w:ascii="Arial" w:hAnsi="Arial" w:cs="Arial"/>
          <w:sz w:val="20"/>
          <w:szCs w:val="20"/>
        </w:rPr>
        <w:t xml:space="preserve"> the potential </w:t>
      </w:r>
      <w:r w:rsidR="00865FB9">
        <w:rPr>
          <w:rFonts w:ascii="Arial" w:hAnsi="Arial" w:cs="Arial"/>
          <w:sz w:val="20"/>
          <w:szCs w:val="20"/>
        </w:rPr>
        <w:t xml:space="preserve">ecological </w:t>
      </w:r>
      <w:r w:rsidRPr="003D5B53">
        <w:rPr>
          <w:rFonts w:ascii="Arial" w:hAnsi="Arial" w:cs="Arial"/>
          <w:sz w:val="20"/>
          <w:szCs w:val="20"/>
        </w:rPr>
        <w:t>impacts of:</w:t>
      </w:r>
    </w:p>
    <w:p w:rsidR="00F829A7" w:rsidRPr="0092415A" w:rsidRDefault="00F829A7" w:rsidP="00F829A7">
      <w:pPr>
        <w:pStyle w:val="ListNumber2"/>
        <w:spacing w:after="200" w:line="276" w:lineRule="auto"/>
        <w:rPr>
          <w:rFonts w:ascii="Arial" w:hAnsi="Arial" w:cs="Arial"/>
          <w:sz w:val="20"/>
        </w:rPr>
      </w:pPr>
      <w:r>
        <w:rPr>
          <w:rFonts w:ascii="Arial" w:hAnsi="Arial" w:cs="Arial"/>
          <w:sz w:val="20"/>
        </w:rPr>
        <w:t>Changes to the hydrological/</w:t>
      </w:r>
      <w:proofErr w:type="spellStart"/>
      <w:r>
        <w:rPr>
          <w:rFonts w:ascii="Arial" w:hAnsi="Arial" w:cs="Arial"/>
          <w:sz w:val="20"/>
        </w:rPr>
        <w:t>hydrogeological</w:t>
      </w:r>
      <w:proofErr w:type="spellEnd"/>
      <w:r>
        <w:rPr>
          <w:rFonts w:ascii="Arial" w:hAnsi="Arial" w:cs="Arial"/>
          <w:sz w:val="20"/>
        </w:rPr>
        <w:t xml:space="preserve"> regime caused by a </w:t>
      </w:r>
      <w:r w:rsidRPr="0092415A">
        <w:rPr>
          <w:rFonts w:ascii="Arial" w:hAnsi="Arial" w:cs="Arial"/>
          <w:sz w:val="20"/>
        </w:rPr>
        <w:t>re</w:t>
      </w:r>
      <w:r>
        <w:rPr>
          <w:rFonts w:ascii="Arial" w:hAnsi="Arial" w:cs="Arial"/>
          <w:sz w:val="20"/>
        </w:rPr>
        <w:t>duction or increase in groundwater level</w:t>
      </w:r>
      <w:r w:rsidRPr="0092415A">
        <w:rPr>
          <w:rFonts w:ascii="Arial" w:hAnsi="Arial" w:cs="Arial"/>
          <w:sz w:val="20"/>
        </w:rPr>
        <w:t xml:space="preserve">, coupled with the </w:t>
      </w:r>
      <w:r>
        <w:rPr>
          <w:rFonts w:ascii="Arial" w:hAnsi="Arial" w:cs="Arial"/>
          <w:sz w:val="20"/>
        </w:rPr>
        <w:t xml:space="preserve">physical </w:t>
      </w:r>
      <w:r w:rsidRPr="0092415A">
        <w:rPr>
          <w:rFonts w:ascii="Arial" w:hAnsi="Arial" w:cs="Arial"/>
          <w:sz w:val="20"/>
        </w:rPr>
        <w:t>reduction in surface</w:t>
      </w:r>
      <w:r>
        <w:rPr>
          <w:rFonts w:ascii="Arial" w:hAnsi="Arial" w:cs="Arial"/>
          <w:sz w:val="20"/>
        </w:rPr>
        <w:t xml:space="preserve"> elevation</w:t>
      </w:r>
      <w:r w:rsidRPr="0092415A">
        <w:rPr>
          <w:rFonts w:ascii="Arial" w:hAnsi="Arial" w:cs="Arial"/>
          <w:sz w:val="20"/>
        </w:rPr>
        <w:t xml:space="preserve"> caused by subsidence</w:t>
      </w:r>
      <w:r>
        <w:rPr>
          <w:rFonts w:ascii="Arial" w:hAnsi="Arial" w:cs="Arial"/>
          <w:sz w:val="20"/>
        </w:rPr>
        <w:t>, on groundwater dependent flora species within THPSS</w:t>
      </w:r>
      <w:r w:rsidRPr="0092415A">
        <w:rPr>
          <w:rFonts w:ascii="Arial" w:hAnsi="Arial" w:cs="Arial"/>
          <w:sz w:val="20"/>
        </w:rPr>
        <w:t xml:space="preserve">. </w:t>
      </w:r>
    </w:p>
    <w:p w:rsidR="00F829A7" w:rsidRPr="0092415A" w:rsidRDefault="00F829A7" w:rsidP="00F829A7">
      <w:pPr>
        <w:pStyle w:val="ListNumber2"/>
        <w:spacing w:after="200" w:line="276" w:lineRule="auto"/>
        <w:rPr>
          <w:rFonts w:ascii="Arial" w:hAnsi="Arial" w:cs="Arial"/>
          <w:sz w:val="20"/>
        </w:rPr>
      </w:pPr>
      <w:r w:rsidRPr="0092415A">
        <w:rPr>
          <w:rFonts w:ascii="Arial" w:hAnsi="Arial" w:cs="Arial"/>
          <w:sz w:val="20"/>
        </w:rPr>
        <w:t>An increase in standing</w:t>
      </w:r>
      <w:r>
        <w:rPr>
          <w:rFonts w:ascii="Arial" w:hAnsi="Arial" w:cs="Arial"/>
          <w:sz w:val="20"/>
        </w:rPr>
        <w:t xml:space="preserve"> surface</w:t>
      </w:r>
      <w:r w:rsidRPr="0092415A">
        <w:rPr>
          <w:rFonts w:ascii="Arial" w:hAnsi="Arial" w:cs="Arial"/>
          <w:sz w:val="20"/>
        </w:rPr>
        <w:t xml:space="preserve"> water </w:t>
      </w:r>
      <w:r>
        <w:rPr>
          <w:rFonts w:ascii="Arial" w:hAnsi="Arial" w:cs="Arial"/>
          <w:sz w:val="20"/>
        </w:rPr>
        <w:t xml:space="preserve">levels </w:t>
      </w:r>
      <w:r w:rsidRPr="0092415A">
        <w:rPr>
          <w:rFonts w:ascii="Arial" w:hAnsi="Arial" w:cs="Arial"/>
          <w:sz w:val="20"/>
        </w:rPr>
        <w:t>on the hydrological regime and</w:t>
      </w:r>
      <w:r>
        <w:rPr>
          <w:rFonts w:ascii="Arial" w:hAnsi="Arial" w:cs="Arial"/>
          <w:sz w:val="20"/>
        </w:rPr>
        <w:t xml:space="preserve"> the</w:t>
      </w:r>
      <w:r w:rsidRPr="0092415A">
        <w:rPr>
          <w:rFonts w:ascii="Arial" w:hAnsi="Arial" w:cs="Arial"/>
          <w:sz w:val="20"/>
        </w:rPr>
        <w:t xml:space="preserve"> flora species</w:t>
      </w:r>
      <w:r>
        <w:rPr>
          <w:rFonts w:ascii="Arial" w:hAnsi="Arial" w:cs="Arial"/>
          <w:sz w:val="20"/>
        </w:rPr>
        <w:t xml:space="preserve"> within THPSS,</w:t>
      </w:r>
      <w:r w:rsidRPr="0092415A">
        <w:rPr>
          <w:rFonts w:ascii="Arial" w:hAnsi="Arial" w:cs="Arial"/>
          <w:sz w:val="20"/>
        </w:rPr>
        <w:t xml:space="preserve"> given extended periods of inundation </w:t>
      </w:r>
      <w:r>
        <w:rPr>
          <w:rFonts w:ascii="Arial" w:hAnsi="Arial" w:cs="Arial"/>
          <w:sz w:val="20"/>
        </w:rPr>
        <w:t>would occur where the groundwater model</w:t>
      </w:r>
      <w:r w:rsidRPr="0092415A">
        <w:rPr>
          <w:rFonts w:ascii="Arial" w:hAnsi="Arial" w:cs="Arial"/>
          <w:sz w:val="20"/>
        </w:rPr>
        <w:t xml:space="preserve"> predict</w:t>
      </w:r>
      <w:r>
        <w:rPr>
          <w:rFonts w:ascii="Arial" w:hAnsi="Arial" w:cs="Arial"/>
          <w:sz w:val="20"/>
        </w:rPr>
        <w:t>s</w:t>
      </w:r>
      <w:r w:rsidRPr="0092415A">
        <w:rPr>
          <w:rFonts w:ascii="Arial" w:hAnsi="Arial" w:cs="Arial"/>
          <w:sz w:val="20"/>
        </w:rPr>
        <w:t xml:space="preserve"> an increase in </w:t>
      </w:r>
      <w:proofErr w:type="spellStart"/>
      <w:r>
        <w:rPr>
          <w:rFonts w:ascii="Arial" w:hAnsi="Arial" w:cs="Arial"/>
          <w:sz w:val="20"/>
        </w:rPr>
        <w:t>baseflow</w:t>
      </w:r>
      <w:proofErr w:type="spellEnd"/>
      <w:r>
        <w:rPr>
          <w:rFonts w:ascii="Arial" w:hAnsi="Arial" w:cs="Arial"/>
          <w:sz w:val="20"/>
        </w:rPr>
        <w:t xml:space="preserve"> and groundwater head</w:t>
      </w:r>
      <w:r w:rsidRPr="0092415A">
        <w:rPr>
          <w:rFonts w:ascii="Arial" w:hAnsi="Arial" w:cs="Arial"/>
          <w:sz w:val="20"/>
        </w:rPr>
        <w:t xml:space="preserve"> level post mining.</w:t>
      </w:r>
    </w:p>
    <w:p w:rsidR="00F829A7" w:rsidRPr="00CF5929" w:rsidRDefault="00F829A7" w:rsidP="00F829A7">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Question 2:</w:t>
      </w:r>
      <w:r w:rsidRPr="007B5CB5">
        <w:rPr>
          <w:rFonts w:ascii="Arial" w:eastAsia="Calibri" w:hAnsi="Arial"/>
          <w:sz w:val="22"/>
          <w:szCs w:val="22"/>
        </w:rPr>
        <w:t xml:space="preserve"> </w:t>
      </w:r>
      <w:r w:rsidRPr="007B5CB5">
        <w:rPr>
          <w:rFonts w:ascii="Arial" w:hAnsi="Arial" w:cs="Arial"/>
          <w:sz w:val="20"/>
          <w:szCs w:val="20"/>
        </w:rPr>
        <w:t>If not, what does the IESC consider is a reasonable assessment of the likelihood, extent and significance of impacts on overlying and adjacent swamps?</w:t>
      </w:r>
    </w:p>
    <w:p w:rsidR="00F829A7" w:rsidRPr="00CF5929" w:rsidRDefault="00F829A7" w:rsidP="00F829A7">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DA512B" w:rsidRPr="008972A9" w:rsidRDefault="00DA512B" w:rsidP="00DA512B">
      <w:pPr>
        <w:pStyle w:val="ListNumber"/>
        <w:spacing w:after="200" w:line="276" w:lineRule="auto"/>
        <w:rPr>
          <w:rFonts w:ascii="Arial" w:hAnsi="Arial" w:cs="Arial"/>
          <w:sz w:val="20"/>
          <w:szCs w:val="20"/>
        </w:rPr>
      </w:pPr>
      <w:r>
        <w:rPr>
          <w:rFonts w:ascii="Arial" w:hAnsi="Arial" w:cs="Arial"/>
          <w:sz w:val="20"/>
          <w:szCs w:val="20"/>
        </w:rPr>
        <w:t xml:space="preserve">Impacts to undermined THPSS have historically been severe, resulting in changes to the hydrological and </w:t>
      </w:r>
      <w:proofErr w:type="spellStart"/>
      <w:r>
        <w:rPr>
          <w:rFonts w:ascii="Arial" w:hAnsi="Arial" w:cs="Arial"/>
          <w:sz w:val="20"/>
          <w:szCs w:val="20"/>
        </w:rPr>
        <w:t>hydrogeological</w:t>
      </w:r>
      <w:proofErr w:type="spellEnd"/>
      <w:r>
        <w:rPr>
          <w:rFonts w:ascii="Arial" w:hAnsi="Arial" w:cs="Arial"/>
          <w:sz w:val="20"/>
          <w:szCs w:val="20"/>
        </w:rPr>
        <w:t xml:space="preserve"> regimes, vegetation composition and structure, and large reductions in THPSS extent. These changes have been significant and are considered to be beyond the ability of the ecological community to recover</w:t>
      </w:r>
      <w:r w:rsidR="00606B7A" w:rsidRPr="00606B7A">
        <w:rPr>
          <w:rFonts w:ascii="Arial" w:hAnsi="Arial" w:cs="Arial"/>
          <w:sz w:val="20"/>
          <w:szCs w:val="20"/>
        </w:rPr>
        <w:t xml:space="preserve"> </w:t>
      </w:r>
      <w:r w:rsidR="00606B7A">
        <w:rPr>
          <w:rFonts w:ascii="Arial" w:hAnsi="Arial" w:cs="Arial"/>
          <w:sz w:val="20"/>
          <w:szCs w:val="20"/>
        </w:rPr>
        <w:t xml:space="preserve">naturally </w:t>
      </w:r>
      <w:r w:rsidRPr="00733EF1">
        <w:rPr>
          <w:rFonts w:ascii="Arial" w:hAnsi="Arial" w:cs="Arial"/>
          <w:sz w:val="20"/>
          <w:szCs w:val="20"/>
          <w:vertAlign w:val="superscript"/>
        </w:rPr>
        <w:t>3</w:t>
      </w:r>
      <w:proofErr w:type="gramStart"/>
      <w:r w:rsidRPr="00733EF1">
        <w:rPr>
          <w:rFonts w:ascii="Arial" w:hAnsi="Arial" w:cs="Arial"/>
          <w:sz w:val="20"/>
          <w:szCs w:val="20"/>
          <w:vertAlign w:val="superscript"/>
        </w:rPr>
        <w:t>,4,5</w:t>
      </w:r>
      <w:proofErr w:type="gramEnd"/>
      <w:r>
        <w:rPr>
          <w:rFonts w:ascii="Arial" w:hAnsi="Arial" w:cs="Arial"/>
          <w:sz w:val="20"/>
          <w:szCs w:val="20"/>
        </w:rPr>
        <w:t xml:space="preserve">. As yet, there is no scientific evidence or industry based results to indicate that </w:t>
      </w:r>
      <w:r w:rsidR="009751D0">
        <w:rPr>
          <w:rFonts w:ascii="Arial" w:hAnsi="Arial" w:cs="Arial"/>
          <w:sz w:val="20"/>
          <w:szCs w:val="20"/>
        </w:rPr>
        <w:t xml:space="preserve">such </w:t>
      </w:r>
      <w:r>
        <w:rPr>
          <w:rFonts w:ascii="Arial" w:hAnsi="Arial" w:cs="Arial"/>
          <w:sz w:val="20"/>
          <w:szCs w:val="20"/>
        </w:rPr>
        <w:t>impacts to THPSS can be remediated</w:t>
      </w:r>
      <w:r w:rsidRPr="003C48AE">
        <w:rPr>
          <w:rFonts w:ascii="Arial" w:hAnsi="Arial" w:cs="Arial"/>
          <w:sz w:val="20"/>
          <w:szCs w:val="20"/>
        </w:rPr>
        <w:t xml:space="preserve"> </w:t>
      </w:r>
      <w:r>
        <w:rPr>
          <w:rFonts w:ascii="Arial" w:hAnsi="Arial" w:cs="Arial"/>
          <w:sz w:val="20"/>
          <w:szCs w:val="20"/>
        </w:rPr>
        <w:t xml:space="preserve">successfully </w:t>
      </w:r>
      <w:r w:rsidRPr="00CC32FB">
        <w:rPr>
          <w:rFonts w:ascii="Arial" w:hAnsi="Arial" w:cs="Arial"/>
          <w:sz w:val="20"/>
          <w:szCs w:val="20"/>
          <w:vertAlign w:val="superscript"/>
        </w:rPr>
        <w:t>3</w:t>
      </w:r>
      <w:proofErr w:type="gramStart"/>
      <w:r w:rsidRPr="00CC32FB">
        <w:rPr>
          <w:rFonts w:ascii="Arial" w:hAnsi="Arial" w:cs="Arial"/>
          <w:sz w:val="20"/>
          <w:szCs w:val="20"/>
          <w:vertAlign w:val="superscript"/>
        </w:rPr>
        <w:t>,5</w:t>
      </w:r>
      <w:proofErr w:type="gramEnd"/>
      <w:r>
        <w:rPr>
          <w:rFonts w:ascii="Arial" w:hAnsi="Arial" w:cs="Arial"/>
          <w:sz w:val="20"/>
          <w:szCs w:val="20"/>
        </w:rPr>
        <w:t>.</w:t>
      </w:r>
    </w:p>
    <w:p w:rsidR="003D33D7" w:rsidRPr="00D3543F" w:rsidRDefault="003D33D7" w:rsidP="003D33D7">
      <w:pPr>
        <w:pStyle w:val="ListNumber"/>
        <w:spacing w:after="200" w:line="276" w:lineRule="auto"/>
        <w:rPr>
          <w:rFonts w:ascii="Arial" w:hAnsi="Arial" w:cs="Arial"/>
          <w:sz w:val="20"/>
          <w:szCs w:val="20"/>
        </w:rPr>
      </w:pPr>
      <w:r w:rsidRPr="00D3543F">
        <w:rPr>
          <w:rFonts w:ascii="Arial" w:hAnsi="Arial" w:cs="Arial"/>
          <w:sz w:val="20"/>
          <w:szCs w:val="20"/>
        </w:rPr>
        <w:t xml:space="preserve">The subsidence related impacts </w:t>
      </w:r>
      <w:r>
        <w:rPr>
          <w:rFonts w:ascii="Arial" w:hAnsi="Arial" w:cs="Arial"/>
          <w:sz w:val="20"/>
          <w:szCs w:val="20"/>
        </w:rPr>
        <w:t>affecting</w:t>
      </w:r>
      <w:r w:rsidRPr="00D3543F">
        <w:rPr>
          <w:rFonts w:ascii="Arial" w:hAnsi="Arial" w:cs="Arial"/>
          <w:sz w:val="20"/>
          <w:szCs w:val="20"/>
        </w:rPr>
        <w:t xml:space="preserve"> overlying and adjacent </w:t>
      </w:r>
      <w:r>
        <w:rPr>
          <w:rFonts w:ascii="Arial" w:hAnsi="Arial" w:cs="Arial"/>
          <w:sz w:val="20"/>
          <w:szCs w:val="20"/>
        </w:rPr>
        <w:t>THPSS</w:t>
      </w:r>
      <w:r w:rsidRPr="00D3543F">
        <w:rPr>
          <w:rFonts w:ascii="Arial" w:hAnsi="Arial" w:cs="Arial"/>
          <w:sz w:val="20"/>
          <w:szCs w:val="20"/>
        </w:rPr>
        <w:t xml:space="preserve"> would be expected to include fracturing of underlying bedrock, a water storage capacity increase within the bedrock fracture network, </w:t>
      </w:r>
      <w:r w:rsidR="00AB5633">
        <w:rPr>
          <w:rFonts w:ascii="Arial" w:hAnsi="Arial" w:cs="Arial"/>
          <w:sz w:val="20"/>
          <w:szCs w:val="20"/>
        </w:rPr>
        <w:t xml:space="preserve">a decrease in surface water flow provision from upstream tributaries </w:t>
      </w:r>
      <w:r w:rsidRPr="00D3543F">
        <w:rPr>
          <w:rFonts w:ascii="Arial" w:hAnsi="Arial" w:cs="Arial"/>
          <w:sz w:val="20"/>
          <w:szCs w:val="20"/>
        </w:rPr>
        <w:t>and a corresponding decrease in sta</w:t>
      </w:r>
      <w:r>
        <w:rPr>
          <w:rFonts w:ascii="Arial" w:hAnsi="Arial" w:cs="Arial"/>
          <w:sz w:val="20"/>
          <w:szCs w:val="20"/>
        </w:rPr>
        <w:t>nding surface water level</w:t>
      </w:r>
      <w:r w:rsidRPr="00D3543F">
        <w:rPr>
          <w:rFonts w:ascii="Arial" w:hAnsi="Arial" w:cs="Arial"/>
          <w:sz w:val="20"/>
          <w:szCs w:val="20"/>
        </w:rPr>
        <w:t xml:space="preserve">. Other impacts </w:t>
      </w:r>
      <w:r>
        <w:rPr>
          <w:rFonts w:ascii="Arial" w:hAnsi="Arial" w:cs="Arial"/>
          <w:sz w:val="20"/>
          <w:szCs w:val="20"/>
        </w:rPr>
        <w:t xml:space="preserve">to THPSS </w:t>
      </w:r>
      <w:r w:rsidRPr="00D3543F">
        <w:rPr>
          <w:rFonts w:ascii="Arial" w:hAnsi="Arial" w:cs="Arial"/>
          <w:sz w:val="20"/>
          <w:szCs w:val="20"/>
        </w:rPr>
        <w:t>m</w:t>
      </w:r>
      <w:r>
        <w:rPr>
          <w:rFonts w:ascii="Arial" w:hAnsi="Arial" w:cs="Arial"/>
          <w:sz w:val="20"/>
          <w:szCs w:val="20"/>
        </w:rPr>
        <w:t>ay</w:t>
      </w:r>
      <w:r w:rsidRPr="00D3543F">
        <w:rPr>
          <w:rFonts w:ascii="Arial" w:hAnsi="Arial" w:cs="Arial"/>
          <w:sz w:val="20"/>
          <w:szCs w:val="20"/>
        </w:rPr>
        <w:t xml:space="preserve"> include nick point erosion, peat slumping, changes to the swamp inundation regime and </w:t>
      </w:r>
      <w:r w:rsidRPr="00865FB9">
        <w:rPr>
          <w:rFonts w:ascii="Arial" w:hAnsi="Arial" w:cs="Arial"/>
          <w:sz w:val="20"/>
          <w:szCs w:val="20"/>
        </w:rPr>
        <w:t>a decline in the biological diversity and/or species composition of swamps</w:t>
      </w:r>
      <w:r w:rsidRPr="00D3543F">
        <w:rPr>
          <w:rFonts w:ascii="Arial" w:hAnsi="Arial" w:cs="Arial"/>
          <w:sz w:val="20"/>
          <w:szCs w:val="20"/>
        </w:rPr>
        <w:t xml:space="preserve">. </w:t>
      </w:r>
      <w:r>
        <w:rPr>
          <w:rFonts w:ascii="Arial" w:hAnsi="Arial" w:cs="Arial"/>
          <w:sz w:val="20"/>
          <w:szCs w:val="20"/>
        </w:rPr>
        <w:t>S</w:t>
      </w:r>
      <w:r w:rsidRPr="00D3543F">
        <w:rPr>
          <w:rFonts w:ascii="Arial" w:hAnsi="Arial" w:cs="Arial"/>
          <w:sz w:val="20"/>
          <w:szCs w:val="20"/>
        </w:rPr>
        <w:t xml:space="preserve">uch impacts </w:t>
      </w:r>
      <w:r w:rsidR="00293B46">
        <w:rPr>
          <w:rFonts w:ascii="Arial" w:hAnsi="Arial" w:cs="Arial"/>
          <w:sz w:val="20"/>
          <w:szCs w:val="20"/>
        </w:rPr>
        <w:t>are highly likely to</w:t>
      </w:r>
      <w:r w:rsidRPr="00D3543F">
        <w:rPr>
          <w:rFonts w:ascii="Arial" w:hAnsi="Arial" w:cs="Arial"/>
          <w:sz w:val="20"/>
          <w:szCs w:val="20"/>
        </w:rPr>
        <w:t xml:space="preserve"> be severe and potentially irreparable</w:t>
      </w:r>
      <w:r w:rsidRPr="007A3B25">
        <w:rPr>
          <w:rFonts w:ascii="Arial" w:hAnsi="Arial" w:cs="Arial"/>
          <w:sz w:val="20"/>
          <w:szCs w:val="20"/>
          <w:vertAlign w:val="superscript"/>
        </w:rPr>
        <w:t>4</w:t>
      </w:r>
      <w:r w:rsidRPr="00D3543F">
        <w:rPr>
          <w:rFonts w:ascii="Arial" w:hAnsi="Arial" w:cs="Arial"/>
          <w:sz w:val="20"/>
          <w:szCs w:val="20"/>
        </w:rPr>
        <w:t>.</w:t>
      </w:r>
    </w:p>
    <w:p w:rsidR="00F829A7" w:rsidRDefault="00F829A7" w:rsidP="00F829A7">
      <w:pPr>
        <w:pStyle w:val="ListNumber"/>
        <w:spacing w:after="200" w:line="276" w:lineRule="auto"/>
        <w:rPr>
          <w:rFonts w:ascii="Arial" w:hAnsi="Arial" w:cs="Arial"/>
          <w:sz w:val="20"/>
          <w:szCs w:val="20"/>
        </w:rPr>
      </w:pPr>
      <w:r>
        <w:rPr>
          <w:rFonts w:ascii="Arial" w:hAnsi="Arial" w:cs="Arial"/>
          <w:sz w:val="20"/>
          <w:szCs w:val="20"/>
        </w:rPr>
        <w:t xml:space="preserve">Due to the low level of confidence in the groundwater model’s </w:t>
      </w:r>
      <w:r w:rsidR="00A24082">
        <w:rPr>
          <w:rFonts w:ascii="Arial" w:hAnsi="Arial" w:cs="Arial"/>
          <w:sz w:val="20"/>
          <w:szCs w:val="20"/>
        </w:rPr>
        <w:t>capacity</w:t>
      </w:r>
      <w:r>
        <w:rPr>
          <w:rFonts w:ascii="Arial" w:hAnsi="Arial" w:cs="Arial"/>
          <w:sz w:val="20"/>
          <w:szCs w:val="20"/>
        </w:rPr>
        <w:t xml:space="preserve"> to </w:t>
      </w:r>
      <w:r w:rsidRPr="00293B46">
        <w:rPr>
          <w:rFonts w:ascii="Arial" w:hAnsi="Arial" w:cs="Arial"/>
          <w:sz w:val="20"/>
          <w:szCs w:val="20"/>
        </w:rPr>
        <w:t xml:space="preserve">predict </w:t>
      </w:r>
      <w:r w:rsidR="00865FB9" w:rsidRPr="00293B46">
        <w:rPr>
          <w:rFonts w:ascii="Arial" w:hAnsi="Arial" w:cs="Arial"/>
          <w:sz w:val="20"/>
          <w:szCs w:val="20"/>
        </w:rPr>
        <w:t xml:space="preserve">hydrological </w:t>
      </w:r>
      <w:r w:rsidRPr="00293B46">
        <w:rPr>
          <w:rFonts w:ascii="Arial" w:hAnsi="Arial" w:cs="Arial"/>
          <w:sz w:val="20"/>
          <w:szCs w:val="20"/>
        </w:rPr>
        <w:t>impacts to</w:t>
      </w:r>
      <w:r w:rsidR="003D33D7" w:rsidRPr="00293B46">
        <w:rPr>
          <w:rFonts w:ascii="Arial" w:hAnsi="Arial" w:cs="Arial"/>
          <w:sz w:val="20"/>
          <w:szCs w:val="20"/>
        </w:rPr>
        <w:t xml:space="preserve"> individual</w:t>
      </w:r>
      <w:r w:rsidRPr="00293B46">
        <w:rPr>
          <w:rFonts w:ascii="Arial" w:hAnsi="Arial" w:cs="Arial"/>
          <w:sz w:val="20"/>
          <w:szCs w:val="20"/>
        </w:rPr>
        <w:t xml:space="preserve"> THPSS</w:t>
      </w:r>
      <w:r w:rsidRPr="000C3FEE">
        <w:rPr>
          <w:rFonts w:ascii="Arial" w:hAnsi="Arial" w:cs="Arial"/>
          <w:sz w:val="20"/>
          <w:szCs w:val="20"/>
        </w:rPr>
        <w:t>, the likelihood, extent and significance of groundwater impacts to swamps cannot be determined with certainty.</w:t>
      </w:r>
      <w:r w:rsidRPr="00D3543F">
        <w:rPr>
          <w:rFonts w:ascii="Arial" w:hAnsi="Arial" w:cs="Arial"/>
          <w:sz w:val="20"/>
          <w:szCs w:val="20"/>
        </w:rPr>
        <w:t xml:space="preserve"> Swamps that </w:t>
      </w:r>
      <w:r>
        <w:rPr>
          <w:rFonts w:ascii="Arial" w:hAnsi="Arial" w:cs="Arial"/>
          <w:sz w:val="20"/>
          <w:szCs w:val="20"/>
        </w:rPr>
        <w:t xml:space="preserve">are directly undermined or </w:t>
      </w:r>
      <w:r w:rsidRPr="00D3543F">
        <w:rPr>
          <w:rFonts w:ascii="Arial" w:hAnsi="Arial" w:cs="Arial"/>
          <w:sz w:val="20"/>
          <w:szCs w:val="20"/>
        </w:rPr>
        <w:t>overlie</w:t>
      </w:r>
      <w:r>
        <w:rPr>
          <w:rFonts w:ascii="Arial" w:hAnsi="Arial" w:cs="Arial"/>
          <w:sz w:val="20"/>
          <w:szCs w:val="20"/>
        </w:rPr>
        <w:t xml:space="preserve"> structural</w:t>
      </w:r>
      <w:r w:rsidRPr="00D3543F">
        <w:rPr>
          <w:rFonts w:ascii="Arial" w:hAnsi="Arial" w:cs="Arial"/>
          <w:sz w:val="20"/>
          <w:szCs w:val="20"/>
        </w:rPr>
        <w:t xml:space="preserve"> lineaments are more likely to be severely impacted due to the instability of underlying strata </w:t>
      </w:r>
      <w:r>
        <w:rPr>
          <w:rFonts w:ascii="Arial" w:hAnsi="Arial" w:cs="Arial"/>
          <w:sz w:val="20"/>
          <w:szCs w:val="20"/>
        </w:rPr>
        <w:t>and</w:t>
      </w:r>
      <w:r w:rsidRPr="00D3543F">
        <w:rPr>
          <w:rFonts w:ascii="Arial" w:hAnsi="Arial" w:cs="Arial"/>
          <w:sz w:val="20"/>
          <w:szCs w:val="20"/>
        </w:rPr>
        <w:t xml:space="preserve"> locally increased subsidence effects. </w:t>
      </w:r>
      <w:r>
        <w:rPr>
          <w:rFonts w:ascii="Arial" w:hAnsi="Arial" w:cs="Arial"/>
          <w:sz w:val="20"/>
          <w:szCs w:val="20"/>
        </w:rPr>
        <w:t>G</w:t>
      </w:r>
      <w:r w:rsidRPr="00D3543F">
        <w:rPr>
          <w:rFonts w:ascii="Arial" w:hAnsi="Arial" w:cs="Arial"/>
          <w:sz w:val="20"/>
          <w:szCs w:val="20"/>
        </w:rPr>
        <w:t xml:space="preserve">iven the </w:t>
      </w:r>
      <w:r w:rsidRPr="00293B46">
        <w:rPr>
          <w:rFonts w:ascii="Arial" w:hAnsi="Arial" w:cs="Arial"/>
          <w:sz w:val="20"/>
          <w:szCs w:val="20"/>
        </w:rPr>
        <w:t>temporal variability</w:t>
      </w:r>
      <w:r w:rsidR="009751D0" w:rsidRPr="00293B46">
        <w:rPr>
          <w:rFonts w:ascii="Arial" w:hAnsi="Arial" w:cs="Arial"/>
          <w:sz w:val="20"/>
          <w:szCs w:val="20"/>
        </w:rPr>
        <w:t xml:space="preserve"> and time lags</w:t>
      </w:r>
      <w:r w:rsidRPr="00293B46">
        <w:rPr>
          <w:rFonts w:ascii="Arial" w:hAnsi="Arial" w:cs="Arial"/>
          <w:sz w:val="20"/>
          <w:szCs w:val="20"/>
        </w:rPr>
        <w:t xml:space="preserve"> with</w:t>
      </w:r>
      <w:r w:rsidRPr="00D3543F">
        <w:rPr>
          <w:rFonts w:ascii="Arial" w:hAnsi="Arial" w:cs="Arial"/>
          <w:sz w:val="20"/>
          <w:szCs w:val="20"/>
        </w:rPr>
        <w:t xml:space="preserve"> which impacts are observed in THPSS, the significance of </w:t>
      </w:r>
      <w:r>
        <w:rPr>
          <w:rFonts w:ascii="Arial" w:hAnsi="Arial" w:cs="Arial"/>
          <w:sz w:val="20"/>
          <w:szCs w:val="20"/>
        </w:rPr>
        <w:t xml:space="preserve">groundwater </w:t>
      </w:r>
      <w:r w:rsidRPr="00D3543F">
        <w:rPr>
          <w:rFonts w:ascii="Arial" w:hAnsi="Arial" w:cs="Arial"/>
          <w:sz w:val="20"/>
          <w:szCs w:val="20"/>
        </w:rPr>
        <w:t xml:space="preserve">impacts may not be readily determined for some time. </w:t>
      </w:r>
    </w:p>
    <w:p w:rsidR="00F829A7" w:rsidRPr="00CF5929" w:rsidRDefault="00F829A7" w:rsidP="00F829A7">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F829A7" w:rsidRPr="00CF5929" w:rsidRDefault="00F829A7" w:rsidP="00F829A7">
      <w:pPr>
        <w:pStyle w:val="ListNumber"/>
        <w:spacing w:after="200" w:line="276" w:lineRule="auto"/>
        <w:rPr>
          <w:rFonts w:ascii="Arial" w:hAnsi="Arial" w:cs="Arial"/>
          <w:sz w:val="20"/>
          <w:szCs w:val="20"/>
        </w:rPr>
      </w:pPr>
      <w:r>
        <w:rPr>
          <w:rFonts w:ascii="Arial" w:hAnsi="Arial" w:cs="Arial"/>
          <w:sz w:val="20"/>
          <w:szCs w:val="20"/>
        </w:rPr>
        <w:t xml:space="preserve">The range of potentially severe impacts caused by subsidence would be expected to include tensile cracking, movements of joint, bedding and shear planes, buckling and localised </w:t>
      </w:r>
      <w:proofErr w:type="spellStart"/>
      <w:r>
        <w:rPr>
          <w:rFonts w:ascii="Arial" w:hAnsi="Arial" w:cs="Arial"/>
          <w:sz w:val="20"/>
          <w:szCs w:val="20"/>
        </w:rPr>
        <w:t>upsidence</w:t>
      </w:r>
      <w:proofErr w:type="spellEnd"/>
      <w:r>
        <w:rPr>
          <w:rFonts w:ascii="Arial" w:hAnsi="Arial" w:cs="Arial"/>
          <w:sz w:val="20"/>
          <w:szCs w:val="20"/>
        </w:rPr>
        <w:t>. Broadly, these impacts have been described as having the following consequences for THPSS</w:t>
      </w:r>
      <w:r w:rsidRPr="007A3B25">
        <w:rPr>
          <w:rFonts w:ascii="Arial" w:hAnsi="Arial" w:cs="Arial"/>
          <w:sz w:val="20"/>
          <w:szCs w:val="20"/>
          <w:vertAlign w:val="superscript"/>
        </w:rPr>
        <w:t>3</w:t>
      </w:r>
      <w:r>
        <w:rPr>
          <w:rFonts w:ascii="Arial" w:hAnsi="Arial" w:cs="Arial"/>
          <w:sz w:val="20"/>
          <w:szCs w:val="20"/>
        </w:rPr>
        <w:t>:</w:t>
      </w:r>
    </w:p>
    <w:p w:rsidR="00F829A7" w:rsidRDefault="00F829A7" w:rsidP="00F829A7">
      <w:pPr>
        <w:pStyle w:val="ListNumber2"/>
        <w:spacing w:after="200" w:line="276" w:lineRule="auto"/>
        <w:rPr>
          <w:rFonts w:ascii="Arial" w:hAnsi="Arial" w:cs="Arial"/>
          <w:sz w:val="20"/>
          <w:szCs w:val="20"/>
        </w:rPr>
      </w:pPr>
      <w:r>
        <w:rPr>
          <w:rFonts w:ascii="Arial" w:hAnsi="Arial" w:cs="Arial"/>
          <w:sz w:val="20"/>
          <w:szCs w:val="20"/>
        </w:rPr>
        <w:t>Draining of swamps</w:t>
      </w:r>
      <w:r w:rsidR="00AB5633">
        <w:rPr>
          <w:rFonts w:ascii="Arial" w:hAnsi="Arial" w:cs="Arial"/>
          <w:sz w:val="20"/>
          <w:szCs w:val="20"/>
        </w:rPr>
        <w:t>, or their upstream tributaries,</w:t>
      </w:r>
      <w:r>
        <w:rPr>
          <w:rFonts w:ascii="Arial" w:hAnsi="Arial" w:cs="Arial"/>
          <w:sz w:val="20"/>
          <w:szCs w:val="20"/>
        </w:rPr>
        <w:t xml:space="preserve"> into subsidence formed bedrock fractures.</w:t>
      </w:r>
    </w:p>
    <w:p w:rsidR="00F829A7" w:rsidRDefault="00F829A7" w:rsidP="00F829A7">
      <w:pPr>
        <w:pStyle w:val="ListNumber2"/>
        <w:spacing w:after="200" w:line="276" w:lineRule="auto"/>
        <w:rPr>
          <w:rFonts w:ascii="Arial" w:hAnsi="Arial" w:cs="Arial"/>
          <w:sz w:val="20"/>
          <w:szCs w:val="20"/>
        </w:rPr>
      </w:pPr>
      <w:r>
        <w:rPr>
          <w:rFonts w:ascii="Arial" w:hAnsi="Arial" w:cs="Arial"/>
          <w:sz w:val="20"/>
          <w:szCs w:val="20"/>
        </w:rPr>
        <w:t>Drying and desiccation of peat and underlying sediments, resulting in:</w:t>
      </w:r>
    </w:p>
    <w:p w:rsidR="00F829A7" w:rsidRDefault="00F829A7" w:rsidP="00F829A7">
      <w:pPr>
        <w:pStyle w:val="ListNumber3"/>
        <w:spacing w:after="200" w:line="276" w:lineRule="auto"/>
        <w:ind w:left="1106"/>
        <w:rPr>
          <w:rFonts w:ascii="Arial" w:hAnsi="Arial" w:cs="Arial"/>
          <w:sz w:val="20"/>
        </w:rPr>
      </w:pPr>
      <w:r>
        <w:rPr>
          <w:rFonts w:ascii="Arial" w:hAnsi="Arial" w:cs="Arial"/>
          <w:sz w:val="20"/>
        </w:rPr>
        <w:t>I</w:t>
      </w:r>
      <w:r w:rsidRPr="001501B1">
        <w:rPr>
          <w:rFonts w:ascii="Arial" w:hAnsi="Arial" w:cs="Arial"/>
          <w:sz w:val="20"/>
        </w:rPr>
        <w:t>ncreased risk of erosion, scour and slumping of peat</w:t>
      </w:r>
      <w:r>
        <w:rPr>
          <w:rFonts w:ascii="Arial" w:hAnsi="Arial" w:cs="Arial"/>
          <w:sz w:val="20"/>
        </w:rPr>
        <w:t>.</w:t>
      </w:r>
    </w:p>
    <w:p w:rsidR="00F829A7" w:rsidRDefault="00F829A7" w:rsidP="00F829A7">
      <w:pPr>
        <w:pStyle w:val="ListNumber3"/>
        <w:spacing w:after="200" w:line="276" w:lineRule="auto"/>
        <w:ind w:left="1106"/>
        <w:rPr>
          <w:rFonts w:ascii="Arial" w:hAnsi="Arial" w:cs="Arial"/>
          <w:sz w:val="20"/>
        </w:rPr>
      </w:pPr>
      <w:r>
        <w:rPr>
          <w:rFonts w:ascii="Arial" w:hAnsi="Arial" w:cs="Arial"/>
          <w:sz w:val="20"/>
        </w:rPr>
        <w:t>Vulnerability to fire</w:t>
      </w:r>
      <w:r w:rsidR="006066FC">
        <w:rPr>
          <w:rFonts w:ascii="Arial" w:hAnsi="Arial" w:cs="Arial"/>
          <w:sz w:val="20"/>
        </w:rPr>
        <w:t xml:space="preserve"> and invasive species</w:t>
      </w:r>
      <w:r>
        <w:rPr>
          <w:rFonts w:ascii="Arial" w:hAnsi="Arial" w:cs="Arial"/>
          <w:sz w:val="20"/>
        </w:rPr>
        <w:t>.</w:t>
      </w:r>
    </w:p>
    <w:p w:rsidR="006A73B6" w:rsidRDefault="006A73B6" w:rsidP="006A73B6">
      <w:pPr>
        <w:pStyle w:val="ListNumber2"/>
        <w:spacing w:after="200" w:line="276" w:lineRule="auto"/>
        <w:rPr>
          <w:rFonts w:ascii="Arial" w:hAnsi="Arial" w:cs="Arial"/>
          <w:sz w:val="20"/>
          <w:szCs w:val="20"/>
        </w:rPr>
      </w:pPr>
      <w:r>
        <w:rPr>
          <w:rFonts w:ascii="Arial" w:hAnsi="Arial" w:cs="Arial"/>
          <w:sz w:val="20"/>
          <w:szCs w:val="20"/>
        </w:rPr>
        <w:t xml:space="preserve">Losses of </w:t>
      </w:r>
      <w:proofErr w:type="spellStart"/>
      <w:r>
        <w:rPr>
          <w:rFonts w:ascii="Arial" w:hAnsi="Arial" w:cs="Arial"/>
          <w:sz w:val="20"/>
          <w:szCs w:val="20"/>
        </w:rPr>
        <w:t>baseflow</w:t>
      </w:r>
      <w:proofErr w:type="spellEnd"/>
      <w:r>
        <w:rPr>
          <w:rFonts w:ascii="Arial" w:hAnsi="Arial" w:cs="Arial"/>
          <w:sz w:val="20"/>
          <w:szCs w:val="20"/>
        </w:rPr>
        <w:t xml:space="preserve"> </w:t>
      </w:r>
      <w:r w:rsidR="00AB5633">
        <w:rPr>
          <w:rFonts w:ascii="Arial" w:hAnsi="Arial" w:cs="Arial"/>
          <w:sz w:val="20"/>
          <w:szCs w:val="20"/>
        </w:rPr>
        <w:t xml:space="preserve">and/or surface flow </w:t>
      </w:r>
      <w:r>
        <w:rPr>
          <w:rFonts w:ascii="Arial" w:hAnsi="Arial" w:cs="Arial"/>
          <w:sz w:val="20"/>
          <w:szCs w:val="20"/>
        </w:rPr>
        <w:t>provision necessary to support swamps.</w:t>
      </w:r>
    </w:p>
    <w:p w:rsidR="00F829A7" w:rsidRDefault="00F829A7" w:rsidP="00F829A7">
      <w:pPr>
        <w:pStyle w:val="ListNumber2"/>
        <w:spacing w:after="200" w:line="276" w:lineRule="auto"/>
        <w:rPr>
          <w:rFonts w:ascii="Arial" w:hAnsi="Arial" w:cs="Arial"/>
          <w:sz w:val="20"/>
          <w:szCs w:val="20"/>
        </w:rPr>
      </w:pPr>
      <w:r w:rsidRPr="001501B1">
        <w:rPr>
          <w:rFonts w:ascii="Arial" w:hAnsi="Arial" w:cs="Arial"/>
          <w:sz w:val="20"/>
          <w:szCs w:val="20"/>
        </w:rPr>
        <w:lastRenderedPageBreak/>
        <w:t>Lo</w:t>
      </w:r>
      <w:r>
        <w:rPr>
          <w:rFonts w:ascii="Arial" w:hAnsi="Arial" w:cs="Arial"/>
          <w:sz w:val="20"/>
          <w:szCs w:val="20"/>
        </w:rPr>
        <w:t>ss of standing surface water pools, or changes to the inundation regime.</w:t>
      </w:r>
    </w:p>
    <w:p w:rsidR="00F829A7" w:rsidRDefault="006A73B6" w:rsidP="00F829A7">
      <w:pPr>
        <w:pStyle w:val="ListNumber2"/>
        <w:spacing w:after="200" w:line="276" w:lineRule="auto"/>
        <w:rPr>
          <w:rFonts w:ascii="Arial" w:hAnsi="Arial" w:cs="Arial"/>
          <w:sz w:val="20"/>
          <w:szCs w:val="20"/>
        </w:rPr>
      </w:pPr>
      <w:r>
        <w:rPr>
          <w:rFonts w:ascii="Arial" w:hAnsi="Arial" w:cs="Arial"/>
          <w:sz w:val="20"/>
          <w:szCs w:val="20"/>
        </w:rPr>
        <w:t>Decreases in water quality</w:t>
      </w:r>
      <w:r w:rsidR="00F829A7">
        <w:rPr>
          <w:rFonts w:ascii="Arial" w:hAnsi="Arial" w:cs="Arial"/>
          <w:sz w:val="20"/>
          <w:szCs w:val="20"/>
        </w:rPr>
        <w:t xml:space="preserve"> (for example, due to ferruginous </w:t>
      </w:r>
      <w:r>
        <w:rPr>
          <w:rFonts w:ascii="Arial" w:hAnsi="Arial" w:cs="Arial"/>
          <w:sz w:val="20"/>
          <w:szCs w:val="20"/>
        </w:rPr>
        <w:t xml:space="preserve">water </w:t>
      </w:r>
      <w:r w:rsidR="00F829A7">
        <w:rPr>
          <w:rFonts w:ascii="Arial" w:hAnsi="Arial" w:cs="Arial"/>
          <w:sz w:val="20"/>
          <w:szCs w:val="20"/>
        </w:rPr>
        <w:t>leaching out of fractured bedrock).</w:t>
      </w:r>
    </w:p>
    <w:p w:rsidR="006A73B6" w:rsidRDefault="006A73B6" w:rsidP="006A73B6">
      <w:pPr>
        <w:pStyle w:val="ListNumber2"/>
        <w:spacing w:after="200" w:line="276" w:lineRule="auto"/>
        <w:rPr>
          <w:rFonts w:ascii="Arial" w:hAnsi="Arial" w:cs="Arial"/>
          <w:sz w:val="20"/>
          <w:szCs w:val="20"/>
        </w:rPr>
      </w:pPr>
      <w:r>
        <w:rPr>
          <w:rFonts w:ascii="Arial" w:hAnsi="Arial" w:cs="Arial"/>
          <w:sz w:val="20"/>
          <w:szCs w:val="20"/>
        </w:rPr>
        <w:t>Changes to, or loss of, vegetation communities</w:t>
      </w:r>
      <w:r w:rsidR="009751D0">
        <w:rPr>
          <w:rFonts w:ascii="Arial" w:hAnsi="Arial" w:cs="Arial"/>
          <w:sz w:val="20"/>
          <w:szCs w:val="20"/>
        </w:rPr>
        <w:t xml:space="preserve"> </w:t>
      </w:r>
      <w:r w:rsidR="009751D0" w:rsidRPr="00CA6D0F">
        <w:rPr>
          <w:rFonts w:ascii="Arial" w:hAnsi="Arial" w:cs="Arial"/>
          <w:sz w:val="20"/>
          <w:szCs w:val="20"/>
        </w:rPr>
        <w:t>and threatened species</w:t>
      </w:r>
      <w:r>
        <w:rPr>
          <w:rFonts w:ascii="Arial" w:hAnsi="Arial" w:cs="Arial"/>
          <w:sz w:val="20"/>
          <w:szCs w:val="20"/>
        </w:rPr>
        <w:t>.</w:t>
      </w:r>
    </w:p>
    <w:p w:rsidR="00F137F9" w:rsidRPr="00302C95" w:rsidRDefault="00F829A7" w:rsidP="00F829A7">
      <w:pPr>
        <w:pStyle w:val="ListNumber"/>
        <w:numPr>
          <w:ilvl w:val="0"/>
          <w:numId w:val="0"/>
        </w:numPr>
        <w:spacing w:after="200" w:line="276" w:lineRule="auto"/>
        <w:ind w:left="369" w:hanging="369"/>
        <w:rPr>
          <w:rFonts w:ascii="Arial" w:hAnsi="Arial" w:cs="Arial"/>
          <w:i/>
          <w:sz w:val="20"/>
          <w:szCs w:val="20"/>
        </w:rPr>
      </w:pPr>
      <w:r w:rsidRPr="00302C95">
        <w:rPr>
          <w:rFonts w:ascii="Arial" w:hAnsi="Arial" w:cs="Arial"/>
          <w:i/>
          <w:sz w:val="20"/>
          <w:szCs w:val="20"/>
        </w:rPr>
        <w:t>Subsidence</w:t>
      </w:r>
    </w:p>
    <w:p w:rsidR="008628D9" w:rsidRPr="003D33D7" w:rsidRDefault="00DA512B" w:rsidP="00F137F9">
      <w:pPr>
        <w:pStyle w:val="ListNumber"/>
        <w:spacing w:after="200" w:line="276" w:lineRule="auto"/>
        <w:rPr>
          <w:rFonts w:ascii="Arial" w:hAnsi="Arial" w:cs="Arial"/>
          <w:sz w:val="20"/>
          <w:szCs w:val="20"/>
        </w:rPr>
      </w:pPr>
      <w:r w:rsidRPr="003D33D7">
        <w:rPr>
          <w:rFonts w:ascii="Arial" w:hAnsi="Arial" w:cs="Arial"/>
          <w:sz w:val="20"/>
          <w:szCs w:val="20"/>
        </w:rPr>
        <w:t>There is a</w:t>
      </w:r>
      <w:r w:rsidR="004667E9" w:rsidRPr="003D33D7">
        <w:rPr>
          <w:rFonts w:ascii="Arial" w:hAnsi="Arial" w:cs="Arial"/>
          <w:sz w:val="20"/>
          <w:szCs w:val="20"/>
        </w:rPr>
        <w:t xml:space="preserve"> high risk of potentially severe subsidence impacts to THPSS, given that, of the 20 proposed </w:t>
      </w:r>
      <w:proofErr w:type="spellStart"/>
      <w:r w:rsidR="004667E9" w:rsidRPr="003D33D7">
        <w:rPr>
          <w:rFonts w:ascii="Arial" w:hAnsi="Arial" w:cs="Arial"/>
          <w:sz w:val="20"/>
          <w:szCs w:val="20"/>
        </w:rPr>
        <w:t>longwall</w:t>
      </w:r>
      <w:proofErr w:type="spellEnd"/>
      <w:r w:rsidR="004667E9" w:rsidRPr="003D33D7">
        <w:rPr>
          <w:rFonts w:ascii="Arial" w:hAnsi="Arial" w:cs="Arial"/>
          <w:sz w:val="20"/>
          <w:szCs w:val="20"/>
        </w:rPr>
        <w:t xml:space="preserve"> panels, only three will not directly undermine THPSS (</w:t>
      </w:r>
      <w:proofErr w:type="spellStart"/>
      <w:r w:rsidR="004667E9" w:rsidRPr="003D33D7">
        <w:rPr>
          <w:rFonts w:ascii="Arial" w:hAnsi="Arial" w:cs="Arial"/>
          <w:sz w:val="20"/>
          <w:szCs w:val="20"/>
        </w:rPr>
        <w:t>longwalls</w:t>
      </w:r>
      <w:proofErr w:type="spellEnd"/>
      <w:r w:rsidR="004667E9" w:rsidRPr="003D33D7">
        <w:rPr>
          <w:rFonts w:ascii="Arial" w:hAnsi="Arial" w:cs="Arial"/>
          <w:sz w:val="20"/>
          <w:szCs w:val="20"/>
        </w:rPr>
        <w:t xml:space="preserve"> LW502, LW501 and LW423). </w:t>
      </w:r>
      <w:r w:rsidR="00F137F9" w:rsidRPr="003D33D7">
        <w:rPr>
          <w:rFonts w:ascii="Arial" w:hAnsi="Arial" w:cs="Arial"/>
          <w:sz w:val="20"/>
          <w:szCs w:val="20"/>
        </w:rPr>
        <w:t>Based on the documentation provided</w:t>
      </w:r>
      <w:r w:rsidR="005C60E4" w:rsidRPr="003D33D7">
        <w:rPr>
          <w:rFonts w:ascii="Arial" w:hAnsi="Arial" w:cs="Arial"/>
          <w:sz w:val="20"/>
          <w:szCs w:val="20"/>
        </w:rPr>
        <w:t>,</w:t>
      </w:r>
      <w:r w:rsidR="00F137F9" w:rsidRPr="003D33D7">
        <w:rPr>
          <w:rFonts w:ascii="Arial" w:hAnsi="Arial" w:cs="Arial"/>
          <w:sz w:val="20"/>
          <w:szCs w:val="20"/>
        </w:rPr>
        <w:t xml:space="preserve"> </w:t>
      </w:r>
      <w:r w:rsidR="00C16F58" w:rsidRPr="003D33D7">
        <w:rPr>
          <w:rFonts w:ascii="Arial" w:hAnsi="Arial" w:cs="Arial"/>
          <w:sz w:val="20"/>
          <w:szCs w:val="20"/>
        </w:rPr>
        <w:t>1</w:t>
      </w:r>
      <w:r w:rsidR="003163A3" w:rsidRPr="003D33D7">
        <w:rPr>
          <w:rFonts w:ascii="Arial" w:hAnsi="Arial" w:cs="Arial"/>
          <w:sz w:val="20"/>
          <w:szCs w:val="20"/>
        </w:rPr>
        <w:t>4</w:t>
      </w:r>
      <w:r w:rsidR="00C16F58" w:rsidRPr="003D33D7">
        <w:rPr>
          <w:rFonts w:ascii="Arial" w:hAnsi="Arial" w:cs="Arial"/>
          <w:sz w:val="20"/>
          <w:szCs w:val="20"/>
        </w:rPr>
        <w:t xml:space="preserve"> THPSS (including groups, </w:t>
      </w:r>
      <w:r w:rsidR="00F137F9" w:rsidRPr="003D33D7">
        <w:rPr>
          <w:rFonts w:ascii="Arial" w:hAnsi="Arial" w:cs="Arial"/>
          <w:sz w:val="20"/>
          <w:szCs w:val="20"/>
        </w:rPr>
        <w:t>clusters</w:t>
      </w:r>
      <w:r w:rsidR="00C16F58" w:rsidRPr="003D33D7">
        <w:rPr>
          <w:rFonts w:ascii="Arial" w:hAnsi="Arial" w:cs="Arial"/>
          <w:sz w:val="20"/>
          <w:szCs w:val="20"/>
        </w:rPr>
        <w:t xml:space="preserve"> and associated </w:t>
      </w:r>
      <w:r w:rsidR="004667E9" w:rsidRPr="003D33D7">
        <w:rPr>
          <w:rFonts w:ascii="Arial" w:hAnsi="Arial" w:cs="Arial"/>
          <w:sz w:val="20"/>
          <w:szCs w:val="20"/>
        </w:rPr>
        <w:t>unnamed upstream</w:t>
      </w:r>
      <w:r w:rsidR="00E05CD3" w:rsidRPr="003D33D7">
        <w:rPr>
          <w:rFonts w:ascii="Arial" w:hAnsi="Arial" w:cs="Arial"/>
          <w:sz w:val="20"/>
          <w:szCs w:val="20"/>
        </w:rPr>
        <w:t xml:space="preserve"> swamps</w:t>
      </w:r>
      <w:r w:rsidR="00F137F9" w:rsidRPr="003D33D7">
        <w:rPr>
          <w:rFonts w:ascii="Arial" w:hAnsi="Arial" w:cs="Arial"/>
          <w:sz w:val="20"/>
          <w:szCs w:val="20"/>
        </w:rPr>
        <w:t>) are located within the potential subsidence impact zone</w:t>
      </w:r>
      <w:r w:rsidR="00E05CD3" w:rsidRPr="003D33D7">
        <w:rPr>
          <w:rFonts w:ascii="Arial" w:hAnsi="Arial" w:cs="Arial"/>
          <w:sz w:val="20"/>
          <w:szCs w:val="20"/>
        </w:rPr>
        <w:t xml:space="preserve">. The majority of these swamps are large and, according to the EIS (Appendix D, Drawing MSEC594-08) </w:t>
      </w:r>
      <w:r w:rsidR="003163A3" w:rsidRPr="003D33D7">
        <w:rPr>
          <w:rFonts w:ascii="Arial" w:hAnsi="Arial" w:cs="Arial"/>
          <w:sz w:val="20"/>
          <w:szCs w:val="20"/>
        </w:rPr>
        <w:t xml:space="preserve">nine are proposed to be </w:t>
      </w:r>
      <w:r w:rsidR="004667E9" w:rsidRPr="003D33D7">
        <w:rPr>
          <w:rFonts w:ascii="Arial" w:hAnsi="Arial" w:cs="Arial"/>
          <w:sz w:val="20"/>
          <w:szCs w:val="20"/>
        </w:rPr>
        <w:t xml:space="preserve">directly </w:t>
      </w:r>
      <w:r w:rsidR="003163A3" w:rsidRPr="003D33D7">
        <w:rPr>
          <w:rFonts w:ascii="Arial" w:hAnsi="Arial" w:cs="Arial"/>
          <w:sz w:val="20"/>
          <w:szCs w:val="20"/>
        </w:rPr>
        <w:t>undermined.</w:t>
      </w:r>
      <w:r w:rsidR="008628D9" w:rsidRPr="003D33D7">
        <w:rPr>
          <w:rFonts w:ascii="Arial" w:hAnsi="Arial" w:cs="Arial"/>
          <w:sz w:val="20"/>
          <w:szCs w:val="20"/>
        </w:rPr>
        <w:t xml:space="preserve"> Six of these THPSS including, Sunnyside East, Carne West, Gang </w:t>
      </w:r>
      <w:proofErr w:type="spellStart"/>
      <w:r w:rsidR="008628D9" w:rsidRPr="003D33D7">
        <w:rPr>
          <w:rFonts w:ascii="Arial" w:hAnsi="Arial" w:cs="Arial"/>
          <w:sz w:val="20"/>
          <w:szCs w:val="20"/>
        </w:rPr>
        <w:t>Gang</w:t>
      </w:r>
      <w:proofErr w:type="spellEnd"/>
      <w:r w:rsidR="008628D9" w:rsidRPr="003D33D7">
        <w:rPr>
          <w:rFonts w:ascii="Arial" w:hAnsi="Arial" w:cs="Arial"/>
          <w:sz w:val="20"/>
          <w:szCs w:val="20"/>
        </w:rPr>
        <w:t xml:space="preserve"> South West and Gang </w:t>
      </w:r>
      <w:proofErr w:type="spellStart"/>
      <w:r w:rsidR="008628D9" w:rsidRPr="003D33D7">
        <w:rPr>
          <w:rFonts w:ascii="Arial" w:hAnsi="Arial" w:cs="Arial"/>
          <w:sz w:val="20"/>
          <w:szCs w:val="20"/>
        </w:rPr>
        <w:t>Gang</w:t>
      </w:r>
      <w:proofErr w:type="spellEnd"/>
      <w:r w:rsidR="008628D9" w:rsidRPr="003D33D7">
        <w:rPr>
          <w:rFonts w:ascii="Arial" w:hAnsi="Arial" w:cs="Arial"/>
          <w:sz w:val="20"/>
          <w:szCs w:val="20"/>
        </w:rPr>
        <w:t xml:space="preserve"> East, Marrangaroo and Upper Pine Swamps, will be undermined along their entire extent.</w:t>
      </w:r>
      <w:r w:rsidR="00F137F9" w:rsidRPr="003D33D7">
        <w:rPr>
          <w:rFonts w:ascii="Arial" w:hAnsi="Arial" w:cs="Arial"/>
          <w:sz w:val="20"/>
          <w:szCs w:val="20"/>
        </w:rPr>
        <w:t xml:space="preserve"> </w:t>
      </w:r>
    </w:p>
    <w:p w:rsidR="00F137F9" w:rsidRDefault="00F137F9" w:rsidP="00F137F9">
      <w:pPr>
        <w:pStyle w:val="ListNumber"/>
        <w:spacing w:after="200" w:line="276" w:lineRule="auto"/>
        <w:rPr>
          <w:rFonts w:ascii="Arial" w:hAnsi="Arial" w:cs="Arial"/>
          <w:sz w:val="20"/>
          <w:szCs w:val="20"/>
        </w:rPr>
      </w:pPr>
      <w:r>
        <w:rPr>
          <w:rFonts w:ascii="Arial" w:hAnsi="Arial" w:cs="Arial"/>
          <w:sz w:val="20"/>
          <w:szCs w:val="20"/>
        </w:rPr>
        <w:t>The EIS (</w:t>
      </w:r>
      <w:r w:rsidR="003163A3" w:rsidRPr="003D33D7">
        <w:rPr>
          <w:rFonts w:ascii="Arial" w:hAnsi="Arial" w:cs="Arial"/>
          <w:sz w:val="20"/>
          <w:szCs w:val="20"/>
        </w:rPr>
        <w:t>p. 275</w:t>
      </w:r>
      <w:r>
        <w:rPr>
          <w:rFonts w:ascii="Arial" w:hAnsi="Arial" w:cs="Arial"/>
          <w:sz w:val="20"/>
          <w:szCs w:val="20"/>
        </w:rPr>
        <w:t xml:space="preserve">) </w:t>
      </w:r>
      <w:r w:rsidR="00F829A7">
        <w:rPr>
          <w:rFonts w:ascii="Arial" w:hAnsi="Arial" w:cs="Arial"/>
          <w:sz w:val="20"/>
          <w:szCs w:val="20"/>
        </w:rPr>
        <w:t xml:space="preserve">states that fracturing up to 50 mm wide is predicted to occur within the shallow bedrock of THPSS wherever they are undermined. </w:t>
      </w:r>
      <w:r w:rsidR="00852231" w:rsidDel="00D7160E">
        <w:rPr>
          <w:rFonts w:ascii="Arial" w:hAnsi="Arial" w:cs="Arial"/>
          <w:sz w:val="20"/>
          <w:szCs w:val="20"/>
        </w:rPr>
        <w:t>Impacts</w:t>
      </w:r>
      <w:r w:rsidR="00852231" w:rsidRPr="007E4EF1" w:rsidDel="00D7160E">
        <w:rPr>
          <w:rFonts w:ascii="Arial" w:hAnsi="Arial" w:cs="Arial"/>
          <w:sz w:val="20"/>
          <w:szCs w:val="20"/>
        </w:rPr>
        <w:t xml:space="preserve"> </w:t>
      </w:r>
      <w:r w:rsidR="00852231" w:rsidDel="00D7160E">
        <w:rPr>
          <w:rFonts w:ascii="Arial" w:hAnsi="Arial" w:cs="Arial"/>
          <w:sz w:val="20"/>
          <w:szCs w:val="20"/>
        </w:rPr>
        <w:t>to THPSS, such as those identified in paragraph 16, are considerably more likely to occur where swamps are directly undermined.</w:t>
      </w:r>
      <w:r w:rsidR="00852231">
        <w:rPr>
          <w:rFonts w:ascii="Arial" w:hAnsi="Arial" w:cs="Arial"/>
          <w:sz w:val="20"/>
          <w:szCs w:val="20"/>
        </w:rPr>
        <w:t xml:space="preserve">  </w:t>
      </w:r>
      <w:r w:rsidR="00F829A7">
        <w:rPr>
          <w:rFonts w:ascii="Arial" w:hAnsi="Arial" w:cs="Arial"/>
          <w:sz w:val="20"/>
          <w:szCs w:val="20"/>
        </w:rPr>
        <w:t xml:space="preserve">Fracturing to further THPSS </w:t>
      </w:r>
      <w:r w:rsidR="007635F3">
        <w:rPr>
          <w:rFonts w:ascii="Arial" w:hAnsi="Arial" w:cs="Arial"/>
          <w:sz w:val="20"/>
          <w:szCs w:val="20"/>
        </w:rPr>
        <w:t xml:space="preserve">and their upstream tributaries </w:t>
      </w:r>
      <w:r w:rsidR="00F829A7">
        <w:rPr>
          <w:rFonts w:ascii="Arial" w:hAnsi="Arial" w:cs="Arial"/>
          <w:sz w:val="20"/>
          <w:szCs w:val="20"/>
        </w:rPr>
        <w:t>would be expected to occur where compressive and tensile strains exceed 0.5 mm/m and 2 mm/m respectively. </w:t>
      </w:r>
      <w:r w:rsidR="007F523E">
        <w:rPr>
          <w:rFonts w:ascii="Arial" w:hAnsi="Arial" w:cs="Arial"/>
          <w:sz w:val="20"/>
          <w:szCs w:val="20"/>
        </w:rPr>
        <w:t xml:space="preserve">Strain is </w:t>
      </w:r>
      <w:r w:rsidR="00606B7A">
        <w:rPr>
          <w:rFonts w:ascii="Arial" w:hAnsi="Arial" w:cs="Arial"/>
          <w:sz w:val="20"/>
          <w:szCs w:val="20"/>
        </w:rPr>
        <w:t xml:space="preserve">caused by </w:t>
      </w:r>
      <w:r w:rsidR="007F523E">
        <w:rPr>
          <w:rFonts w:ascii="Arial" w:hAnsi="Arial" w:cs="Arial"/>
          <w:sz w:val="20"/>
          <w:szCs w:val="20"/>
        </w:rPr>
        <w:t xml:space="preserve">the horizontal movement of the ground surface relative to two fixed points. Tensile strain occurs where the distance between two </w:t>
      </w:r>
      <w:proofErr w:type="gramStart"/>
      <w:r w:rsidR="007F523E">
        <w:rPr>
          <w:rFonts w:ascii="Arial" w:hAnsi="Arial" w:cs="Arial"/>
          <w:sz w:val="20"/>
          <w:szCs w:val="20"/>
        </w:rPr>
        <w:t>points</w:t>
      </w:r>
      <w:proofErr w:type="gramEnd"/>
      <w:r w:rsidR="007F523E">
        <w:rPr>
          <w:rFonts w:ascii="Arial" w:hAnsi="Arial" w:cs="Arial"/>
          <w:sz w:val="20"/>
          <w:szCs w:val="20"/>
        </w:rPr>
        <w:t xml:space="preserve"> increases and compressive strain occurs where the distance between two points decreases.</w:t>
      </w:r>
      <w:r w:rsidR="00852231">
        <w:rPr>
          <w:rFonts w:ascii="Arial" w:hAnsi="Arial" w:cs="Arial"/>
          <w:sz w:val="20"/>
          <w:szCs w:val="20"/>
        </w:rPr>
        <w:t xml:space="preserve"> </w:t>
      </w:r>
    </w:p>
    <w:p w:rsidR="00A12BC5" w:rsidRPr="003D33D7" w:rsidRDefault="00F137F9" w:rsidP="00A12BC5">
      <w:pPr>
        <w:pStyle w:val="ListNumber"/>
        <w:spacing w:after="200" w:line="276" w:lineRule="auto"/>
        <w:rPr>
          <w:rFonts w:ascii="Arial" w:hAnsi="Arial" w:cs="Arial"/>
          <w:sz w:val="20"/>
          <w:szCs w:val="20"/>
        </w:rPr>
      </w:pPr>
      <w:r w:rsidRPr="003D33D7">
        <w:rPr>
          <w:rFonts w:ascii="Arial" w:hAnsi="Arial" w:cs="Arial"/>
          <w:sz w:val="20"/>
          <w:szCs w:val="20"/>
        </w:rPr>
        <w:t xml:space="preserve">The risk and potential severity of impacts is increased for </w:t>
      </w:r>
      <w:r w:rsidR="00B54AAF" w:rsidRPr="003D33D7">
        <w:rPr>
          <w:rFonts w:ascii="Arial" w:hAnsi="Arial" w:cs="Arial"/>
          <w:sz w:val="20"/>
          <w:szCs w:val="20"/>
        </w:rPr>
        <w:t xml:space="preserve">Sunnyside East, Carne West, Gang </w:t>
      </w:r>
      <w:proofErr w:type="spellStart"/>
      <w:r w:rsidR="00B54AAF" w:rsidRPr="003D33D7">
        <w:rPr>
          <w:rFonts w:ascii="Arial" w:hAnsi="Arial" w:cs="Arial"/>
          <w:sz w:val="20"/>
          <w:szCs w:val="20"/>
        </w:rPr>
        <w:t>Gang</w:t>
      </w:r>
      <w:proofErr w:type="spellEnd"/>
      <w:r w:rsidR="00B54AAF" w:rsidRPr="003D33D7">
        <w:rPr>
          <w:rFonts w:ascii="Arial" w:hAnsi="Arial" w:cs="Arial"/>
          <w:sz w:val="20"/>
          <w:szCs w:val="20"/>
        </w:rPr>
        <w:t xml:space="preserve"> </w:t>
      </w:r>
      <w:r w:rsidR="00713654" w:rsidRPr="003D33D7">
        <w:rPr>
          <w:rFonts w:ascii="Arial" w:hAnsi="Arial" w:cs="Arial"/>
          <w:sz w:val="20"/>
          <w:szCs w:val="20"/>
        </w:rPr>
        <w:t xml:space="preserve">South </w:t>
      </w:r>
      <w:r w:rsidR="00B54AAF" w:rsidRPr="003D33D7">
        <w:rPr>
          <w:rFonts w:ascii="Arial" w:hAnsi="Arial" w:cs="Arial"/>
          <w:sz w:val="20"/>
          <w:szCs w:val="20"/>
        </w:rPr>
        <w:t xml:space="preserve">West, Gang </w:t>
      </w:r>
      <w:proofErr w:type="spellStart"/>
      <w:r w:rsidR="00B54AAF" w:rsidRPr="003D33D7">
        <w:rPr>
          <w:rFonts w:ascii="Arial" w:hAnsi="Arial" w:cs="Arial"/>
          <w:sz w:val="20"/>
          <w:szCs w:val="20"/>
        </w:rPr>
        <w:t>Gang</w:t>
      </w:r>
      <w:proofErr w:type="spellEnd"/>
      <w:r w:rsidR="00B54AAF" w:rsidRPr="003D33D7">
        <w:rPr>
          <w:rFonts w:ascii="Arial" w:hAnsi="Arial" w:cs="Arial"/>
          <w:sz w:val="20"/>
          <w:szCs w:val="20"/>
        </w:rPr>
        <w:t xml:space="preserve"> East and Marrangaroo Creek Swamps</w:t>
      </w:r>
      <w:r w:rsidR="00A12BC5" w:rsidRPr="003D33D7">
        <w:rPr>
          <w:rFonts w:ascii="Arial" w:hAnsi="Arial" w:cs="Arial"/>
          <w:sz w:val="20"/>
          <w:szCs w:val="20"/>
        </w:rPr>
        <w:t xml:space="preserve"> due to their position overlying structural lineaments, including:</w:t>
      </w:r>
    </w:p>
    <w:p w:rsidR="00A12BC5" w:rsidRPr="003D33D7" w:rsidRDefault="00A12BC5" w:rsidP="00A12BC5">
      <w:pPr>
        <w:pStyle w:val="ListNumber2"/>
        <w:spacing w:after="200" w:line="276" w:lineRule="auto"/>
        <w:rPr>
          <w:rFonts w:ascii="Arial" w:hAnsi="Arial" w:cs="Arial"/>
          <w:sz w:val="20"/>
          <w:szCs w:val="20"/>
        </w:rPr>
      </w:pPr>
      <w:r w:rsidRPr="003D33D7">
        <w:rPr>
          <w:rFonts w:ascii="Arial" w:hAnsi="Arial" w:cs="Arial"/>
          <w:sz w:val="20"/>
          <w:szCs w:val="20"/>
        </w:rPr>
        <w:t xml:space="preserve"> Sunnyside East and Carne West Swamps overlying “type 1” structural lineaments.</w:t>
      </w:r>
    </w:p>
    <w:p w:rsidR="00A12BC5" w:rsidRPr="003D33D7" w:rsidRDefault="00A12BC5" w:rsidP="00A12BC5">
      <w:pPr>
        <w:pStyle w:val="ListNumber2"/>
        <w:spacing w:after="200" w:line="276" w:lineRule="auto"/>
        <w:rPr>
          <w:rFonts w:ascii="Arial" w:hAnsi="Arial" w:cs="Arial"/>
          <w:sz w:val="20"/>
          <w:szCs w:val="20"/>
        </w:rPr>
      </w:pPr>
      <w:r w:rsidRPr="003D33D7">
        <w:rPr>
          <w:rFonts w:ascii="Arial" w:hAnsi="Arial" w:cs="Arial"/>
          <w:sz w:val="20"/>
          <w:szCs w:val="20"/>
        </w:rPr>
        <w:t xml:space="preserve"> Gang </w:t>
      </w:r>
      <w:proofErr w:type="spellStart"/>
      <w:r w:rsidRPr="003D33D7">
        <w:rPr>
          <w:rFonts w:ascii="Arial" w:hAnsi="Arial" w:cs="Arial"/>
          <w:sz w:val="20"/>
          <w:szCs w:val="20"/>
        </w:rPr>
        <w:t>Gang</w:t>
      </w:r>
      <w:proofErr w:type="spellEnd"/>
      <w:r w:rsidRPr="003D33D7">
        <w:rPr>
          <w:rFonts w:ascii="Arial" w:hAnsi="Arial" w:cs="Arial"/>
          <w:sz w:val="20"/>
          <w:szCs w:val="20"/>
        </w:rPr>
        <w:t xml:space="preserve"> South West, Gang </w:t>
      </w:r>
      <w:proofErr w:type="spellStart"/>
      <w:r w:rsidRPr="003D33D7">
        <w:rPr>
          <w:rFonts w:ascii="Arial" w:hAnsi="Arial" w:cs="Arial"/>
          <w:sz w:val="20"/>
          <w:szCs w:val="20"/>
        </w:rPr>
        <w:t>Gang</w:t>
      </w:r>
      <w:proofErr w:type="spellEnd"/>
      <w:r w:rsidRPr="003D33D7">
        <w:rPr>
          <w:rFonts w:ascii="Arial" w:hAnsi="Arial" w:cs="Arial"/>
          <w:sz w:val="20"/>
          <w:szCs w:val="20"/>
        </w:rPr>
        <w:t xml:space="preserve"> East and Marrangaroo Creek Swamps overlying “type 2” structural lineaments.</w:t>
      </w:r>
    </w:p>
    <w:p w:rsidR="000A4F52" w:rsidRPr="003D33D7" w:rsidRDefault="00F137F9" w:rsidP="00A12BC5">
      <w:pPr>
        <w:pStyle w:val="ListNumber"/>
        <w:numPr>
          <w:ilvl w:val="0"/>
          <w:numId w:val="0"/>
        </w:numPr>
        <w:spacing w:after="200" w:line="276" w:lineRule="auto"/>
        <w:ind w:left="369"/>
        <w:rPr>
          <w:rFonts w:ascii="Arial" w:hAnsi="Arial" w:cs="Arial"/>
          <w:sz w:val="20"/>
          <w:szCs w:val="20"/>
        </w:rPr>
      </w:pPr>
      <w:r w:rsidRPr="003D33D7">
        <w:rPr>
          <w:rFonts w:ascii="Arial" w:hAnsi="Arial" w:cs="Arial"/>
          <w:sz w:val="20"/>
          <w:szCs w:val="20"/>
        </w:rPr>
        <w:t xml:space="preserve">These swamps are </w:t>
      </w:r>
      <w:r w:rsidR="00B54AAF" w:rsidRPr="003D33D7">
        <w:rPr>
          <w:rFonts w:ascii="Arial" w:hAnsi="Arial" w:cs="Arial"/>
          <w:sz w:val="20"/>
          <w:szCs w:val="20"/>
        </w:rPr>
        <w:t>all</w:t>
      </w:r>
      <w:r w:rsidRPr="003D33D7">
        <w:rPr>
          <w:rFonts w:ascii="Arial" w:hAnsi="Arial" w:cs="Arial"/>
          <w:sz w:val="20"/>
          <w:szCs w:val="20"/>
        </w:rPr>
        <w:t xml:space="preserve"> proposed to be undermined</w:t>
      </w:r>
      <w:r w:rsidR="00DF3C8A" w:rsidRPr="003D33D7">
        <w:rPr>
          <w:rFonts w:ascii="Arial" w:hAnsi="Arial" w:cs="Arial"/>
          <w:sz w:val="20"/>
          <w:szCs w:val="20"/>
        </w:rPr>
        <w:t>,</w:t>
      </w:r>
      <w:r w:rsidRPr="003D33D7">
        <w:rPr>
          <w:rFonts w:ascii="Arial" w:hAnsi="Arial" w:cs="Arial"/>
          <w:sz w:val="20"/>
          <w:szCs w:val="20"/>
        </w:rPr>
        <w:t xml:space="preserve"> with the resulting conventional subsidence predicted to </w:t>
      </w:r>
      <w:r w:rsidR="00B54AAF" w:rsidRPr="003D33D7">
        <w:rPr>
          <w:rFonts w:ascii="Arial" w:hAnsi="Arial" w:cs="Arial"/>
          <w:sz w:val="20"/>
          <w:szCs w:val="20"/>
        </w:rPr>
        <w:t xml:space="preserve">range </w:t>
      </w:r>
      <w:r w:rsidRPr="003D33D7">
        <w:rPr>
          <w:rFonts w:ascii="Arial" w:hAnsi="Arial" w:cs="Arial"/>
          <w:sz w:val="20"/>
          <w:szCs w:val="20"/>
        </w:rPr>
        <w:t>be</w:t>
      </w:r>
      <w:r w:rsidR="00B54AAF" w:rsidRPr="003D33D7">
        <w:rPr>
          <w:rFonts w:ascii="Arial" w:hAnsi="Arial" w:cs="Arial"/>
          <w:sz w:val="20"/>
          <w:szCs w:val="20"/>
        </w:rPr>
        <w:t>tween 1.65 m</w:t>
      </w:r>
      <w:r w:rsidRPr="003D33D7">
        <w:rPr>
          <w:rFonts w:ascii="Arial" w:hAnsi="Arial" w:cs="Arial"/>
          <w:sz w:val="20"/>
          <w:szCs w:val="20"/>
        </w:rPr>
        <w:t xml:space="preserve"> and </w:t>
      </w:r>
      <w:r w:rsidR="00713654" w:rsidRPr="003D33D7">
        <w:rPr>
          <w:rFonts w:ascii="Arial" w:hAnsi="Arial" w:cs="Arial"/>
          <w:sz w:val="20"/>
          <w:szCs w:val="20"/>
        </w:rPr>
        <w:t>1.13 </w:t>
      </w:r>
      <w:r w:rsidRPr="003D33D7">
        <w:rPr>
          <w:rFonts w:ascii="Arial" w:hAnsi="Arial" w:cs="Arial"/>
          <w:sz w:val="20"/>
          <w:szCs w:val="20"/>
        </w:rPr>
        <w:t xml:space="preserve">m </w:t>
      </w:r>
      <w:r w:rsidR="00713654" w:rsidRPr="003D33D7">
        <w:rPr>
          <w:rFonts w:ascii="Arial" w:hAnsi="Arial" w:cs="Arial"/>
          <w:sz w:val="20"/>
          <w:szCs w:val="20"/>
        </w:rPr>
        <w:t xml:space="preserve">at Marangaroo Creek Swamp and Gang </w:t>
      </w:r>
      <w:proofErr w:type="spellStart"/>
      <w:r w:rsidR="00713654" w:rsidRPr="003D33D7">
        <w:rPr>
          <w:rFonts w:ascii="Arial" w:hAnsi="Arial" w:cs="Arial"/>
          <w:sz w:val="20"/>
          <w:szCs w:val="20"/>
        </w:rPr>
        <w:t>Gang</w:t>
      </w:r>
      <w:proofErr w:type="spellEnd"/>
      <w:r w:rsidR="00713654" w:rsidRPr="003D33D7">
        <w:rPr>
          <w:rFonts w:ascii="Arial" w:hAnsi="Arial" w:cs="Arial"/>
          <w:sz w:val="20"/>
          <w:szCs w:val="20"/>
        </w:rPr>
        <w:t xml:space="preserve"> Swamp East </w:t>
      </w:r>
      <w:r w:rsidRPr="003D33D7">
        <w:rPr>
          <w:rFonts w:ascii="Arial" w:hAnsi="Arial" w:cs="Arial"/>
          <w:sz w:val="20"/>
          <w:szCs w:val="20"/>
        </w:rPr>
        <w:t xml:space="preserve">respectively. </w:t>
      </w:r>
      <w:proofErr w:type="spellStart"/>
      <w:r w:rsidR="00713654" w:rsidRPr="003D33D7">
        <w:rPr>
          <w:rFonts w:ascii="Arial" w:hAnsi="Arial" w:cs="Arial"/>
          <w:sz w:val="20"/>
          <w:szCs w:val="20"/>
        </w:rPr>
        <w:t>Upsidence</w:t>
      </w:r>
      <w:proofErr w:type="spellEnd"/>
      <w:r w:rsidR="00713654" w:rsidRPr="003D33D7">
        <w:rPr>
          <w:rFonts w:ascii="Arial" w:hAnsi="Arial" w:cs="Arial"/>
          <w:sz w:val="20"/>
          <w:szCs w:val="20"/>
        </w:rPr>
        <w:t xml:space="preserve"> at these THPSS is predicted to range between 0.75 m and 0.2 m at Sunnyside East Swamp and Gang </w:t>
      </w:r>
      <w:proofErr w:type="spellStart"/>
      <w:r w:rsidR="00713654" w:rsidRPr="003D33D7">
        <w:rPr>
          <w:rFonts w:ascii="Arial" w:hAnsi="Arial" w:cs="Arial"/>
          <w:sz w:val="20"/>
          <w:szCs w:val="20"/>
        </w:rPr>
        <w:t>Gang</w:t>
      </w:r>
      <w:proofErr w:type="spellEnd"/>
      <w:r w:rsidR="00713654" w:rsidRPr="003D33D7">
        <w:rPr>
          <w:rFonts w:ascii="Arial" w:hAnsi="Arial" w:cs="Arial"/>
          <w:sz w:val="20"/>
          <w:szCs w:val="20"/>
        </w:rPr>
        <w:t xml:space="preserve"> Swamp South West respectively. </w:t>
      </w:r>
      <w:r w:rsidR="00341041" w:rsidRPr="003D33D7">
        <w:rPr>
          <w:rFonts w:ascii="Arial" w:hAnsi="Arial" w:cs="Arial"/>
          <w:sz w:val="20"/>
          <w:szCs w:val="20"/>
        </w:rPr>
        <w:t xml:space="preserve">These </w:t>
      </w:r>
      <w:r w:rsidR="00A12BC5" w:rsidRPr="003D33D7">
        <w:rPr>
          <w:rFonts w:ascii="Arial" w:hAnsi="Arial" w:cs="Arial"/>
          <w:sz w:val="20"/>
          <w:szCs w:val="20"/>
        </w:rPr>
        <w:t>predicted levels of subsidence</w:t>
      </w:r>
      <w:r w:rsidR="00645E31" w:rsidRPr="003D33D7">
        <w:rPr>
          <w:rFonts w:ascii="Arial" w:hAnsi="Arial" w:cs="Arial"/>
          <w:sz w:val="20"/>
          <w:szCs w:val="20"/>
        </w:rPr>
        <w:t xml:space="preserve"> and </w:t>
      </w:r>
      <w:proofErr w:type="spellStart"/>
      <w:r w:rsidR="00645E31" w:rsidRPr="003D33D7">
        <w:rPr>
          <w:rFonts w:ascii="Arial" w:hAnsi="Arial" w:cs="Arial"/>
          <w:sz w:val="20"/>
          <w:szCs w:val="20"/>
        </w:rPr>
        <w:t>upsidence</w:t>
      </w:r>
      <w:proofErr w:type="spellEnd"/>
      <w:r w:rsidR="00A12BC5" w:rsidRPr="003D33D7">
        <w:rPr>
          <w:rFonts w:ascii="Arial" w:hAnsi="Arial" w:cs="Arial"/>
          <w:sz w:val="20"/>
          <w:szCs w:val="20"/>
        </w:rPr>
        <w:t xml:space="preserve"> are within the </w:t>
      </w:r>
      <w:r w:rsidR="00341041" w:rsidRPr="003D33D7">
        <w:rPr>
          <w:rFonts w:ascii="Arial" w:hAnsi="Arial" w:cs="Arial"/>
          <w:sz w:val="20"/>
          <w:szCs w:val="20"/>
        </w:rPr>
        <w:t>range</w:t>
      </w:r>
      <w:r w:rsidR="00DF3C8A" w:rsidRPr="003D33D7">
        <w:rPr>
          <w:rFonts w:ascii="Arial" w:hAnsi="Arial" w:cs="Arial"/>
          <w:sz w:val="20"/>
          <w:szCs w:val="20"/>
        </w:rPr>
        <w:t>s</w:t>
      </w:r>
      <w:r w:rsidR="00A12BC5" w:rsidRPr="003D33D7">
        <w:rPr>
          <w:rFonts w:ascii="Arial" w:hAnsi="Arial" w:cs="Arial"/>
          <w:sz w:val="20"/>
          <w:szCs w:val="20"/>
        </w:rPr>
        <w:t xml:space="preserve"> that have previously caused </w:t>
      </w:r>
      <w:r w:rsidR="00341041" w:rsidRPr="003D33D7">
        <w:rPr>
          <w:rFonts w:ascii="Arial" w:hAnsi="Arial" w:cs="Arial"/>
          <w:sz w:val="20"/>
          <w:szCs w:val="20"/>
        </w:rPr>
        <w:t>severe</w:t>
      </w:r>
      <w:r w:rsidR="00A12BC5" w:rsidRPr="003D33D7">
        <w:rPr>
          <w:rFonts w:ascii="Arial" w:hAnsi="Arial" w:cs="Arial"/>
          <w:sz w:val="20"/>
          <w:szCs w:val="20"/>
        </w:rPr>
        <w:t xml:space="preserve"> impacts </w:t>
      </w:r>
      <w:r w:rsidR="00341041" w:rsidRPr="003D33D7">
        <w:rPr>
          <w:rFonts w:ascii="Arial" w:hAnsi="Arial" w:cs="Arial"/>
          <w:sz w:val="20"/>
          <w:szCs w:val="20"/>
        </w:rPr>
        <w:t xml:space="preserve">to </w:t>
      </w:r>
      <w:r w:rsidR="00A12BC5" w:rsidRPr="003D33D7">
        <w:rPr>
          <w:rFonts w:ascii="Arial" w:hAnsi="Arial" w:cs="Arial"/>
          <w:sz w:val="20"/>
          <w:szCs w:val="20"/>
        </w:rPr>
        <w:t>THPSS</w:t>
      </w:r>
      <w:r w:rsidR="00341041" w:rsidRPr="003D33D7">
        <w:rPr>
          <w:rFonts w:ascii="Arial" w:hAnsi="Arial" w:cs="Arial"/>
          <w:sz w:val="20"/>
          <w:szCs w:val="20"/>
          <w:vertAlign w:val="superscript"/>
        </w:rPr>
        <w:t>5</w:t>
      </w:r>
      <w:r w:rsidR="00341041" w:rsidRPr="003D33D7">
        <w:rPr>
          <w:rFonts w:ascii="Arial" w:hAnsi="Arial" w:cs="Arial"/>
          <w:sz w:val="20"/>
          <w:szCs w:val="20"/>
        </w:rPr>
        <w:t>.</w:t>
      </w:r>
      <w:r w:rsidR="00A12BC5" w:rsidRPr="003D33D7">
        <w:rPr>
          <w:rFonts w:ascii="Arial" w:hAnsi="Arial" w:cs="Arial"/>
          <w:sz w:val="20"/>
          <w:szCs w:val="20"/>
        </w:rPr>
        <w:t xml:space="preserve"> </w:t>
      </w:r>
      <w:r w:rsidR="00341041" w:rsidRPr="003D33D7">
        <w:rPr>
          <w:rFonts w:ascii="Arial" w:hAnsi="Arial" w:cs="Arial"/>
          <w:sz w:val="20"/>
          <w:szCs w:val="20"/>
        </w:rPr>
        <w:t>Further, the s</w:t>
      </w:r>
      <w:r w:rsidR="00A12BC5" w:rsidRPr="003D33D7">
        <w:rPr>
          <w:rFonts w:ascii="Arial" w:hAnsi="Arial" w:cs="Arial"/>
          <w:sz w:val="20"/>
          <w:szCs w:val="20"/>
        </w:rPr>
        <w:t xml:space="preserve">ubsidence predictions may be underestimated in proximity to structural lineaments as described in paragraph 8 (Question 1). </w:t>
      </w:r>
    </w:p>
    <w:p w:rsidR="001F6C60" w:rsidRDefault="00B54AAF" w:rsidP="001F6C60">
      <w:pPr>
        <w:pStyle w:val="ListNumber"/>
        <w:spacing w:after="200" w:line="276" w:lineRule="auto"/>
        <w:rPr>
          <w:rFonts w:ascii="Arial" w:hAnsi="Arial" w:cs="Arial"/>
          <w:sz w:val="20"/>
          <w:szCs w:val="20"/>
        </w:rPr>
      </w:pPr>
      <w:r w:rsidRPr="003D33D7">
        <w:rPr>
          <w:rFonts w:ascii="Arial" w:hAnsi="Arial" w:cs="Arial"/>
          <w:sz w:val="20"/>
          <w:szCs w:val="20"/>
        </w:rPr>
        <w:t>S</w:t>
      </w:r>
      <w:r w:rsidR="00F137F9" w:rsidRPr="003D33D7">
        <w:rPr>
          <w:rFonts w:ascii="Arial" w:hAnsi="Arial" w:cs="Arial"/>
          <w:sz w:val="20"/>
          <w:szCs w:val="20"/>
        </w:rPr>
        <w:t xml:space="preserve">tructural lineaments were </w:t>
      </w:r>
      <w:r w:rsidRPr="003D33D7">
        <w:rPr>
          <w:rFonts w:ascii="Arial" w:hAnsi="Arial" w:cs="Arial"/>
          <w:sz w:val="20"/>
          <w:szCs w:val="20"/>
        </w:rPr>
        <w:t xml:space="preserve">a </w:t>
      </w:r>
      <w:r w:rsidR="00F137F9" w:rsidRPr="003D33D7">
        <w:rPr>
          <w:rFonts w:ascii="Arial" w:hAnsi="Arial" w:cs="Arial"/>
          <w:sz w:val="20"/>
          <w:szCs w:val="20"/>
        </w:rPr>
        <w:t>factor</w:t>
      </w:r>
      <w:r w:rsidRPr="003D33D7">
        <w:rPr>
          <w:rFonts w:ascii="Arial" w:hAnsi="Arial" w:cs="Arial"/>
          <w:sz w:val="20"/>
          <w:szCs w:val="20"/>
        </w:rPr>
        <w:t xml:space="preserve"> that resulted</w:t>
      </w:r>
      <w:r w:rsidR="00F137F9" w:rsidRPr="003D33D7">
        <w:rPr>
          <w:rFonts w:ascii="Arial" w:hAnsi="Arial" w:cs="Arial"/>
          <w:sz w:val="20"/>
          <w:szCs w:val="20"/>
        </w:rPr>
        <w:t xml:space="preserve"> in severe impacts to </w:t>
      </w:r>
      <w:r w:rsidR="00F10173" w:rsidRPr="003D33D7">
        <w:rPr>
          <w:rFonts w:ascii="Arial" w:hAnsi="Arial" w:cs="Arial"/>
          <w:sz w:val="20"/>
          <w:szCs w:val="20"/>
        </w:rPr>
        <w:t>East Wolgan Swamp and Narrow Swamp</w:t>
      </w:r>
      <w:r w:rsidR="001F6C60" w:rsidRPr="003D33D7">
        <w:rPr>
          <w:rFonts w:ascii="Arial" w:hAnsi="Arial" w:cs="Arial"/>
          <w:sz w:val="20"/>
          <w:szCs w:val="20"/>
        </w:rPr>
        <w:t xml:space="preserve">, which </w:t>
      </w:r>
      <w:r w:rsidRPr="003D33D7">
        <w:rPr>
          <w:rFonts w:ascii="Arial" w:hAnsi="Arial" w:cs="Arial"/>
          <w:sz w:val="20"/>
          <w:szCs w:val="20"/>
        </w:rPr>
        <w:t>were</w:t>
      </w:r>
      <w:r w:rsidR="00F137F9" w:rsidRPr="003D33D7">
        <w:rPr>
          <w:rFonts w:ascii="Arial" w:hAnsi="Arial" w:cs="Arial"/>
          <w:sz w:val="20"/>
          <w:szCs w:val="20"/>
        </w:rPr>
        <w:t xml:space="preserve"> previously undermined on the </w:t>
      </w:r>
      <w:proofErr w:type="spellStart"/>
      <w:r w:rsidR="00F137F9" w:rsidRPr="003D33D7">
        <w:rPr>
          <w:rFonts w:ascii="Arial" w:hAnsi="Arial" w:cs="Arial"/>
          <w:sz w:val="20"/>
          <w:szCs w:val="20"/>
        </w:rPr>
        <w:t>Newnes</w:t>
      </w:r>
      <w:proofErr w:type="spellEnd"/>
      <w:r w:rsidR="00F137F9" w:rsidRPr="003D33D7">
        <w:rPr>
          <w:rFonts w:ascii="Arial" w:hAnsi="Arial" w:cs="Arial"/>
          <w:sz w:val="20"/>
          <w:szCs w:val="20"/>
        </w:rPr>
        <w:t xml:space="preserve"> Plateau</w:t>
      </w:r>
      <w:r w:rsidR="00F137F9" w:rsidRPr="00AE2940">
        <w:rPr>
          <w:rFonts w:ascii="Arial" w:hAnsi="Arial" w:cs="Arial"/>
          <w:sz w:val="20"/>
          <w:szCs w:val="20"/>
        </w:rPr>
        <w:t>.</w:t>
      </w:r>
      <w:r w:rsidR="00F137F9">
        <w:rPr>
          <w:rFonts w:ascii="Arial" w:hAnsi="Arial" w:cs="Arial"/>
          <w:sz w:val="20"/>
          <w:szCs w:val="20"/>
        </w:rPr>
        <w:t xml:space="preserve"> </w:t>
      </w:r>
      <w:r w:rsidR="001F6C60">
        <w:rPr>
          <w:rFonts w:ascii="Arial" w:hAnsi="Arial" w:cs="Arial"/>
          <w:sz w:val="20"/>
          <w:szCs w:val="20"/>
        </w:rPr>
        <w:t xml:space="preserve">Impacts to East Wolgan Swamp and Narrow Swamp have been identified </w:t>
      </w:r>
      <w:r w:rsidR="001A4DC1">
        <w:rPr>
          <w:rFonts w:ascii="Arial" w:hAnsi="Arial" w:cs="Arial"/>
          <w:sz w:val="20"/>
          <w:szCs w:val="20"/>
        </w:rPr>
        <w:t>in</w:t>
      </w:r>
      <w:r w:rsidR="001F6C60">
        <w:rPr>
          <w:rFonts w:ascii="Arial" w:hAnsi="Arial" w:cs="Arial"/>
          <w:sz w:val="20"/>
          <w:szCs w:val="20"/>
        </w:rPr>
        <w:t xml:space="preserve"> literature</w:t>
      </w:r>
      <w:r w:rsidR="001F6C60" w:rsidRPr="00A21B28">
        <w:rPr>
          <w:rFonts w:ascii="Arial" w:hAnsi="Arial" w:cs="Arial"/>
          <w:sz w:val="20"/>
          <w:szCs w:val="20"/>
          <w:vertAlign w:val="superscript"/>
        </w:rPr>
        <w:t>5</w:t>
      </w:r>
      <w:r w:rsidR="001F6C60">
        <w:rPr>
          <w:rFonts w:ascii="Arial" w:hAnsi="Arial" w:cs="Arial"/>
          <w:sz w:val="20"/>
          <w:szCs w:val="20"/>
        </w:rPr>
        <w:t xml:space="preserve"> and also described within the EIS (Appendix D, p. 77). Impacts included rapid decline of groundwater, peat desiccation and associated slumping, loss of natural surface flows through swamp channel</w:t>
      </w:r>
      <w:r w:rsidR="00606B7A">
        <w:rPr>
          <w:rFonts w:ascii="Arial" w:hAnsi="Arial" w:cs="Arial"/>
          <w:sz w:val="20"/>
          <w:szCs w:val="20"/>
        </w:rPr>
        <w:t>s</w:t>
      </w:r>
      <w:r w:rsidR="001F6C60">
        <w:rPr>
          <w:rFonts w:ascii="Arial" w:hAnsi="Arial" w:cs="Arial"/>
          <w:sz w:val="20"/>
          <w:szCs w:val="20"/>
        </w:rPr>
        <w:t xml:space="preserve"> and almost complete decline of THPSS flora species. Surface flows were found to be flowing into the subsidence induced bedrock fracture network and not resurfacing downstream. </w:t>
      </w:r>
      <w:r w:rsidR="001F6C60" w:rsidRPr="00A24082">
        <w:rPr>
          <w:rFonts w:ascii="Arial" w:hAnsi="Arial" w:cs="Arial"/>
          <w:sz w:val="20"/>
          <w:szCs w:val="20"/>
        </w:rPr>
        <w:t xml:space="preserve">At East Wolgan Swamp, </w:t>
      </w:r>
      <w:r w:rsidR="005B06F0" w:rsidRPr="00A24082">
        <w:rPr>
          <w:rFonts w:ascii="Arial" w:hAnsi="Arial" w:cs="Arial"/>
          <w:sz w:val="20"/>
          <w:szCs w:val="20"/>
        </w:rPr>
        <w:t>i</w:t>
      </w:r>
      <w:r w:rsidR="001F6C60" w:rsidRPr="00A24082">
        <w:rPr>
          <w:rFonts w:ascii="Arial" w:hAnsi="Arial" w:cs="Arial"/>
          <w:sz w:val="20"/>
          <w:szCs w:val="20"/>
        </w:rPr>
        <w:t xml:space="preserve">t was later identified that this water was pooling within bedding separation </w:t>
      </w:r>
      <w:r w:rsidR="001A4DC1" w:rsidRPr="00A24082">
        <w:rPr>
          <w:rFonts w:ascii="Arial" w:hAnsi="Arial" w:cs="Arial"/>
          <w:sz w:val="20"/>
          <w:szCs w:val="20"/>
        </w:rPr>
        <w:t xml:space="preserve">of strata </w:t>
      </w:r>
      <w:r w:rsidR="001F6C60" w:rsidRPr="00A24082">
        <w:rPr>
          <w:rFonts w:ascii="Arial" w:hAnsi="Arial" w:cs="Arial"/>
          <w:sz w:val="20"/>
          <w:szCs w:val="20"/>
        </w:rPr>
        <w:t xml:space="preserve">approximately 60 to 70 m </w:t>
      </w:r>
      <w:r w:rsidR="001A4DC1" w:rsidRPr="00A24082">
        <w:rPr>
          <w:rFonts w:ascii="Arial" w:hAnsi="Arial" w:cs="Arial"/>
          <w:sz w:val="20"/>
          <w:szCs w:val="20"/>
        </w:rPr>
        <w:t>underneath</w:t>
      </w:r>
      <w:r w:rsidR="001F6C60" w:rsidRPr="00A24082">
        <w:rPr>
          <w:rFonts w:ascii="Arial" w:hAnsi="Arial" w:cs="Arial"/>
          <w:sz w:val="20"/>
          <w:szCs w:val="20"/>
        </w:rPr>
        <w:t xml:space="preserve"> the swamp</w:t>
      </w:r>
      <w:r w:rsidR="001F6C60">
        <w:rPr>
          <w:rFonts w:ascii="Arial" w:hAnsi="Arial" w:cs="Arial"/>
          <w:sz w:val="20"/>
          <w:szCs w:val="20"/>
        </w:rPr>
        <w:t>.</w:t>
      </w:r>
    </w:p>
    <w:p w:rsidR="00CB7EE9" w:rsidRDefault="00CB7EE9" w:rsidP="001F6C60">
      <w:pPr>
        <w:pStyle w:val="ListNumber"/>
        <w:numPr>
          <w:ilvl w:val="0"/>
          <w:numId w:val="0"/>
        </w:numPr>
        <w:spacing w:after="200" w:line="276" w:lineRule="auto"/>
        <w:rPr>
          <w:rFonts w:ascii="Arial" w:hAnsi="Arial" w:cs="Arial"/>
          <w:i/>
          <w:sz w:val="20"/>
          <w:szCs w:val="20"/>
        </w:rPr>
      </w:pPr>
    </w:p>
    <w:p w:rsidR="001F6C60" w:rsidRPr="00FD4FE6" w:rsidRDefault="001F6C60" w:rsidP="001F6C60">
      <w:pPr>
        <w:pStyle w:val="ListNumber"/>
        <w:numPr>
          <w:ilvl w:val="0"/>
          <w:numId w:val="0"/>
        </w:numPr>
        <w:spacing w:after="200" w:line="276" w:lineRule="auto"/>
        <w:rPr>
          <w:rFonts w:ascii="Arial" w:hAnsi="Arial" w:cs="Arial"/>
          <w:i/>
          <w:sz w:val="20"/>
          <w:szCs w:val="20"/>
        </w:rPr>
      </w:pPr>
      <w:r w:rsidRPr="00FD4FE6">
        <w:rPr>
          <w:rFonts w:ascii="Arial" w:hAnsi="Arial" w:cs="Arial"/>
          <w:i/>
          <w:sz w:val="20"/>
          <w:szCs w:val="20"/>
        </w:rPr>
        <w:lastRenderedPageBreak/>
        <w:t>Predicted groundwater impacts</w:t>
      </w:r>
    </w:p>
    <w:p w:rsidR="001F6C60" w:rsidRDefault="001F6C60" w:rsidP="001F6C60">
      <w:pPr>
        <w:pStyle w:val="ListNumber"/>
        <w:spacing w:after="200" w:line="276" w:lineRule="auto"/>
        <w:rPr>
          <w:rFonts w:ascii="Arial" w:hAnsi="Arial" w:cs="Arial"/>
          <w:sz w:val="20"/>
          <w:szCs w:val="20"/>
        </w:rPr>
      </w:pPr>
      <w:r w:rsidRPr="00BB493B">
        <w:rPr>
          <w:rFonts w:ascii="Arial" w:hAnsi="Arial" w:cs="Arial"/>
          <w:sz w:val="20"/>
          <w:szCs w:val="20"/>
        </w:rPr>
        <w:t xml:space="preserve">Maximum predicted cumulative drawdown in shallow </w:t>
      </w:r>
      <w:proofErr w:type="spellStart"/>
      <w:r w:rsidRPr="00BB493B">
        <w:rPr>
          <w:rFonts w:ascii="Arial" w:hAnsi="Arial" w:cs="Arial"/>
          <w:sz w:val="20"/>
          <w:szCs w:val="20"/>
        </w:rPr>
        <w:t>hydrogeological</w:t>
      </w:r>
      <w:proofErr w:type="spellEnd"/>
      <w:r w:rsidRPr="00BB493B">
        <w:rPr>
          <w:rFonts w:ascii="Arial" w:hAnsi="Arial" w:cs="Arial"/>
          <w:sz w:val="20"/>
          <w:szCs w:val="20"/>
        </w:rPr>
        <w:t xml:space="preserve"> units (strata which provides </w:t>
      </w:r>
      <w:proofErr w:type="spellStart"/>
      <w:r w:rsidRPr="00BB493B">
        <w:rPr>
          <w:rFonts w:ascii="Arial" w:hAnsi="Arial" w:cs="Arial"/>
          <w:sz w:val="20"/>
          <w:szCs w:val="20"/>
        </w:rPr>
        <w:t>baseflow</w:t>
      </w:r>
      <w:proofErr w:type="spellEnd"/>
      <w:r w:rsidRPr="00BB493B">
        <w:rPr>
          <w:rFonts w:ascii="Arial" w:hAnsi="Arial" w:cs="Arial"/>
          <w:sz w:val="20"/>
          <w:szCs w:val="20"/>
        </w:rPr>
        <w:t xml:space="preserve"> to THPSS) is 10 m after </w:t>
      </w:r>
      <w:r>
        <w:rPr>
          <w:rFonts w:ascii="Arial" w:hAnsi="Arial" w:cs="Arial"/>
          <w:sz w:val="20"/>
          <w:szCs w:val="20"/>
        </w:rPr>
        <w:t>seven</w:t>
      </w:r>
      <w:r w:rsidRPr="00BB493B">
        <w:rPr>
          <w:rFonts w:ascii="Arial" w:hAnsi="Arial" w:cs="Arial"/>
          <w:sz w:val="20"/>
          <w:szCs w:val="20"/>
        </w:rPr>
        <w:t xml:space="preserve"> years and 10</w:t>
      </w:r>
      <w:r>
        <w:rPr>
          <w:rFonts w:ascii="Arial" w:hAnsi="Arial" w:cs="Arial"/>
          <w:sz w:val="20"/>
          <w:szCs w:val="20"/>
        </w:rPr>
        <w:t xml:space="preserve"> to </w:t>
      </w:r>
      <w:r w:rsidRPr="00BB493B">
        <w:rPr>
          <w:rFonts w:ascii="Arial" w:hAnsi="Arial" w:cs="Arial"/>
          <w:sz w:val="20"/>
          <w:szCs w:val="20"/>
        </w:rPr>
        <w:t xml:space="preserve">15 m </w:t>
      </w:r>
      <w:r w:rsidR="00D166B0">
        <w:rPr>
          <w:rFonts w:ascii="Arial" w:hAnsi="Arial" w:cs="Arial"/>
          <w:sz w:val="20"/>
          <w:szCs w:val="20"/>
        </w:rPr>
        <w:t>beyond</w:t>
      </w:r>
      <w:r w:rsidRPr="00BB493B">
        <w:rPr>
          <w:rFonts w:ascii="Arial" w:hAnsi="Arial" w:cs="Arial"/>
          <w:sz w:val="20"/>
          <w:szCs w:val="20"/>
        </w:rPr>
        <w:t xml:space="preserve"> </w:t>
      </w:r>
      <w:r w:rsidR="00D166B0">
        <w:rPr>
          <w:rFonts w:ascii="Arial" w:hAnsi="Arial" w:cs="Arial"/>
          <w:sz w:val="20"/>
          <w:szCs w:val="20"/>
        </w:rPr>
        <w:t>10</w:t>
      </w:r>
      <w:r w:rsidRPr="00BB493B">
        <w:rPr>
          <w:rFonts w:ascii="Arial" w:hAnsi="Arial" w:cs="Arial"/>
          <w:sz w:val="20"/>
          <w:szCs w:val="20"/>
        </w:rPr>
        <w:t xml:space="preserve">0 years. Water table drawdown is mainly predicted to occur below the topographic ridges, with minimal predicted change in topographic valleys. There is no predicted recovery in these strata post mining, indicating that water levels are predicted to be reduced permanently in the upper aquifer. </w:t>
      </w:r>
      <w:r>
        <w:rPr>
          <w:rFonts w:ascii="Arial" w:hAnsi="Arial" w:cs="Arial"/>
          <w:sz w:val="20"/>
          <w:szCs w:val="20"/>
        </w:rPr>
        <w:t xml:space="preserve">The modelled effect of </w:t>
      </w:r>
      <w:r w:rsidRPr="00BB493B">
        <w:rPr>
          <w:rFonts w:ascii="Arial" w:hAnsi="Arial" w:cs="Arial"/>
          <w:sz w:val="20"/>
          <w:szCs w:val="20"/>
        </w:rPr>
        <w:t xml:space="preserve">drawdown on THPSS is </w:t>
      </w:r>
      <w:r>
        <w:rPr>
          <w:rFonts w:ascii="Arial" w:hAnsi="Arial" w:cs="Arial"/>
          <w:sz w:val="20"/>
          <w:szCs w:val="20"/>
        </w:rPr>
        <w:t>predicted to range</w:t>
      </w:r>
      <w:r w:rsidRPr="00BB493B">
        <w:rPr>
          <w:rFonts w:ascii="Arial" w:hAnsi="Arial" w:cs="Arial"/>
          <w:sz w:val="20"/>
          <w:szCs w:val="20"/>
        </w:rPr>
        <w:t xml:space="preserve"> from </w:t>
      </w:r>
      <w:r>
        <w:rPr>
          <w:rFonts w:ascii="Arial" w:hAnsi="Arial" w:cs="Arial"/>
          <w:sz w:val="20"/>
          <w:szCs w:val="20"/>
        </w:rPr>
        <w:t xml:space="preserve">an increase in groundwater head to a 0.36 m reduction in swamps across the model domain. Due to the groundwater model’s mesh size, these predictions are unable to replicate the water storage capacity or flow dynamics within subsidence induced fractures overlying </w:t>
      </w:r>
      <w:proofErr w:type="spellStart"/>
      <w:r>
        <w:rPr>
          <w:rFonts w:ascii="Arial" w:hAnsi="Arial" w:cs="Arial"/>
          <w:sz w:val="20"/>
          <w:szCs w:val="20"/>
        </w:rPr>
        <w:t>longwall</w:t>
      </w:r>
      <w:proofErr w:type="spellEnd"/>
      <w:r>
        <w:rPr>
          <w:rFonts w:ascii="Arial" w:hAnsi="Arial" w:cs="Arial"/>
          <w:sz w:val="20"/>
          <w:szCs w:val="20"/>
        </w:rPr>
        <w:t xml:space="preserve"> panels. Therefore predictions of </w:t>
      </w:r>
      <w:proofErr w:type="spellStart"/>
      <w:r>
        <w:rPr>
          <w:rFonts w:ascii="Arial" w:hAnsi="Arial" w:cs="Arial"/>
          <w:sz w:val="20"/>
          <w:szCs w:val="20"/>
        </w:rPr>
        <w:t>baseflow</w:t>
      </w:r>
      <w:proofErr w:type="spellEnd"/>
      <w:r>
        <w:rPr>
          <w:rFonts w:ascii="Arial" w:hAnsi="Arial" w:cs="Arial"/>
          <w:sz w:val="20"/>
          <w:szCs w:val="20"/>
        </w:rPr>
        <w:t xml:space="preserve"> loss to THPSS may be underestimated within the groundwater model.</w:t>
      </w:r>
    </w:p>
    <w:p w:rsidR="001F6C60" w:rsidRDefault="001F6C60" w:rsidP="001F6C60">
      <w:pPr>
        <w:pStyle w:val="ListNumber"/>
        <w:spacing w:after="200" w:line="276" w:lineRule="auto"/>
        <w:rPr>
          <w:rFonts w:ascii="Arial" w:hAnsi="Arial" w:cs="Arial"/>
          <w:sz w:val="20"/>
          <w:szCs w:val="20"/>
        </w:rPr>
      </w:pPr>
      <w:r>
        <w:rPr>
          <w:rFonts w:ascii="Arial" w:hAnsi="Arial" w:cs="Arial"/>
          <w:sz w:val="20"/>
          <w:szCs w:val="20"/>
        </w:rPr>
        <w:t xml:space="preserve">The reliability of predicted changes to </w:t>
      </w:r>
      <w:proofErr w:type="spellStart"/>
      <w:r>
        <w:rPr>
          <w:rFonts w:ascii="Arial" w:hAnsi="Arial" w:cs="Arial"/>
          <w:sz w:val="20"/>
          <w:szCs w:val="20"/>
        </w:rPr>
        <w:t>baseflows</w:t>
      </w:r>
      <w:proofErr w:type="spellEnd"/>
      <w:r>
        <w:rPr>
          <w:rFonts w:ascii="Arial" w:hAnsi="Arial" w:cs="Arial"/>
          <w:sz w:val="20"/>
          <w:szCs w:val="20"/>
        </w:rPr>
        <w:t xml:space="preserve"> within THPSS is limited by a lack of site specific hydraulic conductivity data and measured </w:t>
      </w:r>
      <w:proofErr w:type="spellStart"/>
      <w:r>
        <w:rPr>
          <w:rFonts w:ascii="Arial" w:hAnsi="Arial" w:cs="Arial"/>
          <w:sz w:val="20"/>
          <w:szCs w:val="20"/>
        </w:rPr>
        <w:t>baseflows</w:t>
      </w:r>
      <w:proofErr w:type="spellEnd"/>
      <w:r>
        <w:rPr>
          <w:rFonts w:ascii="Arial" w:hAnsi="Arial" w:cs="Arial"/>
          <w:sz w:val="20"/>
          <w:szCs w:val="20"/>
        </w:rPr>
        <w:t xml:space="preserve"> within swamps. Specifically, the model is only calibrated against </w:t>
      </w:r>
      <w:proofErr w:type="spellStart"/>
      <w:r>
        <w:rPr>
          <w:rFonts w:ascii="Arial" w:hAnsi="Arial" w:cs="Arial"/>
          <w:sz w:val="20"/>
          <w:szCs w:val="20"/>
        </w:rPr>
        <w:t>baseflows</w:t>
      </w:r>
      <w:proofErr w:type="spellEnd"/>
      <w:r>
        <w:rPr>
          <w:rFonts w:ascii="Arial" w:hAnsi="Arial" w:cs="Arial"/>
          <w:sz w:val="20"/>
          <w:szCs w:val="20"/>
        </w:rPr>
        <w:t xml:space="preserve"> estimated for a single THPSS (Sunnyside Swamp). This approach means the groundwater model may conform well to Sunnyside Swamp measurements, </w:t>
      </w:r>
      <w:r w:rsidR="00606B7A">
        <w:rPr>
          <w:rFonts w:ascii="Arial" w:hAnsi="Arial" w:cs="Arial"/>
          <w:sz w:val="20"/>
          <w:szCs w:val="20"/>
        </w:rPr>
        <w:t xml:space="preserve">but </w:t>
      </w:r>
      <w:r>
        <w:rPr>
          <w:rFonts w:ascii="Arial" w:hAnsi="Arial" w:cs="Arial"/>
          <w:sz w:val="20"/>
          <w:szCs w:val="20"/>
        </w:rPr>
        <w:t xml:space="preserve">is unlikely to accurately represent the unique hydrological and </w:t>
      </w:r>
      <w:proofErr w:type="spellStart"/>
      <w:r>
        <w:rPr>
          <w:rFonts w:ascii="Arial" w:hAnsi="Arial" w:cs="Arial"/>
          <w:sz w:val="20"/>
          <w:szCs w:val="20"/>
        </w:rPr>
        <w:t>hydrogeological</w:t>
      </w:r>
      <w:proofErr w:type="spellEnd"/>
      <w:r>
        <w:rPr>
          <w:rFonts w:ascii="Arial" w:hAnsi="Arial" w:cs="Arial"/>
          <w:sz w:val="20"/>
          <w:szCs w:val="20"/>
        </w:rPr>
        <w:t xml:space="preserve"> regimes of each swamp with</w:t>
      </w:r>
      <w:r w:rsidR="001A4DC1">
        <w:rPr>
          <w:rFonts w:ascii="Arial" w:hAnsi="Arial" w:cs="Arial"/>
          <w:sz w:val="20"/>
          <w:szCs w:val="20"/>
        </w:rPr>
        <w:t>in</w:t>
      </w:r>
      <w:r>
        <w:rPr>
          <w:rFonts w:ascii="Arial" w:hAnsi="Arial" w:cs="Arial"/>
          <w:sz w:val="20"/>
          <w:szCs w:val="20"/>
        </w:rPr>
        <w:t xml:space="preserve"> the model domain. The groundwater model’s ability to predict the spatial and temporal severity of impacts to </w:t>
      </w:r>
      <w:r w:rsidR="00AF5E13">
        <w:rPr>
          <w:rFonts w:ascii="Arial" w:hAnsi="Arial" w:cs="Arial"/>
          <w:sz w:val="20"/>
          <w:szCs w:val="20"/>
        </w:rPr>
        <w:t xml:space="preserve">individual </w:t>
      </w:r>
      <w:r>
        <w:rPr>
          <w:rFonts w:ascii="Arial" w:hAnsi="Arial" w:cs="Arial"/>
          <w:sz w:val="20"/>
          <w:szCs w:val="20"/>
        </w:rPr>
        <w:t xml:space="preserve">THPSS is further limited by the model’s mesh size as described in paragraph </w:t>
      </w:r>
      <w:r w:rsidR="005C3B5C">
        <w:rPr>
          <w:rFonts w:ascii="Arial" w:hAnsi="Arial" w:cs="Arial"/>
          <w:sz w:val="20"/>
          <w:szCs w:val="20"/>
        </w:rPr>
        <w:t>3</w:t>
      </w:r>
      <w:r>
        <w:rPr>
          <w:rFonts w:ascii="Arial" w:hAnsi="Arial" w:cs="Arial"/>
          <w:sz w:val="20"/>
          <w:szCs w:val="20"/>
        </w:rPr>
        <w:t xml:space="preserve"> to </w:t>
      </w:r>
      <w:r w:rsidR="005C3B5C">
        <w:rPr>
          <w:rFonts w:ascii="Arial" w:hAnsi="Arial" w:cs="Arial"/>
          <w:sz w:val="20"/>
          <w:szCs w:val="20"/>
        </w:rPr>
        <w:t>5</w:t>
      </w:r>
      <w:r>
        <w:rPr>
          <w:rFonts w:ascii="Arial" w:hAnsi="Arial" w:cs="Arial"/>
          <w:sz w:val="20"/>
          <w:szCs w:val="20"/>
        </w:rPr>
        <w:t xml:space="preserve"> (Question 1).</w:t>
      </w:r>
    </w:p>
    <w:p w:rsidR="00F137F9" w:rsidRPr="00FD4FE6" w:rsidRDefault="001F6C60" w:rsidP="00A7000D">
      <w:pPr>
        <w:pStyle w:val="ListNumber"/>
        <w:numPr>
          <w:ilvl w:val="0"/>
          <w:numId w:val="0"/>
        </w:numPr>
        <w:spacing w:after="200" w:line="276" w:lineRule="auto"/>
        <w:rPr>
          <w:rFonts w:ascii="Arial" w:hAnsi="Arial" w:cs="Arial"/>
          <w:i/>
          <w:sz w:val="20"/>
          <w:szCs w:val="20"/>
        </w:rPr>
      </w:pPr>
      <w:r w:rsidRPr="00FD4FE6">
        <w:rPr>
          <w:rFonts w:ascii="Arial" w:hAnsi="Arial" w:cs="Arial"/>
          <w:i/>
          <w:sz w:val="20"/>
          <w:szCs w:val="20"/>
        </w:rPr>
        <w:t>Threatened species</w:t>
      </w:r>
    </w:p>
    <w:p w:rsidR="00F137F9" w:rsidRDefault="00F137F9" w:rsidP="00F137F9">
      <w:pPr>
        <w:pStyle w:val="ListNumber"/>
        <w:spacing w:after="200" w:line="276" w:lineRule="auto"/>
        <w:rPr>
          <w:rFonts w:ascii="Arial" w:hAnsi="Arial" w:cs="Arial"/>
          <w:sz w:val="20"/>
          <w:szCs w:val="20"/>
        </w:rPr>
      </w:pPr>
      <w:r>
        <w:rPr>
          <w:rFonts w:ascii="Arial" w:hAnsi="Arial" w:cs="Arial"/>
          <w:sz w:val="20"/>
          <w:szCs w:val="20"/>
        </w:rPr>
        <w:t>The THPSS ecological community contains habitat for the EPBC Act listed endangered Blue Mountains water skink (</w:t>
      </w:r>
      <w:proofErr w:type="spellStart"/>
      <w:r w:rsidRPr="000663CF">
        <w:rPr>
          <w:rFonts w:ascii="Arial" w:hAnsi="Arial" w:cs="Arial"/>
          <w:i/>
          <w:sz w:val="20"/>
          <w:szCs w:val="20"/>
        </w:rPr>
        <w:t>Eulamprus</w:t>
      </w:r>
      <w:proofErr w:type="spellEnd"/>
      <w:r w:rsidRPr="000663CF">
        <w:rPr>
          <w:rFonts w:ascii="Arial" w:hAnsi="Arial" w:cs="Arial"/>
          <w:i/>
          <w:sz w:val="20"/>
          <w:szCs w:val="20"/>
        </w:rPr>
        <w:t xml:space="preserve"> </w:t>
      </w:r>
      <w:proofErr w:type="spellStart"/>
      <w:r w:rsidRPr="000663CF">
        <w:rPr>
          <w:rFonts w:ascii="Arial" w:hAnsi="Arial" w:cs="Arial"/>
          <w:i/>
          <w:sz w:val="20"/>
          <w:szCs w:val="20"/>
        </w:rPr>
        <w:t>leuraensis</w:t>
      </w:r>
      <w:proofErr w:type="spellEnd"/>
      <w:r>
        <w:rPr>
          <w:rFonts w:ascii="Arial" w:hAnsi="Arial" w:cs="Arial"/>
          <w:sz w:val="20"/>
          <w:szCs w:val="20"/>
        </w:rPr>
        <w:t xml:space="preserve">), and the vulnerable Deane’s </w:t>
      </w:r>
      <w:proofErr w:type="spellStart"/>
      <w:r>
        <w:rPr>
          <w:rFonts w:ascii="Arial" w:hAnsi="Arial" w:cs="Arial"/>
          <w:sz w:val="20"/>
          <w:szCs w:val="20"/>
        </w:rPr>
        <w:t>boronia</w:t>
      </w:r>
      <w:proofErr w:type="spellEnd"/>
      <w:r>
        <w:rPr>
          <w:rFonts w:ascii="Arial" w:hAnsi="Arial" w:cs="Arial"/>
          <w:sz w:val="20"/>
          <w:szCs w:val="20"/>
        </w:rPr>
        <w:t xml:space="preserve"> (</w:t>
      </w:r>
      <w:r w:rsidRPr="000663CF">
        <w:rPr>
          <w:rFonts w:ascii="Arial" w:hAnsi="Arial" w:cs="Arial"/>
          <w:i/>
          <w:sz w:val="20"/>
          <w:szCs w:val="20"/>
        </w:rPr>
        <w:t xml:space="preserve">Boronia </w:t>
      </w:r>
      <w:proofErr w:type="spellStart"/>
      <w:r w:rsidRPr="000663CF">
        <w:rPr>
          <w:rFonts w:ascii="Arial" w:hAnsi="Arial" w:cs="Arial"/>
          <w:i/>
          <w:sz w:val="20"/>
          <w:szCs w:val="20"/>
        </w:rPr>
        <w:t>deanei</w:t>
      </w:r>
      <w:proofErr w:type="spellEnd"/>
      <w:r>
        <w:rPr>
          <w:rFonts w:ascii="Arial" w:hAnsi="Arial" w:cs="Arial"/>
          <w:sz w:val="20"/>
          <w:szCs w:val="20"/>
        </w:rPr>
        <w:t xml:space="preserve">). </w:t>
      </w:r>
      <w:r w:rsidRPr="003D33D7">
        <w:rPr>
          <w:rFonts w:ascii="Arial" w:hAnsi="Arial" w:cs="Arial"/>
          <w:sz w:val="20"/>
          <w:szCs w:val="20"/>
        </w:rPr>
        <w:t xml:space="preserve">These species have both been identified within </w:t>
      </w:r>
      <w:r w:rsidR="00AE2940" w:rsidRPr="003D33D7">
        <w:rPr>
          <w:rFonts w:ascii="Arial" w:hAnsi="Arial" w:cs="Arial"/>
          <w:sz w:val="20"/>
          <w:szCs w:val="20"/>
        </w:rPr>
        <w:t>SMEP area</w:t>
      </w:r>
      <w:r w:rsidR="004667E9" w:rsidRPr="003D33D7">
        <w:rPr>
          <w:rFonts w:ascii="Arial" w:hAnsi="Arial" w:cs="Arial"/>
          <w:sz w:val="20"/>
          <w:szCs w:val="20"/>
        </w:rPr>
        <w:t>,</w:t>
      </w:r>
      <w:r w:rsidRPr="003D33D7">
        <w:rPr>
          <w:rFonts w:ascii="Arial" w:hAnsi="Arial" w:cs="Arial"/>
          <w:sz w:val="20"/>
          <w:szCs w:val="20"/>
        </w:rPr>
        <w:t xml:space="preserve"> are restricted to THPSS habitat</w:t>
      </w:r>
      <w:r w:rsidR="00AE2940" w:rsidRPr="003D33D7">
        <w:rPr>
          <w:rFonts w:ascii="Arial" w:hAnsi="Arial" w:cs="Arial"/>
          <w:sz w:val="20"/>
          <w:szCs w:val="20"/>
        </w:rPr>
        <w:t xml:space="preserve"> and have limited dispersal capacity</w:t>
      </w:r>
      <w:r>
        <w:rPr>
          <w:rFonts w:ascii="Arial" w:hAnsi="Arial" w:cs="Arial"/>
          <w:sz w:val="20"/>
          <w:szCs w:val="20"/>
        </w:rPr>
        <w:t>. Where these threatened species occur, the loss or severe decline of THPSS within the project area would also</w:t>
      </w:r>
      <w:r w:rsidR="00157C80">
        <w:rPr>
          <w:rFonts w:ascii="Arial" w:hAnsi="Arial" w:cs="Arial"/>
          <w:sz w:val="20"/>
          <w:szCs w:val="20"/>
        </w:rPr>
        <w:t xml:space="preserve"> be expected to</w:t>
      </w:r>
      <w:r>
        <w:rPr>
          <w:rFonts w:ascii="Arial" w:hAnsi="Arial" w:cs="Arial"/>
          <w:sz w:val="20"/>
          <w:szCs w:val="20"/>
        </w:rPr>
        <w:t xml:space="preserve"> cause severe impacts to these species</w:t>
      </w:r>
      <w:r w:rsidRPr="0096214E">
        <w:rPr>
          <w:rFonts w:ascii="Arial" w:hAnsi="Arial" w:cs="Arial"/>
          <w:sz w:val="20"/>
          <w:szCs w:val="20"/>
          <w:vertAlign w:val="superscript"/>
        </w:rPr>
        <w:t>5</w:t>
      </w:r>
      <w:r>
        <w:rPr>
          <w:rFonts w:ascii="Arial" w:hAnsi="Arial" w:cs="Arial"/>
          <w:sz w:val="20"/>
          <w:szCs w:val="20"/>
        </w:rPr>
        <w:t>.</w:t>
      </w:r>
    </w:p>
    <w:p w:rsidR="001F6C60" w:rsidRPr="00CF5929"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3</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rPr>
        <w:t>What strategies does the IESC consider are available to avoid or reduce the likelihood, extent and significance of these impacts?</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305C4D" w:rsidRPr="00CA6D0F" w:rsidRDefault="00A1514B" w:rsidP="00305C4D">
      <w:pPr>
        <w:pStyle w:val="ListNumber"/>
        <w:spacing w:after="200" w:line="276" w:lineRule="auto"/>
        <w:rPr>
          <w:rFonts w:ascii="Arial" w:hAnsi="Arial" w:cs="Arial"/>
          <w:sz w:val="20"/>
          <w:szCs w:val="20"/>
        </w:rPr>
      </w:pPr>
      <w:r w:rsidRPr="00CA6D0F">
        <w:rPr>
          <w:rFonts w:ascii="Arial" w:hAnsi="Arial" w:cs="Arial"/>
          <w:sz w:val="20"/>
          <w:szCs w:val="20"/>
        </w:rPr>
        <w:t>A</w:t>
      </w:r>
      <w:r w:rsidR="00305C4D" w:rsidRPr="00CA6D0F">
        <w:rPr>
          <w:rFonts w:ascii="Arial" w:hAnsi="Arial" w:cs="Arial"/>
          <w:sz w:val="20"/>
          <w:szCs w:val="20"/>
        </w:rPr>
        <w:t xml:space="preserve">voidance of undermining </w:t>
      </w:r>
      <w:r w:rsidR="004F07DC">
        <w:rPr>
          <w:rFonts w:ascii="Arial" w:hAnsi="Arial" w:cs="Arial"/>
          <w:sz w:val="20"/>
          <w:szCs w:val="20"/>
        </w:rPr>
        <w:t xml:space="preserve">and </w:t>
      </w:r>
      <w:r w:rsidR="003A462A">
        <w:rPr>
          <w:rFonts w:ascii="Arial" w:hAnsi="Arial" w:cs="Arial"/>
          <w:sz w:val="20"/>
          <w:szCs w:val="20"/>
        </w:rPr>
        <w:t xml:space="preserve">locating </w:t>
      </w:r>
      <w:proofErr w:type="spellStart"/>
      <w:r w:rsidR="003A462A">
        <w:rPr>
          <w:rFonts w:ascii="Arial" w:hAnsi="Arial" w:cs="Arial"/>
          <w:sz w:val="20"/>
          <w:szCs w:val="20"/>
        </w:rPr>
        <w:t>longwalls</w:t>
      </w:r>
      <w:proofErr w:type="spellEnd"/>
      <w:r w:rsidR="003A462A">
        <w:rPr>
          <w:rFonts w:ascii="Arial" w:hAnsi="Arial" w:cs="Arial"/>
          <w:sz w:val="20"/>
          <w:szCs w:val="20"/>
        </w:rPr>
        <w:t xml:space="preserve"> such that </w:t>
      </w:r>
      <w:r w:rsidR="004F07DC">
        <w:rPr>
          <w:rFonts w:ascii="Arial" w:hAnsi="Arial" w:cs="Arial"/>
          <w:sz w:val="20"/>
          <w:szCs w:val="20"/>
        </w:rPr>
        <w:t xml:space="preserve">compressive and tensile strains are below 0.5 mm/m and 2 mm/m respectively at </w:t>
      </w:r>
      <w:r w:rsidR="00305C4D" w:rsidRPr="00CA6D0F">
        <w:rPr>
          <w:rFonts w:ascii="Arial" w:hAnsi="Arial" w:cs="Arial"/>
          <w:sz w:val="20"/>
          <w:szCs w:val="20"/>
        </w:rPr>
        <w:t>THPSS</w:t>
      </w:r>
      <w:r w:rsidR="0042353D" w:rsidRPr="0070361D">
        <w:rPr>
          <w:rFonts w:ascii="Arial" w:hAnsi="Arial" w:cs="Arial"/>
          <w:sz w:val="20"/>
          <w:szCs w:val="20"/>
        </w:rPr>
        <w:t xml:space="preserve"> sites</w:t>
      </w:r>
      <w:r w:rsidR="00852231">
        <w:rPr>
          <w:rFonts w:ascii="Arial" w:hAnsi="Arial" w:cs="Arial"/>
          <w:sz w:val="20"/>
          <w:szCs w:val="20"/>
        </w:rPr>
        <w:t xml:space="preserve"> </w:t>
      </w:r>
      <w:r w:rsidR="00D36DF2">
        <w:rPr>
          <w:rFonts w:ascii="Arial" w:hAnsi="Arial" w:cs="Arial"/>
          <w:sz w:val="20"/>
          <w:szCs w:val="20"/>
        </w:rPr>
        <w:t>are</w:t>
      </w:r>
      <w:r w:rsidR="00D36DF2" w:rsidRPr="00CA6D0F">
        <w:rPr>
          <w:rFonts w:ascii="Arial" w:hAnsi="Arial" w:cs="Arial"/>
          <w:sz w:val="20"/>
          <w:szCs w:val="20"/>
        </w:rPr>
        <w:t xml:space="preserve"> </w:t>
      </w:r>
      <w:r w:rsidR="00305C4D" w:rsidRPr="00CA6D0F">
        <w:rPr>
          <w:rFonts w:ascii="Arial" w:hAnsi="Arial" w:cs="Arial"/>
          <w:sz w:val="20"/>
          <w:szCs w:val="20"/>
        </w:rPr>
        <w:t>considered the most effective way</w:t>
      </w:r>
      <w:r w:rsidR="00D36DF2">
        <w:rPr>
          <w:rFonts w:ascii="Arial" w:hAnsi="Arial" w:cs="Arial"/>
          <w:sz w:val="20"/>
          <w:szCs w:val="20"/>
        </w:rPr>
        <w:t>s</w:t>
      </w:r>
      <w:r w:rsidR="00305C4D" w:rsidRPr="00CA6D0F">
        <w:rPr>
          <w:rFonts w:ascii="Arial" w:hAnsi="Arial" w:cs="Arial"/>
          <w:sz w:val="20"/>
          <w:szCs w:val="20"/>
        </w:rPr>
        <w:t xml:space="preserve"> to manage the potential impacts to THPSS</w:t>
      </w:r>
      <w:r w:rsidR="00305C4D" w:rsidRPr="00CA6D0F">
        <w:rPr>
          <w:rFonts w:ascii="Arial" w:hAnsi="Arial" w:cs="Arial"/>
          <w:sz w:val="20"/>
          <w:szCs w:val="20"/>
          <w:vertAlign w:val="superscript"/>
        </w:rPr>
        <w:t>5</w:t>
      </w:r>
      <w:r w:rsidR="00305C4D" w:rsidRPr="00CA6D0F">
        <w:rPr>
          <w:rFonts w:ascii="Arial" w:hAnsi="Arial" w:cs="Arial"/>
          <w:sz w:val="20"/>
          <w:szCs w:val="20"/>
        </w:rPr>
        <w:t xml:space="preserve">. </w:t>
      </w:r>
      <w:r w:rsidR="00852231">
        <w:rPr>
          <w:rFonts w:ascii="Arial" w:hAnsi="Arial" w:cs="Arial"/>
          <w:sz w:val="20"/>
          <w:szCs w:val="20"/>
        </w:rPr>
        <w:t>This strategy should also be applied to any upstream tributaries that provide a significant proportion of surface flow to THPSS.</w:t>
      </w:r>
    </w:p>
    <w:p w:rsidR="00305C4D" w:rsidRDefault="00305C4D" w:rsidP="00305C4D">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305C4D" w:rsidRPr="0073343A" w:rsidRDefault="00305C4D" w:rsidP="00305C4D">
      <w:pPr>
        <w:pStyle w:val="ListNumber"/>
        <w:numPr>
          <w:ilvl w:val="0"/>
          <w:numId w:val="0"/>
        </w:numPr>
        <w:spacing w:after="200" w:line="276" w:lineRule="auto"/>
        <w:rPr>
          <w:rFonts w:ascii="Arial" w:hAnsi="Arial" w:cs="Arial"/>
          <w:i/>
          <w:sz w:val="20"/>
          <w:szCs w:val="20"/>
        </w:rPr>
      </w:pPr>
      <w:r w:rsidRPr="0073343A">
        <w:rPr>
          <w:rFonts w:ascii="Arial" w:hAnsi="Arial" w:cs="Arial"/>
          <w:i/>
          <w:sz w:val="20"/>
          <w:szCs w:val="20"/>
        </w:rPr>
        <w:t>Mine design</w:t>
      </w:r>
    </w:p>
    <w:p w:rsidR="00305C4D" w:rsidRPr="00CB7EE9" w:rsidRDefault="00305C4D" w:rsidP="00CB7EE9">
      <w:pPr>
        <w:pStyle w:val="ListNumber"/>
        <w:spacing w:after="200" w:line="276" w:lineRule="auto"/>
        <w:rPr>
          <w:rFonts w:ascii="Arial" w:hAnsi="Arial" w:cs="Arial"/>
          <w:sz w:val="20"/>
          <w:szCs w:val="20"/>
        </w:rPr>
      </w:pPr>
      <w:r w:rsidRPr="00AF47A5">
        <w:rPr>
          <w:rFonts w:ascii="Arial" w:hAnsi="Arial" w:cs="Arial"/>
          <w:sz w:val="20"/>
          <w:szCs w:val="20"/>
        </w:rPr>
        <w:t xml:space="preserve">The proponent has designed the </w:t>
      </w:r>
      <w:proofErr w:type="spellStart"/>
      <w:r w:rsidRPr="00AF47A5">
        <w:rPr>
          <w:rFonts w:ascii="Arial" w:hAnsi="Arial" w:cs="Arial"/>
          <w:sz w:val="20"/>
          <w:szCs w:val="20"/>
        </w:rPr>
        <w:t>longwall</w:t>
      </w:r>
      <w:proofErr w:type="spellEnd"/>
      <w:r w:rsidRPr="00AF47A5">
        <w:rPr>
          <w:rFonts w:ascii="Arial" w:hAnsi="Arial" w:cs="Arial"/>
          <w:sz w:val="20"/>
          <w:szCs w:val="20"/>
        </w:rPr>
        <w:t xml:space="preserve"> mine layout to avoid some THPSS (Twin Gully Swamp and several unnamed swamps), and to minimise subsidence through narrowing of several </w:t>
      </w:r>
      <w:proofErr w:type="spellStart"/>
      <w:r w:rsidRPr="00AF47A5">
        <w:rPr>
          <w:rFonts w:ascii="Arial" w:hAnsi="Arial" w:cs="Arial"/>
          <w:sz w:val="20"/>
          <w:szCs w:val="20"/>
        </w:rPr>
        <w:t>longwalls</w:t>
      </w:r>
      <w:proofErr w:type="spellEnd"/>
      <w:r w:rsidRPr="00AF47A5">
        <w:rPr>
          <w:rFonts w:ascii="Arial" w:hAnsi="Arial" w:cs="Arial"/>
          <w:sz w:val="20"/>
          <w:szCs w:val="20"/>
        </w:rPr>
        <w:t xml:space="preserve"> and increasing chain pillar widths. However, a number of THPSS remain overlying or within the </w:t>
      </w:r>
      <w:r w:rsidR="0033392D">
        <w:rPr>
          <w:rFonts w:ascii="Arial" w:hAnsi="Arial" w:cs="Arial"/>
          <w:sz w:val="20"/>
          <w:szCs w:val="20"/>
        </w:rPr>
        <w:t>potential subsidence impact zone</w:t>
      </w:r>
      <w:r w:rsidRPr="00AF47A5">
        <w:rPr>
          <w:rFonts w:ascii="Arial" w:hAnsi="Arial" w:cs="Arial"/>
          <w:sz w:val="20"/>
          <w:szCs w:val="20"/>
        </w:rPr>
        <w:t xml:space="preserve"> of the proposed </w:t>
      </w:r>
      <w:proofErr w:type="spellStart"/>
      <w:r w:rsidRPr="00AF47A5">
        <w:rPr>
          <w:rFonts w:ascii="Arial" w:hAnsi="Arial" w:cs="Arial"/>
          <w:sz w:val="20"/>
          <w:szCs w:val="20"/>
        </w:rPr>
        <w:t>longwalls</w:t>
      </w:r>
      <w:proofErr w:type="spellEnd"/>
      <w:r w:rsidRPr="00AF47A5">
        <w:rPr>
          <w:rFonts w:ascii="Arial" w:hAnsi="Arial" w:cs="Arial"/>
          <w:sz w:val="20"/>
          <w:szCs w:val="20"/>
        </w:rPr>
        <w:t>. Fracturing in the bedrock below these swamps is expected to occur where tensile and compressive strains caused by conventional subsidence exceed 0.5 mm/m and 2 mm/m respectively</w:t>
      </w:r>
      <w:r w:rsidR="00BF5296">
        <w:rPr>
          <w:rFonts w:ascii="Arial" w:hAnsi="Arial" w:cs="Arial"/>
          <w:sz w:val="20"/>
          <w:szCs w:val="20"/>
          <w:vertAlign w:val="superscript"/>
        </w:rPr>
        <w:t>5</w:t>
      </w:r>
      <w:r w:rsidRPr="00AF47A5">
        <w:rPr>
          <w:rFonts w:ascii="Arial" w:hAnsi="Arial" w:cs="Arial"/>
          <w:sz w:val="20"/>
          <w:szCs w:val="20"/>
        </w:rPr>
        <w:t xml:space="preserve">. </w:t>
      </w:r>
      <w:r w:rsidR="00346ECC">
        <w:rPr>
          <w:rFonts w:ascii="Arial" w:hAnsi="Arial" w:cs="Arial"/>
          <w:sz w:val="20"/>
          <w:szCs w:val="20"/>
        </w:rPr>
        <w:t xml:space="preserve">Fracturing within the bedrock of tributaries upstream of THPSS is also predicted to occur. </w:t>
      </w:r>
      <w:r w:rsidR="00BF5296">
        <w:rPr>
          <w:rFonts w:ascii="Arial" w:hAnsi="Arial" w:cs="Arial"/>
          <w:sz w:val="20"/>
          <w:szCs w:val="20"/>
        </w:rPr>
        <w:t>The risk of bedrock fracturing is reduced by minimising the exposure of bedrock to strain.</w:t>
      </w:r>
      <w:r w:rsidR="0042353D" w:rsidRPr="0042353D">
        <w:rPr>
          <w:rFonts w:ascii="Arial" w:hAnsi="Arial" w:cs="Arial"/>
          <w:sz w:val="20"/>
          <w:szCs w:val="20"/>
        </w:rPr>
        <w:t xml:space="preserve"> </w:t>
      </w:r>
      <w:r w:rsidR="0042353D">
        <w:rPr>
          <w:rFonts w:ascii="Arial" w:hAnsi="Arial" w:cs="Arial"/>
          <w:sz w:val="20"/>
          <w:szCs w:val="20"/>
        </w:rPr>
        <w:t>E</w:t>
      </w:r>
      <w:r w:rsidR="0042353D" w:rsidRPr="0070361D">
        <w:rPr>
          <w:rFonts w:ascii="Arial" w:hAnsi="Arial" w:cs="Arial"/>
          <w:sz w:val="20"/>
          <w:szCs w:val="20"/>
        </w:rPr>
        <w:t xml:space="preserve">nsuring </w:t>
      </w:r>
      <w:r w:rsidR="0042353D">
        <w:rPr>
          <w:rFonts w:ascii="Arial" w:hAnsi="Arial" w:cs="Arial"/>
          <w:sz w:val="20"/>
          <w:szCs w:val="20"/>
        </w:rPr>
        <w:t xml:space="preserve">that </w:t>
      </w:r>
      <w:r w:rsidR="0042353D" w:rsidRPr="0070361D">
        <w:rPr>
          <w:rFonts w:ascii="Arial" w:hAnsi="Arial" w:cs="Arial"/>
          <w:sz w:val="20"/>
          <w:szCs w:val="20"/>
        </w:rPr>
        <w:t>tensile and</w:t>
      </w:r>
      <w:r w:rsidR="0042353D" w:rsidRPr="00AB4E25">
        <w:rPr>
          <w:rFonts w:ascii="Arial" w:hAnsi="Arial" w:cs="Arial"/>
          <w:sz w:val="20"/>
          <w:szCs w:val="20"/>
        </w:rPr>
        <w:t xml:space="preserve"> </w:t>
      </w:r>
      <w:r w:rsidR="0042353D" w:rsidRPr="0070361D">
        <w:rPr>
          <w:rFonts w:ascii="Arial" w:hAnsi="Arial" w:cs="Arial"/>
          <w:sz w:val="20"/>
          <w:szCs w:val="20"/>
        </w:rPr>
        <w:t xml:space="preserve">compressive strains are below 0.5 mm/m and 2 mm/m respectively at THPSS </w:t>
      </w:r>
      <w:r w:rsidR="00B31B16" w:rsidRPr="0070361D">
        <w:rPr>
          <w:rFonts w:ascii="Arial" w:hAnsi="Arial" w:cs="Arial"/>
          <w:sz w:val="20"/>
          <w:szCs w:val="20"/>
        </w:rPr>
        <w:t>sites</w:t>
      </w:r>
      <w:r w:rsidR="0042353D">
        <w:rPr>
          <w:rFonts w:ascii="Arial" w:hAnsi="Arial" w:cs="Arial"/>
          <w:sz w:val="20"/>
          <w:szCs w:val="20"/>
        </w:rPr>
        <w:t xml:space="preserve"> </w:t>
      </w:r>
      <w:r w:rsidR="00BF5296" w:rsidRPr="00CB7EE9">
        <w:rPr>
          <w:rFonts w:ascii="Arial" w:hAnsi="Arial" w:cs="Arial"/>
          <w:sz w:val="20"/>
          <w:szCs w:val="20"/>
        </w:rPr>
        <w:t>is the only measure known to prevent impacts to THPSS</w:t>
      </w:r>
      <w:r w:rsidR="00BF5296" w:rsidRPr="00CB7EE9">
        <w:rPr>
          <w:rFonts w:ascii="Arial" w:hAnsi="Arial" w:cs="Arial"/>
          <w:sz w:val="20"/>
          <w:szCs w:val="20"/>
          <w:vertAlign w:val="superscript"/>
        </w:rPr>
        <w:t>5</w:t>
      </w:r>
      <w:r w:rsidR="009E63FF" w:rsidRPr="00CB7EE9">
        <w:rPr>
          <w:rFonts w:ascii="Arial" w:hAnsi="Arial" w:cs="Arial"/>
          <w:sz w:val="20"/>
          <w:szCs w:val="20"/>
        </w:rPr>
        <w:t xml:space="preserve">. </w:t>
      </w:r>
      <w:r w:rsidR="00F7052E" w:rsidRPr="00CB7EE9">
        <w:rPr>
          <w:rFonts w:ascii="Arial" w:hAnsi="Arial" w:cs="Arial"/>
          <w:sz w:val="20"/>
          <w:szCs w:val="20"/>
        </w:rPr>
        <w:t xml:space="preserve">To avoid impacts to the surface water </w:t>
      </w:r>
      <w:r w:rsidR="00F7052E" w:rsidRPr="00CB7EE9">
        <w:rPr>
          <w:rFonts w:ascii="Arial" w:hAnsi="Arial" w:cs="Arial"/>
          <w:sz w:val="20"/>
          <w:szCs w:val="20"/>
        </w:rPr>
        <w:lastRenderedPageBreak/>
        <w:t>hydrolog</w:t>
      </w:r>
      <w:r w:rsidR="002F7A1D" w:rsidRPr="00CB7EE9">
        <w:rPr>
          <w:rFonts w:ascii="Arial" w:hAnsi="Arial" w:cs="Arial"/>
          <w:sz w:val="20"/>
          <w:szCs w:val="20"/>
        </w:rPr>
        <w:t>ical regime</w:t>
      </w:r>
      <w:r w:rsidR="00F7052E" w:rsidRPr="00CB7EE9">
        <w:rPr>
          <w:rFonts w:ascii="Arial" w:hAnsi="Arial" w:cs="Arial"/>
          <w:sz w:val="20"/>
          <w:szCs w:val="20"/>
        </w:rPr>
        <w:t xml:space="preserve"> of THPSS, t</w:t>
      </w:r>
      <w:r w:rsidR="009E63FF" w:rsidRPr="00CB7EE9">
        <w:rPr>
          <w:rFonts w:ascii="Arial" w:hAnsi="Arial" w:cs="Arial"/>
          <w:sz w:val="20"/>
          <w:szCs w:val="20"/>
        </w:rPr>
        <w:t xml:space="preserve">his avoidance strategy </w:t>
      </w:r>
      <w:r w:rsidR="00513472" w:rsidRPr="00CB7EE9">
        <w:rPr>
          <w:rFonts w:ascii="Arial" w:hAnsi="Arial" w:cs="Arial"/>
          <w:sz w:val="20"/>
          <w:szCs w:val="20"/>
        </w:rPr>
        <w:t>would</w:t>
      </w:r>
      <w:r w:rsidR="00346ECC" w:rsidRPr="00CB7EE9">
        <w:rPr>
          <w:rFonts w:ascii="Arial" w:hAnsi="Arial" w:cs="Arial"/>
          <w:sz w:val="20"/>
          <w:szCs w:val="20"/>
        </w:rPr>
        <w:t xml:space="preserve"> also</w:t>
      </w:r>
      <w:r w:rsidR="00513472" w:rsidRPr="00CB7EE9">
        <w:rPr>
          <w:rFonts w:ascii="Arial" w:hAnsi="Arial" w:cs="Arial"/>
          <w:sz w:val="20"/>
          <w:szCs w:val="20"/>
        </w:rPr>
        <w:t xml:space="preserve"> need</w:t>
      </w:r>
      <w:r w:rsidR="00346ECC" w:rsidRPr="00CB7EE9">
        <w:rPr>
          <w:rFonts w:ascii="Arial" w:hAnsi="Arial" w:cs="Arial"/>
          <w:sz w:val="20"/>
          <w:szCs w:val="20"/>
        </w:rPr>
        <w:t xml:space="preserve"> be applied to</w:t>
      </w:r>
      <w:r w:rsidR="002F7A1D" w:rsidRPr="00CB7EE9">
        <w:rPr>
          <w:rFonts w:ascii="Arial" w:hAnsi="Arial" w:cs="Arial"/>
          <w:sz w:val="20"/>
          <w:szCs w:val="20"/>
        </w:rPr>
        <w:t xml:space="preserve"> upstream</w:t>
      </w:r>
      <w:r w:rsidR="00346ECC" w:rsidRPr="00CB7EE9">
        <w:rPr>
          <w:rFonts w:ascii="Arial" w:hAnsi="Arial" w:cs="Arial"/>
          <w:sz w:val="20"/>
          <w:szCs w:val="20"/>
        </w:rPr>
        <w:t xml:space="preserve"> tributaries that provide a significant proportion of surface water flows </w:t>
      </w:r>
      <w:r w:rsidR="009E63FF" w:rsidRPr="00CB7EE9">
        <w:rPr>
          <w:rFonts w:ascii="Arial" w:hAnsi="Arial" w:cs="Arial"/>
          <w:sz w:val="20"/>
          <w:szCs w:val="20"/>
        </w:rPr>
        <w:t xml:space="preserve">to </w:t>
      </w:r>
      <w:r w:rsidR="002F7A1D" w:rsidRPr="00CB7EE9">
        <w:rPr>
          <w:rFonts w:ascii="Arial" w:hAnsi="Arial" w:cs="Arial"/>
          <w:sz w:val="20"/>
          <w:szCs w:val="20"/>
        </w:rPr>
        <w:t xml:space="preserve">downstream </w:t>
      </w:r>
      <w:r w:rsidR="009E63FF" w:rsidRPr="00CB7EE9">
        <w:rPr>
          <w:rFonts w:ascii="Arial" w:hAnsi="Arial" w:cs="Arial"/>
          <w:sz w:val="20"/>
          <w:szCs w:val="20"/>
        </w:rPr>
        <w:t>THPSS</w:t>
      </w:r>
      <w:r w:rsidR="00F7052E" w:rsidRPr="00CB7EE9">
        <w:rPr>
          <w:rFonts w:ascii="Arial" w:hAnsi="Arial" w:cs="Arial"/>
          <w:sz w:val="20"/>
          <w:szCs w:val="20"/>
        </w:rPr>
        <w:t>.</w:t>
      </w:r>
      <w:r w:rsidR="00904B91" w:rsidRPr="00CB7EE9">
        <w:rPr>
          <w:rFonts w:ascii="Arial" w:hAnsi="Arial" w:cs="Arial"/>
          <w:sz w:val="20"/>
          <w:szCs w:val="20"/>
        </w:rPr>
        <w:t xml:space="preserve"> </w:t>
      </w:r>
    </w:p>
    <w:p w:rsidR="00305C4D" w:rsidRPr="00CA6D0F" w:rsidRDefault="00305C4D" w:rsidP="00305C4D">
      <w:pPr>
        <w:pStyle w:val="ListNumber"/>
        <w:spacing w:after="200" w:line="276" w:lineRule="auto"/>
        <w:rPr>
          <w:rFonts w:ascii="Arial" w:hAnsi="Arial" w:cs="Arial"/>
          <w:sz w:val="20"/>
          <w:szCs w:val="20"/>
        </w:rPr>
      </w:pPr>
      <w:r w:rsidRPr="00CA6D0F">
        <w:rPr>
          <w:rFonts w:ascii="Arial" w:hAnsi="Arial" w:cs="Arial"/>
          <w:sz w:val="20"/>
          <w:szCs w:val="20"/>
        </w:rPr>
        <w:t xml:space="preserve">The time delay between evidence of impacts to a THPSS and </w:t>
      </w:r>
      <w:proofErr w:type="spellStart"/>
      <w:r w:rsidRPr="00CA6D0F">
        <w:rPr>
          <w:rFonts w:ascii="Arial" w:hAnsi="Arial" w:cs="Arial"/>
          <w:sz w:val="20"/>
          <w:szCs w:val="20"/>
        </w:rPr>
        <w:t>longwall</w:t>
      </w:r>
      <w:proofErr w:type="spellEnd"/>
      <w:r w:rsidRPr="00CA6D0F">
        <w:rPr>
          <w:rFonts w:ascii="Arial" w:hAnsi="Arial" w:cs="Arial"/>
          <w:sz w:val="20"/>
          <w:szCs w:val="20"/>
        </w:rPr>
        <w:t xml:space="preserve"> mining means that, once damage caused by a progressing </w:t>
      </w:r>
      <w:proofErr w:type="spellStart"/>
      <w:r w:rsidRPr="00CA6D0F">
        <w:rPr>
          <w:rFonts w:ascii="Arial" w:hAnsi="Arial" w:cs="Arial"/>
          <w:sz w:val="20"/>
          <w:szCs w:val="20"/>
        </w:rPr>
        <w:t>longwall</w:t>
      </w:r>
      <w:proofErr w:type="spellEnd"/>
      <w:r w:rsidRPr="00CA6D0F">
        <w:rPr>
          <w:rFonts w:ascii="Arial" w:hAnsi="Arial" w:cs="Arial"/>
          <w:sz w:val="20"/>
          <w:szCs w:val="20"/>
        </w:rPr>
        <w:t xml:space="preserve"> is evident, the </w:t>
      </w:r>
      <w:proofErr w:type="spellStart"/>
      <w:r w:rsidRPr="00CA6D0F">
        <w:rPr>
          <w:rFonts w:ascii="Arial" w:hAnsi="Arial" w:cs="Arial"/>
          <w:sz w:val="20"/>
          <w:szCs w:val="20"/>
        </w:rPr>
        <w:t>longwall</w:t>
      </w:r>
      <w:proofErr w:type="spellEnd"/>
      <w:r w:rsidRPr="00CA6D0F">
        <w:rPr>
          <w:rFonts w:ascii="Arial" w:hAnsi="Arial" w:cs="Arial"/>
          <w:sz w:val="20"/>
          <w:szCs w:val="20"/>
        </w:rPr>
        <w:t xml:space="preserve"> extraction </w:t>
      </w:r>
      <w:r w:rsidR="00042C36" w:rsidRPr="00CA6D0F">
        <w:rPr>
          <w:rFonts w:ascii="Arial" w:hAnsi="Arial" w:cs="Arial"/>
          <w:sz w:val="20"/>
          <w:szCs w:val="20"/>
        </w:rPr>
        <w:t>may already be too advanced to prevent further impacts</w:t>
      </w:r>
      <w:r w:rsidRPr="00CA6D0F">
        <w:rPr>
          <w:rFonts w:ascii="Arial" w:hAnsi="Arial" w:cs="Arial"/>
          <w:sz w:val="20"/>
          <w:szCs w:val="20"/>
        </w:rPr>
        <w:t xml:space="preserve">. There is a high risk that impacts to THPSS would be irreversible.  </w:t>
      </w:r>
    </w:p>
    <w:p w:rsidR="00305C4D" w:rsidRPr="0073343A" w:rsidRDefault="00305C4D" w:rsidP="00305C4D">
      <w:pPr>
        <w:pStyle w:val="ListNumber"/>
        <w:numPr>
          <w:ilvl w:val="0"/>
          <w:numId w:val="0"/>
        </w:numPr>
        <w:spacing w:after="200" w:line="276" w:lineRule="auto"/>
        <w:rPr>
          <w:rFonts w:ascii="Arial" w:hAnsi="Arial" w:cs="Arial"/>
          <w:i/>
          <w:sz w:val="20"/>
          <w:szCs w:val="20"/>
        </w:rPr>
      </w:pPr>
      <w:r w:rsidRPr="0073343A">
        <w:rPr>
          <w:rFonts w:ascii="Arial" w:hAnsi="Arial" w:cs="Arial"/>
          <w:i/>
          <w:sz w:val="20"/>
          <w:szCs w:val="20"/>
        </w:rPr>
        <w:t>Other mitigation measures</w:t>
      </w:r>
    </w:p>
    <w:p w:rsidR="00F85780" w:rsidRPr="00CA6D0F" w:rsidRDefault="00305C4D" w:rsidP="00305C4D">
      <w:pPr>
        <w:pStyle w:val="ListNumber"/>
        <w:spacing w:after="200" w:line="276" w:lineRule="auto"/>
        <w:rPr>
          <w:rFonts w:ascii="Arial" w:hAnsi="Arial" w:cs="Arial"/>
          <w:sz w:val="20"/>
          <w:szCs w:val="20"/>
        </w:rPr>
      </w:pPr>
      <w:r w:rsidRPr="00CA6D0F">
        <w:rPr>
          <w:rFonts w:ascii="Arial" w:hAnsi="Arial" w:cs="Arial"/>
          <w:sz w:val="20"/>
          <w:szCs w:val="20"/>
        </w:rPr>
        <w:t xml:space="preserve">Other measures used to mitigate impacts caused by </w:t>
      </w:r>
      <w:proofErr w:type="spellStart"/>
      <w:r w:rsidRPr="00CA6D0F">
        <w:rPr>
          <w:rFonts w:ascii="Arial" w:hAnsi="Arial" w:cs="Arial"/>
          <w:sz w:val="20"/>
          <w:szCs w:val="20"/>
        </w:rPr>
        <w:t>longwall</w:t>
      </w:r>
      <w:proofErr w:type="spellEnd"/>
      <w:r w:rsidRPr="00CA6D0F">
        <w:rPr>
          <w:rFonts w:ascii="Arial" w:hAnsi="Arial" w:cs="Arial"/>
          <w:sz w:val="20"/>
          <w:szCs w:val="20"/>
        </w:rPr>
        <w:t xml:space="preserve"> mining have histor</w:t>
      </w:r>
      <w:r w:rsidR="00204395" w:rsidRPr="00CA6D0F">
        <w:rPr>
          <w:rFonts w:ascii="Arial" w:hAnsi="Arial" w:cs="Arial"/>
          <w:sz w:val="20"/>
          <w:szCs w:val="20"/>
        </w:rPr>
        <w:t xml:space="preserve">ically involved </w:t>
      </w:r>
      <w:r w:rsidRPr="00CA6D0F">
        <w:rPr>
          <w:rFonts w:ascii="Arial" w:hAnsi="Arial" w:cs="Arial"/>
          <w:sz w:val="20"/>
          <w:szCs w:val="20"/>
        </w:rPr>
        <w:t>isolation of ground movements through, for example stress relief slots; and remediation or maintenance responses</w:t>
      </w:r>
      <w:r w:rsidRPr="00CA6D0F">
        <w:rPr>
          <w:rFonts w:ascii="Arial" w:hAnsi="Arial" w:cs="Arial"/>
          <w:sz w:val="20"/>
          <w:szCs w:val="20"/>
          <w:vertAlign w:val="superscript"/>
        </w:rPr>
        <w:t>5</w:t>
      </w:r>
      <w:r w:rsidRPr="00CA6D0F">
        <w:rPr>
          <w:rFonts w:ascii="Arial" w:hAnsi="Arial" w:cs="Arial"/>
          <w:sz w:val="20"/>
          <w:szCs w:val="20"/>
        </w:rPr>
        <w:t>.  The efficacy of strategies for re</w:t>
      </w:r>
      <w:r w:rsidR="00042C36" w:rsidRPr="00CA6D0F">
        <w:rPr>
          <w:rFonts w:ascii="Arial" w:hAnsi="Arial" w:cs="Arial"/>
          <w:sz w:val="20"/>
          <w:szCs w:val="20"/>
        </w:rPr>
        <w:t xml:space="preserve">mediating </w:t>
      </w:r>
      <w:r w:rsidRPr="00CA6D0F">
        <w:rPr>
          <w:rFonts w:ascii="Arial" w:hAnsi="Arial" w:cs="Arial"/>
          <w:sz w:val="20"/>
          <w:szCs w:val="20"/>
        </w:rPr>
        <w:t>the ecological function and hydrological/</w:t>
      </w:r>
      <w:proofErr w:type="spellStart"/>
      <w:r w:rsidRPr="00CA6D0F">
        <w:rPr>
          <w:rFonts w:ascii="Arial" w:hAnsi="Arial" w:cs="Arial"/>
          <w:sz w:val="20"/>
          <w:szCs w:val="20"/>
        </w:rPr>
        <w:t>hydrogeological</w:t>
      </w:r>
      <w:proofErr w:type="spellEnd"/>
      <w:r w:rsidRPr="00CA6D0F">
        <w:rPr>
          <w:rFonts w:ascii="Arial" w:hAnsi="Arial" w:cs="Arial"/>
          <w:sz w:val="20"/>
          <w:szCs w:val="20"/>
        </w:rPr>
        <w:t xml:space="preserve"> regimes of impacted </w:t>
      </w:r>
      <w:proofErr w:type="gramStart"/>
      <w:r w:rsidRPr="00CA6D0F">
        <w:rPr>
          <w:rFonts w:ascii="Arial" w:hAnsi="Arial" w:cs="Arial"/>
          <w:sz w:val="20"/>
          <w:szCs w:val="20"/>
        </w:rPr>
        <w:t>THPSS,</w:t>
      </w:r>
      <w:proofErr w:type="gramEnd"/>
      <w:r w:rsidRPr="00CA6D0F">
        <w:rPr>
          <w:rFonts w:ascii="Arial" w:hAnsi="Arial" w:cs="Arial"/>
          <w:sz w:val="20"/>
          <w:szCs w:val="20"/>
        </w:rPr>
        <w:t xml:space="preserve"> has not been demonstrated in Australia.</w:t>
      </w:r>
    </w:p>
    <w:p w:rsidR="001F6C60" w:rsidRPr="000813A6" w:rsidRDefault="001F6C60" w:rsidP="00305C4D">
      <w:pPr>
        <w:pStyle w:val="ListNumber"/>
        <w:spacing w:after="200" w:line="276" w:lineRule="auto"/>
        <w:rPr>
          <w:rFonts w:ascii="Arial" w:hAnsi="Arial" w:cs="Arial"/>
          <w:sz w:val="20"/>
          <w:szCs w:val="20"/>
        </w:rPr>
      </w:pPr>
      <w:r w:rsidRPr="000813A6">
        <w:rPr>
          <w:rFonts w:ascii="Arial" w:hAnsi="Arial" w:cs="Arial"/>
          <w:sz w:val="20"/>
          <w:szCs w:val="20"/>
        </w:rPr>
        <w:t>Ground isolation measures include stress relief slots. These measures have previously been trialled to mitigate i</w:t>
      </w:r>
      <w:r>
        <w:rPr>
          <w:rFonts w:ascii="Arial" w:hAnsi="Arial" w:cs="Arial"/>
          <w:sz w:val="20"/>
          <w:szCs w:val="20"/>
        </w:rPr>
        <w:t xml:space="preserve">mpacts to surface water courses, though </w:t>
      </w:r>
      <w:r w:rsidRPr="000813A6">
        <w:rPr>
          <w:rFonts w:ascii="Arial" w:hAnsi="Arial" w:cs="Arial"/>
          <w:sz w:val="20"/>
          <w:szCs w:val="20"/>
        </w:rPr>
        <w:t>have not been trialled as measures to mitigate impacts to upland THPSS (such as those located within the project area</w:t>
      </w:r>
      <w:proofErr w:type="gramStart"/>
      <w:r w:rsidRPr="000813A6">
        <w:rPr>
          <w:rFonts w:ascii="Arial" w:hAnsi="Arial" w:cs="Arial"/>
          <w:sz w:val="20"/>
          <w:szCs w:val="20"/>
        </w:rPr>
        <w:t>)</w:t>
      </w:r>
      <w:r w:rsidRPr="000813A6">
        <w:rPr>
          <w:rFonts w:ascii="Arial" w:hAnsi="Arial" w:cs="Arial"/>
          <w:sz w:val="20"/>
          <w:szCs w:val="20"/>
          <w:vertAlign w:val="superscript"/>
        </w:rPr>
        <w:t>5</w:t>
      </w:r>
      <w:proofErr w:type="gramEnd"/>
      <w:r w:rsidRPr="000813A6">
        <w:rPr>
          <w:rFonts w:ascii="Arial" w:hAnsi="Arial" w:cs="Arial"/>
          <w:sz w:val="20"/>
          <w:szCs w:val="20"/>
        </w:rPr>
        <w:t xml:space="preserve">. These measures require the drilling of deep “slots” into bedrock </w:t>
      </w:r>
      <w:r>
        <w:rPr>
          <w:rFonts w:ascii="Arial" w:hAnsi="Arial" w:cs="Arial"/>
          <w:sz w:val="20"/>
          <w:szCs w:val="20"/>
        </w:rPr>
        <w:t>to reduce the strains associated with subsidence. As a result the installation of stress relief slots is</w:t>
      </w:r>
      <w:r w:rsidRPr="000813A6">
        <w:rPr>
          <w:rFonts w:ascii="Arial" w:hAnsi="Arial" w:cs="Arial"/>
          <w:sz w:val="20"/>
          <w:szCs w:val="20"/>
        </w:rPr>
        <w:t xml:space="preserve"> highly invasive and may impact the functions of the swamp that they were designed to protect. These measures are rarely used and have not been fully investigated for their efficacy.  Results from the southern coalfields suggest that the use of these measures </w:t>
      </w:r>
      <w:r>
        <w:rPr>
          <w:rFonts w:ascii="Arial" w:hAnsi="Arial" w:cs="Arial"/>
          <w:sz w:val="20"/>
          <w:szCs w:val="20"/>
        </w:rPr>
        <w:t>may limit some subsidence impacts, though does not appear s</w:t>
      </w:r>
      <w:r w:rsidRPr="000813A6">
        <w:rPr>
          <w:rFonts w:ascii="Arial" w:hAnsi="Arial" w:cs="Arial"/>
          <w:sz w:val="20"/>
          <w:szCs w:val="20"/>
        </w:rPr>
        <w:t>ufficient to prevent the full extent of subsidence impacts to THPSS</w:t>
      </w:r>
      <w:r w:rsidRPr="000813A6">
        <w:rPr>
          <w:rFonts w:ascii="Arial" w:hAnsi="Arial" w:cs="Arial"/>
          <w:sz w:val="20"/>
          <w:szCs w:val="20"/>
          <w:vertAlign w:val="superscript"/>
        </w:rPr>
        <w:t>3</w:t>
      </w:r>
      <w:proofErr w:type="gramStart"/>
      <w:r w:rsidRPr="000813A6">
        <w:rPr>
          <w:rFonts w:ascii="Arial" w:hAnsi="Arial" w:cs="Arial"/>
          <w:sz w:val="20"/>
          <w:szCs w:val="20"/>
          <w:vertAlign w:val="superscript"/>
        </w:rPr>
        <w:t>,5</w:t>
      </w:r>
      <w:proofErr w:type="gramEnd"/>
      <w:r w:rsidRPr="000813A6">
        <w:rPr>
          <w:rFonts w:ascii="Arial" w:hAnsi="Arial" w:cs="Arial"/>
          <w:sz w:val="20"/>
          <w:szCs w:val="20"/>
        </w:rPr>
        <w:t>.</w:t>
      </w:r>
    </w:p>
    <w:p w:rsidR="001F6C60" w:rsidRPr="001D1196" w:rsidRDefault="003119B2" w:rsidP="001F6C60">
      <w:pPr>
        <w:pStyle w:val="ListNumber"/>
        <w:spacing w:after="200" w:line="276" w:lineRule="auto"/>
        <w:rPr>
          <w:rFonts w:ascii="Arial" w:hAnsi="Arial" w:cs="Arial"/>
          <w:sz w:val="20"/>
          <w:szCs w:val="20"/>
        </w:rPr>
      </w:pPr>
      <w:r w:rsidRPr="001D1196">
        <w:rPr>
          <w:rFonts w:ascii="Arial" w:hAnsi="Arial" w:cs="Arial"/>
          <w:sz w:val="20"/>
          <w:szCs w:val="20"/>
        </w:rPr>
        <w:t>Preservation responses include</w:t>
      </w:r>
      <w:r w:rsidR="001F6C60" w:rsidRPr="001D1196">
        <w:rPr>
          <w:rFonts w:ascii="Arial" w:hAnsi="Arial" w:cs="Arial"/>
          <w:sz w:val="20"/>
          <w:szCs w:val="20"/>
        </w:rPr>
        <w:t xml:space="preserve"> the seali</w:t>
      </w:r>
      <w:r>
        <w:rPr>
          <w:rFonts w:ascii="Arial" w:hAnsi="Arial" w:cs="Arial"/>
          <w:sz w:val="20"/>
          <w:szCs w:val="20"/>
        </w:rPr>
        <w:t>ng of surface fractures through</w:t>
      </w:r>
      <w:r w:rsidR="001F6C60" w:rsidRPr="001D1196">
        <w:rPr>
          <w:rFonts w:ascii="Arial" w:hAnsi="Arial" w:cs="Arial"/>
          <w:sz w:val="20"/>
          <w:szCs w:val="20"/>
        </w:rPr>
        <w:t xml:space="preserve"> grouting, cementing, gel injection, grading or other soft engineering measures. There is limited evidence of remedial</w:t>
      </w:r>
      <w:r w:rsidRPr="003119B2">
        <w:rPr>
          <w:rFonts w:ascii="Arial" w:hAnsi="Arial" w:cs="Arial"/>
          <w:sz w:val="20"/>
          <w:szCs w:val="20"/>
        </w:rPr>
        <w:t xml:space="preserve"> </w:t>
      </w:r>
      <w:r w:rsidRPr="001D1196">
        <w:rPr>
          <w:rFonts w:ascii="Arial" w:hAnsi="Arial" w:cs="Arial"/>
          <w:sz w:val="20"/>
          <w:szCs w:val="20"/>
        </w:rPr>
        <w:t>preservation</w:t>
      </w:r>
      <w:r w:rsidR="001F6C60" w:rsidRPr="001D1196">
        <w:rPr>
          <w:rFonts w:ascii="Arial" w:hAnsi="Arial" w:cs="Arial"/>
          <w:sz w:val="20"/>
          <w:szCs w:val="20"/>
        </w:rPr>
        <w:t xml:space="preserve"> techniques being trialled on THPSS, and the IESC has not been able to identify any literature that details the successful remediation of THPSS to pre-impact condition using these techniques</w:t>
      </w:r>
      <w:r w:rsidR="001F6C60" w:rsidRPr="001D1196">
        <w:rPr>
          <w:rFonts w:ascii="Arial" w:hAnsi="Arial" w:cs="Arial"/>
          <w:sz w:val="20"/>
          <w:szCs w:val="20"/>
          <w:vertAlign w:val="superscript"/>
        </w:rPr>
        <w:t>5</w:t>
      </w:r>
      <w:r w:rsidR="001F6C60" w:rsidRPr="001D1196">
        <w:rPr>
          <w:rFonts w:ascii="Arial" w:hAnsi="Arial" w:cs="Arial"/>
          <w:sz w:val="20"/>
          <w:szCs w:val="20"/>
        </w:rPr>
        <w:t>. In addition, many of the identified measures are highly invasive and may cause impacts to the swamp in their own right.</w:t>
      </w:r>
      <w:r w:rsidR="001F6C60">
        <w:rPr>
          <w:rFonts w:ascii="Arial" w:hAnsi="Arial" w:cs="Arial"/>
          <w:sz w:val="20"/>
          <w:szCs w:val="20"/>
        </w:rPr>
        <w:t xml:space="preserve"> For example, to access fracturing in bedrock below a THPSS would require the removal of the peat layer, which would destroy the swamp in that location and may have long lasting effects </w:t>
      </w:r>
      <w:r>
        <w:rPr>
          <w:rFonts w:ascii="Arial" w:hAnsi="Arial" w:cs="Arial"/>
          <w:sz w:val="20"/>
          <w:szCs w:val="20"/>
        </w:rPr>
        <w:t>on</w:t>
      </w:r>
      <w:r w:rsidR="001F6C60">
        <w:rPr>
          <w:rFonts w:ascii="Arial" w:hAnsi="Arial" w:cs="Arial"/>
          <w:sz w:val="20"/>
          <w:szCs w:val="20"/>
        </w:rPr>
        <w:t xml:space="preserve"> the hydrological regime and the ecological community. Options for horizontal drilling and grout injection are not known to have been trialled for THPSS</w:t>
      </w:r>
      <w:r w:rsidR="001F6C60" w:rsidRPr="00B04A07">
        <w:rPr>
          <w:rFonts w:ascii="Arial" w:hAnsi="Arial" w:cs="Arial"/>
          <w:sz w:val="20"/>
          <w:szCs w:val="20"/>
          <w:vertAlign w:val="superscript"/>
        </w:rPr>
        <w:t>5</w:t>
      </w:r>
      <w:r w:rsidR="001F6C60">
        <w:rPr>
          <w:rFonts w:ascii="Arial" w:hAnsi="Arial" w:cs="Arial"/>
          <w:sz w:val="20"/>
          <w:szCs w:val="20"/>
        </w:rPr>
        <w:t>.</w:t>
      </w:r>
    </w:p>
    <w:p w:rsidR="001F6C60" w:rsidRDefault="001F6C60" w:rsidP="001F6C60">
      <w:pPr>
        <w:pStyle w:val="ListNumber"/>
        <w:spacing w:after="200" w:line="276" w:lineRule="auto"/>
        <w:rPr>
          <w:rFonts w:ascii="Arial" w:hAnsi="Arial" w:cs="Arial"/>
          <w:sz w:val="20"/>
          <w:szCs w:val="20"/>
        </w:rPr>
      </w:pPr>
      <w:r w:rsidRPr="00357E9F">
        <w:rPr>
          <w:rFonts w:ascii="Arial" w:hAnsi="Arial" w:cs="Arial"/>
          <w:sz w:val="20"/>
          <w:szCs w:val="20"/>
        </w:rPr>
        <w:t>The proponent has stated that cracks are predicted to form within the sandstone substrate underlying many swamps within the project area. The proponent states that these cracks will naturally fill with soil and peat</w:t>
      </w:r>
      <w:r>
        <w:rPr>
          <w:rFonts w:ascii="Arial" w:hAnsi="Arial" w:cs="Arial"/>
          <w:sz w:val="20"/>
          <w:szCs w:val="20"/>
        </w:rPr>
        <w:t xml:space="preserve"> (self-ameliorate)</w:t>
      </w:r>
      <w:r w:rsidRPr="00357E9F">
        <w:rPr>
          <w:rFonts w:ascii="Arial" w:hAnsi="Arial" w:cs="Arial"/>
          <w:sz w:val="20"/>
          <w:szCs w:val="20"/>
        </w:rPr>
        <w:t xml:space="preserve">, and therefore impacts </w:t>
      </w:r>
      <w:r>
        <w:rPr>
          <w:rFonts w:ascii="Arial" w:hAnsi="Arial" w:cs="Arial"/>
          <w:sz w:val="20"/>
          <w:szCs w:val="20"/>
        </w:rPr>
        <w:t>related to these bedrock fractures</w:t>
      </w:r>
      <w:r w:rsidRPr="00357E9F">
        <w:rPr>
          <w:rFonts w:ascii="Arial" w:hAnsi="Arial" w:cs="Arial"/>
          <w:sz w:val="20"/>
          <w:szCs w:val="20"/>
        </w:rPr>
        <w:t xml:space="preserve"> are “considered unlikely”. However, THPSS are exceptionally slow to self</w:t>
      </w:r>
      <w:r w:rsidR="00D36DF2">
        <w:rPr>
          <w:rFonts w:ascii="Arial" w:hAnsi="Arial" w:cs="Arial"/>
          <w:sz w:val="20"/>
          <w:szCs w:val="20"/>
        </w:rPr>
        <w:t>-</w:t>
      </w:r>
      <w:r w:rsidRPr="00357E9F">
        <w:rPr>
          <w:rFonts w:ascii="Arial" w:hAnsi="Arial" w:cs="Arial"/>
          <w:sz w:val="20"/>
          <w:szCs w:val="20"/>
        </w:rPr>
        <w:t xml:space="preserve">heal or self-ameliorate. Examples of lowland swamps from the Southern Coalfields of New South Wales show that without attempted rehabilitation, </w:t>
      </w:r>
      <w:r w:rsidR="00D36DF2" w:rsidRPr="00357E9F">
        <w:rPr>
          <w:rFonts w:ascii="Arial" w:hAnsi="Arial" w:cs="Arial"/>
          <w:sz w:val="20"/>
          <w:szCs w:val="20"/>
        </w:rPr>
        <w:t>self</w:t>
      </w:r>
      <w:r w:rsidR="00D36DF2">
        <w:rPr>
          <w:rFonts w:ascii="Arial" w:hAnsi="Arial" w:cs="Arial"/>
          <w:sz w:val="20"/>
          <w:szCs w:val="20"/>
        </w:rPr>
        <w:t>-</w:t>
      </w:r>
      <w:r w:rsidRPr="00357E9F">
        <w:rPr>
          <w:rFonts w:ascii="Arial" w:hAnsi="Arial" w:cs="Arial"/>
          <w:sz w:val="20"/>
          <w:szCs w:val="20"/>
        </w:rPr>
        <w:t xml:space="preserve">amelioration is not evident within two lowland swamps over a 25 </w:t>
      </w:r>
      <w:r w:rsidR="003119B2">
        <w:rPr>
          <w:rFonts w:ascii="Arial" w:hAnsi="Arial" w:cs="Arial"/>
          <w:sz w:val="20"/>
          <w:szCs w:val="20"/>
        </w:rPr>
        <w:t>to</w:t>
      </w:r>
      <w:r w:rsidRPr="00357E9F">
        <w:rPr>
          <w:rFonts w:ascii="Arial" w:hAnsi="Arial" w:cs="Arial"/>
          <w:sz w:val="20"/>
          <w:szCs w:val="20"/>
        </w:rPr>
        <w:t xml:space="preserve"> 30 year period</w:t>
      </w:r>
      <w:r w:rsidRPr="00357E9F">
        <w:rPr>
          <w:rFonts w:ascii="Arial" w:hAnsi="Arial" w:cs="Arial"/>
          <w:sz w:val="20"/>
          <w:szCs w:val="20"/>
          <w:vertAlign w:val="superscript"/>
        </w:rPr>
        <w:t>5</w:t>
      </w:r>
      <w:r w:rsidRPr="00357E9F">
        <w:rPr>
          <w:rFonts w:ascii="Arial" w:hAnsi="Arial" w:cs="Arial"/>
          <w:sz w:val="20"/>
          <w:szCs w:val="20"/>
        </w:rPr>
        <w:t xml:space="preserve">.  Based on a lack of supporting evidence and available literature, </w:t>
      </w:r>
      <w:r w:rsidR="003119B2">
        <w:rPr>
          <w:rFonts w:ascii="Arial" w:hAnsi="Arial" w:cs="Arial"/>
          <w:sz w:val="20"/>
          <w:szCs w:val="20"/>
        </w:rPr>
        <w:t>s</w:t>
      </w:r>
      <w:r w:rsidRPr="00357E9F">
        <w:rPr>
          <w:rFonts w:ascii="Arial" w:hAnsi="Arial" w:cs="Arial"/>
          <w:sz w:val="20"/>
          <w:szCs w:val="20"/>
        </w:rPr>
        <w:t>elf-amelioration is not considered to be a reliable or effective remediation method.</w:t>
      </w:r>
    </w:p>
    <w:p w:rsidR="00F137F9" w:rsidRPr="0073343A" w:rsidRDefault="001F6C60" w:rsidP="001F6C60">
      <w:pPr>
        <w:pStyle w:val="ListNumber"/>
        <w:numPr>
          <w:ilvl w:val="0"/>
          <w:numId w:val="0"/>
        </w:numPr>
        <w:spacing w:after="200" w:line="276" w:lineRule="auto"/>
        <w:rPr>
          <w:rFonts w:ascii="Arial" w:hAnsi="Arial" w:cs="Arial"/>
          <w:i/>
          <w:sz w:val="20"/>
          <w:szCs w:val="20"/>
        </w:rPr>
      </w:pPr>
      <w:r w:rsidRPr="0073343A">
        <w:rPr>
          <w:rFonts w:ascii="Arial" w:hAnsi="Arial" w:cs="Arial"/>
          <w:i/>
          <w:sz w:val="20"/>
          <w:szCs w:val="20"/>
        </w:rPr>
        <w:t>Proposed monitoring and TARPs</w:t>
      </w:r>
    </w:p>
    <w:p w:rsidR="001F6C60" w:rsidRPr="00C13E53" w:rsidRDefault="00F137F9" w:rsidP="001F6C60">
      <w:pPr>
        <w:pStyle w:val="ListNumber"/>
        <w:spacing w:after="200" w:line="276" w:lineRule="auto"/>
        <w:rPr>
          <w:rFonts w:ascii="Arial" w:hAnsi="Arial" w:cs="Arial"/>
          <w:sz w:val="20"/>
          <w:szCs w:val="20"/>
        </w:rPr>
      </w:pPr>
      <w:r w:rsidRPr="00544484">
        <w:rPr>
          <w:rFonts w:ascii="Arial" w:hAnsi="Arial" w:cs="Arial"/>
          <w:sz w:val="20"/>
          <w:szCs w:val="20"/>
        </w:rPr>
        <w:t>Th</w:t>
      </w:r>
      <w:r w:rsidR="00AE2940" w:rsidRPr="00544484">
        <w:rPr>
          <w:rFonts w:ascii="Arial" w:hAnsi="Arial" w:cs="Arial"/>
          <w:sz w:val="20"/>
          <w:szCs w:val="20"/>
        </w:rPr>
        <w:t>e EIS states that the existing Springvale</w:t>
      </w:r>
      <w:r w:rsidRPr="00544484">
        <w:rPr>
          <w:rFonts w:ascii="Arial" w:hAnsi="Arial" w:cs="Arial"/>
          <w:sz w:val="20"/>
          <w:szCs w:val="20"/>
        </w:rPr>
        <w:t xml:space="preserve"> operations</w:t>
      </w:r>
      <w:r w:rsidRPr="00C13E53">
        <w:rPr>
          <w:rFonts w:ascii="Arial" w:hAnsi="Arial" w:cs="Arial"/>
          <w:sz w:val="20"/>
          <w:szCs w:val="20"/>
        </w:rPr>
        <w:t xml:space="preserve"> </w:t>
      </w:r>
      <w:r w:rsidR="00A7000D">
        <w:rPr>
          <w:rFonts w:ascii="Arial" w:hAnsi="Arial" w:cs="Arial"/>
          <w:sz w:val="20"/>
          <w:szCs w:val="20"/>
        </w:rPr>
        <w:t>are</w:t>
      </w:r>
      <w:r w:rsidR="00A7000D" w:rsidRPr="00C13E53">
        <w:rPr>
          <w:rFonts w:ascii="Arial" w:hAnsi="Arial" w:cs="Arial"/>
          <w:sz w:val="20"/>
          <w:szCs w:val="20"/>
        </w:rPr>
        <w:t xml:space="preserve"> covered by monitoring programmes and management plans that incorporate subsidence monitoring and management commitments. The suitability of the outlined monitoring and management plans, in regards to their ability to predict o</w:t>
      </w:r>
      <w:r w:rsidR="00544484">
        <w:rPr>
          <w:rFonts w:ascii="Arial" w:hAnsi="Arial" w:cs="Arial"/>
          <w:sz w:val="20"/>
          <w:szCs w:val="20"/>
        </w:rPr>
        <w:t>r mitigate impacts to THPSS</w:t>
      </w:r>
      <w:r w:rsidR="00D36DF2">
        <w:rPr>
          <w:rFonts w:ascii="Arial" w:hAnsi="Arial" w:cs="Arial"/>
          <w:sz w:val="20"/>
          <w:szCs w:val="20"/>
        </w:rPr>
        <w:t>,</w:t>
      </w:r>
      <w:r w:rsidR="00544484">
        <w:rPr>
          <w:rFonts w:ascii="Arial" w:hAnsi="Arial" w:cs="Arial"/>
          <w:sz w:val="20"/>
          <w:szCs w:val="20"/>
        </w:rPr>
        <w:t xml:space="preserve"> cannot</w:t>
      </w:r>
      <w:r w:rsidR="00A7000D" w:rsidRPr="00C13E53">
        <w:rPr>
          <w:rFonts w:ascii="Arial" w:hAnsi="Arial" w:cs="Arial"/>
          <w:sz w:val="20"/>
          <w:szCs w:val="20"/>
        </w:rPr>
        <w:t xml:space="preserve"> be determined as they have not been included within the assessment documentation.</w:t>
      </w:r>
      <w:r w:rsidR="005F7085">
        <w:rPr>
          <w:rFonts w:ascii="Arial" w:hAnsi="Arial" w:cs="Arial"/>
          <w:sz w:val="20"/>
          <w:szCs w:val="20"/>
        </w:rPr>
        <w:t xml:space="preserve"> </w:t>
      </w:r>
      <w:r w:rsidR="00047483" w:rsidRPr="00A53CDD">
        <w:rPr>
          <w:rFonts w:ascii="Arial" w:hAnsi="Arial" w:cs="Arial"/>
          <w:sz w:val="20"/>
          <w:szCs w:val="20"/>
        </w:rPr>
        <w:t xml:space="preserve">The provision of these plans is needed to enable an </w:t>
      </w:r>
      <w:r w:rsidR="00047483" w:rsidRPr="00A53CDD">
        <w:rPr>
          <w:rFonts w:ascii="Arial" w:hAnsi="Arial" w:cs="Arial"/>
          <w:sz w:val="20"/>
          <w:szCs w:val="20"/>
        </w:rPr>
        <w:lastRenderedPageBreak/>
        <w:t>assessment of the adequacy of the proposed monitoring programme, and would provide data on the suite of identified impacts within the existing mining area.</w:t>
      </w:r>
    </w:p>
    <w:p w:rsidR="00A53CDD" w:rsidRPr="00CA6D0F" w:rsidRDefault="00A53CDD" w:rsidP="00A53CDD">
      <w:pPr>
        <w:pStyle w:val="ListNumber"/>
        <w:spacing w:after="200" w:line="276" w:lineRule="auto"/>
        <w:rPr>
          <w:rFonts w:ascii="Arial" w:hAnsi="Arial" w:cs="Arial"/>
          <w:sz w:val="20"/>
          <w:szCs w:val="20"/>
        </w:rPr>
      </w:pPr>
      <w:r w:rsidRPr="00CA6D0F">
        <w:rPr>
          <w:rFonts w:ascii="Arial" w:hAnsi="Arial" w:cs="Arial"/>
          <w:sz w:val="20"/>
          <w:szCs w:val="20"/>
        </w:rPr>
        <w:t>The monitoring plan includes a TARP</w:t>
      </w:r>
      <w:r w:rsidR="00CF2A11" w:rsidRPr="00CA6D0F">
        <w:rPr>
          <w:rFonts w:ascii="Arial" w:hAnsi="Arial" w:cs="Arial"/>
          <w:sz w:val="20"/>
          <w:szCs w:val="20"/>
        </w:rPr>
        <w:t xml:space="preserve"> (Trigger Action Response Plan)</w:t>
      </w:r>
      <w:r w:rsidRPr="00CA6D0F">
        <w:rPr>
          <w:rFonts w:ascii="Arial" w:hAnsi="Arial" w:cs="Arial"/>
          <w:sz w:val="20"/>
          <w:szCs w:val="20"/>
        </w:rPr>
        <w:t>. The time lag between mining and observation of impacts, particularly ecological impacts, greatly reduces the potential effectiveness of TARPs. As a result, industry experience shows that mitigation or management actions implemented as a component of a TARP, have been unsuccessful in preventing impacts to, or restoring the ecological function of, any THPSS</w:t>
      </w:r>
      <w:r w:rsidRPr="00CA6D0F">
        <w:rPr>
          <w:rFonts w:ascii="Arial" w:hAnsi="Arial" w:cs="Arial"/>
          <w:sz w:val="20"/>
          <w:szCs w:val="20"/>
          <w:vertAlign w:val="superscript"/>
        </w:rPr>
        <w:t>4,5</w:t>
      </w:r>
      <w:r w:rsidRPr="00CA6D0F">
        <w:rPr>
          <w:rFonts w:ascii="Arial" w:hAnsi="Arial" w:cs="Arial"/>
          <w:sz w:val="20"/>
          <w:szCs w:val="20"/>
        </w:rPr>
        <w:t xml:space="preserve">. </w:t>
      </w:r>
    </w:p>
    <w:p w:rsidR="001F6C60" w:rsidRPr="00CF5929"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4</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rPr>
        <w:t>Which, if any, of these strategies does the IESC recommend, and why?</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1F6C60" w:rsidRPr="00205A04" w:rsidRDefault="001F6C60" w:rsidP="001F6C60">
      <w:pPr>
        <w:pStyle w:val="ListNumber"/>
        <w:spacing w:after="200" w:line="276" w:lineRule="auto"/>
        <w:rPr>
          <w:rFonts w:ascii="Arial" w:hAnsi="Arial" w:cs="Arial"/>
          <w:sz w:val="20"/>
          <w:szCs w:val="20"/>
        </w:rPr>
      </w:pPr>
      <w:r w:rsidRPr="00CA6D0F">
        <w:rPr>
          <w:rFonts w:ascii="Arial" w:hAnsi="Arial" w:cs="Arial"/>
          <w:sz w:val="20"/>
          <w:szCs w:val="20"/>
        </w:rPr>
        <w:t xml:space="preserve">The only </w:t>
      </w:r>
      <w:r w:rsidR="00A53CDD" w:rsidRPr="00CA6D0F">
        <w:rPr>
          <w:rFonts w:ascii="Arial" w:hAnsi="Arial" w:cs="Arial"/>
          <w:sz w:val="20"/>
          <w:szCs w:val="20"/>
        </w:rPr>
        <w:t xml:space="preserve">known </w:t>
      </w:r>
      <w:r w:rsidRPr="00CA6D0F">
        <w:rPr>
          <w:rFonts w:ascii="Arial" w:hAnsi="Arial" w:cs="Arial"/>
          <w:sz w:val="20"/>
          <w:szCs w:val="20"/>
        </w:rPr>
        <w:t>strategy</w:t>
      </w:r>
      <w:r w:rsidRPr="007E1CEC">
        <w:rPr>
          <w:rFonts w:ascii="Arial" w:hAnsi="Arial" w:cs="Arial"/>
          <w:sz w:val="20"/>
          <w:szCs w:val="20"/>
        </w:rPr>
        <w:t xml:space="preserve"> to reduce the risk of impact to THPSS ecological communities within the </w:t>
      </w:r>
      <w:r>
        <w:rPr>
          <w:rFonts w:ascii="Arial" w:hAnsi="Arial" w:cs="Arial"/>
          <w:sz w:val="20"/>
          <w:szCs w:val="20"/>
        </w:rPr>
        <w:t>project area</w:t>
      </w:r>
      <w:r w:rsidRPr="007E1CEC">
        <w:rPr>
          <w:rFonts w:ascii="Arial" w:hAnsi="Arial" w:cs="Arial"/>
          <w:sz w:val="20"/>
          <w:szCs w:val="20"/>
        </w:rPr>
        <w:t xml:space="preserve"> would be to alter the mine layout such that swamps are not undermined by </w:t>
      </w:r>
      <w:proofErr w:type="spellStart"/>
      <w:r w:rsidRPr="007E1CEC">
        <w:rPr>
          <w:rFonts w:ascii="Arial" w:hAnsi="Arial" w:cs="Arial"/>
          <w:sz w:val="20"/>
          <w:szCs w:val="20"/>
        </w:rPr>
        <w:t>longwall</w:t>
      </w:r>
      <w:proofErr w:type="spellEnd"/>
      <w:r w:rsidRPr="007E1CEC">
        <w:rPr>
          <w:rFonts w:ascii="Arial" w:hAnsi="Arial" w:cs="Arial"/>
          <w:sz w:val="20"/>
          <w:szCs w:val="20"/>
        </w:rPr>
        <w:t xml:space="preserve"> panels </w:t>
      </w:r>
      <w:r w:rsidR="0042353D" w:rsidRPr="009E06DB">
        <w:rPr>
          <w:rFonts w:ascii="Arial" w:hAnsi="Arial" w:cs="Arial"/>
          <w:sz w:val="20"/>
          <w:szCs w:val="20"/>
        </w:rPr>
        <w:t xml:space="preserve">and </w:t>
      </w:r>
      <w:proofErr w:type="spellStart"/>
      <w:r w:rsidR="0042353D" w:rsidRPr="009E06DB">
        <w:rPr>
          <w:rFonts w:ascii="Arial" w:hAnsi="Arial" w:cs="Arial"/>
          <w:sz w:val="20"/>
          <w:szCs w:val="20"/>
        </w:rPr>
        <w:t>longwalls</w:t>
      </w:r>
      <w:proofErr w:type="spellEnd"/>
      <w:r w:rsidR="0042353D" w:rsidRPr="009E06DB">
        <w:rPr>
          <w:rFonts w:ascii="Arial" w:hAnsi="Arial" w:cs="Arial"/>
          <w:sz w:val="20"/>
          <w:szCs w:val="20"/>
        </w:rPr>
        <w:t xml:space="preserve"> are </w:t>
      </w:r>
      <w:r w:rsidR="0042353D">
        <w:rPr>
          <w:rFonts w:ascii="Arial" w:hAnsi="Arial" w:cs="Arial"/>
          <w:sz w:val="20"/>
          <w:szCs w:val="20"/>
        </w:rPr>
        <w:t>sufficiently removed from THPSS</w:t>
      </w:r>
      <w:r w:rsidR="0042353D" w:rsidRPr="009E06DB">
        <w:rPr>
          <w:rFonts w:ascii="Arial" w:hAnsi="Arial" w:cs="Arial"/>
          <w:sz w:val="20"/>
          <w:szCs w:val="20"/>
        </w:rPr>
        <w:t xml:space="preserve"> such that tensile</w:t>
      </w:r>
      <w:r w:rsidR="0042353D" w:rsidRPr="00790E24">
        <w:rPr>
          <w:rFonts w:ascii="Arial" w:hAnsi="Arial" w:cs="Arial"/>
          <w:sz w:val="20"/>
          <w:szCs w:val="20"/>
        </w:rPr>
        <w:t xml:space="preserve"> </w:t>
      </w:r>
      <w:r w:rsidR="0042353D" w:rsidRPr="009E06DB">
        <w:rPr>
          <w:rFonts w:ascii="Arial" w:hAnsi="Arial" w:cs="Arial"/>
          <w:sz w:val="20"/>
          <w:szCs w:val="20"/>
        </w:rPr>
        <w:t xml:space="preserve">and compressive strains </w:t>
      </w:r>
      <w:r w:rsidR="0042353D" w:rsidRPr="0070361D">
        <w:rPr>
          <w:rFonts w:ascii="Arial" w:hAnsi="Arial" w:cs="Arial"/>
          <w:sz w:val="20"/>
          <w:szCs w:val="20"/>
        </w:rPr>
        <w:t>at THPSS sites</w:t>
      </w:r>
      <w:r w:rsidR="0042353D">
        <w:rPr>
          <w:rFonts w:ascii="Arial" w:hAnsi="Arial" w:cs="Arial"/>
          <w:sz w:val="20"/>
          <w:szCs w:val="20"/>
        </w:rPr>
        <w:t xml:space="preserve"> </w:t>
      </w:r>
      <w:r w:rsidR="0042353D" w:rsidRPr="009E06DB">
        <w:rPr>
          <w:rFonts w:ascii="Arial" w:hAnsi="Arial" w:cs="Arial"/>
          <w:sz w:val="20"/>
          <w:szCs w:val="20"/>
        </w:rPr>
        <w:t>are below 0.5 mm/m and 2 mm/m respectively</w:t>
      </w:r>
      <w:r w:rsidR="0042353D" w:rsidRPr="009E06DB">
        <w:rPr>
          <w:rFonts w:ascii="Arial" w:hAnsi="Arial" w:cs="Arial"/>
          <w:sz w:val="20"/>
          <w:szCs w:val="20"/>
          <w:vertAlign w:val="superscript"/>
        </w:rPr>
        <w:t>5</w:t>
      </w:r>
      <w:r w:rsidR="0042353D" w:rsidRPr="009E06DB">
        <w:rPr>
          <w:rFonts w:ascii="Arial" w:hAnsi="Arial" w:cs="Arial"/>
          <w:sz w:val="20"/>
          <w:szCs w:val="20"/>
        </w:rPr>
        <w:t>.</w:t>
      </w:r>
      <w:r w:rsidR="0042353D">
        <w:rPr>
          <w:rFonts w:ascii="Arial" w:hAnsi="Arial" w:cs="Arial"/>
          <w:sz w:val="20"/>
          <w:szCs w:val="20"/>
        </w:rPr>
        <w:t xml:space="preserve"> This avoidance strategy should also be applied to any upstream tributaries that provide a significant proportion of surface flow to THPSS. </w:t>
      </w:r>
      <w:r w:rsidRPr="007E1CEC">
        <w:rPr>
          <w:rFonts w:ascii="Arial" w:hAnsi="Arial" w:cs="Arial"/>
          <w:sz w:val="20"/>
          <w:szCs w:val="20"/>
        </w:rPr>
        <w:t xml:space="preserve">This approach is the most likely to prevent impacts to THPSS given the </w:t>
      </w:r>
      <w:r>
        <w:rPr>
          <w:rFonts w:ascii="Arial" w:hAnsi="Arial" w:cs="Arial"/>
          <w:sz w:val="20"/>
          <w:szCs w:val="20"/>
        </w:rPr>
        <w:t xml:space="preserve">potential severity of </w:t>
      </w:r>
      <w:r w:rsidRPr="007E1CEC">
        <w:rPr>
          <w:rFonts w:ascii="Arial" w:hAnsi="Arial" w:cs="Arial"/>
          <w:sz w:val="20"/>
          <w:szCs w:val="20"/>
        </w:rPr>
        <w:t xml:space="preserve"> impacts</w:t>
      </w:r>
      <w:r>
        <w:rPr>
          <w:rFonts w:ascii="Arial" w:hAnsi="Arial" w:cs="Arial"/>
          <w:sz w:val="20"/>
          <w:szCs w:val="20"/>
        </w:rPr>
        <w:t>,</w:t>
      </w:r>
      <w:r w:rsidRPr="007E1CEC">
        <w:rPr>
          <w:rFonts w:ascii="Arial" w:hAnsi="Arial" w:cs="Arial"/>
          <w:sz w:val="20"/>
          <w:szCs w:val="20"/>
        </w:rPr>
        <w:t xml:space="preserve"> difficulties in the accurate and confident prediction</w:t>
      </w:r>
      <w:r>
        <w:rPr>
          <w:rFonts w:ascii="Arial" w:hAnsi="Arial" w:cs="Arial"/>
          <w:sz w:val="20"/>
          <w:szCs w:val="20"/>
        </w:rPr>
        <w:t xml:space="preserve"> of impacts, and the ineffectiveness of other mitigation and management measures</w:t>
      </w:r>
      <w:r w:rsidRPr="007E1CEC">
        <w:rPr>
          <w:rFonts w:ascii="Arial" w:hAnsi="Arial" w:cs="Arial"/>
          <w:sz w:val="20"/>
          <w:szCs w:val="20"/>
        </w:rPr>
        <w:t xml:space="preserve">. Further, there is </w:t>
      </w:r>
      <w:r>
        <w:rPr>
          <w:rFonts w:ascii="Arial" w:hAnsi="Arial" w:cs="Arial"/>
          <w:sz w:val="20"/>
          <w:szCs w:val="20"/>
        </w:rPr>
        <w:t xml:space="preserve">no </w:t>
      </w:r>
      <w:r w:rsidR="00A53CDD" w:rsidRPr="00CA6D0F">
        <w:rPr>
          <w:rFonts w:ascii="Arial" w:hAnsi="Arial" w:cs="Arial"/>
          <w:sz w:val="20"/>
          <w:szCs w:val="20"/>
        </w:rPr>
        <w:t xml:space="preserve">currently </w:t>
      </w:r>
      <w:r w:rsidRPr="00CA6D0F">
        <w:rPr>
          <w:rFonts w:ascii="Arial" w:hAnsi="Arial" w:cs="Arial"/>
          <w:sz w:val="20"/>
          <w:szCs w:val="20"/>
        </w:rPr>
        <w:t>available</w:t>
      </w:r>
      <w:r w:rsidRPr="007E1CEC">
        <w:rPr>
          <w:rFonts w:ascii="Arial" w:hAnsi="Arial" w:cs="Arial"/>
          <w:sz w:val="20"/>
          <w:szCs w:val="20"/>
        </w:rPr>
        <w:t xml:space="preserve"> scientific evidence to </w:t>
      </w:r>
      <w:r w:rsidR="00544484">
        <w:rPr>
          <w:rFonts w:ascii="Arial" w:hAnsi="Arial" w:cs="Arial"/>
          <w:sz w:val="20"/>
          <w:szCs w:val="20"/>
        </w:rPr>
        <w:t>demonstrate</w:t>
      </w:r>
      <w:r w:rsidRPr="007E1CEC">
        <w:rPr>
          <w:rFonts w:ascii="Arial" w:hAnsi="Arial" w:cs="Arial"/>
          <w:sz w:val="20"/>
          <w:szCs w:val="20"/>
        </w:rPr>
        <w:t xml:space="preserve"> that remediation activities are able to successfully restore the ecological and hydraulic functions of these </w:t>
      </w:r>
      <w:r w:rsidR="00544484">
        <w:rPr>
          <w:rFonts w:ascii="Arial" w:hAnsi="Arial" w:cs="Arial"/>
          <w:sz w:val="20"/>
          <w:szCs w:val="20"/>
        </w:rPr>
        <w:t xml:space="preserve">threatened </w:t>
      </w:r>
      <w:r w:rsidRPr="007E1CEC">
        <w:rPr>
          <w:rFonts w:ascii="Arial" w:hAnsi="Arial" w:cs="Arial"/>
          <w:sz w:val="20"/>
          <w:szCs w:val="20"/>
        </w:rPr>
        <w:t>ecological communities to pre-impact condition</w:t>
      </w:r>
      <w:r>
        <w:rPr>
          <w:rFonts w:ascii="Arial" w:hAnsi="Arial" w:cs="Arial"/>
          <w:sz w:val="20"/>
          <w:szCs w:val="20"/>
          <w:vertAlign w:val="superscript"/>
        </w:rPr>
        <w:t>4</w:t>
      </w:r>
      <w:proofErr w:type="gramStart"/>
      <w:r>
        <w:rPr>
          <w:rFonts w:ascii="Arial" w:hAnsi="Arial" w:cs="Arial"/>
          <w:sz w:val="20"/>
          <w:szCs w:val="20"/>
          <w:vertAlign w:val="superscript"/>
        </w:rPr>
        <w:t>,5</w:t>
      </w:r>
      <w:proofErr w:type="gramEnd"/>
      <w:r w:rsidRPr="007E1CEC">
        <w:rPr>
          <w:rFonts w:ascii="Arial" w:hAnsi="Arial" w:cs="Arial"/>
          <w:sz w:val="20"/>
          <w:szCs w:val="20"/>
        </w:rPr>
        <w:t>.</w:t>
      </w:r>
      <w:r>
        <w:rPr>
          <w:rFonts w:ascii="Arial" w:hAnsi="Arial" w:cs="Arial"/>
          <w:sz w:val="20"/>
          <w:szCs w:val="20"/>
        </w:rPr>
        <w:t xml:space="preserve"> </w:t>
      </w:r>
    </w:p>
    <w:p w:rsidR="001F6C60" w:rsidRPr="00513E1F"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lang w:val="en-US"/>
        </w:rPr>
      </w:pPr>
      <w:r w:rsidRPr="00513E1F">
        <w:rPr>
          <w:rFonts w:ascii="Arial" w:hAnsi="Arial" w:cs="Arial"/>
          <w:sz w:val="20"/>
          <w:szCs w:val="20"/>
          <w:lang w:val="en-US"/>
        </w:rPr>
        <w:t xml:space="preserve">Questions 5 to 9 are specifically addressed in relation to the groundwater </w:t>
      </w:r>
      <w:proofErr w:type="spellStart"/>
      <w:r w:rsidRPr="00513E1F">
        <w:rPr>
          <w:rFonts w:ascii="Arial" w:hAnsi="Arial" w:cs="Arial"/>
          <w:sz w:val="20"/>
          <w:szCs w:val="20"/>
          <w:lang w:val="en-US"/>
        </w:rPr>
        <w:t>modelling</w:t>
      </w:r>
      <w:proofErr w:type="spellEnd"/>
      <w:r w:rsidRPr="00513E1F">
        <w:rPr>
          <w:rFonts w:ascii="Arial" w:hAnsi="Arial" w:cs="Arial"/>
          <w:sz w:val="20"/>
          <w:szCs w:val="20"/>
          <w:lang w:val="en-US"/>
        </w:rPr>
        <w:t xml:space="preserve"> </w:t>
      </w:r>
      <w:r>
        <w:rPr>
          <w:rFonts w:ascii="Arial" w:hAnsi="Arial" w:cs="Arial"/>
          <w:sz w:val="20"/>
          <w:szCs w:val="20"/>
          <w:lang w:val="en-US"/>
        </w:rPr>
        <w:t>included within the EIS documentation</w:t>
      </w:r>
      <w:r w:rsidRPr="00513E1F">
        <w:rPr>
          <w:rFonts w:ascii="Arial" w:hAnsi="Arial" w:cs="Arial"/>
          <w:sz w:val="20"/>
          <w:szCs w:val="20"/>
          <w:lang w:val="en-US"/>
        </w:rPr>
        <w:t xml:space="preserve"> and its assessment of the impacts of potential groundwater discharge to surface waters.</w:t>
      </w:r>
    </w:p>
    <w:p w:rsidR="001F6C60" w:rsidRPr="00CF5929"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5</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lang w:val="en-US"/>
        </w:rPr>
        <w:t>Is the groundwater model suitably robust, and are the resulting quantitative predictions accurately and reasonably described?</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047483" w:rsidRDefault="00047483" w:rsidP="00047483">
      <w:pPr>
        <w:pStyle w:val="ListNumber"/>
        <w:spacing w:after="200" w:line="276" w:lineRule="auto"/>
        <w:rPr>
          <w:rFonts w:ascii="Arial" w:hAnsi="Arial" w:cs="Arial"/>
          <w:sz w:val="20"/>
          <w:szCs w:val="20"/>
        </w:rPr>
      </w:pPr>
      <w:r w:rsidRPr="00205A04">
        <w:rPr>
          <w:rFonts w:ascii="Arial" w:hAnsi="Arial" w:cs="Arial"/>
          <w:sz w:val="20"/>
          <w:szCs w:val="20"/>
        </w:rPr>
        <w:t xml:space="preserve">The groundwater model is a regional scale model that provides generally robust predictions of mine groundwater inflows. These are reasonably described. </w:t>
      </w:r>
      <w:r w:rsidRPr="00E04CF0">
        <w:rPr>
          <w:rFonts w:ascii="Arial" w:hAnsi="Arial" w:cs="Arial"/>
          <w:sz w:val="20"/>
          <w:szCs w:val="20"/>
        </w:rPr>
        <w:t>However, due to the scale of the groundwater model, it is limited in its capability to predict groundwater related impacts to surface</w:t>
      </w:r>
      <w:r w:rsidRPr="00047483">
        <w:rPr>
          <w:rFonts w:ascii="Arial" w:hAnsi="Arial" w:cs="Arial"/>
          <w:sz w:val="20"/>
          <w:szCs w:val="20"/>
          <w:highlight w:val="yellow"/>
        </w:rPr>
        <w:t xml:space="preserve"> </w:t>
      </w:r>
      <w:r w:rsidRPr="00CA6D0F">
        <w:rPr>
          <w:rFonts w:ascii="Arial" w:hAnsi="Arial" w:cs="Arial"/>
          <w:sz w:val="20"/>
          <w:szCs w:val="20"/>
        </w:rPr>
        <w:t xml:space="preserve">water systems including those affecting THPSS and proximal reaches of the </w:t>
      </w:r>
      <w:proofErr w:type="spellStart"/>
      <w:r w:rsidRPr="00CA6D0F">
        <w:rPr>
          <w:rFonts w:ascii="Arial" w:hAnsi="Arial" w:cs="Arial"/>
          <w:sz w:val="20"/>
          <w:szCs w:val="20"/>
        </w:rPr>
        <w:t>Coxs</w:t>
      </w:r>
      <w:proofErr w:type="spellEnd"/>
      <w:r w:rsidRPr="00CA6D0F">
        <w:rPr>
          <w:rFonts w:ascii="Arial" w:hAnsi="Arial" w:cs="Arial"/>
          <w:sz w:val="20"/>
          <w:szCs w:val="20"/>
        </w:rPr>
        <w:t xml:space="preserve"> River</w:t>
      </w:r>
      <w:r w:rsidRPr="00205A04">
        <w:rPr>
          <w:rFonts w:ascii="Arial" w:hAnsi="Arial" w:cs="Arial"/>
          <w:sz w:val="20"/>
          <w:szCs w:val="20"/>
        </w:rPr>
        <w:t xml:space="preserve">. This results in a low level of confidence in the predictions of impacts </w:t>
      </w:r>
      <w:r>
        <w:rPr>
          <w:rFonts w:ascii="Arial" w:hAnsi="Arial" w:cs="Arial"/>
          <w:sz w:val="20"/>
          <w:szCs w:val="20"/>
        </w:rPr>
        <w:t>to</w:t>
      </w:r>
      <w:r w:rsidRPr="00205A04">
        <w:rPr>
          <w:rFonts w:ascii="Arial" w:hAnsi="Arial" w:cs="Arial"/>
          <w:sz w:val="20"/>
          <w:szCs w:val="20"/>
        </w:rPr>
        <w:t xml:space="preserve"> Cox’s River </w:t>
      </w:r>
      <w:r>
        <w:rPr>
          <w:rFonts w:ascii="Arial" w:hAnsi="Arial" w:cs="Arial"/>
          <w:sz w:val="20"/>
          <w:szCs w:val="20"/>
        </w:rPr>
        <w:t xml:space="preserve">and THPSS </w:t>
      </w:r>
      <w:proofErr w:type="spellStart"/>
      <w:r w:rsidRPr="00205A04">
        <w:rPr>
          <w:rFonts w:ascii="Arial" w:hAnsi="Arial" w:cs="Arial"/>
          <w:sz w:val="20"/>
          <w:szCs w:val="20"/>
        </w:rPr>
        <w:t>baseflow</w:t>
      </w:r>
      <w:r>
        <w:rPr>
          <w:rFonts w:ascii="Arial" w:hAnsi="Arial" w:cs="Arial"/>
          <w:sz w:val="20"/>
          <w:szCs w:val="20"/>
        </w:rPr>
        <w:t>s</w:t>
      </w:r>
      <w:proofErr w:type="spellEnd"/>
      <w:r w:rsidRPr="00205A04">
        <w:rPr>
          <w:rFonts w:ascii="Arial" w:hAnsi="Arial" w:cs="Arial"/>
          <w:sz w:val="20"/>
          <w:szCs w:val="20"/>
        </w:rPr>
        <w:t xml:space="preserve"> described within the EIS.</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1F6C60" w:rsidRDefault="001F6C60" w:rsidP="001F6C60">
      <w:pPr>
        <w:pStyle w:val="ListNumber"/>
        <w:spacing w:after="200" w:line="276" w:lineRule="auto"/>
        <w:rPr>
          <w:rFonts w:ascii="Arial" w:hAnsi="Arial" w:cs="Arial"/>
          <w:sz w:val="20"/>
          <w:szCs w:val="20"/>
        </w:rPr>
      </w:pPr>
      <w:r w:rsidRPr="00181DF3">
        <w:rPr>
          <w:rFonts w:ascii="Arial" w:hAnsi="Arial" w:cs="Arial"/>
          <w:sz w:val="20"/>
          <w:szCs w:val="20"/>
        </w:rPr>
        <w:t>Many of the groundwater model’s limitations</w:t>
      </w:r>
      <w:r>
        <w:rPr>
          <w:rFonts w:ascii="Arial" w:hAnsi="Arial" w:cs="Arial"/>
          <w:sz w:val="20"/>
          <w:szCs w:val="20"/>
        </w:rPr>
        <w:t>,</w:t>
      </w:r>
      <w:r w:rsidRPr="00181DF3">
        <w:rPr>
          <w:rFonts w:ascii="Arial" w:hAnsi="Arial" w:cs="Arial"/>
          <w:sz w:val="20"/>
          <w:szCs w:val="20"/>
        </w:rPr>
        <w:t xml:space="preserve"> with respect to predic</w:t>
      </w:r>
      <w:r>
        <w:rPr>
          <w:rFonts w:ascii="Arial" w:hAnsi="Arial" w:cs="Arial"/>
          <w:sz w:val="20"/>
          <w:szCs w:val="20"/>
        </w:rPr>
        <w:t xml:space="preserve">ting impacts to water levels </w:t>
      </w:r>
      <w:r w:rsidRPr="00181DF3">
        <w:rPr>
          <w:rFonts w:ascii="Arial" w:hAnsi="Arial" w:cs="Arial"/>
          <w:sz w:val="20"/>
          <w:szCs w:val="20"/>
        </w:rPr>
        <w:t xml:space="preserve">and swamp and stream </w:t>
      </w:r>
      <w:proofErr w:type="spellStart"/>
      <w:r w:rsidRPr="00181DF3">
        <w:rPr>
          <w:rFonts w:ascii="Arial" w:hAnsi="Arial" w:cs="Arial"/>
          <w:sz w:val="20"/>
          <w:szCs w:val="20"/>
        </w:rPr>
        <w:t>baseflow</w:t>
      </w:r>
      <w:r>
        <w:rPr>
          <w:rFonts w:ascii="Arial" w:hAnsi="Arial" w:cs="Arial"/>
          <w:sz w:val="20"/>
          <w:szCs w:val="20"/>
        </w:rPr>
        <w:t>s</w:t>
      </w:r>
      <w:proofErr w:type="spellEnd"/>
      <w:r>
        <w:rPr>
          <w:rFonts w:ascii="Arial" w:hAnsi="Arial" w:cs="Arial"/>
          <w:sz w:val="20"/>
          <w:szCs w:val="20"/>
        </w:rPr>
        <w:t>,</w:t>
      </w:r>
      <w:r w:rsidRPr="00181DF3">
        <w:rPr>
          <w:rFonts w:ascii="Arial" w:hAnsi="Arial" w:cs="Arial"/>
          <w:sz w:val="20"/>
          <w:szCs w:val="20"/>
        </w:rPr>
        <w:t xml:space="preserve"> are identified within the EIS (Appendix E</w:t>
      </w:r>
      <w:r>
        <w:rPr>
          <w:rFonts w:ascii="Arial" w:hAnsi="Arial" w:cs="Arial"/>
          <w:sz w:val="20"/>
          <w:szCs w:val="20"/>
        </w:rPr>
        <w:t>, CSIRO groundwater model</w:t>
      </w:r>
      <w:r w:rsidRPr="00181DF3">
        <w:rPr>
          <w:rFonts w:ascii="Arial" w:hAnsi="Arial" w:cs="Arial"/>
          <w:sz w:val="20"/>
          <w:szCs w:val="20"/>
        </w:rPr>
        <w:t xml:space="preserve">). The following </w:t>
      </w:r>
      <w:r>
        <w:rPr>
          <w:rFonts w:ascii="Arial" w:hAnsi="Arial" w:cs="Arial"/>
          <w:sz w:val="20"/>
          <w:szCs w:val="20"/>
        </w:rPr>
        <w:t>inclusions w</w:t>
      </w:r>
      <w:r w:rsidRPr="00181DF3">
        <w:rPr>
          <w:rFonts w:ascii="Arial" w:hAnsi="Arial" w:cs="Arial"/>
          <w:sz w:val="20"/>
          <w:szCs w:val="20"/>
        </w:rPr>
        <w:t xml:space="preserve">ould </w:t>
      </w:r>
      <w:r>
        <w:rPr>
          <w:rFonts w:ascii="Arial" w:hAnsi="Arial" w:cs="Arial"/>
          <w:sz w:val="20"/>
          <w:szCs w:val="20"/>
        </w:rPr>
        <w:t>reduce un</w:t>
      </w:r>
      <w:r w:rsidRPr="00181DF3">
        <w:rPr>
          <w:rFonts w:ascii="Arial" w:hAnsi="Arial" w:cs="Arial"/>
          <w:sz w:val="20"/>
          <w:szCs w:val="20"/>
        </w:rPr>
        <w:t xml:space="preserve">certainty </w:t>
      </w:r>
      <w:r>
        <w:rPr>
          <w:rFonts w:ascii="Arial" w:hAnsi="Arial" w:cs="Arial"/>
          <w:sz w:val="20"/>
          <w:szCs w:val="20"/>
        </w:rPr>
        <w:t>in the groundwater model’s</w:t>
      </w:r>
      <w:r w:rsidRPr="00181DF3">
        <w:rPr>
          <w:rFonts w:ascii="Arial" w:hAnsi="Arial" w:cs="Arial"/>
          <w:sz w:val="20"/>
          <w:szCs w:val="20"/>
        </w:rPr>
        <w:t xml:space="preserve"> quantitative predictions of groundwater related impacts:</w:t>
      </w:r>
    </w:p>
    <w:p w:rsidR="004F3BCC" w:rsidRPr="00A53CDD" w:rsidRDefault="004F3BCC" w:rsidP="004F3BCC">
      <w:pPr>
        <w:pStyle w:val="ListNumber2"/>
        <w:spacing w:after="200" w:line="276" w:lineRule="auto"/>
        <w:rPr>
          <w:rFonts w:ascii="Arial" w:hAnsi="Arial" w:cs="Arial"/>
          <w:sz w:val="20"/>
        </w:rPr>
      </w:pPr>
      <w:r w:rsidRPr="00A53CDD">
        <w:rPr>
          <w:rFonts w:ascii="Arial" w:hAnsi="Arial" w:cs="Arial"/>
          <w:sz w:val="20"/>
        </w:rPr>
        <w:t xml:space="preserve">Undertake </w:t>
      </w:r>
      <w:proofErr w:type="spellStart"/>
      <w:r w:rsidRPr="00A53CDD">
        <w:rPr>
          <w:rFonts w:ascii="Arial" w:hAnsi="Arial" w:cs="Arial"/>
          <w:sz w:val="20"/>
        </w:rPr>
        <w:t>hydrogeological</w:t>
      </w:r>
      <w:proofErr w:type="spellEnd"/>
      <w:r w:rsidRPr="00A53CDD">
        <w:rPr>
          <w:rFonts w:ascii="Arial" w:hAnsi="Arial" w:cs="Arial"/>
          <w:sz w:val="20"/>
        </w:rPr>
        <w:t xml:space="preserve"> testing and improve the groundwater monitoring network above, below and within the Mt York Claystone. This should be undertaken to improve parameterisation of the groundwater model and to improve the understanding of surface water and groundwater interconnectivity. The effect of subsidence on hydraulic and storage properties of the </w:t>
      </w:r>
      <w:proofErr w:type="spellStart"/>
      <w:r w:rsidRPr="00A53CDD">
        <w:rPr>
          <w:rFonts w:ascii="Arial" w:hAnsi="Arial" w:cs="Arial"/>
          <w:sz w:val="20"/>
        </w:rPr>
        <w:t>hydrogeological</w:t>
      </w:r>
      <w:proofErr w:type="spellEnd"/>
      <w:r w:rsidRPr="00A53CDD">
        <w:rPr>
          <w:rFonts w:ascii="Arial" w:hAnsi="Arial" w:cs="Arial"/>
          <w:sz w:val="20"/>
        </w:rPr>
        <w:t xml:space="preserve"> units above and within the Mt York Claystone should also be assessed.</w:t>
      </w:r>
    </w:p>
    <w:p w:rsidR="001F6C60" w:rsidRPr="003343C1" w:rsidRDefault="001F6C60" w:rsidP="001F6C60">
      <w:pPr>
        <w:pStyle w:val="ListNumber2"/>
        <w:spacing w:after="200" w:line="276" w:lineRule="auto"/>
        <w:rPr>
          <w:rFonts w:ascii="Arial" w:hAnsi="Arial" w:cs="Arial"/>
          <w:sz w:val="20"/>
        </w:rPr>
      </w:pPr>
      <w:r w:rsidRPr="003343C1">
        <w:rPr>
          <w:rFonts w:ascii="Arial" w:hAnsi="Arial" w:cs="Arial"/>
          <w:sz w:val="20"/>
        </w:rPr>
        <w:lastRenderedPageBreak/>
        <w:t>Develop</w:t>
      </w:r>
      <w:r>
        <w:rPr>
          <w:rFonts w:ascii="Arial" w:hAnsi="Arial" w:cs="Arial"/>
          <w:sz w:val="20"/>
        </w:rPr>
        <w:t>ment of a</w:t>
      </w:r>
      <w:r w:rsidRPr="003343C1">
        <w:rPr>
          <w:rFonts w:ascii="Arial" w:hAnsi="Arial" w:cs="Arial"/>
          <w:sz w:val="20"/>
        </w:rPr>
        <w:t xml:space="preserve"> </w:t>
      </w:r>
      <w:r>
        <w:rPr>
          <w:rFonts w:ascii="Arial" w:hAnsi="Arial" w:cs="Arial"/>
          <w:sz w:val="20"/>
        </w:rPr>
        <w:t>finer scale model</w:t>
      </w:r>
      <w:r w:rsidRPr="003343C1">
        <w:rPr>
          <w:rFonts w:ascii="Arial" w:hAnsi="Arial" w:cs="Arial"/>
          <w:sz w:val="20"/>
        </w:rPr>
        <w:t xml:space="preserve"> representative of local scale topography and geology, coupled to an updated regional scale model to enable more reliable representatio</w:t>
      </w:r>
      <w:r w:rsidR="00DB7950">
        <w:rPr>
          <w:rFonts w:ascii="Arial" w:hAnsi="Arial" w:cs="Arial"/>
          <w:sz w:val="20"/>
        </w:rPr>
        <w:t>n of shallow groundwater system</w:t>
      </w:r>
      <w:r w:rsidRPr="003343C1">
        <w:rPr>
          <w:rFonts w:ascii="Arial" w:hAnsi="Arial" w:cs="Arial"/>
          <w:sz w:val="20"/>
        </w:rPr>
        <w:t xml:space="preserve"> dynamics. </w:t>
      </w:r>
      <w:r>
        <w:rPr>
          <w:rFonts w:ascii="Arial" w:hAnsi="Arial" w:cs="Arial"/>
          <w:sz w:val="20"/>
        </w:rPr>
        <w:t>The fine scale model should</w:t>
      </w:r>
      <w:r w:rsidRPr="003343C1">
        <w:rPr>
          <w:rFonts w:ascii="Arial" w:hAnsi="Arial" w:cs="Arial"/>
          <w:sz w:val="20"/>
        </w:rPr>
        <w:t xml:space="preserve"> use site specific climatic (daily time-steps), swamp and stream flow, and water level data</w:t>
      </w:r>
      <w:r>
        <w:rPr>
          <w:rFonts w:ascii="Arial" w:hAnsi="Arial" w:cs="Arial"/>
          <w:sz w:val="20"/>
        </w:rPr>
        <w:t>.</w:t>
      </w:r>
    </w:p>
    <w:p w:rsidR="001F6C60" w:rsidRDefault="001F6C60" w:rsidP="001F6C60">
      <w:pPr>
        <w:pStyle w:val="ListNumber2"/>
        <w:spacing w:after="200" w:line="276" w:lineRule="auto"/>
        <w:rPr>
          <w:rFonts w:ascii="Arial" w:hAnsi="Arial" w:cs="Arial"/>
          <w:sz w:val="20"/>
        </w:rPr>
      </w:pPr>
      <w:r>
        <w:rPr>
          <w:rFonts w:ascii="Arial" w:hAnsi="Arial" w:cs="Arial"/>
          <w:sz w:val="20"/>
        </w:rPr>
        <w:t xml:space="preserve">Development of finer scale modelling of the </w:t>
      </w:r>
      <w:proofErr w:type="spellStart"/>
      <w:r>
        <w:rPr>
          <w:rFonts w:ascii="Arial" w:hAnsi="Arial" w:cs="Arial"/>
          <w:sz w:val="20"/>
        </w:rPr>
        <w:t>Coxs</w:t>
      </w:r>
      <w:proofErr w:type="spellEnd"/>
      <w:r>
        <w:rPr>
          <w:rFonts w:ascii="Arial" w:hAnsi="Arial" w:cs="Arial"/>
          <w:sz w:val="20"/>
        </w:rPr>
        <w:t xml:space="preserve"> River to allow predictions of surface water and groundwater interactions, including:</w:t>
      </w:r>
    </w:p>
    <w:p w:rsidR="001F6C60" w:rsidRDefault="001F6C60" w:rsidP="001F6C60">
      <w:pPr>
        <w:pStyle w:val="ListNumber3"/>
        <w:spacing w:after="200" w:line="276" w:lineRule="auto"/>
        <w:ind w:left="1106"/>
        <w:rPr>
          <w:rFonts w:ascii="Arial" w:hAnsi="Arial" w:cs="Arial"/>
          <w:sz w:val="20"/>
        </w:rPr>
      </w:pPr>
      <w:r>
        <w:rPr>
          <w:rFonts w:ascii="Arial" w:hAnsi="Arial" w:cs="Arial"/>
          <w:sz w:val="20"/>
        </w:rPr>
        <w:t>R</w:t>
      </w:r>
      <w:r w:rsidRPr="00B60C6A">
        <w:rPr>
          <w:rFonts w:ascii="Arial" w:hAnsi="Arial" w:cs="Arial"/>
          <w:sz w:val="20"/>
        </w:rPr>
        <w:t xml:space="preserve">epresentation of </w:t>
      </w:r>
      <w:proofErr w:type="spellStart"/>
      <w:r w:rsidRPr="00B60C6A">
        <w:rPr>
          <w:rFonts w:ascii="Arial" w:hAnsi="Arial" w:cs="Arial"/>
          <w:sz w:val="20"/>
        </w:rPr>
        <w:t>Coxs</w:t>
      </w:r>
      <w:proofErr w:type="spellEnd"/>
      <w:r w:rsidRPr="00B60C6A">
        <w:rPr>
          <w:rFonts w:ascii="Arial" w:hAnsi="Arial" w:cs="Arial"/>
          <w:sz w:val="20"/>
        </w:rPr>
        <w:t xml:space="preserve"> River as </w:t>
      </w:r>
      <w:r w:rsidR="00CE0BC4">
        <w:rPr>
          <w:rFonts w:ascii="Arial" w:hAnsi="Arial" w:cs="Arial"/>
          <w:sz w:val="20"/>
        </w:rPr>
        <w:t>a river</w:t>
      </w:r>
      <w:r w:rsidR="00CE0BC4" w:rsidRPr="00B60C6A">
        <w:rPr>
          <w:rFonts w:ascii="Arial" w:hAnsi="Arial" w:cs="Arial"/>
          <w:sz w:val="20"/>
        </w:rPr>
        <w:t xml:space="preserve"> </w:t>
      </w:r>
      <w:r w:rsidRPr="00B60C6A">
        <w:rPr>
          <w:rFonts w:ascii="Arial" w:hAnsi="Arial" w:cs="Arial"/>
          <w:sz w:val="20"/>
        </w:rPr>
        <w:t>within the groundwater model</w:t>
      </w:r>
      <w:r>
        <w:rPr>
          <w:rFonts w:ascii="Arial" w:hAnsi="Arial" w:cs="Arial"/>
          <w:sz w:val="20"/>
        </w:rPr>
        <w:t>.</w:t>
      </w:r>
    </w:p>
    <w:p w:rsidR="001F6C60" w:rsidRDefault="001F6C60" w:rsidP="001F6C60">
      <w:pPr>
        <w:pStyle w:val="ListNumber3"/>
        <w:spacing w:after="200" w:line="276" w:lineRule="auto"/>
        <w:ind w:left="1106"/>
        <w:rPr>
          <w:rFonts w:ascii="Arial" w:hAnsi="Arial" w:cs="Arial"/>
          <w:sz w:val="20"/>
        </w:rPr>
      </w:pPr>
      <w:r>
        <w:rPr>
          <w:rFonts w:ascii="Arial" w:hAnsi="Arial" w:cs="Arial"/>
          <w:sz w:val="20"/>
        </w:rPr>
        <w:t xml:space="preserve">Undertaking hydraulic characterisation of river and aquifer connectivity including characterisation of connectivity between </w:t>
      </w:r>
      <w:proofErr w:type="spellStart"/>
      <w:r>
        <w:rPr>
          <w:rFonts w:ascii="Arial" w:hAnsi="Arial" w:cs="Arial"/>
          <w:sz w:val="20"/>
        </w:rPr>
        <w:t>Coxs</w:t>
      </w:r>
      <w:proofErr w:type="spellEnd"/>
      <w:r>
        <w:rPr>
          <w:rFonts w:ascii="Arial" w:hAnsi="Arial" w:cs="Arial"/>
          <w:sz w:val="20"/>
        </w:rPr>
        <w:t xml:space="preserve"> River, </w:t>
      </w:r>
      <w:proofErr w:type="spellStart"/>
      <w:r>
        <w:rPr>
          <w:rFonts w:ascii="Arial" w:hAnsi="Arial" w:cs="Arial"/>
          <w:sz w:val="20"/>
        </w:rPr>
        <w:t>Coxs</w:t>
      </w:r>
      <w:proofErr w:type="spellEnd"/>
      <w:r>
        <w:rPr>
          <w:rFonts w:ascii="Arial" w:hAnsi="Arial" w:cs="Arial"/>
          <w:sz w:val="20"/>
        </w:rPr>
        <w:t xml:space="preserve"> River alluvium and mine impacted </w:t>
      </w:r>
      <w:proofErr w:type="spellStart"/>
      <w:r>
        <w:rPr>
          <w:rFonts w:ascii="Arial" w:hAnsi="Arial" w:cs="Arial"/>
          <w:sz w:val="20"/>
        </w:rPr>
        <w:t>hydrogeological</w:t>
      </w:r>
      <w:proofErr w:type="spellEnd"/>
      <w:r>
        <w:rPr>
          <w:rFonts w:ascii="Arial" w:hAnsi="Arial" w:cs="Arial"/>
          <w:sz w:val="20"/>
        </w:rPr>
        <w:t xml:space="preserve"> units.</w:t>
      </w:r>
    </w:p>
    <w:p w:rsidR="001F6C60" w:rsidRPr="00B60C6A" w:rsidRDefault="001F6C60" w:rsidP="001F6C60">
      <w:pPr>
        <w:pStyle w:val="ListNumber3"/>
        <w:spacing w:after="200" w:line="276" w:lineRule="auto"/>
        <w:ind w:left="1106"/>
        <w:rPr>
          <w:rFonts w:ascii="Arial" w:hAnsi="Arial" w:cs="Arial"/>
          <w:sz w:val="20"/>
        </w:rPr>
      </w:pPr>
      <w:r>
        <w:rPr>
          <w:rFonts w:ascii="Arial" w:hAnsi="Arial" w:cs="Arial"/>
          <w:sz w:val="20"/>
        </w:rPr>
        <w:t>Identification of</w:t>
      </w:r>
      <w:r w:rsidRPr="00B60C6A">
        <w:rPr>
          <w:rFonts w:ascii="Arial" w:hAnsi="Arial" w:cs="Arial"/>
          <w:sz w:val="20"/>
        </w:rPr>
        <w:t xml:space="preserve"> </w:t>
      </w:r>
      <w:r>
        <w:rPr>
          <w:rFonts w:ascii="Arial" w:hAnsi="Arial" w:cs="Arial"/>
          <w:sz w:val="20"/>
        </w:rPr>
        <w:t xml:space="preserve">the </w:t>
      </w:r>
      <w:proofErr w:type="spellStart"/>
      <w:r w:rsidRPr="00B60C6A">
        <w:rPr>
          <w:rFonts w:ascii="Arial" w:hAnsi="Arial" w:cs="Arial"/>
          <w:sz w:val="20"/>
        </w:rPr>
        <w:t>baseflow</w:t>
      </w:r>
      <w:proofErr w:type="spellEnd"/>
      <w:r w:rsidRPr="00B60C6A">
        <w:rPr>
          <w:rFonts w:ascii="Arial" w:hAnsi="Arial" w:cs="Arial"/>
          <w:sz w:val="20"/>
        </w:rPr>
        <w:t xml:space="preserve"> proportions of flows within swamps</w:t>
      </w:r>
      <w:r>
        <w:rPr>
          <w:rFonts w:ascii="Arial" w:hAnsi="Arial" w:cs="Arial"/>
          <w:sz w:val="20"/>
        </w:rPr>
        <w:t xml:space="preserve"> that are located</w:t>
      </w:r>
      <w:r w:rsidRPr="00B60C6A">
        <w:rPr>
          <w:rFonts w:ascii="Arial" w:hAnsi="Arial" w:cs="Arial"/>
          <w:sz w:val="20"/>
        </w:rPr>
        <w:t xml:space="preserve"> in tributaries of </w:t>
      </w:r>
      <w:proofErr w:type="spellStart"/>
      <w:r w:rsidRPr="00B60C6A">
        <w:rPr>
          <w:rFonts w:ascii="Arial" w:hAnsi="Arial" w:cs="Arial"/>
          <w:sz w:val="20"/>
        </w:rPr>
        <w:t>Coxs</w:t>
      </w:r>
      <w:proofErr w:type="spellEnd"/>
      <w:r w:rsidRPr="00B60C6A">
        <w:rPr>
          <w:rFonts w:ascii="Arial" w:hAnsi="Arial" w:cs="Arial"/>
          <w:sz w:val="20"/>
        </w:rPr>
        <w:t xml:space="preserve"> River </w:t>
      </w:r>
      <w:r>
        <w:rPr>
          <w:rFonts w:ascii="Arial" w:hAnsi="Arial" w:cs="Arial"/>
          <w:sz w:val="20"/>
        </w:rPr>
        <w:t>and</w:t>
      </w:r>
      <w:r w:rsidRPr="00B60C6A">
        <w:rPr>
          <w:rFonts w:ascii="Arial" w:hAnsi="Arial" w:cs="Arial"/>
          <w:sz w:val="20"/>
        </w:rPr>
        <w:t xml:space="preserve"> are upstream of discharge points. The effect of reduced </w:t>
      </w:r>
      <w:proofErr w:type="spellStart"/>
      <w:r w:rsidRPr="00B60C6A">
        <w:rPr>
          <w:rFonts w:ascii="Arial" w:hAnsi="Arial" w:cs="Arial"/>
          <w:sz w:val="20"/>
        </w:rPr>
        <w:t>baseflow</w:t>
      </w:r>
      <w:proofErr w:type="spellEnd"/>
      <w:r w:rsidRPr="00B60C6A">
        <w:rPr>
          <w:rFonts w:ascii="Arial" w:hAnsi="Arial" w:cs="Arial"/>
          <w:sz w:val="20"/>
        </w:rPr>
        <w:t xml:space="preserve"> provision to upper reaches of </w:t>
      </w:r>
      <w:proofErr w:type="spellStart"/>
      <w:r w:rsidRPr="00B60C6A">
        <w:rPr>
          <w:rFonts w:ascii="Arial" w:hAnsi="Arial" w:cs="Arial"/>
          <w:sz w:val="20"/>
        </w:rPr>
        <w:t>Coxs</w:t>
      </w:r>
      <w:proofErr w:type="spellEnd"/>
      <w:r w:rsidRPr="00B60C6A">
        <w:rPr>
          <w:rFonts w:ascii="Arial" w:hAnsi="Arial" w:cs="Arial"/>
          <w:sz w:val="20"/>
        </w:rPr>
        <w:t xml:space="preserve"> River should then be assessed against observed flow data to determine potential impacts to the </w:t>
      </w:r>
      <w:proofErr w:type="spellStart"/>
      <w:r w:rsidRPr="00B60C6A">
        <w:rPr>
          <w:rFonts w:ascii="Arial" w:hAnsi="Arial" w:cs="Arial"/>
          <w:sz w:val="20"/>
        </w:rPr>
        <w:t>Coxs</w:t>
      </w:r>
      <w:proofErr w:type="spellEnd"/>
      <w:r w:rsidRPr="00B60C6A">
        <w:rPr>
          <w:rFonts w:ascii="Arial" w:hAnsi="Arial" w:cs="Arial"/>
          <w:sz w:val="20"/>
        </w:rPr>
        <w:t xml:space="preserve"> River flow regime.</w:t>
      </w:r>
    </w:p>
    <w:p w:rsidR="001F6C60" w:rsidRPr="00CF5929"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6</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rPr>
        <w:t xml:space="preserve">Are the cumulative water quality impacts of discharges to the </w:t>
      </w:r>
      <w:proofErr w:type="spellStart"/>
      <w:r w:rsidRPr="007B5CB5">
        <w:rPr>
          <w:rFonts w:ascii="Arial" w:hAnsi="Arial" w:cs="Arial"/>
          <w:sz w:val="20"/>
          <w:szCs w:val="20"/>
        </w:rPr>
        <w:t>Coxs</w:t>
      </w:r>
      <w:proofErr w:type="spellEnd"/>
      <w:r w:rsidRPr="007B5CB5">
        <w:rPr>
          <w:rFonts w:ascii="Arial" w:hAnsi="Arial" w:cs="Arial"/>
          <w:sz w:val="20"/>
          <w:szCs w:val="20"/>
        </w:rPr>
        <w:t xml:space="preserve"> River accurately and reasonably described?</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1F6C60" w:rsidRPr="0059583B" w:rsidRDefault="001F6C60" w:rsidP="001F6C60">
      <w:pPr>
        <w:pStyle w:val="ListNumber"/>
        <w:spacing w:after="200" w:line="276" w:lineRule="auto"/>
        <w:rPr>
          <w:rFonts w:ascii="Arial" w:hAnsi="Arial" w:cs="Arial"/>
          <w:sz w:val="20"/>
          <w:szCs w:val="20"/>
        </w:rPr>
      </w:pPr>
      <w:r w:rsidRPr="0059583B">
        <w:rPr>
          <w:rFonts w:ascii="Arial" w:hAnsi="Arial" w:cs="Arial"/>
          <w:sz w:val="20"/>
          <w:szCs w:val="20"/>
        </w:rPr>
        <w:t xml:space="preserve">The cumulative water quality impacts of Springvale </w:t>
      </w:r>
      <w:r w:rsidR="00F53047">
        <w:rPr>
          <w:rFonts w:ascii="Arial" w:hAnsi="Arial" w:cs="Arial"/>
          <w:sz w:val="20"/>
          <w:szCs w:val="20"/>
        </w:rPr>
        <w:t xml:space="preserve">and </w:t>
      </w:r>
      <w:r w:rsidR="00F53047" w:rsidRPr="0059583B">
        <w:rPr>
          <w:rFonts w:ascii="Arial" w:hAnsi="Arial" w:cs="Arial"/>
          <w:sz w:val="20"/>
          <w:szCs w:val="20"/>
        </w:rPr>
        <w:t xml:space="preserve">Angus Place </w:t>
      </w:r>
      <w:r w:rsidRPr="0059583B">
        <w:rPr>
          <w:rFonts w:ascii="Arial" w:hAnsi="Arial" w:cs="Arial"/>
          <w:sz w:val="20"/>
          <w:szCs w:val="20"/>
        </w:rPr>
        <w:t xml:space="preserve">mine water discharges to the </w:t>
      </w:r>
      <w:proofErr w:type="spellStart"/>
      <w:r w:rsidRPr="0059583B">
        <w:rPr>
          <w:rFonts w:ascii="Arial" w:hAnsi="Arial" w:cs="Arial"/>
          <w:sz w:val="20"/>
          <w:szCs w:val="20"/>
        </w:rPr>
        <w:t>Coxs</w:t>
      </w:r>
      <w:proofErr w:type="spellEnd"/>
      <w:r w:rsidRPr="0059583B">
        <w:rPr>
          <w:rFonts w:ascii="Arial" w:hAnsi="Arial" w:cs="Arial"/>
          <w:sz w:val="20"/>
          <w:szCs w:val="20"/>
        </w:rPr>
        <w:t xml:space="preserve"> River, an important contributing source to Sydney’s drinking water supply, were not modelled for all relevant contaminants, did not consider all likely discharge conditions</w:t>
      </w:r>
      <w:r>
        <w:rPr>
          <w:rFonts w:ascii="Arial" w:hAnsi="Arial" w:cs="Arial"/>
          <w:sz w:val="20"/>
          <w:szCs w:val="20"/>
        </w:rPr>
        <w:t>,</w:t>
      </w:r>
      <w:r w:rsidRPr="0059583B">
        <w:rPr>
          <w:rFonts w:ascii="Arial" w:hAnsi="Arial" w:cs="Arial"/>
          <w:sz w:val="20"/>
          <w:szCs w:val="20"/>
        </w:rPr>
        <w:t xml:space="preserve"> and are therefore not accurately and reasonably described. </w:t>
      </w:r>
    </w:p>
    <w:p w:rsidR="00D81662" w:rsidRPr="00D81662" w:rsidRDefault="00D81662" w:rsidP="00D81662">
      <w:pPr>
        <w:pStyle w:val="ListNumber"/>
        <w:spacing w:after="200" w:line="276" w:lineRule="auto"/>
        <w:rPr>
          <w:rFonts w:ascii="Arial" w:hAnsi="Arial" w:cs="Arial"/>
          <w:sz w:val="20"/>
          <w:szCs w:val="20"/>
        </w:rPr>
      </w:pPr>
      <w:r w:rsidRPr="00D81662">
        <w:rPr>
          <w:rFonts w:ascii="Arial" w:hAnsi="Arial" w:cs="Arial"/>
          <w:sz w:val="20"/>
          <w:szCs w:val="20"/>
        </w:rPr>
        <w:t xml:space="preserve">Salinity was the only water quality variable modelled for cumulative impacts. </w:t>
      </w:r>
      <w:r w:rsidRPr="00F85780">
        <w:rPr>
          <w:rFonts w:ascii="Arial" w:hAnsi="Arial" w:cs="Arial"/>
          <w:sz w:val="20"/>
          <w:szCs w:val="20"/>
        </w:rPr>
        <w:t>The cumulative impact of other contaminants was not provided, even though the EIS states (Appendix C within Appendix F) that levels of copper, zinc, nitrogen and phosphorus have been elevated above ANZECC</w:t>
      </w:r>
      <w:r w:rsidRPr="00CF2A11">
        <w:rPr>
          <w:rFonts w:ascii="Arial" w:hAnsi="Arial" w:cs="Arial"/>
          <w:sz w:val="20"/>
          <w:szCs w:val="20"/>
          <w:vertAlign w:val="superscript"/>
        </w:rPr>
        <w:t>2</w:t>
      </w:r>
      <w:r w:rsidRPr="00F85780">
        <w:rPr>
          <w:rFonts w:ascii="Arial" w:hAnsi="Arial" w:cs="Arial"/>
          <w:sz w:val="20"/>
          <w:szCs w:val="20"/>
        </w:rPr>
        <w:t xml:space="preserve"> 95th percentile protection level for slightly </w:t>
      </w:r>
      <w:proofErr w:type="gramStart"/>
      <w:r w:rsidRPr="00F85780">
        <w:rPr>
          <w:rFonts w:ascii="Arial" w:hAnsi="Arial" w:cs="Arial"/>
          <w:sz w:val="20"/>
          <w:szCs w:val="20"/>
        </w:rPr>
        <w:t>to</w:t>
      </w:r>
      <w:proofErr w:type="gramEnd"/>
      <w:r w:rsidRPr="00F85780">
        <w:rPr>
          <w:rFonts w:ascii="Arial" w:hAnsi="Arial" w:cs="Arial"/>
          <w:sz w:val="20"/>
          <w:szCs w:val="20"/>
        </w:rPr>
        <w:t xml:space="preserve"> moderately disturbed ecosystems.</w:t>
      </w:r>
      <w:r w:rsidRPr="00D81662">
        <w:rPr>
          <w:rFonts w:ascii="Arial" w:hAnsi="Arial" w:cs="Arial"/>
          <w:sz w:val="20"/>
          <w:szCs w:val="20"/>
        </w:rPr>
        <w:t xml:space="preserve"> The contributing water quality impacts to </w:t>
      </w:r>
      <w:proofErr w:type="spellStart"/>
      <w:r w:rsidRPr="00D81662">
        <w:rPr>
          <w:rFonts w:ascii="Arial" w:hAnsi="Arial" w:cs="Arial"/>
          <w:sz w:val="20"/>
          <w:szCs w:val="20"/>
        </w:rPr>
        <w:t>Coxs</w:t>
      </w:r>
      <w:proofErr w:type="spellEnd"/>
      <w:r w:rsidRPr="00D81662">
        <w:rPr>
          <w:rFonts w:ascii="Arial" w:hAnsi="Arial" w:cs="Arial"/>
          <w:sz w:val="20"/>
          <w:szCs w:val="20"/>
        </w:rPr>
        <w:t xml:space="preserve"> River from other mines in the area are not quantified.</w:t>
      </w:r>
    </w:p>
    <w:p w:rsidR="001F6C60" w:rsidRPr="0059583B" w:rsidRDefault="001F6C60" w:rsidP="001F6C60">
      <w:pPr>
        <w:pStyle w:val="ListNumber"/>
        <w:spacing w:after="200" w:line="276" w:lineRule="auto"/>
        <w:rPr>
          <w:rFonts w:ascii="Arial" w:hAnsi="Arial" w:cs="Arial"/>
          <w:sz w:val="20"/>
          <w:szCs w:val="20"/>
        </w:rPr>
      </w:pPr>
      <w:r w:rsidRPr="0059583B">
        <w:rPr>
          <w:rFonts w:ascii="Arial" w:hAnsi="Arial" w:cs="Arial"/>
          <w:sz w:val="20"/>
          <w:szCs w:val="20"/>
        </w:rPr>
        <w:t xml:space="preserve">Water quality impact estimations for the </w:t>
      </w:r>
      <w:proofErr w:type="spellStart"/>
      <w:r w:rsidRPr="0059583B">
        <w:rPr>
          <w:rFonts w:ascii="Arial" w:hAnsi="Arial" w:cs="Arial"/>
          <w:sz w:val="20"/>
          <w:szCs w:val="20"/>
        </w:rPr>
        <w:t>Coxs</w:t>
      </w:r>
      <w:proofErr w:type="spellEnd"/>
      <w:r w:rsidRPr="0059583B">
        <w:rPr>
          <w:rFonts w:ascii="Arial" w:hAnsi="Arial" w:cs="Arial"/>
          <w:sz w:val="20"/>
          <w:szCs w:val="20"/>
        </w:rPr>
        <w:t xml:space="preserve"> River for both Springvale and Angus Place were conducted for scenarios that included the transfer of large volumes of water through the Springvale Delta Water Transfer Scheme (SDWTS) to the Wallerawang Power Station. This may no longer be a viable option because the Wallerawang Power Station has been placed </w:t>
      </w:r>
      <w:r w:rsidR="006125AA">
        <w:rPr>
          <w:rFonts w:ascii="Arial" w:hAnsi="Arial" w:cs="Arial"/>
          <w:sz w:val="20"/>
          <w:szCs w:val="20"/>
        </w:rPr>
        <w:t>into</w:t>
      </w:r>
      <w:r w:rsidRPr="0059583B">
        <w:rPr>
          <w:rFonts w:ascii="Arial" w:hAnsi="Arial" w:cs="Arial"/>
          <w:sz w:val="20"/>
          <w:szCs w:val="20"/>
        </w:rPr>
        <w:t xml:space="preserve"> care and maintenance. Increased discharge volumes resulting from reduced demand from the Wallerawang Power Station would affect the outcome of the cumulative water quality impact assessment and should be considered as a potential discharge scenario.  </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1F6C60" w:rsidRPr="00EC4674" w:rsidRDefault="001F6C60" w:rsidP="001F6C60">
      <w:pPr>
        <w:pStyle w:val="ListNumber"/>
        <w:numPr>
          <w:ilvl w:val="0"/>
          <w:numId w:val="0"/>
        </w:numPr>
        <w:spacing w:after="200" w:line="276" w:lineRule="auto"/>
        <w:ind w:left="369" w:hanging="369"/>
        <w:rPr>
          <w:rFonts w:ascii="Arial" w:hAnsi="Arial" w:cs="Arial"/>
          <w:i/>
          <w:sz w:val="20"/>
          <w:szCs w:val="20"/>
        </w:rPr>
      </w:pPr>
      <w:r w:rsidRPr="00EC4674">
        <w:rPr>
          <w:rFonts w:ascii="Arial" w:hAnsi="Arial" w:cs="Arial"/>
          <w:i/>
          <w:sz w:val="20"/>
          <w:szCs w:val="20"/>
        </w:rPr>
        <w:t>Cumulative water quality impact assessment</w:t>
      </w:r>
    </w:p>
    <w:p w:rsidR="001F6C60" w:rsidRPr="00C56084" w:rsidRDefault="001F6C60" w:rsidP="001F6C60">
      <w:pPr>
        <w:pStyle w:val="ListNumber"/>
        <w:spacing w:after="200" w:line="276" w:lineRule="auto"/>
        <w:rPr>
          <w:rFonts w:ascii="Arial" w:hAnsi="Arial" w:cs="Arial"/>
          <w:sz w:val="20"/>
          <w:szCs w:val="20"/>
        </w:rPr>
      </w:pPr>
      <w:r w:rsidRPr="00C56084">
        <w:rPr>
          <w:rFonts w:ascii="Arial" w:hAnsi="Arial" w:cs="Arial"/>
          <w:sz w:val="20"/>
          <w:szCs w:val="20"/>
        </w:rPr>
        <w:t>The regional water balance provides estimates of cumulative water extraction a</w:t>
      </w:r>
      <w:r w:rsidR="00C634B5">
        <w:rPr>
          <w:rFonts w:ascii="Arial" w:hAnsi="Arial" w:cs="Arial"/>
          <w:sz w:val="20"/>
          <w:szCs w:val="20"/>
        </w:rPr>
        <w:t>nd mine water discharge volumes</w:t>
      </w:r>
      <w:r w:rsidRPr="00C56084">
        <w:rPr>
          <w:rFonts w:ascii="Arial" w:hAnsi="Arial" w:cs="Arial"/>
          <w:sz w:val="20"/>
          <w:szCs w:val="20"/>
        </w:rPr>
        <w:t xml:space="preserve"> for groundwater and surface water management units resulting from mines in the Western Coalfields. However, these analyses were conducted to determine whether water licensing for Centennial operations in the corresponding water management areas would be sufficient, and does not focus on the </w:t>
      </w:r>
      <w:proofErr w:type="spellStart"/>
      <w:r w:rsidRPr="00C56084">
        <w:rPr>
          <w:rFonts w:ascii="Arial" w:hAnsi="Arial" w:cs="Arial"/>
          <w:sz w:val="20"/>
          <w:szCs w:val="20"/>
        </w:rPr>
        <w:t>Coxs</w:t>
      </w:r>
      <w:proofErr w:type="spellEnd"/>
      <w:r w:rsidRPr="00C56084">
        <w:rPr>
          <w:rFonts w:ascii="Arial" w:hAnsi="Arial" w:cs="Arial"/>
          <w:sz w:val="20"/>
          <w:szCs w:val="20"/>
        </w:rPr>
        <w:t xml:space="preserve"> River catchment. </w:t>
      </w:r>
    </w:p>
    <w:p w:rsidR="00F85780" w:rsidRPr="00CA6D0F" w:rsidRDefault="00F85780" w:rsidP="00F85780">
      <w:pPr>
        <w:pStyle w:val="ListNumber"/>
        <w:spacing w:after="200" w:line="276" w:lineRule="auto"/>
        <w:rPr>
          <w:rFonts w:ascii="Arial" w:hAnsi="Arial" w:cs="Arial"/>
          <w:sz w:val="20"/>
          <w:szCs w:val="20"/>
        </w:rPr>
      </w:pPr>
      <w:r w:rsidRPr="00CA6D0F">
        <w:rPr>
          <w:rFonts w:ascii="Arial" w:hAnsi="Arial" w:cs="Arial"/>
          <w:sz w:val="20"/>
          <w:szCs w:val="20"/>
        </w:rPr>
        <w:t xml:space="preserve">The potential cumulative impacts of copper, zinc, nitrogen and phosphorus on the </w:t>
      </w:r>
      <w:proofErr w:type="spellStart"/>
      <w:r w:rsidRPr="00CA6D0F">
        <w:rPr>
          <w:rFonts w:ascii="Arial" w:hAnsi="Arial" w:cs="Arial"/>
          <w:sz w:val="20"/>
          <w:szCs w:val="20"/>
        </w:rPr>
        <w:t>Coxs</w:t>
      </w:r>
      <w:proofErr w:type="spellEnd"/>
      <w:r w:rsidRPr="00CA6D0F">
        <w:rPr>
          <w:rFonts w:ascii="Arial" w:hAnsi="Arial" w:cs="Arial"/>
          <w:sz w:val="20"/>
          <w:szCs w:val="20"/>
        </w:rPr>
        <w:t xml:space="preserve"> River were not considered in the EIS. The proponent should describe the contribution of mine water </w:t>
      </w:r>
      <w:r w:rsidRPr="00CA6D0F">
        <w:rPr>
          <w:rFonts w:ascii="Arial" w:hAnsi="Arial" w:cs="Arial"/>
          <w:sz w:val="20"/>
          <w:szCs w:val="20"/>
        </w:rPr>
        <w:lastRenderedPageBreak/>
        <w:t>discharges to potential cumulative impacts of relevant water quality variables in line with the ANZECC</w:t>
      </w:r>
      <w:r w:rsidRPr="00CA6D0F">
        <w:rPr>
          <w:rFonts w:ascii="Arial" w:hAnsi="Arial" w:cs="Arial"/>
          <w:sz w:val="20"/>
          <w:szCs w:val="20"/>
          <w:vertAlign w:val="superscript"/>
        </w:rPr>
        <w:t>2</w:t>
      </w:r>
      <w:r w:rsidRPr="00CA6D0F">
        <w:rPr>
          <w:rFonts w:ascii="Arial" w:hAnsi="Arial" w:cs="Arial"/>
          <w:sz w:val="20"/>
          <w:szCs w:val="20"/>
        </w:rPr>
        <w:t xml:space="preserve"> Guidelines.</w:t>
      </w:r>
    </w:p>
    <w:p w:rsidR="001F6C60" w:rsidRDefault="001F6C60" w:rsidP="001F6C60">
      <w:pPr>
        <w:pStyle w:val="ListNumber"/>
        <w:spacing w:after="200" w:line="276" w:lineRule="auto"/>
        <w:rPr>
          <w:rFonts w:ascii="Arial" w:hAnsi="Arial" w:cs="Arial"/>
          <w:sz w:val="20"/>
          <w:szCs w:val="20"/>
        </w:rPr>
      </w:pPr>
      <w:r w:rsidRPr="00C56084">
        <w:rPr>
          <w:rFonts w:ascii="Arial" w:hAnsi="Arial" w:cs="Arial"/>
          <w:sz w:val="20"/>
          <w:szCs w:val="20"/>
        </w:rPr>
        <w:t>The proponent’s conclusions from the regional water balance are that there are no expected sustained increases to pollution loads from the current operations. This statement is not substantiated by appropriate analyses. In order to accurately and reasonably describe cumulative water quality impacts to</w:t>
      </w:r>
      <w:r>
        <w:rPr>
          <w:rFonts w:ascii="Arial" w:hAnsi="Arial" w:cs="Arial"/>
          <w:sz w:val="20"/>
          <w:szCs w:val="20"/>
        </w:rPr>
        <w:t xml:space="preserve"> all reaches</w:t>
      </w:r>
      <w:r w:rsidRPr="00C56084">
        <w:rPr>
          <w:rFonts w:ascii="Arial" w:hAnsi="Arial" w:cs="Arial"/>
          <w:sz w:val="20"/>
          <w:szCs w:val="20"/>
        </w:rPr>
        <w:t xml:space="preserve"> </w:t>
      </w:r>
      <w:r>
        <w:rPr>
          <w:rFonts w:ascii="Arial" w:hAnsi="Arial" w:cs="Arial"/>
          <w:sz w:val="20"/>
          <w:szCs w:val="20"/>
        </w:rPr>
        <w:t xml:space="preserve">of </w:t>
      </w:r>
      <w:r w:rsidRPr="00C56084">
        <w:rPr>
          <w:rFonts w:ascii="Arial" w:hAnsi="Arial" w:cs="Arial"/>
          <w:sz w:val="20"/>
          <w:szCs w:val="20"/>
        </w:rPr>
        <w:t xml:space="preserve">the </w:t>
      </w:r>
      <w:proofErr w:type="spellStart"/>
      <w:r w:rsidRPr="00C56084">
        <w:rPr>
          <w:rFonts w:ascii="Arial" w:hAnsi="Arial" w:cs="Arial"/>
          <w:sz w:val="20"/>
          <w:szCs w:val="20"/>
        </w:rPr>
        <w:t>Coxs</w:t>
      </w:r>
      <w:proofErr w:type="spellEnd"/>
      <w:r w:rsidRPr="00C56084">
        <w:rPr>
          <w:rFonts w:ascii="Arial" w:hAnsi="Arial" w:cs="Arial"/>
          <w:sz w:val="20"/>
          <w:szCs w:val="20"/>
        </w:rPr>
        <w:t xml:space="preserve"> River, a regional water balance and cumulative water quality impact model that encompasses all relevant extractions and discharges (including any groundwater extractions that may reduce </w:t>
      </w:r>
      <w:proofErr w:type="spellStart"/>
      <w:r w:rsidRPr="00C56084">
        <w:rPr>
          <w:rFonts w:ascii="Arial" w:hAnsi="Arial" w:cs="Arial"/>
          <w:sz w:val="20"/>
          <w:szCs w:val="20"/>
        </w:rPr>
        <w:t>baseflows</w:t>
      </w:r>
      <w:proofErr w:type="spellEnd"/>
      <w:r w:rsidRPr="00C56084">
        <w:rPr>
          <w:rFonts w:ascii="Arial" w:hAnsi="Arial" w:cs="Arial"/>
          <w:sz w:val="20"/>
          <w:szCs w:val="20"/>
        </w:rPr>
        <w:t xml:space="preserve"> in the </w:t>
      </w:r>
      <w:proofErr w:type="spellStart"/>
      <w:r w:rsidRPr="00C56084">
        <w:rPr>
          <w:rFonts w:ascii="Arial" w:hAnsi="Arial" w:cs="Arial"/>
          <w:sz w:val="20"/>
          <w:szCs w:val="20"/>
        </w:rPr>
        <w:t>Coxs</w:t>
      </w:r>
      <w:proofErr w:type="spellEnd"/>
      <w:r w:rsidRPr="00C56084">
        <w:rPr>
          <w:rFonts w:ascii="Arial" w:hAnsi="Arial" w:cs="Arial"/>
          <w:sz w:val="20"/>
          <w:szCs w:val="20"/>
        </w:rPr>
        <w:t xml:space="preserve"> River)</w:t>
      </w:r>
      <w:r>
        <w:rPr>
          <w:rFonts w:ascii="Arial" w:hAnsi="Arial" w:cs="Arial"/>
          <w:sz w:val="20"/>
          <w:szCs w:val="20"/>
        </w:rPr>
        <w:t xml:space="preserve"> would be required</w:t>
      </w:r>
      <w:r w:rsidRPr="00C56084">
        <w:rPr>
          <w:rFonts w:ascii="Arial" w:hAnsi="Arial" w:cs="Arial"/>
          <w:sz w:val="20"/>
          <w:szCs w:val="20"/>
        </w:rPr>
        <w:t xml:space="preserve">.  </w:t>
      </w:r>
    </w:p>
    <w:p w:rsidR="001F6C60" w:rsidRPr="00784839" w:rsidRDefault="001F6C60" w:rsidP="001F6C60">
      <w:pPr>
        <w:pStyle w:val="ListNumber"/>
        <w:numPr>
          <w:ilvl w:val="0"/>
          <w:numId w:val="0"/>
        </w:numPr>
        <w:spacing w:after="200" w:line="276" w:lineRule="auto"/>
        <w:rPr>
          <w:rFonts w:ascii="Arial" w:hAnsi="Arial" w:cs="Arial"/>
          <w:i/>
          <w:sz w:val="20"/>
          <w:szCs w:val="20"/>
        </w:rPr>
      </w:pPr>
      <w:r w:rsidRPr="00784839">
        <w:rPr>
          <w:rFonts w:ascii="Arial" w:hAnsi="Arial" w:cs="Arial"/>
          <w:i/>
          <w:sz w:val="20"/>
          <w:szCs w:val="20"/>
        </w:rPr>
        <w:t xml:space="preserve">Closure of Wallerawang </w:t>
      </w:r>
      <w:r>
        <w:rPr>
          <w:rFonts w:ascii="Arial" w:hAnsi="Arial" w:cs="Arial"/>
          <w:i/>
          <w:sz w:val="20"/>
          <w:szCs w:val="20"/>
        </w:rPr>
        <w:t>p</w:t>
      </w:r>
      <w:r w:rsidRPr="00784839">
        <w:rPr>
          <w:rFonts w:ascii="Arial" w:hAnsi="Arial" w:cs="Arial"/>
          <w:i/>
          <w:sz w:val="20"/>
          <w:szCs w:val="20"/>
        </w:rPr>
        <w:t xml:space="preserve">ower </w:t>
      </w:r>
      <w:r>
        <w:rPr>
          <w:rFonts w:ascii="Arial" w:hAnsi="Arial" w:cs="Arial"/>
          <w:i/>
          <w:sz w:val="20"/>
          <w:szCs w:val="20"/>
        </w:rPr>
        <w:t>s</w:t>
      </w:r>
      <w:r w:rsidRPr="00784839">
        <w:rPr>
          <w:rFonts w:ascii="Arial" w:hAnsi="Arial" w:cs="Arial"/>
          <w:i/>
          <w:sz w:val="20"/>
          <w:szCs w:val="20"/>
        </w:rPr>
        <w:t>tation</w:t>
      </w:r>
    </w:p>
    <w:p w:rsidR="001F6C60" w:rsidRPr="008B29CC" w:rsidRDefault="001F6C60" w:rsidP="001F6C60">
      <w:pPr>
        <w:pStyle w:val="ListNumber"/>
        <w:spacing w:after="200" w:line="276" w:lineRule="auto"/>
        <w:rPr>
          <w:rFonts w:ascii="Arial" w:hAnsi="Arial" w:cs="Arial"/>
          <w:sz w:val="20"/>
          <w:szCs w:val="20"/>
        </w:rPr>
      </w:pPr>
      <w:r w:rsidRPr="008B29CC">
        <w:rPr>
          <w:rFonts w:ascii="Arial" w:hAnsi="Arial" w:cs="Arial"/>
          <w:sz w:val="20"/>
          <w:szCs w:val="20"/>
        </w:rPr>
        <w:t xml:space="preserve">Water quality impact estimations for the </w:t>
      </w:r>
      <w:proofErr w:type="spellStart"/>
      <w:r w:rsidRPr="008B29CC">
        <w:rPr>
          <w:rFonts w:ascii="Arial" w:hAnsi="Arial" w:cs="Arial"/>
          <w:sz w:val="20"/>
          <w:szCs w:val="20"/>
        </w:rPr>
        <w:t>Coxs</w:t>
      </w:r>
      <w:proofErr w:type="spellEnd"/>
      <w:r w:rsidRPr="008B29CC">
        <w:rPr>
          <w:rFonts w:ascii="Arial" w:hAnsi="Arial" w:cs="Arial"/>
          <w:sz w:val="20"/>
          <w:szCs w:val="20"/>
        </w:rPr>
        <w:t xml:space="preserve"> River include the transfer of mine water to the Wallerawang Power Station through the SDWTS at either the current 30 ML/d capacity, or the proposed upgraded 50 ML/d capacity. Water discharge volumes based on transfers to the SDWTS may no longer be appropriate as the Wallerawang Power Station has been placed </w:t>
      </w:r>
      <w:r w:rsidR="00BF77E9">
        <w:rPr>
          <w:rFonts w:ascii="Arial" w:hAnsi="Arial" w:cs="Arial"/>
          <w:sz w:val="20"/>
          <w:szCs w:val="20"/>
        </w:rPr>
        <w:t>into</w:t>
      </w:r>
      <w:r w:rsidRPr="008B29CC">
        <w:rPr>
          <w:rFonts w:ascii="Arial" w:hAnsi="Arial" w:cs="Arial"/>
          <w:sz w:val="20"/>
          <w:szCs w:val="20"/>
        </w:rPr>
        <w:t xml:space="preserve"> care and maintenance</w:t>
      </w:r>
      <w:r>
        <w:rPr>
          <w:rFonts w:ascii="Arial" w:hAnsi="Arial" w:cs="Arial"/>
          <w:sz w:val="20"/>
          <w:szCs w:val="20"/>
        </w:rPr>
        <w:t xml:space="preserve">. The proponent needs to </w:t>
      </w:r>
      <w:r w:rsidRPr="008B29CC">
        <w:rPr>
          <w:rFonts w:ascii="Arial" w:hAnsi="Arial" w:cs="Arial"/>
          <w:sz w:val="20"/>
          <w:szCs w:val="20"/>
        </w:rPr>
        <w:t>assess the</w:t>
      </w:r>
      <w:r>
        <w:rPr>
          <w:rFonts w:ascii="Arial" w:hAnsi="Arial" w:cs="Arial"/>
          <w:sz w:val="20"/>
          <w:szCs w:val="20"/>
        </w:rPr>
        <w:t xml:space="preserve"> </w:t>
      </w:r>
      <w:r w:rsidRPr="008B29CC">
        <w:rPr>
          <w:rFonts w:ascii="Arial" w:hAnsi="Arial" w:cs="Arial"/>
          <w:sz w:val="20"/>
          <w:szCs w:val="20"/>
        </w:rPr>
        <w:t>impact</w:t>
      </w:r>
      <w:r>
        <w:rPr>
          <w:rFonts w:ascii="Arial" w:hAnsi="Arial" w:cs="Arial"/>
          <w:sz w:val="20"/>
          <w:szCs w:val="20"/>
        </w:rPr>
        <w:t>s</w:t>
      </w:r>
      <w:r w:rsidRPr="008B29CC">
        <w:rPr>
          <w:rFonts w:ascii="Arial" w:hAnsi="Arial" w:cs="Arial"/>
          <w:sz w:val="20"/>
          <w:szCs w:val="20"/>
        </w:rPr>
        <w:t xml:space="preserve"> of the potential closure of Wallerawang Power Station on </w:t>
      </w:r>
      <w:proofErr w:type="spellStart"/>
      <w:r w:rsidRPr="008B29CC">
        <w:rPr>
          <w:rFonts w:ascii="Arial" w:hAnsi="Arial" w:cs="Arial"/>
          <w:sz w:val="20"/>
          <w:szCs w:val="20"/>
        </w:rPr>
        <w:t>Coxs</w:t>
      </w:r>
      <w:proofErr w:type="spellEnd"/>
      <w:r w:rsidRPr="008B29CC">
        <w:rPr>
          <w:rFonts w:ascii="Arial" w:hAnsi="Arial" w:cs="Arial"/>
          <w:sz w:val="20"/>
          <w:szCs w:val="20"/>
        </w:rPr>
        <w:t xml:space="preserve"> River water quality</w:t>
      </w:r>
      <w:r>
        <w:rPr>
          <w:rFonts w:ascii="Arial" w:hAnsi="Arial" w:cs="Arial"/>
          <w:sz w:val="20"/>
          <w:szCs w:val="20"/>
        </w:rPr>
        <w:t>.</w:t>
      </w:r>
      <w:r w:rsidRPr="008B29CC">
        <w:rPr>
          <w:rFonts w:ascii="Arial" w:hAnsi="Arial" w:cs="Arial"/>
          <w:sz w:val="20"/>
          <w:szCs w:val="20"/>
        </w:rPr>
        <w:t xml:space="preserve"> Th</w:t>
      </w:r>
      <w:r>
        <w:rPr>
          <w:rFonts w:ascii="Arial" w:hAnsi="Arial" w:cs="Arial"/>
          <w:sz w:val="20"/>
          <w:szCs w:val="20"/>
        </w:rPr>
        <w:t xml:space="preserve">is </w:t>
      </w:r>
      <w:r w:rsidRPr="008B29CC">
        <w:rPr>
          <w:rFonts w:ascii="Arial" w:hAnsi="Arial" w:cs="Arial"/>
          <w:sz w:val="20"/>
          <w:szCs w:val="20"/>
        </w:rPr>
        <w:t xml:space="preserve">should </w:t>
      </w:r>
      <w:r>
        <w:rPr>
          <w:rFonts w:ascii="Arial" w:hAnsi="Arial" w:cs="Arial"/>
          <w:sz w:val="20"/>
          <w:szCs w:val="20"/>
        </w:rPr>
        <w:t>include an</w:t>
      </w:r>
      <w:r w:rsidRPr="008B29CC">
        <w:rPr>
          <w:rFonts w:ascii="Arial" w:hAnsi="Arial" w:cs="Arial"/>
          <w:sz w:val="20"/>
          <w:szCs w:val="20"/>
        </w:rPr>
        <w:t xml:space="preserve"> </w:t>
      </w:r>
      <w:r>
        <w:rPr>
          <w:rFonts w:ascii="Arial" w:hAnsi="Arial" w:cs="Arial"/>
          <w:sz w:val="20"/>
          <w:szCs w:val="20"/>
        </w:rPr>
        <w:t xml:space="preserve">expanded water quality impact assessment and salt balance modelling that considers the cumulative impacts under the scenario where maximum mine water discharge occurs under low flow conditions in </w:t>
      </w:r>
      <w:proofErr w:type="spellStart"/>
      <w:r>
        <w:rPr>
          <w:rFonts w:ascii="Arial" w:hAnsi="Arial" w:cs="Arial"/>
          <w:sz w:val="20"/>
          <w:szCs w:val="20"/>
        </w:rPr>
        <w:t>Coxs</w:t>
      </w:r>
      <w:proofErr w:type="spellEnd"/>
      <w:r>
        <w:rPr>
          <w:rFonts w:ascii="Arial" w:hAnsi="Arial" w:cs="Arial"/>
          <w:sz w:val="20"/>
          <w:szCs w:val="20"/>
        </w:rPr>
        <w:t xml:space="preserve"> River.</w:t>
      </w:r>
    </w:p>
    <w:p w:rsidR="001F6C60" w:rsidRPr="00CF5929"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7</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rPr>
        <w:t xml:space="preserve">Is the information provided sufficient to predict any changes to either water quality or water quantity in the </w:t>
      </w:r>
      <w:proofErr w:type="spellStart"/>
      <w:r w:rsidRPr="007B5CB5">
        <w:rPr>
          <w:rFonts w:ascii="Arial" w:hAnsi="Arial" w:cs="Arial"/>
          <w:sz w:val="20"/>
          <w:szCs w:val="20"/>
        </w:rPr>
        <w:t>Coxs</w:t>
      </w:r>
      <w:proofErr w:type="spellEnd"/>
      <w:r w:rsidRPr="007B5CB5">
        <w:rPr>
          <w:rFonts w:ascii="Arial" w:hAnsi="Arial" w:cs="Arial"/>
          <w:sz w:val="20"/>
          <w:szCs w:val="20"/>
        </w:rPr>
        <w:t xml:space="preserve"> River at Kelpie Point which would arise as a result of the mining operation? (Kelpie Point – station number 563000 – is located on the </w:t>
      </w:r>
      <w:proofErr w:type="spellStart"/>
      <w:r w:rsidRPr="007B5CB5">
        <w:rPr>
          <w:rFonts w:ascii="Arial" w:hAnsi="Arial" w:cs="Arial"/>
          <w:sz w:val="20"/>
          <w:szCs w:val="20"/>
        </w:rPr>
        <w:t>Coxs</w:t>
      </w:r>
      <w:proofErr w:type="spellEnd"/>
      <w:r w:rsidRPr="007B5CB5">
        <w:rPr>
          <w:rFonts w:ascii="Arial" w:hAnsi="Arial" w:cs="Arial"/>
          <w:sz w:val="20"/>
          <w:szCs w:val="20"/>
        </w:rPr>
        <w:t xml:space="preserve"> River close to its entry location into Warragamba Dam. The Sydney Catchment Authority has undertaken flow and quality monitoring at this location for extended periods.)</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1F6C60" w:rsidRPr="00354227" w:rsidRDefault="00C634B5" w:rsidP="001F6C60">
      <w:pPr>
        <w:pStyle w:val="ListNumber"/>
        <w:spacing w:after="200" w:line="276" w:lineRule="auto"/>
        <w:rPr>
          <w:rFonts w:ascii="Arial" w:hAnsi="Arial" w:cs="Arial"/>
          <w:sz w:val="20"/>
          <w:szCs w:val="20"/>
        </w:rPr>
      </w:pPr>
      <w:r>
        <w:rPr>
          <w:rFonts w:ascii="Arial" w:hAnsi="Arial" w:cs="Arial"/>
          <w:sz w:val="20"/>
          <w:szCs w:val="20"/>
        </w:rPr>
        <w:t>No</w:t>
      </w:r>
      <w:r w:rsidR="001F6C60" w:rsidRPr="00354227">
        <w:rPr>
          <w:rFonts w:ascii="Arial" w:hAnsi="Arial" w:cs="Arial"/>
          <w:sz w:val="20"/>
          <w:szCs w:val="20"/>
        </w:rPr>
        <w:t xml:space="preserve">. The proponent’s estimation of downstream impacts was limited to site water balance and cumulative salt mass balance modelling that did not model impacts beyond the upper </w:t>
      </w:r>
      <w:proofErr w:type="spellStart"/>
      <w:r w:rsidR="001F6C60" w:rsidRPr="00354227">
        <w:rPr>
          <w:rFonts w:ascii="Arial" w:hAnsi="Arial" w:cs="Arial"/>
          <w:sz w:val="20"/>
          <w:szCs w:val="20"/>
        </w:rPr>
        <w:t>Coxs</w:t>
      </w:r>
      <w:proofErr w:type="spellEnd"/>
      <w:r w:rsidR="001F6C60" w:rsidRPr="00354227">
        <w:rPr>
          <w:rFonts w:ascii="Arial" w:hAnsi="Arial" w:cs="Arial"/>
          <w:sz w:val="20"/>
          <w:szCs w:val="20"/>
        </w:rPr>
        <w:t xml:space="preserve"> River catchment (i.e. not downstream of Lake Lyell). In addition, the existing condition of the </w:t>
      </w:r>
      <w:proofErr w:type="spellStart"/>
      <w:r w:rsidR="001F6C60" w:rsidRPr="00354227">
        <w:rPr>
          <w:rFonts w:ascii="Arial" w:hAnsi="Arial" w:cs="Arial"/>
          <w:sz w:val="20"/>
          <w:szCs w:val="20"/>
        </w:rPr>
        <w:t>Coxs</w:t>
      </w:r>
      <w:proofErr w:type="spellEnd"/>
      <w:r w:rsidR="001F6C60" w:rsidRPr="00354227">
        <w:rPr>
          <w:rFonts w:ascii="Arial" w:hAnsi="Arial" w:cs="Arial"/>
          <w:sz w:val="20"/>
          <w:szCs w:val="20"/>
        </w:rPr>
        <w:t xml:space="preserve"> River was not adequately described and the downstream impact modelling that was undertaken included transfer of large volumes of water through the SDWTS to the Wallerawang Power Station, which may no longer be a viable option.   </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1F6C60" w:rsidRPr="0022041C" w:rsidRDefault="001F6C60" w:rsidP="001F6C60">
      <w:pPr>
        <w:pStyle w:val="ListNumber"/>
        <w:spacing w:after="200" w:line="276" w:lineRule="auto"/>
        <w:rPr>
          <w:rFonts w:ascii="Arial" w:hAnsi="Arial" w:cs="Arial"/>
          <w:sz w:val="20"/>
          <w:szCs w:val="20"/>
        </w:rPr>
      </w:pPr>
      <w:r w:rsidRPr="002653F3">
        <w:rPr>
          <w:rFonts w:ascii="Arial" w:hAnsi="Arial" w:cs="Arial"/>
          <w:sz w:val="20"/>
          <w:szCs w:val="20"/>
        </w:rPr>
        <w:t xml:space="preserve">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enters Warragamba Dam </w:t>
      </w:r>
      <w:r>
        <w:rPr>
          <w:rFonts w:ascii="Arial" w:hAnsi="Arial" w:cs="Arial"/>
          <w:sz w:val="20"/>
          <w:szCs w:val="20"/>
        </w:rPr>
        <w:t>(a drinking water supply for Sy</w:t>
      </w:r>
      <w:r w:rsidR="00CF2A11">
        <w:rPr>
          <w:rFonts w:ascii="Arial" w:hAnsi="Arial" w:cs="Arial"/>
          <w:sz w:val="20"/>
          <w:szCs w:val="20"/>
        </w:rPr>
        <w:t>d</w:t>
      </w:r>
      <w:r>
        <w:rPr>
          <w:rFonts w:ascii="Arial" w:hAnsi="Arial" w:cs="Arial"/>
          <w:sz w:val="20"/>
          <w:szCs w:val="20"/>
        </w:rPr>
        <w:t xml:space="preserve">ney) </w:t>
      </w:r>
      <w:r w:rsidRPr="002653F3">
        <w:rPr>
          <w:rFonts w:ascii="Arial" w:hAnsi="Arial" w:cs="Arial"/>
          <w:sz w:val="20"/>
          <w:szCs w:val="20"/>
        </w:rPr>
        <w:t>approximately 110 km downstream of the Springvale Colliery</w:t>
      </w:r>
      <w:r>
        <w:rPr>
          <w:rFonts w:ascii="Arial" w:hAnsi="Arial" w:cs="Arial"/>
          <w:sz w:val="20"/>
          <w:szCs w:val="20"/>
        </w:rPr>
        <w:t xml:space="preserve">. </w:t>
      </w:r>
      <w:r w:rsidRPr="002653F3">
        <w:rPr>
          <w:rFonts w:ascii="Arial" w:hAnsi="Arial" w:cs="Arial"/>
          <w:sz w:val="20"/>
          <w:szCs w:val="20"/>
        </w:rPr>
        <w:t xml:space="preserve">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is the second largest tributary in the Warragamba catchment and contributed approximately 30 per cent of the total inflow volume to Warragamba Dam during 2012–13</w:t>
      </w:r>
      <w:r w:rsidRPr="002653F3">
        <w:rPr>
          <w:rFonts w:ascii="Arial" w:hAnsi="Arial" w:cs="Arial"/>
          <w:sz w:val="20"/>
          <w:szCs w:val="20"/>
          <w:vertAlign w:val="superscript"/>
        </w:rPr>
        <w:t>6</w:t>
      </w:r>
      <w:r w:rsidRPr="002653F3">
        <w:rPr>
          <w:rFonts w:ascii="Arial" w:hAnsi="Arial" w:cs="Arial"/>
          <w:sz w:val="20"/>
          <w:szCs w:val="20"/>
        </w:rPr>
        <w:t>.</w:t>
      </w:r>
      <w:r>
        <w:rPr>
          <w:rFonts w:ascii="Arial" w:hAnsi="Arial" w:cs="Arial"/>
          <w:sz w:val="20"/>
          <w:szCs w:val="20"/>
        </w:rPr>
        <w:t xml:space="preserve"> </w:t>
      </w:r>
      <w:r w:rsidRPr="0022041C">
        <w:rPr>
          <w:rFonts w:ascii="Arial" w:hAnsi="Arial" w:cs="Arial"/>
          <w:sz w:val="20"/>
          <w:szCs w:val="20"/>
        </w:rPr>
        <w:t xml:space="preserve">Monitoring data collected at Kelpie Point (close to where the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enters Warragamba Dam) provides information on parameters including flow volume, nut</w:t>
      </w:r>
      <w:r w:rsidR="007D786A">
        <w:rPr>
          <w:rFonts w:ascii="Arial" w:hAnsi="Arial" w:cs="Arial"/>
          <w:sz w:val="20"/>
          <w:szCs w:val="20"/>
        </w:rPr>
        <w:t>rient and metal concentrations</w:t>
      </w:r>
      <w:r w:rsidRPr="0022041C">
        <w:rPr>
          <w:rFonts w:ascii="Arial" w:hAnsi="Arial" w:cs="Arial"/>
          <w:sz w:val="20"/>
          <w:szCs w:val="20"/>
        </w:rPr>
        <w:t>, pH, dissolved oxygen and turbidity.</w:t>
      </w:r>
    </w:p>
    <w:p w:rsidR="001F6C60" w:rsidRPr="00BF787C" w:rsidRDefault="001F6C60" w:rsidP="001F6C60">
      <w:pPr>
        <w:pStyle w:val="ListNumber"/>
        <w:spacing w:after="200" w:line="276" w:lineRule="auto"/>
        <w:rPr>
          <w:rFonts w:ascii="Arial" w:hAnsi="Arial" w:cs="Arial"/>
          <w:sz w:val="20"/>
          <w:szCs w:val="20"/>
        </w:rPr>
      </w:pPr>
      <w:r w:rsidRPr="0022041C">
        <w:rPr>
          <w:rFonts w:ascii="Arial" w:hAnsi="Arial" w:cs="Arial"/>
          <w:sz w:val="20"/>
          <w:szCs w:val="20"/>
        </w:rPr>
        <w:t>Analysis of hydro</w:t>
      </w:r>
      <w:r>
        <w:rPr>
          <w:rFonts w:ascii="Arial" w:hAnsi="Arial" w:cs="Arial"/>
          <w:sz w:val="20"/>
          <w:szCs w:val="20"/>
        </w:rPr>
        <w:t>l</w:t>
      </w:r>
      <w:r w:rsidRPr="0022041C">
        <w:rPr>
          <w:rFonts w:ascii="Arial" w:hAnsi="Arial" w:cs="Arial"/>
          <w:sz w:val="20"/>
          <w:szCs w:val="20"/>
        </w:rPr>
        <w:t xml:space="preserve">ogical impacts of mine water discharges on the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was not presented in the EIS. Discharge volumes and velocities in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tributaries downstream of </w:t>
      </w:r>
      <w:r w:rsidRPr="00BF77E9">
        <w:rPr>
          <w:rFonts w:ascii="Arial" w:hAnsi="Arial" w:cs="Arial"/>
          <w:sz w:val="20"/>
          <w:szCs w:val="20"/>
        </w:rPr>
        <w:t xml:space="preserve">the </w:t>
      </w:r>
      <w:r w:rsidR="00F53047" w:rsidRPr="00BF77E9">
        <w:rPr>
          <w:rFonts w:ascii="Arial" w:hAnsi="Arial" w:cs="Arial"/>
          <w:sz w:val="20"/>
          <w:szCs w:val="20"/>
        </w:rPr>
        <w:t>SMEP</w:t>
      </w:r>
      <w:r w:rsidRPr="00BF77E9">
        <w:rPr>
          <w:rFonts w:ascii="Arial" w:hAnsi="Arial" w:cs="Arial"/>
          <w:sz w:val="20"/>
          <w:szCs w:val="20"/>
        </w:rPr>
        <w:t xml:space="preserve"> licensed discharge point 00</w:t>
      </w:r>
      <w:r w:rsidR="00F53047" w:rsidRPr="00BF77E9">
        <w:rPr>
          <w:rFonts w:ascii="Arial" w:hAnsi="Arial" w:cs="Arial"/>
          <w:sz w:val="20"/>
          <w:szCs w:val="20"/>
        </w:rPr>
        <w:t>9</w:t>
      </w:r>
      <w:r w:rsidRPr="00BF77E9">
        <w:rPr>
          <w:rFonts w:ascii="Arial" w:hAnsi="Arial" w:cs="Arial"/>
          <w:sz w:val="20"/>
          <w:szCs w:val="20"/>
        </w:rPr>
        <w:t xml:space="preserve"> (LDP00</w:t>
      </w:r>
      <w:r w:rsidR="00F53047" w:rsidRPr="00BF77E9">
        <w:rPr>
          <w:rFonts w:ascii="Arial" w:hAnsi="Arial" w:cs="Arial"/>
          <w:sz w:val="20"/>
          <w:szCs w:val="20"/>
        </w:rPr>
        <w:t>9</w:t>
      </w:r>
      <w:r w:rsidRPr="00BF77E9">
        <w:rPr>
          <w:rFonts w:ascii="Arial" w:hAnsi="Arial" w:cs="Arial"/>
          <w:sz w:val="20"/>
          <w:szCs w:val="20"/>
        </w:rPr>
        <w:t xml:space="preserve">), and </w:t>
      </w:r>
      <w:r w:rsidR="00F53047" w:rsidRPr="00BF77E9">
        <w:rPr>
          <w:rFonts w:ascii="Arial" w:hAnsi="Arial" w:cs="Arial"/>
          <w:sz w:val="20"/>
          <w:szCs w:val="20"/>
        </w:rPr>
        <w:t>Angus Place</w:t>
      </w:r>
      <w:r w:rsidRPr="00BF77E9">
        <w:rPr>
          <w:rFonts w:ascii="Arial" w:hAnsi="Arial" w:cs="Arial"/>
          <w:sz w:val="20"/>
          <w:szCs w:val="20"/>
        </w:rPr>
        <w:t xml:space="preserve"> Mine Extension Project LDP00</w:t>
      </w:r>
      <w:r w:rsidR="00F53047" w:rsidRPr="00BF77E9">
        <w:rPr>
          <w:rFonts w:ascii="Arial" w:hAnsi="Arial" w:cs="Arial"/>
          <w:sz w:val="20"/>
          <w:szCs w:val="20"/>
        </w:rPr>
        <w:t>1</w:t>
      </w:r>
      <w:r w:rsidRPr="0022041C">
        <w:rPr>
          <w:rFonts w:ascii="Arial" w:hAnsi="Arial" w:cs="Arial"/>
          <w:sz w:val="20"/>
          <w:szCs w:val="20"/>
        </w:rPr>
        <w:t xml:space="preserve"> were analysed for erosion potential, but similar analysis was not presented for the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Median flow in the </w:t>
      </w:r>
      <w:proofErr w:type="spellStart"/>
      <w:r w:rsidRPr="0022041C">
        <w:rPr>
          <w:rFonts w:ascii="Arial" w:hAnsi="Arial" w:cs="Arial"/>
          <w:sz w:val="20"/>
          <w:szCs w:val="20"/>
        </w:rPr>
        <w:t>Coxs</w:t>
      </w:r>
      <w:proofErr w:type="spellEnd"/>
      <w:r w:rsidRPr="0022041C">
        <w:rPr>
          <w:rFonts w:ascii="Arial" w:hAnsi="Arial" w:cs="Arial"/>
          <w:sz w:val="20"/>
          <w:szCs w:val="20"/>
        </w:rPr>
        <w:t xml:space="preserve"> River is 12.2 ML/d downstream of the above discharge points. However, sustained discharges of up to 43.8 ML/</w:t>
      </w:r>
      <w:r w:rsidRPr="00BF787C">
        <w:rPr>
          <w:rFonts w:ascii="Arial" w:hAnsi="Arial" w:cs="Arial"/>
          <w:sz w:val="20"/>
          <w:szCs w:val="20"/>
        </w:rPr>
        <w:t>d may</w:t>
      </w:r>
      <w:r>
        <w:rPr>
          <w:rFonts w:ascii="Arial" w:hAnsi="Arial" w:cs="Arial"/>
          <w:sz w:val="20"/>
          <w:szCs w:val="20"/>
        </w:rPr>
        <w:t xml:space="preserve"> eventuate as a result of the two proposals, which would</w:t>
      </w:r>
      <w:r w:rsidRPr="00BF787C">
        <w:rPr>
          <w:rFonts w:ascii="Arial" w:hAnsi="Arial" w:cs="Arial"/>
          <w:sz w:val="20"/>
          <w:szCs w:val="20"/>
        </w:rPr>
        <w:t xml:space="preserve"> have hydrological</w:t>
      </w:r>
      <w:r>
        <w:rPr>
          <w:rFonts w:ascii="Arial" w:hAnsi="Arial" w:cs="Arial"/>
          <w:sz w:val="20"/>
          <w:szCs w:val="20"/>
        </w:rPr>
        <w:t xml:space="preserve"> and </w:t>
      </w:r>
      <w:proofErr w:type="spellStart"/>
      <w:r>
        <w:rPr>
          <w:rFonts w:ascii="Arial" w:hAnsi="Arial" w:cs="Arial"/>
          <w:sz w:val="20"/>
          <w:szCs w:val="20"/>
        </w:rPr>
        <w:t>geomorphological</w:t>
      </w:r>
      <w:proofErr w:type="spellEnd"/>
      <w:r w:rsidRPr="00BF787C">
        <w:rPr>
          <w:rFonts w:ascii="Arial" w:hAnsi="Arial" w:cs="Arial"/>
          <w:sz w:val="20"/>
          <w:szCs w:val="20"/>
        </w:rPr>
        <w:t xml:space="preserve"> impacts on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The proponent </w:t>
      </w:r>
      <w:r>
        <w:rPr>
          <w:rFonts w:ascii="Arial" w:hAnsi="Arial" w:cs="Arial"/>
          <w:sz w:val="20"/>
          <w:szCs w:val="20"/>
        </w:rPr>
        <w:t xml:space="preserve">needs </w:t>
      </w:r>
      <w:r>
        <w:rPr>
          <w:rFonts w:ascii="Arial" w:hAnsi="Arial" w:cs="Arial"/>
          <w:sz w:val="20"/>
          <w:szCs w:val="20"/>
        </w:rPr>
        <w:lastRenderedPageBreak/>
        <w:t>to</w:t>
      </w:r>
      <w:r w:rsidRPr="00BF787C">
        <w:rPr>
          <w:rFonts w:ascii="Arial" w:hAnsi="Arial" w:cs="Arial"/>
          <w:sz w:val="20"/>
          <w:szCs w:val="20"/>
        </w:rPr>
        <w:t xml:space="preserve"> consider the impact of all mine water discharges</w:t>
      </w:r>
      <w:r>
        <w:rPr>
          <w:rFonts w:ascii="Arial" w:hAnsi="Arial" w:cs="Arial"/>
          <w:sz w:val="20"/>
          <w:szCs w:val="20"/>
        </w:rPr>
        <w:t>,</w:t>
      </w:r>
      <w:r w:rsidRPr="00BF787C">
        <w:rPr>
          <w:rFonts w:ascii="Arial" w:hAnsi="Arial" w:cs="Arial"/>
          <w:sz w:val="20"/>
          <w:szCs w:val="20"/>
        </w:rPr>
        <w:t xml:space="preserve"> from both the </w:t>
      </w:r>
      <w:r w:rsidR="00F53047">
        <w:rPr>
          <w:rFonts w:ascii="Arial" w:hAnsi="Arial" w:cs="Arial"/>
          <w:sz w:val="20"/>
          <w:szCs w:val="20"/>
        </w:rPr>
        <w:t>SMEP</w:t>
      </w:r>
      <w:r w:rsidRPr="00BF787C">
        <w:rPr>
          <w:rFonts w:ascii="Arial" w:hAnsi="Arial" w:cs="Arial"/>
          <w:sz w:val="20"/>
          <w:szCs w:val="20"/>
        </w:rPr>
        <w:t xml:space="preserve"> and </w:t>
      </w:r>
      <w:r w:rsidR="00F53047">
        <w:rPr>
          <w:rFonts w:ascii="Arial" w:hAnsi="Arial" w:cs="Arial"/>
          <w:sz w:val="20"/>
          <w:szCs w:val="20"/>
        </w:rPr>
        <w:t>Angus Place</w:t>
      </w:r>
      <w:r w:rsidRPr="00BF787C">
        <w:rPr>
          <w:rFonts w:ascii="Arial" w:hAnsi="Arial" w:cs="Arial"/>
          <w:sz w:val="20"/>
          <w:szCs w:val="20"/>
        </w:rPr>
        <w:t xml:space="preserve"> </w:t>
      </w:r>
      <w:r>
        <w:rPr>
          <w:rFonts w:ascii="Arial" w:hAnsi="Arial" w:cs="Arial"/>
          <w:sz w:val="20"/>
          <w:szCs w:val="20"/>
        </w:rPr>
        <w:t xml:space="preserve">Mine Extension Project, </w:t>
      </w:r>
      <w:r w:rsidRPr="00BF787C">
        <w:rPr>
          <w:rFonts w:ascii="Arial" w:hAnsi="Arial" w:cs="Arial"/>
          <w:sz w:val="20"/>
          <w:szCs w:val="20"/>
        </w:rPr>
        <w:t xml:space="preserve">on the hydrology of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w:t>
      </w:r>
    </w:p>
    <w:p w:rsidR="001F6C60" w:rsidRPr="00BF787C" w:rsidRDefault="001F6C60" w:rsidP="001F6C60">
      <w:pPr>
        <w:pStyle w:val="ListNumber"/>
        <w:spacing w:after="200" w:line="276" w:lineRule="auto"/>
        <w:rPr>
          <w:rFonts w:ascii="Arial" w:hAnsi="Arial" w:cs="Arial"/>
          <w:sz w:val="20"/>
          <w:szCs w:val="20"/>
        </w:rPr>
      </w:pPr>
      <w:r w:rsidRPr="00BF787C">
        <w:rPr>
          <w:rFonts w:ascii="Arial" w:hAnsi="Arial" w:cs="Arial"/>
          <w:sz w:val="20"/>
          <w:szCs w:val="20"/>
        </w:rPr>
        <w:t xml:space="preserve">The downstream extent of the proponent’s surface water quality impact modelling was limited to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above Lake Lyell. In order to quantify changes to water quantity in the </w:t>
      </w:r>
      <w:proofErr w:type="spellStart"/>
      <w:r w:rsidRPr="00BF787C">
        <w:rPr>
          <w:rFonts w:ascii="Arial" w:hAnsi="Arial" w:cs="Arial"/>
          <w:sz w:val="20"/>
          <w:szCs w:val="20"/>
        </w:rPr>
        <w:t>Coxs</w:t>
      </w:r>
      <w:proofErr w:type="spellEnd"/>
      <w:r w:rsidRPr="00BF787C">
        <w:rPr>
          <w:rFonts w:ascii="Arial" w:hAnsi="Arial" w:cs="Arial"/>
          <w:sz w:val="20"/>
          <w:szCs w:val="20"/>
        </w:rPr>
        <w:t xml:space="preserve"> River at Kelpie Point that would arise as a result</w:t>
      </w:r>
      <w:r>
        <w:rPr>
          <w:rFonts w:ascii="Arial" w:hAnsi="Arial" w:cs="Arial"/>
          <w:sz w:val="20"/>
          <w:szCs w:val="20"/>
        </w:rPr>
        <w:t xml:space="preserve"> of the mining operations,</w:t>
      </w:r>
      <w:r w:rsidRPr="00BF787C">
        <w:rPr>
          <w:rFonts w:ascii="Arial" w:hAnsi="Arial" w:cs="Arial"/>
          <w:sz w:val="20"/>
          <w:szCs w:val="20"/>
        </w:rPr>
        <w:t xml:space="preserve"> modelling</w:t>
      </w:r>
      <w:r>
        <w:rPr>
          <w:rFonts w:ascii="Arial" w:hAnsi="Arial" w:cs="Arial"/>
          <w:sz w:val="20"/>
          <w:szCs w:val="20"/>
        </w:rPr>
        <w:t xml:space="preserve"> and/or analysis</w:t>
      </w:r>
      <w:r w:rsidRPr="00BF787C">
        <w:rPr>
          <w:rFonts w:ascii="Arial" w:hAnsi="Arial" w:cs="Arial"/>
          <w:sz w:val="20"/>
          <w:szCs w:val="20"/>
        </w:rPr>
        <w:t xml:space="preserve"> of the hydrological impact of all </w:t>
      </w:r>
      <w:r>
        <w:rPr>
          <w:rFonts w:ascii="Arial" w:hAnsi="Arial" w:cs="Arial"/>
          <w:sz w:val="20"/>
          <w:szCs w:val="20"/>
        </w:rPr>
        <w:t xml:space="preserve">mine water discharges is required. This water quality assessment should </w:t>
      </w:r>
      <w:r w:rsidRPr="00BF787C">
        <w:rPr>
          <w:rFonts w:ascii="Arial" w:hAnsi="Arial" w:cs="Arial"/>
          <w:sz w:val="20"/>
          <w:szCs w:val="20"/>
        </w:rPr>
        <w:t>consider the volume, frequency and timing of discharges in relation to current flows at Kelpie Point</w:t>
      </w:r>
      <w:r>
        <w:rPr>
          <w:rFonts w:ascii="Arial" w:hAnsi="Arial" w:cs="Arial"/>
          <w:sz w:val="20"/>
          <w:szCs w:val="20"/>
        </w:rPr>
        <w:t xml:space="preserve"> and should consider discharges from both the </w:t>
      </w:r>
      <w:r w:rsidR="00F53047">
        <w:rPr>
          <w:rFonts w:ascii="Arial" w:hAnsi="Arial" w:cs="Arial"/>
          <w:sz w:val="20"/>
          <w:szCs w:val="20"/>
        </w:rPr>
        <w:t>SMEP</w:t>
      </w:r>
      <w:r>
        <w:rPr>
          <w:rFonts w:ascii="Arial" w:hAnsi="Arial" w:cs="Arial"/>
          <w:sz w:val="20"/>
          <w:szCs w:val="20"/>
        </w:rPr>
        <w:t xml:space="preserve"> and the </w:t>
      </w:r>
      <w:r w:rsidR="00F53047">
        <w:rPr>
          <w:rFonts w:ascii="Arial" w:hAnsi="Arial" w:cs="Arial"/>
          <w:sz w:val="20"/>
          <w:szCs w:val="20"/>
        </w:rPr>
        <w:t>Angus Place</w:t>
      </w:r>
      <w:r>
        <w:rPr>
          <w:rFonts w:ascii="Arial" w:hAnsi="Arial" w:cs="Arial"/>
          <w:sz w:val="20"/>
          <w:szCs w:val="20"/>
        </w:rPr>
        <w:t xml:space="preserve"> Mine Extension Project</w:t>
      </w:r>
      <w:r w:rsidRPr="00BF787C">
        <w:rPr>
          <w:rFonts w:ascii="Arial" w:hAnsi="Arial" w:cs="Arial"/>
          <w:sz w:val="20"/>
          <w:szCs w:val="20"/>
        </w:rPr>
        <w:t xml:space="preserve">. The model should consider the extractions and discharges of any downstream water users, </w:t>
      </w:r>
      <w:r>
        <w:rPr>
          <w:rFonts w:ascii="Arial" w:hAnsi="Arial" w:cs="Arial"/>
          <w:sz w:val="20"/>
          <w:szCs w:val="20"/>
        </w:rPr>
        <w:t>and</w:t>
      </w:r>
      <w:r w:rsidRPr="00BF787C">
        <w:rPr>
          <w:rFonts w:ascii="Arial" w:hAnsi="Arial" w:cs="Arial"/>
          <w:sz w:val="20"/>
          <w:szCs w:val="20"/>
        </w:rPr>
        <w:t xml:space="preserve"> should also consider a scenario where the Wallerawang Power Station is not operational.   </w:t>
      </w:r>
    </w:p>
    <w:p w:rsidR="001F6C60" w:rsidRPr="00CF5929" w:rsidRDefault="001F6C60" w:rsidP="001F6C60">
      <w:pPr>
        <w:pStyle w:val="ListNumber"/>
        <w:spacing w:after="200" w:line="276" w:lineRule="auto"/>
        <w:rPr>
          <w:rFonts w:ascii="Arial" w:hAnsi="Arial" w:cs="Arial"/>
          <w:sz w:val="20"/>
          <w:szCs w:val="20"/>
        </w:rPr>
      </w:pPr>
      <w:r w:rsidRPr="000043E3">
        <w:rPr>
          <w:rFonts w:ascii="Arial" w:hAnsi="Arial" w:cs="Arial"/>
          <w:sz w:val="20"/>
          <w:szCs w:val="20"/>
        </w:rPr>
        <w:t xml:space="preserve">The proponent considers that the hydrological consequence of increased mine water discharges on the </w:t>
      </w:r>
      <w:proofErr w:type="spellStart"/>
      <w:r w:rsidRPr="000043E3">
        <w:rPr>
          <w:rFonts w:ascii="Arial" w:hAnsi="Arial" w:cs="Arial"/>
          <w:sz w:val="20"/>
          <w:szCs w:val="20"/>
        </w:rPr>
        <w:t>Coxs</w:t>
      </w:r>
      <w:proofErr w:type="spellEnd"/>
      <w:r w:rsidRPr="000043E3">
        <w:rPr>
          <w:rFonts w:ascii="Arial" w:hAnsi="Arial" w:cs="Arial"/>
          <w:sz w:val="20"/>
          <w:szCs w:val="20"/>
        </w:rPr>
        <w:t xml:space="preserve"> River is not significant because there is excess demand for this water in the catchment. This conclusion is based on Wallerawang Power Station requiring 30ML/d and Mount Piper Power Station requiring 38.9 ML/d. However, </w:t>
      </w:r>
      <w:r>
        <w:rPr>
          <w:rFonts w:ascii="Arial" w:hAnsi="Arial" w:cs="Arial"/>
          <w:sz w:val="20"/>
          <w:szCs w:val="20"/>
        </w:rPr>
        <w:t xml:space="preserve">this conclusion may no longer be valid as </w:t>
      </w:r>
      <w:r w:rsidRPr="000043E3">
        <w:rPr>
          <w:rFonts w:ascii="Arial" w:hAnsi="Arial" w:cs="Arial"/>
          <w:sz w:val="20"/>
          <w:szCs w:val="20"/>
        </w:rPr>
        <w:t xml:space="preserve">the Wallerawang Power Station has been placed on care and maintenance. In order to predict any changes to water quantity in the </w:t>
      </w:r>
      <w:proofErr w:type="spellStart"/>
      <w:r w:rsidRPr="000043E3">
        <w:rPr>
          <w:rFonts w:ascii="Arial" w:hAnsi="Arial" w:cs="Arial"/>
          <w:sz w:val="20"/>
          <w:szCs w:val="20"/>
        </w:rPr>
        <w:t>Coxs</w:t>
      </w:r>
      <w:proofErr w:type="spellEnd"/>
      <w:r w:rsidRPr="000043E3">
        <w:rPr>
          <w:rFonts w:ascii="Arial" w:hAnsi="Arial" w:cs="Arial"/>
          <w:sz w:val="20"/>
          <w:szCs w:val="20"/>
        </w:rPr>
        <w:t xml:space="preserve"> River at Kelpie Point the proponent should model the hydrological impact of mine water discharges assuming no water transfers to the Wallerawang Power Station.</w:t>
      </w:r>
    </w:p>
    <w:p w:rsidR="001F6C60" w:rsidRPr="00CF5929"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8</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rPr>
        <w:t xml:space="preserve">If so, what are the predicted changes to water quality water quantity in the </w:t>
      </w:r>
      <w:proofErr w:type="spellStart"/>
      <w:r w:rsidRPr="007B5CB5">
        <w:rPr>
          <w:rFonts w:ascii="Arial" w:hAnsi="Arial" w:cs="Arial"/>
          <w:sz w:val="20"/>
          <w:szCs w:val="20"/>
        </w:rPr>
        <w:t>Coxs</w:t>
      </w:r>
      <w:proofErr w:type="spellEnd"/>
      <w:r w:rsidRPr="007B5CB5">
        <w:rPr>
          <w:rFonts w:ascii="Arial" w:hAnsi="Arial" w:cs="Arial"/>
          <w:sz w:val="20"/>
          <w:szCs w:val="20"/>
        </w:rPr>
        <w:t xml:space="preserve"> River at Kelpie Point and what are the consequences for stored water within Warragamba Dam?</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1F6C60" w:rsidRPr="00354227" w:rsidRDefault="001F6C60" w:rsidP="001F6C60">
      <w:pPr>
        <w:pStyle w:val="ListNumber"/>
        <w:spacing w:after="200" w:line="276" w:lineRule="auto"/>
        <w:rPr>
          <w:rFonts w:ascii="Arial" w:hAnsi="Arial" w:cs="Arial"/>
          <w:sz w:val="20"/>
          <w:szCs w:val="20"/>
        </w:rPr>
      </w:pPr>
      <w:r w:rsidRPr="00354227">
        <w:rPr>
          <w:rFonts w:ascii="Arial" w:hAnsi="Arial" w:cs="Arial"/>
          <w:sz w:val="20"/>
          <w:szCs w:val="20"/>
        </w:rPr>
        <w:t xml:space="preserve">Water quantity and quality changes in the </w:t>
      </w:r>
      <w:proofErr w:type="spellStart"/>
      <w:r w:rsidRPr="00354227">
        <w:rPr>
          <w:rFonts w:ascii="Arial" w:hAnsi="Arial" w:cs="Arial"/>
          <w:sz w:val="20"/>
          <w:szCs w:val="20"/>
        </w:rPr>
        <w:t>Coxs</w:t>
      </w:r>
      <w:proofErr w:type="spellEnd"/>
      <w:r w:rsidRPr="00354227">
        <w:rPr>
          <w:rFonts w:ascii="Arial" w:hAnsi="Arial" w:cs="Arial"/>
          <w:sz w:val="20"/>
          <w:szCs w:val="20"/>
        </w:rPr>
        <w:t xml:space="preserve"> River at Kelpie Point cannot be reliably estimated based on the information presented in the EIS documentation, as detailed in the response to Question 7. For similar reasons, the consequences for stored waters in Warragamba Dam also cannot be reliably estimated from information in the EIS.   </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3C71C3" w:rsidRPr="00295977" w:rsidRDefault="003C71C3" w:rsidP="003C71C3">
      <w:pPr>
        <w:pStyle w:val="ListNumber"/>
        <w:spacing w:after="200" w:line="276" w:lineRule="auto"/>
        <w:rPr>
          <w:rFonts w:ascii="Arial" w:hAnsi="Arial" w:cs="Arial"/>
          <w:sz w:val="20"/>
          <w:szCs w:val="20"/>
        </w:rPr>
      </w:pPr>
      <w:r w:rsidRPr="00295977">
        <w:rPr>
          <w:rFonts w:ascii="Arial" w:hAnsi="Arial" w:cs="Arial"/>
          <w:sz w:val="20"/>
          <w:szCs w:val="20"/>
        </w:rPr>
        <w:t>The proponent has not modelled water quality or quantity impacts downstream of Lake Lyell. To predict changes to water quality and quantity at Kelpie Point</w:t>
      </w:r>
      <w:r w:rsidR="00631F5A" w:rsidRPr="00295977">
        <w:rPr>
          <w:rFonts w:ascii="Arial" w:hAnsi="Arial" w:cs="Arial"/>
          <w:sz w:val="20"/>
          <w:szCs w:val="20"/>
        </w:rPr>
        <w:t>,</w:t>
      </w:r>
      <w:r w:rsidRPr="00295977">
        <w:rPr>
          <w:rFonts w:ascii="Arial" w:hAnsi="Arial" w:cs="Arial"/>
          <w:sz w:val="20"/>
          <w:szCs w:val="20"/>
        </w:rPr>
        <w:t xml:space="preserve"> all inputs and outputs to the </w:t>
      </w:r>
      <w:proofErr w:type="spellStart"/>
      <w:r w:rsidRPr="00295977">
        <w:rPr>
          <w:rFonts w:ascii="Arial" w:hAnsi="Arial" w:cs="Arial"/>
          <w:sz w:val="20"/>
          <w:szCs w:val="20"/>
        </w:rPr>
        <w:t>Coxs</w:t>
      </w:r>
      <w:proofErr w:type="spellEnd"/>
      <w:r w:rsidRPr="00295977">
        <w:rPr>
          <w:rFonts w:ascii="Arial" w:hAnsi="Arial" w:cs="Arial"/>
          <w:sz w:val="20"/>
          <w:szCs w:val="20"/>
        </w:rPr>
        <w:t xml:space="preserve"> River catchment, both in terms of water volume and concentration of contaminants would need to be considered. </w:t>
      </w:r>
    </w:p>
    <w:p w:rsidR="001F6C60" w:rsidRPr="002653F3" w:rsidRDefault="001F6C60" w:rsidP="001F6C60">
      <w:pPr>
        <w:pStyle w:val="ListNumber"/>
        <w:spacing w:after="200" w:line="276" w:lineRule="auto"/>
        <w:rPr>
          <w:rFonts w:ascii="Arial" w:hAnsi="Arial" w:cs="Arial"/>
          <w:sz w:val="20"/>
          <w:szCs w:val="20"/>
        </w:rPr>
      </w:pPr>
      <w:r w:rsidRPr="002653F3">
        <w:rPr>
          <w:rFonts w:ascii="Arial" w:hAnsi="Arial" w:cs="Arial"/>
          <w:sz w:val="20"/>
          <w:szCs w:val="20"/>
        </w:rPr>
        <w:t xml:space="preserve">Comparison of Kelpie Point median water quality values to mine water discharge quality indicates that water quality at Kelpie Point has been similar or better quality than water immediately downstream of the </w:t>
      </w:r>
      <w:r w:rsidR="00F53047">
        <w:rPr>
          <w:rFonts w:ascii="Arial" w:hAnsi="Arial" w:cs="Arial"/>
          <w:sz w:val="20"/>
          <w:szCs w:val="20"/>
        </w:rPr>
        <w:t>SMEP</w:t>
      </w:r>
      <w:r>
        <w:rPr>
          <w:rFonts w:ascii="Arial" w:hAnsi="Arial" w:cs="Arial"/>
          <w:sz w:val="20"/>
          <w:szCs w:val="20"/>
        </w:rPr>
        <w:t xml:space="preserve"> </w:t>
      </w:r>
      <w:r w:rsidRPr="002653F3">
        <w:rPr>
          <w:rFonts w:ascii="Arial" w:hAnsi="Arial" w:cs="Arial"/>
          <w:sz w:val="20"/>
          <w:szCs w:val="20"/>
        </w:rPr>
        <w:t xml:space="preserve">mine discharge points on 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over the same time period. However, it is not possible to determine the contribution of the</w:t>
      </w:r>
      <w:r>
        <w:rPr>
          <w:rFonts w:ascii="Arial" w:hAnsi="Arial" w:cs="Arial"/>
          <w:sz w:val="20"/>
          <w:szCs w:val="20"/>
        </w:rPr>
        <w:t xml:space="preserve"> </w:t>
      </w:r>
      <w:r w:rsidR="00F53047">
        <w:rPr>
          <w:rFonts w:ascii="Arial" w:hAnsi="Arial" w:cs="Arial"/>
          <w:sz w:val="20"/>
          <w:szCs w:val="20"/>
        </w:rPr>
        <w:t>SMEP</w:t>
      </w:r>
      <w:r w:rsidRPr="002653F3">
        <w:rPr>
          <w:rFonts w:ascii="Arial" w:hAnsi="Arial" w:cs="Arial"/>
          <w:sz w:val="20"/>
          <w:szCs w:val="20"/>
        </w:rPr>
        <w:t xml:space="preserve"> mine water discharges to the water quality at Kelpie Point, nor predict changes resulting from the proposed mine extensions, without detailed modelling of </w:t>
      </w:r>
      <w:r>
        <w:rPr>
          <w:rFonts w:ascii="Arial" w:hAnsi="Arial" w:cs="Arial"/>
          <w:sz w:val="20"/>
          <w:szCs w:val="20"/>
        </w:rPr>
        <w:t xml:space="preserve">the </w:t>
      </w:r>
      <w:proofErr w:type="spellStart"/>
      <w:r w:rsidRPr="002653F3">
        <w:rPr>
          <w:rFonts w:ascii="Arial" w:hAnsi="Arial" w:cs="Arial"/>
          <w:sz w:val="20"/>
          <w:szCs w:val="20"/>
        </w:rPr>
        <w:t>Coxs</w:t>
      </w:r>
      <w:proofErr w:type="spellEnd"/>
      <w:r w:rsidRPr="002653F3">
        <w:rPr>
          <w:rFonts w:ascii="Arial" w:hAnsi="Arial" w:cs="Arial"/>
          <w:sz w:val="20"/>
          <w:szCs w:val="20"/>
        </w:rPr>
        <w:t xml:space="preserve"> River catchment. </w:t>
      </w:r>
    </w:p>
    <w:p w:rsidR="001F6C60" w:rsidRPr="00CF5929" w:rsidRDefault="001F6C60" w:rsidP="001F6C60">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9</w:t>
      </w:r>
      <w:r w:rsidRPr="00CF5929">
        <w:rPr>
          <w:rFonts w:ascii="Arial" w:hAnsi="Arial" w:cs="Arial"/>
          <w:sz w:val="20"/>
          <w:szCs w:val="20"/>
        </w:rPr>
        <w:t>:</w:t>
      </w:r>
      <w:r>
        <w:rPr>
          <w:rFonts w:ascii="Arial" w:hAnsi="Arial" w:cs="Arial"/>
          <w:sz w:val="20"/>
          <w:szCs w:val="20"/>
        </w:rPr>
        <w:t xml:space="preserve"> </w:t>
      </w:r>
      <w:r w:rsidRPr="007B5CB5">
        <w:rPr>
          <w:rFonts w:ascii="Arial" w:hAnsi="Arial" w:cs="Arial"/>
          <w:sz w:val="20"/>
          <w:szCs w:val="20"/>
        </w:rPr>
        <w:t xml:space="preserve">What water treatment options does the IESC recommend and/or consider feasible to reduce the salt and contaminant levels of mine water discharged to the </w:t>
      </w:r>
      <w:proofErr w:type="spellStart"/>
      <w:r w:rsidRPr="007B5CB5">
        <w:rPr>
          <w:rFonts w:ascii="Arial" w:hAnsi="Arial" w:cs="Arial"/>
          <w:sz w:val="20"/>
          <w:szCs w:val="20"/>
        </w:rPr>
        <w:t>Coxs</w:t>
      </w:r>
      <w:proofErr w:type="spellEnd"/>
      <w:r w:rsidRPr="007B5CB5">
        <w:rPr>
          <w:rFonts w:ascii="Arial" w:hAnsi="Arial" w:cs="Arial"/>
          <w:sz w:val="20"/>
          <w:szCs w:val="20"/>
        </w:rPr>
        <w:t xml:space="preserve"> River.</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1F6C60" w:rsidRPr="00295977" w:rsidRDefault="00A35CB5" w:rsidP="001F6C60">
      <w:pPr>
        <w:pStyle w:val="ListNumber"/>
        <w:spacing w:after="200" w:line="276" w:lineRule="auto"/>
        <w:rPr>
          <w:rFonts w:ascii="Arial" w:hAnsi="Arial" w:cs="Arial"/>
          <w:sz w:val="20"/>
          <w:szCs w:val="20"/>
        </w:rPr>
      </w:pPr>
      <w:r w:rsidRPr="00295977">
        <w:rPr>
          <w:rFonts w:ascii="Arial" w:hAnsi="Arial" w:cs="Arial"/>
          <w:sz w:val="20"/>
          <w:szCs w:val="20"/>
        </w:rPr>
        <w:t>P</w:t>
      </w:r>
      <w:r w:rsidR="001F6C60" w:rsidRPr="00295977">
        <w:rPr>
          <w:rFonts w:ascii="Arial" w:hAnsi="Arial" w:cs="Arial"/>
          <w:sz w:val="20"/>
          <w:szCs w:val="20"/>
        </w:rPr>
        <w:t xml:space="preserve">rotection of the long-term ecosystem health of </w:t>
      </w:r>
      <w:proofErr w:type="spellStart"/>
      <w:r w:rsidR="001F6C60" w:rsidRPr="00295977">
        <w:rPr>
          <w:rFonts w:ascii="Arial" w:hAnsi="Arial" w:cs="Arial"/>
          <w:sz w:val="20"/>
          <w:szCs w:val="20"/>
        </w:rPr>
        <w:t>Coxs</w:t>
      </w:r>
      <w:proofErr w:type="spellEnd"/>
      <w:r w:rsidR="001F6C60" w:rsidRPr="00295977">
        <w:rPr>
          <w:rFonts w:ascii="Arial" w:hAnsi="Arial" w:cs="Arial"/>
          <w:sz w:val="20"/>
          <w:szCs w:val="20"/>
        </w:rPr>
        <w:t xml:space="preserve"> River should include consideration of the ANZECC and ARMCANZ (2000)</w:t>
      </w:r>
      <w:r w:rsidR="001F6C60" w:rsidRPr="00295977">
        <w:rPr>
          <w:rFonts w:ascii="Arial" w:hAnsi="Arial" w:cs="Arial"/>
          <w:sz w:val="20"/>
          <w:szCs w:val="20"/>
          <w:vertAlign w:val="superscript"/>
        </w:rPr>
        <w:t>2</w:t>
      </w:r>
      <w:r w:rsidR="001F6C60" w:rsidRPr="00295977">
        <w:rPr>
          <w:rFonts w:ascii="Arial" w:hAnsi="Arial" w:cs="Arial"/>
          <w:sz w:val="20"/>
          <w:szCs w:val="20"/>
        </w:rPr>
        <w:t xml:space="preserve"> Guidelines, through an agreed set of approval trigger discharge values and management protocols. Where salinity or other contaminants of concern are likely to </w:t>
      </w:r>
      <w:r w:rsidR="001F6C60" w:rsidRPr="00295977">
        <w:rPr>
          <w:rFonts w:ascii="Arial" w:hAnsi="Arial" w:cs="Arial"/>
          <w:sz w:val="20"/>
          <w:szCs w:val="20"/>
        </w:rPr>
        <w:lastRenderedPageBreak/>
        <w:t xml:space="preserve">exceed trigger values, management and treatment options may include, but are </w:t>
      </w:r>
      <w:r w:rsidRPr="00295977">
        <w:rPr>
          <w:rFonts w:ascii="Arial" w:hAnsi="Arial" w:cs="Arial"/>
          <w:sz w:val="20"/>
          <w:szCs w:val="20"/>
        </w:rPr>
        <w:t>not limited to, reverse osmosis and</w:t>
      </w:r>
      <w:r w:rsidR="001F6C60" w:rsidRPr="00295977">
        <w:rPr>
          <w:rFonts w:ascii="Arial" w:hAnsi="Arial" w:cs="Arial"/>
          <w:sz w:val="20"/>
          <w:szCs w:val="20"/>
        </w:rPr>
        <w:t xml:space="preserve"> ion exchange technologies. </w:t>
      </w:r>
    </w:p>
    <w:p w:rsidR="001F6C60" w:rsidRPr="00CF5929" w:rsidRDefault="001F6C60" w:rsidP="001F6C60">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1F6C60" w:rsidRPr="00295977" w:rsidRDefault="001F6C60" w:rsidP="001F6C60">
      <w:pPr>
        <w:pStyle w:val="ListNumber"/>
        <w:spacing w:after="200" w:line="276" w:lineRule="auto"/>
        <w:rPr>
          <w:rFonts w:ascii="Arial" w:hAnsi="Arial" w:cs="Arial"/>
          <w:sz w:val="20"/>
          <w:szCs w:val="20"/>
        </w:rPr>
      </w:pPr>
      <w:r w:rsidRPr="00295977">
        <w:rPr>
          <w:rFonts w:ascii="Arial" w:hAnsi="Arial" w:cs="Arial"/>
          <w:sz w:val="20"/>
          <w:szCs w:val="20"/>
        </w:rPr>
        <w:t>Development of surface water quality trigger values and contingency options (including treatment where necessary) based on agreed water quality outcomes will assist design and operation of potential treatment facilities and ongoing water quality monitoring program</w:t>
      </w:r>
      <w:r w:rsidR="00CF2A11" w:rsidRPr="00295977">
        <w:rPr>
          <w:rFonts w:ascii="Arial" w:hAnsi="Arial" w:cs="Arial"/>
          <w:sz w:val="20"/>
          <w:szCs w:val="20"/>
        </w:rPr>
        <w:t>me</w:t>
      </w:r>
      <w:r w:rsidRPr="00295977">
        <w:rPr>
          <w:rFonts w:ascii="Arial" w:hAnsi="Arial" w:cs="Arial"/>
          <w:sz w:val="20"/>
          <w:szCs w:val="20"/>
        </w:rPr>
        <w:t>s.</w:t>
      </w:r>
    </w:p>
    <w:p w:rsidR="00295977" w:rsidRPr="00CB7EE9" w:rsidRDefault="001F6C60" w:rsidP="00CB7EE9">
      <w:pPr>
        <w:pStyle w:val="ListNumber"/>
        <w:spacing w:after="200" w:line="276" w:lineRule="auto"/>
        <w:rPr>
          <w:rFonts w:ascii="Arial" w:hAnsi="Arial" w:cs="Arial"/>
          <w:sz w:val="20"/>
          <w:szCs w:val="20"/>
        </w:rPr>
      </w:pPr>
      <w:r w:rsidRPr="00CF5929">
        <w:rPr>
          <w:rFonts w:ascii="Arial" w:hAnsi="Arial" w:cs="Arial"/>
          <w:sz w:val="20"/>
          <w:szCs w:val="20"/>
        </w:rPr>
        <w:t>The</w:t>
      </w:r>
      <w:r w:rsidRPr="00A336F8">
        <w:rPr>
          <w:rFonts w:ascii="Arial" w:hAnsi="Arial" w:cs="Arial"/>
          <w:sz w:val="20"/>
          <w:szCs w:val="20"/>
        </w:rPr>
        <w:t xml:space="preserve"> Hawkesbury-Nepean</w:t>
      </w:r>
      <w:r>
        <w:rPr>
          <w:rFonts w:ascii="Arial" w:hAnsi="Arial" w:cs="Arial"/>
          <w:sz w:val="20"/>
          <w:szCs w:val="20"/>
        </w:rPr>
        <w:t xml:space="preserve"> </w:t>
      </w:r>
      <w:r w:rsidRPr="00A336F8">
        <w:rPr>
          <w:rFonts w:ascii="Arial" w:hAnsi="Arial" w:cs="Arial"/>
          <w:sz w:val="20"/>
          <w:szCs w:val="20"/>
        </w:rPr>
        <w:t xml:space="preserve">subregion </w:t>
      </w:r>
      <w:r w:rsidRPr="00CF5929">
        <w:rPr>
          <w:rFonts w:ascii="Arial" w:hAnsi="Arial" w:cs="Arial"/>
          <w:sz w:val="20"/>
          <w:szCs w:val="20"/>
        </w:rPr>
        <w:t xml:space="preserve">has been identified </w:t>
      </w:r>
      <w:r>
        <w:rPr>
          <w:rFonts w:ascii="Arial" w:hAnsi="Arial" w:cs="Arial"/>
          <w:sz w:val="20"/>
          <w:szCs w:val="20"/>
        </w:rPr>
        <w:t>for Bioregional Assessment</w:t>
      </w:r>
      <w:r w:rsidRPr="00CF5929">
        <w:rPr>
          <w:rFonts w:ascii="Arial" w:hAnsi="Arial" w:cs="Arial"/>
          <w:sz w:val="20"/>
          <w:szCs w:val="20"/>
        </w:rPr>
        <w:t xml:space="preserve">. Data and relevant information from the proposed project should be made accessible to this Bioregional Assessment </w:t>
      </w:r>
      <w:r w:rsidR="004A6BAD">
        <w:rPr>
          <w:rFonts w:ascii="Arial" w:hAnsi="Arial" w:cs="Arial"/>
          <w:sz w:val="20"/>
          <w:szCs w:val="20"/>
        </w:rPr>
        <w:t>and to relevant research programmes,</w:t>
      </w:r>
      <w:r w:rsidR="004A6BAD" w:rsidRPr="00CF5929">
        <w:rPr>
          <w:rFonts w:ascii="Arial" w:hAnsi="Arial" w:cs="Arial"/>
          <w:sz w:val="20"/>
          <w:szCs w:val="20"/>
        </w:rPr>
        <w:t xml:space="preserve"> to</w:t>
      </w:r>
      <w:r w:rsidRPr="00CF5929">
        <w:rPr>
          <w:rFonts w:ascii="Arial" w:hAnsi="Arial" w:cs="Arial"/>
          <w:sz w:val="20"/>
          <w:szCs w:val="20"/>
        </w:rPr>
        <w:t xml:space="preserve">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9110D5">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CB7EE9" w:rsidP="00F26E20">
            <w:pPr>
              <w:spacing w:line="276" w:lineRule="auto"/>
              <w:rPr>
                <w:rFonts w:ascii="Arial" w:hAnsi="Arial" w:cs="Arial"/>
                <w:sz w:val="20"/>
                <w:szCs w:val="20"/>
              </w:rPr>
            </w:pPr>
            <w:r>
              <w:rPr>
                <w:rFonts w:ascii="Arial" w:hAnsi="Arial" w:cs="Arial"/>
                <w:sz w:val="20"/>
                <w:szCs w:val="20"/>
              </w:rPr>
              <w:t>25</w:t>
            </w:r>
            <w:r w:rsidR="007203C3" w:rsidRPr="00295977">
              <w:rPr>
                <w:rFonts w:ascii="Arial" w:hAnsi="Arial" w:cs="Arial"/>
                <w:sz w:val="20"/>
                <w:szCs w:val="20"/>
              </w:rPr>
              <w:t xml:space="preserve"> </w:t>
            </w:r>
            <w:r w:rsidR="00F26E20" w:rsidRPr="00295977">
              <w:rPr>
                <w:rFonts w:ascii="Arial" w:hAnsi="Arial" w:cs="Arial"/>
                <w:sz w:val="20"/>
                <w:szCs w:val="20"/>
              </w:rPr>
              <w:t>August</w:t>
            </w:r>
            <w:r w:rsidR="007203C3" w:rsidRPr="00295977">
              <w:rPr>
                <w:rFonts w:ascii="Arial" w:hAnsi="Arial" w:cs="Arial"/>
                <w:sz w:val="20"/>
                <w:szCs w:val="20"/>
              </w:rPr>
              <w:t xml:space="preserve"> 201</w:t>
            </w:r>
            <w:r w:rsidR="00D10C4C" w:rsidRPr="00295977">
              <w:rPr>
                <w:rFonts w:ascii="Arial" w:hAnsi="Arial" w:cs="Arial"/>
                <w:sz w:val="20"/>
                <w:szCs w:val="20"/>
              </w:rPr>
              <w:t>4</w:t>
            </w:r>
            <w:r w:rsidR="003E2135">
              <w:rPr>
                <w:rFonts w:ascii="Arial" w:hAnsi="Arial" w:cs="Arial"/>
                <w:sz w:val="20"/>
                <w:szCs w:val="20"/>
              </w:rPr>
              <w:t xml:space="preserve"> </w:t>
            </w:r>
          </w:p>
        </w:tc>
      </w:tr>
      <w:tr w:rsidR="007203C3" w:rsidRPr="00FF4CAF" w:rsidTr="00B1520C">
        <w:trPr>
          <w:trHeight w:val="161"/>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Pr>
                <w:rFonts w:cs="Arial"/>
                <w:sz w:val="20"/>
              </w:rPr>
              <w:t xml:space="preserve">Source documentation available to the </w:t>
            </w:r>
            <w:r w:rsidR="00A83DF5">
              <w:rPr>
                <w:rFonts w:cs="Arial"/>
                <w:sz w:val="20"/>
              </w:rPr>
              <w:t>IESC</w:t>
            </w:r>
            <w:r>
              <w:rPr>
                <w:rFonts w:cs="Arial"/>
                <w:sz w:val="20"/>
              </w:rPr>
              <w:t xml:space="preserve"> in the formulation of this advice</w:t>
            </w:r>
          </w:p>
        </w:tc>
        <w:tc>
          <w:tcPr>
            <w:tcW w:w="8159" w:type="dxa"/>
            <w:tcBorders>
              <w:top w:val="single" w:sz="4" w:space="0" w:color="auto"/>
              <w:bottom w:val="single" w:sz="4" w:space="0" w:color="auto"/>
            </w:tcBorders>
          </w:tcPr>
          <w:p w:rsidR="007203C3" w:rsidRPr="00FF4CAF" w:rsidRDefault="00FF4CAF" w:rsidP="007F19A8">
            <w:pPr>
              <w:pStyle w:val="ListBullet"/>
              <w:spacing w:line="276" w:lineRule="auto"/>
              <w:rPr>
                <w:rFonts w:ascii="Arial" w:hAnsi="Arial" w:cs="Arial"/>
                <w:sz w:val="20"/>
                <w:szCs w:val="22"/>
              </w:rPr>
            </w:pPr>
            <w:proofErr w:type="spellStart"/>
            <w:r w:rsidRPr="00FF4CAF">
              <w:rPr>
                <w:rFonts w:ascii="Arial" w:hAnsi="Arial" w:cs="Arial"/>
                <w:sz w:val="20"/>
                <w:szCs w:val="22"/>
              </w:rPr>
              <w:t>Golder</w:t>
            </w:r>
            <w:proofErr w:type="spellEnd"/>
            <w:r>
              <w:rPr>
                <w:rFonts w:ascii="Arial" w:hAnsi="Arial" w:cs="Arial"/>
                <w:sz w:val="20"/>
                <w:szCs w:val="22"/>
              </w:rPr>
              <w:t xml:space="preserve"> Associates, 2014. </w:t>
            </w:r>
            <w:r w:rsidR="007F19A8">
              <w:rPr>
                <w:rFonts w:ascii="Arial" w:hAnsi="Arial" w:cs="Arial"/>
                <w:sz w:val="20"/>
                <w:szCs w:val="22"/>
              </w:rPr>
              <w:t>Springvale Mine</w:t>
            </w:r>
            <w:r>
              <w:rPr>
                <w:rFonts w:ascii="Arial" w:hAnsi="Arial" w:cs="Arial"/>
                <w:sz w:val="20"/>
                <w:szCs w:val="22"/>
              </w:rPr>
              <w:t xml:space="preserve">, </w:t>
            </w:r>
            <w:r w:rsidR="007F19A8">
              <w:rPr>
                <w:rFonts w:ascii="Arial" w:hAnsi="Arial" w:cs="Arial"/>
                <w:sz w:val="20"/>
                <w:szCs w:val="22"/>
              </w:rPr>
              <w:t>Springvale</w:t>
            </w:r>
            <w:r>
              <w:rPr>
                <w:rFonts w:ascii="Arial" w:hAnsi="Arial" w:cs="Arial"/>
                <w:sz w:val="20"/>
                <w:szCs w:val="22"/>
              </w:rPr>
              <w:t xml:space="preserve"> Mine Extension Project, </w:t>
            </w:r>
            <w:r w:rsidR="007F19A8">
              <w:rPr>
                <w:rFonts w:ascii="Arial" w:hAnsi="Arial" w:cs="Arial"/>
                <w:sz w:val="20"/>
                <w:szCs w:val="22"/>
              </w:rPr>
              <w:t>State Significant Development 5594</w:t>
            </w:r>
            <w:r>
              <w:rPr>
                <w:rFonts w:ascii="Arial" w:hAnsi="Arial" w:cs="Arial"/>
                <w:sz w:val="20"/>
                <w:szCs w:val="22"/>
              </w:rPr>
              <w:t xml:space="preserve">, Environmental Impact Statement. Volume 1: Report. Prepared for </w:t>
            </w:r>
            <w:r w:rsidR="007F19A8">
              <w:rPr>
                <w:rFonts w:ascii="Arial" w:hAnsi="Arial" w:cs="Arial"/>
                <w:sz w:val="20"/>
                <w:szCs w:val="22"/>
              </w:rPr>
              <w:t xml:space="preserve">Springvale Coal Pty </w:t>
            </w:r>
            <w:r w:rsidR="00C55D1F">
              <w:rPr>
                <w:rFonts w:ascii="Arial" w:hAnsi="Arial" w:cs="Arial"/>
                <w:sz w:val="20"/>
                <w:szCs w:val="22"/>
              </w:rPr>
              <w:t>Limited</w:t>
            </w:r>
            <w:r>
              <w:rPr>
                <w:rFonts w:ascii="Arial" w:hAnsi="Arial" w:cs="Arial"/>
                <w:sz w:val="20"/>
                <w:szCs w:val="22"/>
              </w:rPr>
              <w:t>. 7 April 2014.</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sidRPr="00B159F9">
              <w:rPr>
                <w:rFonts w:cs="Arial"/>
                <w:sz w:val="20"/>
              </w:rPr>
              <w:t xml:space="preserve">References cited within the </w:t>
            </w:r>
            <w:r w:rsidR="00A83DF5">
              <w:rPr>
                <w:rFonts w:cs="Arial"/>
                <w:sz w:val="20"/>
              </w:rPr>
              <w:t>IESC</w:t>
            </w:r>
            <w:r w:rsidRPr="00B159F9">
              <w:rPr>
                <w:rFonts w:cs="Arial"/>
                <w:sz w:val="20"/>
              </w:rPr>
              <w:t>’s advice</w:t>
            </w:r>
          </w:p>
        </w:tc>
        <w:tc>
          <w:tcPr>
            <w:tcW w:w="8159" w:type="dxa"/>
            <w:tcBorders>
              <w:top w:val="single" w:sz="4" w:space="0" w:color="auto"/>
              <w:bottom w:val="single" w:sz="4" w:space="0" w:color="auto"/>
            </w:tcBorders>
          </w:tcPr>
          <w:p w:rsidR="007203C3" w:rsidRDefault="007203C3" w:rsidP="00FF4CAF">
            <w:pPr>
              <w:pStyle w:val="ListNumber"/>
              <w:numPr>
                <w:ilvl w:val="0"/>
                <w:numId w:val="0"/>
              </w:numPr>
              <w:tabs>
                <w:tab w:val="left" w:pos="34"/>
              </w:tabs>
              <w:spacing w:after="200"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w:t>
            </w:r>
            <w:r w:rsidR="00A83DF5">
              <w:rPr>
                <w:rFonts w:ascii="Arial" w:hAnsi="Arial" w:cs="Arial"/>
                <w:sz w:val="20"/>
                <w:szCs w:val="20"/>
              </w:rPr>
              <w:t xml:space="preserve">Independent Expert Scientific Committee advice </w:t>
            </w:r>
            <w:r w:rsidRPr="00F73813">
              <w:rPr>
                <w:rFonts w:ascii="Arial" w:hAnsi="Arial" w:cs="Arial"/>
                <w:sz w:val="20"/>
                <w:szCs w:val="20"/>
              </w:rPr>
              <w:t>o</w:t>
            </w:r>
            <w:r w:rsidR="00A83DF5">
              <w:rPr>
                <w:rFonts w:ascii="Arial" w:hAnsi="Arial" w:cs="Arial"/>
                <w:sz w:val="20"/>
                <w:szCs w:val="20"/>
              </w:rPr>
              <w:t>n</w:t>
            </w:r>
            <w:r w:rsidRPr="00F73813">
              <w:rPr>
                <w:rFonts w:ascii="Arial" w:hAnsi="Arial" w:cs="Arial"/>
                <w:sz w:val="20"/>
                <w:szCs w:val="20"/>
              </w:rPr>
              <w:t xml:space="preserve"> </w:t>
            </w:r>
            <w:r w:rsidR="00A83DF5">
              <w:rPr>
                <w:rFonts w:ascii="Arial" w:hAnsi="Arial" w:cs="Arial"/>
                <w:sz w:val="20"/>
                <w:szCs w:val="20"/>
              </w:rPr>
              <w:t>coal s</w:t>
            </w:r>
            <w:r w:rsidRPr="00F73813">
              <w:rPr>
                <w:rFonts w:ascii="Arial" w:hAnsi="Arial" w:cs="Arial"/>
                <w:sz w:val="20"/>
                <w:szCs w:val="20"/>
              </w:rPr>
              <w:t xml:space="preserve">eam </w:t>
            </w:r>
            <w:r w:rsidR="00A83DF5">
              <w:rPr>
                <w:rFonts w:ascii="Arial" w:hAnsi="Arial" w:cs="Arial"/>
                <w:sz w:val="20"/>
                <w:szCs w:val="20"/>
              </w:rPr>
              <w:t>g</w:t>
            </w:r>
            <w:r w:rsidRPr="00F73813">
              <w:rPr>
                <w:rFonts w:ascii="Arial" w:hAnsi="Arial" w:cs="Arial"/>
                <w:sz w:val="20"/>
                <w:szCs w:val="20"/>
              </w:rPr>
              <w:t>as an</w:t>
            </w:r>
            <w:r w:rsidRPr="00CF5929">
              <w:rPr>
                <w:rFonts w:ascii="Arial" w:hAnsi="Arial" w:cs="Arial"/>
                <w:sz w:val="20"/>
                <w:szCs w:val="20"/>
              </w:rPr>
              <w:t xml:space="preserve">d </w:t>
            </w:r>
            <w:r w:rsidR="00A83DF5">
              <w:rPr>
                <w:rFonts w:ascii="Arial" w:hAnsi="Arial" w:cs="Arial"/>
                <w:sz w:val="20"/>
                <w:szCs w:val="20"/>
              </w:rPr>
              <w:t>l</w:t>
            </w:r>
            <w:r w:rsidRPr="00CF5929">
              <w:rPr>
                <w:rFonts w:ascii="Arial" w:hAnsi="Arial" w:cs="Arial"/>
                <w:sz w:val="20"/>
                <w:szCs w:val="20"/>
              </w:rPr>
              <w:t xml:space="preserve">arge </w:t>
            </w:r>
            <w:r w:rsidR="00A83DF5">
              <w:rPr>
                <w:rFonts w:ascii="Arial" w:hAnsi="Arial" w:cs="Arial"/>
                <w:sz w:val="20"/>
                <w:szCs w:val="20"/>
              </w:rPr>
              <w:t>c</w:t>
            </w:r>
            <w:r w:rsidRPr="00CF5929">
              <w:rPr>
                <w:rFonts w:ascii="Arial" w:hAnsi="Arial" w:cs="Arial"/>
                <w:sz w:val="20"/>
                <w:szCs w:val="20"/>
              </w:rPr>
              <w:t xml:space="preserve">oal </w:t>
            </w:r>
            <w:r w:rsidR="00A83DF5">
              <w:rPr>
                <w:rFonts w:ascii="Arial" w:hAnsi="Arial" w:cs="Arial"/>
                <w:sz w:val="20"/>
                <w:szCs w:val="20"/>
              </w:rPr>
              <w:t>mining development proposals</w:t>
            </w:r>
            <w:r w:rsidRPr="00CF5929">
              <w:rPr>
                <w:rFonts w:ascii="Arial" w:hAnsi="Arial" w:cs="Arial"/>
                <w:sz w:val="20"/>
                <w:szCs w:val="20"/>
              </w:rPr>
              <w:t xml:space="preserve"> available at: </w:t>
            </w:r>
            <w:hyperlink r:id="rId14" w:history="1">
              <w:r w:rsidR="00CF5929" w:rsidRPr="00CF5929">
                <w:rPr>
                  <w:rStyle w:val="Hyperlink"/>
                  <w:rFonts w:ascii="Arial" w:hAnsi="Arial" w:cs="Arial"/>
                  <w:sz w:val="20"/>
                  <w:szCs w:val="20"/>
                </w:rPr>
                <w:t>http://iesc.environment.gov.au/pubs/iesc-information-guidelines.pdf</w:t>
              </w:r>
            </w:hyperlink>
            <w:r w:rsidR="00CF5929">
              <w:t xml:space="preserve"> </w:t>
            </w:r>
          </w:p>
          <w:p w:rsidR="00EE5498" w:rsidRDefault="00EE5498" w:rsidP="00EE5498">
            <w:pPr>
              <w:pStyle w:val="BRCopyrightPage"/>
              <w:spacing w:line="276" w:lineRule="auto"/>
              <w:rPr>
                <w:bCs/>
              </w:rPr>
            </w:pPr>
            <w:r w:rsidRPr="00F26E20">
              <w:rPr>
                <w:vertAlign w:val="superscript"/>
              </w:rPr>
              <w:t xml:space="preserve">2 </w:t>
            </w:r>
            <w:r>
              <w:rPr>
                <w:bCs/>
              </w:rPr>
              <w:t xml:space="preserve">ANZECC and ARMCANZ, 2000. Australian Guidelines for Water Quality Monitoring and Reporting. National Water Quality Management Strategy (NWQMS). Document 4 and 7. </w:t>
            </w:r>
            <w:proofErr w:type="spellStart"/>
            <w:r>
              <w:rPr>
                <w:bCs/>
              </w:rPr>
              <w:t>Austrailan</w:t>
            </w:r>
            <w:proofErr w:type="spellEnd"/>
            <w:r>
              <w:rPr>
                <w:bCs/>
              </w:rPr>
              <w:t xml:space="preserve"> and new Zealand Environmental and Conservation Council &amp; Agriculture and Resource Management Council for Australia and New Zealand, Canberra.</w:t>
            </w:r>
          </w:p>
          <w:p w:rsidR="00A76BD5" w:rsidRDefault="00A76BD5" w:rsidP="00A76BD5">
            <w:pPr>
              <w:pStyle w:val="BRCopyrightPage"/>
              <w:spacing w:line="276" w:lineRule="auto"/>
            </w:pPr>
            <w:r w:rsidRPr="00F26E20">
              <w:rPr>
                <w:vertAlign w:val="superscript"/>
              </w:rPr>
              <w:t xml:space="preserve">3 </w:t>
            </w:r>
            <w:r>
              <w:t>Commonwealth of Australia,</w:t>
            </w:r>
            <w:r w:rsidRPr="00F26E20">
              <w:t xml:space="preserve"> 2014</w:t>
            </w:r>
            <w:r>
              <w:t>a.</w:t>
            </w:r>
            <w:r w:rsidRPr="00F26E20">
              <w:t xml:space="preserve"> </w:t>
            </w:r>
            <w:r w:rsidRPr="00F26E20">
              <w:rPr>
                <w:i/>
              </w:rPr>
              <w:t xml:space="preserve">Temperate Highland Peat Swamps on Sandstone: </w:t>
            </w:r>
            <w:proofErr w:type="spellStart"/>
            <w:r w:rsidRPr="00F26E20">
              <w:rPr>
                <w:i/>
              </w:rPr>
              <w:t>longwall</w:t>
            </w:r>
            <w:proofErr w:type="spellEnd"/>
            <w:r w:rsidRPr="00F26E20">
              <w:rPr>
                <w:i/>
              </w:rPr>
              <w:t xml:space="preserve"> mining engineering design—subsidence prediction, buffer distances and mine design options</w:t>
            </w:r>
            <w:r>
              <w:rPr>
                <w:i/>
              </w:rPr>
              <w:t>, Knowledge report</w:t>
            </w:r>
            <w:r>
              <w:t>.</w:t>
            </w:r>
            <w:r w:rsidRPr="00F26E20">
              <w:t xml:space="preserve"> </w:t>
            </w:r>
            <w:r>
              <w:t>P</w:t>
            </w:r>
            <w:r w:rsidRPr="00F26E20">
              <w:t xml:space="preserve">repared </w:t>
            </w:r>
            <w:r>
              <w:t xml:space="preserve">by Coffey </w:t>
            </w:r>
            <w:proofErr w:type="spellStart"/>
            <w:r>
              <w:t>Geotechnics</w:t>
            </w:r>
            <w:proofErr w:type="spellEnd"/>
            <w:r>
              <w:t xml:space="preserve">, </w:t>
            </w:r>
            <w:r w:rsidRPr="00F26E20">
              <w:t>for the Department of the Environment.</w:t>
            </w:r>
          </w:p>
          <w:p w:rsidR="00A76BD5" w:rsidRDefault="00A76BD5" w:rsidP="00A76BD5">
            <w:pPr>
              <w:pStyle w:val="ListNumber"/>
              <w:numPr>
                <w:ilvl w:val="0"/>
                <w:numId w:val="0"/>
              </w:numPr>
              <w:spacing w:after="200" w:line="276" w:lineRule="auto"/>
              <w:rPr>
                <w:rFonts w:ascii="Arial" w:hAnsi="Arial" w:cs="Arial"/>
                <w:bCs/>
                <w:sz w:val="20"/>
                <w:szCs w:val="20"/>
              </w:rPr>
            </w:pPr>
            <w:r w:rsidRPr="00F26E20">
              <w:rPr>
                <w:rFonts w:ascii="Arial" w:hAnsi="Arial" w:cs="Arial"/>
                <w:bCs/>
                <w:sz w:val="20"/>
                <w:szCs w:val="20"/>
                <w:vertAlign w:val="superscript"/>
              </w:rPr>
              <w:t xml:space="preserve">4 </w:t>
            </w:r>
            <w:r w:rsidRPr="00A71F70">
              <w:rPr>
                <w:rFonts w:ascii="Arial" w:hAnsi="Arial" w:cs="Arial"/>
                <w:bCs/>
                <w:sz w:val="20"/>
                <w:szCs w:val="20"/>
              </w:rPr>
              <w:t>Commonwealth of Australia</w:t>
            </w:r>
            <w:r w:rsidRPr="00F26E20">
              <w:rPr>
                <w:rFonts w:ascii="Arial" w:hAnsi="Arial" w:cs="Arial"/>
                <w:bCs/>
                <w:sz w:val="20"/>
                <w:szCs w:val="20"/>
              </w:rPr>
              <w:t>, 2014</w:t>
            </w:r>
            <w:r>
              <w:rPr>
                <w:rFonts w:ascii="Arial" w:hAnsi="Arial" w:cs="Arial"/>
                <w:bCs/>
                <w:sz w:val="20"/>
                <w:szCs w:val="20"/>
              </w:rPr>
              <w:t>b.</w:t>
            </w:r>
            <w:r w:rsidRPr="00F26E20">
              <w:rPr>
                <w:rFonts w:ascii="Arial" w:hAnsi="Arial" w:cs="Arial"/>
                <w:bCs/>
                <w:sz w:val="20"/>
                <w:szCs w:val="20"/>
              </w:rPr>
              <w:t xml:space="preserve"> </w:t>
            </w:r>
            <w:r w:rsidRPr="00F26E20">
              <w:rPr>
                <w:rFonts w:ascii="Arial" w:hAnsi="Arial" w:cs="Arial"/>
                <w:bCs/>
                <w:i/>
                <w:sz w:val="20"/>
                <w:szCs w:val="20"/>
              </w:rPr>
              <w:t>Temperate Highland Peat Swamps on Sandstone: ecological characteristics, sensitivities to change, and monitoring and reporting techniques</w:t>
            </w:r>
            <w:r>
              <w:rPr>
                <w:rFonts w:ascii="Arial" w:hAnsi="Arial" w:cs="Arial"/>
                <w:bCs/>
                <w:i/>
                <w:sz w:val="20"/>
                <w:szCs w:val="20"/>
              </w:rPr>
              <w:t>, Knowledge report.</w:t>
            </w:r>
            <w:r w:rsidRPr="00F26E20">
              <w:rPr>
                <w:rFonts w:ascii="Arial" w:hAnsi="Arial" w:cs="Arial"/>
                <w:bCs/>
                <w:sz w:val="20"/>
                <w:szCs w:val="20"/>
              </w:rPr>
              <w:t xml:space="preserve"> </w:t>
            </w:r>
            <w:r>
              <w:rPr>
                <w:rFonts w:ascii="Arial" w:hAnsi="Arial" w:cs="Arial"/>
                <w:bCs/>
                <w:sz w:val="20"/>
                <w:szCs w:val="20"/>
              </w:rPr>
              <w:t>P</w:t>
            </w:r>
            <w:r w:rsidRPr="00F26E20">
              <w:rPr>
                <w:rFonts w:ascii="Arial" w:hAnsi="Arial" w:cs="Arial"/>
                <w:bCs/>
                <w:sz w:val="20"/>
                <w:szCs w:val="20"/>
              </w:rPr>
              <w:t>repared</w:t>
            </w:r>
            <w:r>
              <w:rPr>
                <w:rFonts w:ascii="Arial" w:hAnsi="Arial" w:cs="Arial"/>
                <w:bCs/>
                <w:sz w:val="20"/>
                <w:szCs w:val="20"/>
              </w:rPr>
              <w:t xml:space="preserve"> by Jacobs SKM,</w:t>
            </w:r>
            <w:r w:rsidRPr="00F26E20">
              <w:rPr>
                <w:rFonts w:ascii="Arial" w:hAnsi="Arial" w:cs="Arial"/>
                <w:bCs/>
                <w:sz w:val="20"/>
                <w:szCs w:val="20"/>
              </w:rPr>
              <w:t xml:space="preserve"> for the</w:t>
            </w:r>
            <w:r>
              <w:rPr>
                <w:rFonts w:ascii="Arial" w:hAnsi="Arial" w:cs="Arial"/>
                <w:bCs/>
                <w:sz w:val="20"/>
                <w:szCs w:val="20"/>
              </w:rPr>
              <w:t xml:space="preserve"> Department of the Environment</w:t>
            </w:r>
            <w:r w:rsidRPr="00F26E20">
              <w:rPr>
                <w:rFonts w:ascii="Arial" w:hAnsi="Arial" w:cs="Arial"/>
                <w:bCs/>
                <w:sz w:val="20"/>
                <w:szCs w:val="20"/>
              </w:rPr>
              <w:t>.</w:t>
            </w:r>
          </w:p>
          <w:p w:rsidR="00A76BD5" w:rsidRDefault="00A76BD5" w:rsidP="00A76BD5">
            <w:pPr>
              <w:pStyle w:val="BRCopyrightPage"/>
              <w:spacing w:line="276" w:lineRule="auto"/>
            </w:pPr>
            <w:r w:rsidRPr="00461376">
              <w:rPr>
                <w:bCs/>
                <w:vertAlign w:val="superscript"/>
              </w:rPr>
              <w:t xml:space="preserve">5 </w:t>
            </w:r>
            <w:r>
              <w:t>Commonwealth of Australia,</w:t>
            </w:r>
            <w:r w:rsidRPr="00F26E20">
              <w:t xml:space="preserve"> 2014</w:t>
            </w:r>
            <w:r>
              <w:t>c.</w:t>
            </w:r>
            <w:r w:rsidRPr="00F26E20">
              <w:t xml:space="preserve"> </w:t>
            </w:r>
            <w:r w:rsidRPr="00F26E20">
              <w:rPr>
                <w:i/>
              </w:rPr>
              <w:t>Temperate Highland Peat Swamps on Sandstone: evaluation of mitigation and remediation techniques</w:t>
            </w:r>
            <w:r>
              <w:rPr>
                <w:i/>
              </w:rPr>
              <w:t xml:space="preserve">, Knowledge report. </w:t>
            </w:r>
            <w:r w:rsidRPr="00E64F7F">
              <w:t>P</w:t>
            </w:r>
            <w:r w:rsidRPr="00F26E20">
              <w:t>repared by the Water Research Laboratory, Univers</w:t>
            </w:r>
            <w:r>
              <w:t>ity of New South Wales, for the Department of the Environment</w:t>
            </w:r>
            <w:r w:rsidRPr="00F26E20">
              <w:t>.</w:t>
            </w:r>
          </w:p>
          <w:p w:rsidR="00FF4CAF" w:rsidRPr="001F6C60" w:rsidRDefault="00EE5498" w:rsidP="001F6C60">
            <w:pPr>
              <w:pStyle w:val="BRCopyrightPage"/>
              <w:spacing w:line="276" w:lineRule="auto"/>
            </w:pPr>
            <w:r w:rsidRPr="002653F3">
              <w:rPr>
                <w:vertAlign w:val="superscript"/>
              </w:rPr>
              <w:t xml:space="preserve">6 </w:t>
            </w:r>
            <w:r>
              <w:t xml:space="preserve">Sydney Catchment </w:t>
            </w:r>
            <w:proofErr w:type="gramStart"/>
            <w:r>
              <w:t>Authority</w:t>
            </w:r>
            <w:proofErr w:type="gramEnd"/>
            <w:r>
              <w:t>, 2013. Annual Water Quality Monitoring Report 2012-13</w:t>
            </w:r>
          </w:p>
        </w:tc>
      </w:tr>
    </w:tbl>
    <w:p w:rsidR="007203C3" w:rsidRPr="00062A46" w:rsidRDefault="007203C3" w:rsidP="007203C3">
      <w:pPr>
        <w:spacing w:after="200" w:line="276" w:lineRule="auto"/>
      </w:pPr>
    </w:p>
    <w:sectPr w:rsidR="007203C3" w:rsidRPr="00062A46" w:rsidSect="007203C3">
      <w:headerReference w:type="even" r:id="rId15"/>
      <w:footerReference w:type="default" r:id="rId16"/>
      <w:headerReference w:type="first" r:id="rId17"/>
      <w:footerReference w:type="first" r:id="rId18"/>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EE9" w:rsidRDefault="00CB7EE9" w:rsidP="00A60185">
      <w:r>
        <w:separator/>
      </w:r>
    </w:p>
  </w:endnote>
  <w:endnote w:type="continuationSeparator" w:id="0">
    <w:p w:rsidR="00CB7EE9" w:rsidRDefault="00CB7EE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E9" w:rsidRPr="007203C3" w:rsidRDefault="00CB7EE9" w:rsidP="007203C3">
    <w:pPr>
      <w:pStyle w:val="Footer"/>
      <w:pBdr>
        <w:top w:val="single" w:sz="4" w:space="1" w:color="auto"/>
      </w:pBdr>
      <w:rPr>
        <w:rFonts w:ascii="Arial" w:hAnsi="Arial" w:cs="Arial"/>
        <w:color w:val="FF0000"/>
        <w:sz w:val="12"/>
        <w:szCs w:val="20"/>
      </w:rPr>
    </w:pPr>
  </w:p>
  <w:p w:rsidR="00CB7EE9" w:rsidRPr="00293B46" w:rsidRDefault="00CB7EE9" w:rsidP="007203C3">
    <w:pPr>
      <w:pStyle w:val="Footer"/>
      <w:pBdr>
        <w:top w:val="single" w:sz="4" w:space="1" w:color="auto"/>
      </w:pBdr>
      <w:rPr>
        <w:rFonts w:ascii="Arial" w:hAnsi="Arial" w:cs="Arial"/>
        <w:sz w:val="20"/>
        <w:szCs w:val="20"/>
      </w:rPr>
    </w:pPr>
    <w:r w:rsidRPr="00293B46">
      <w:rPr>
        <w:rFonts w:ascii="Arial" w:hAnsi="Arial" w:cs="Arial"/>
        <w:sz w:val="20"/>
        <w:szCs w:val="20"/>
      </w:rPr>
      <w:t>Springvale Mine Extension Project Advice</w:t>
    </w:r>
    <w:r w:rsidRPr="00293B46">
      <w:rPr>
        <w:rFonts w:ascii="Arial" w:hAnsi="Arial" w:cs="Arial"/>
        <w:sz w:val="20"/>
        <w:szCs w:val="20"/>
      </w:rPr>
      <w:ptab w:relativeTo="margin" w:alignment="right" w:leader="none"/>
    </w:r>
    <w:r>
      <w:rPr>
        <w:rFonts w:ascii="Arial" w:hAnsi="Arial" w:cs="Arial"/>
        <w:sz w:val="20"/>
        <w:szCs w:val="20"/>
      </w:rPr>
      <w:t>25</w:t>
    </w:r>
    <w:r w:rsidRPr="00293B46">
      <w:rPr>
        <w:rFonts w:ascii="Arial" w:hAnsi="Arial" w:cs="Arial"/>
        <w:sz w:val="20"/>
        <w:szCs w:val="20"/>
      </w:rPr>
      <w:t xml:space="preserve"> August 2014</w:t>
    </w:r>
  </w:p>
  <w:p w:rsidR="00CB7EE9" w:rsidRPr="00CF5929" w:rsidRDefault="00E0018E">
    <w:pPr>
      <w:pStyle w:val="Footer"/>
      <w:jc w:val="center"/>
      <w:rPr>
        <w:rFonts w:ascii="Arial" w:hAnsi="Arial" w:cs="Arial"/>
        <w:sz w:val="20"/>
        <w:szCs w:val="20"/>
      </w:rPr>
    </w:pPr>
    <w:r w:rsidRPr="00CF5929">
      <w:rPr>
        <w:rFonts w:ascii="Arial" w:hAnsi="Arial" w:cs="Arial"/>
        <w:sz w:val="20"/>
        <w:szCs w:val="20"/>
      </w:rPr>
      <w:fldChar w:fldCharType="begin"/>
    </w:r>
    <w:r w:rsidR="00CB7EE9" w:rsidRPr="00CF5929">
      <w:rPr>
        <w:rFonts w:ascii="Arial" w:hAnsi="Arial" w:cs="Arial"/>
        <w:sz w:val="20"/>
        <w:szCs w:val="20"/>
      </w:rPr>
      <w:instrText xml:space="preserve"> PAGE   \* MERGEFORMAT </w:instrText>
    </w:r>
    <w:r w:rsidRPr="00CF5929">
      <w:rPr>
        <w:rFonts w:ascii="Arial" w:hAnsi="Arial" w:cs="Arial"/>
        <w:sz w:val="20"/>
        <w:szCs w:val="20"/>
      </w:rPr>
      <w:fldChar w:fldCharType="separate"/>
    </w:r>
    <w:r w:rsidR="003E76BC">
      <w:rPr>
        <w:rFonts w:ascii="Arial" w:hAnsi="Arial" w:cs="Arial"/>
        <w:noProof/>
        <w:sz w:val="20"/>
        <w:szCs w:val="20"/>
      </w:rPr>
      <w:t>1</w:t>
    </w:r>
    <w:r w:rsidRPr="00CF592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E9" w:rsidRPr="00D15280" w:rsidRDefault="00CB7EE9">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CB7EE9" w:rsidRPr="00062A46" w:rsidRDefault="00E0018E"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CB7EE9"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CB7EE9">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EE9" w:rsidRDefault="00CB7EE9" w:rsidP="00A60185">
      <w:r>
        <w:separator/>
      </w:r>
    </w:p>
  </w:footnote>
  <w:footnote w:type="continuationSeparator" w:id="0">
    <w:p w:rsidR="00CB7EE9" w:rsidRDefault="00CB7EE9"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E9" w:rsidRDefault="00CB7EE9"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E9" w:rsidRDefault="00CB7EE9"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7AB4D23A"/>
    <w:lvl w:ilvl="0">
      <w:start w:val="1"/>
      <w:numFmt w:val="decimal"/>
      <w:lvlText w:val="%1."/>
      <w:lvlJc w:val="left"/>
      <w:pPr>
        <w:tabs>
          <w:tab w:val="num" w:pos="643"/>
        </w:tabs>
        <w:ind w:left="643" w:hanging="360"/>
      </w:pPr>
    </w:lvl>
  </w:abstractNum>
  <w:abstractNum w:abstractNumId="2">
    <w:nsid w:val="FFFFFF88"/>
    <w:multiLevelType w:val="singleLevel"/>
    <w:tmpl w:val="4FDAB264"/>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456429"/>
    <w:multiLevelType w:val="multilevel"/>
    <w:tmpl w:val="ED08CABE"/>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65F7127D"/>
    <w:multiLevelType w:val="hybridMultilevel"/>
    <w:tmpl w:val="D1847490"/>
    <w:lvl w:ilvl="0" w:tplc="52D65AA4">
      <w:start w:val="1"/>
      <w:numFmt w:val="bullet"/>
      <w:lvlText w:val=""/>
      <w:lvlJc w:val="left"/>
      <w:pPr>
        <w:ind w:left="720" w:hanging="360"/>
      </w:pPr>
      <w:rPr>
        <w:rFonts w:ascii="Symbol" w:hAnsi="Symbol" w:hint="default"/>
      </w:rPr>
    </w:lvl>
    <w:lvl w:ilvl="1" w:tplc="9D98682C" w:tentative="1">
      <w:start w:val="1"/>
      <w:numFmt w:val="bullet"/>
      <w:lvlText w:val="o"/>
      <w:lvlJc w:val="left"/>
      <w:pPr>
        <w:ind w:left="1440" w:hanging="360"/>
      </w:pPr>
      <w:rPr>
        <w:rFonts w:ascii="Courier New" w:hAnsi="Courier New" w:cs="Courier New" w:hint="default"/>
      </w:rPr>
    </w:lvl>
    <w:lvl w:ilvl="2" w:tplc="CEECC92E" w:tentative="1">
      <w:start w:val="1"/>
      <w:numFmt w:val="bullet"/>
      <w:lvlText w:val=""/>
      <w:lvlJc w:val="left"/>
      <w:pPr>
        <w:ind w:left="2160" w:hanging="360"/>
      </w:pPr>
      <w:rPr>
        <w:rFonts w:ascii="Wingdings" w:hAnsi="Wingdings" w:hint="default"/>
      </w:rPr>
    </w:lvl>
    <w:lvl w:ilvl="3" w:tplc="9120E98E" w:tentative="1">
      <w:start w:val="1"/>
      <w:numFmt w:val="bullet"/>
      <w:lvlText w:val=""/>
      <w:lvlJc w:val="left"/>
      <w:pPr>
        <w:ind w:left="2880" w:hanging="360"/>
      </w:pPr>
      <w:rPr>
        <w:rFonts w:ascii="Symbol" w:hAnsi="Symbol" w:hint="default"/>
      </w:rPr>
    </w:lvl>
    <w:lvl w:ilvl="4" w:tplc="AEF20D10" w:tentative="1">
      <w:start w:val="1"/>
      <w:numFmt w:val="bullet"/>
      <w:lvlText w:val="o"/>
      <w:lvlJc w:val="left"/>
      <w:pPr>
        <w:ind w:left="3600" w:hanging="360"/>
      </w:pPr>
      <w:rPr>
        <w:rFonts w:ascii="Courier New" w:hAnsi="Courier New" w:cs="Courier New" w:hint="default"/>
      </w:rPr>
    </w:lvl>
    <w:lvl w:ilvl="5" w:tplc="96388E8C" w:tentative="1">
      <w:start w:val="1"/>
      <w:numFmt w:val="bullet"/>
      <w:lvlText w:val=""/>
      <w:lvlJc w:val="left"/>
      <w:pPr>
        <w:ind w:left="4320" w:hanging="360"/>
      </w:pPr>
      <w:rPr>
        <w:rFonts w:ascii="Wingdings" w:hAnsi="Wingdings" w:hint="default"/>
      </w:rPr>
    </w:lvl>
    <w:lvl w:ilvl="6" w:tplc="129EAA14" w:tentative="1">
      <w:start w:val="1"/>
      <w:numFmt w:val="bullet"/>
      <w:lvlText w:val=""/>
      <w:lvlJc w:val="left"/>
      <w:pPr>
        <w:ind w:left="5040" w:hanging="360"/>
      </w:pPr>
      <w:rPr>
        <w:rFonts w:ascii="Symbol" w:hAnsi="Symbol" w:hint="default"/>
      </w:rPr>
    </w:lvl>
    <w:lvl w:ilvl="7" w:tplc="4AB6A0FA" w:tentative="1">
      <w:start w:val="1"/>
      <w:numFmt w:val="bullet"/>
      <w:lvlText w:val="o"/>
      <w:lvlJc w:val="left"/>
      <w:pPr>
        <w:ind w:left="5760" w:hanging="360"/>
      </w:pPr>
      <w:rPr>
        <w:rFonts w:ascii="Courier New" w:hAnsi="Courier New" w:cs="Courier New" w:hint="default"/>
      </w:rPr>
    </w:lvl>
    <w:lvl w:ilvl="8" w:tplc="3208DC86" w:tentative="1">
      <w:start w:val="1"/>
      <w:numFmt w:val="bullet"/>
      <w:lvlText w:val=""/>
      <w:lvlJc w:val="left"/>
      <w:pPr>
        <w:ind w:left="6480" w:hanging="360"/>
      </w:pPr>
      <w:rPr>
        <w:rFonts w:ascii="Wingdings" w:hAnsi="Wingdings" w:hint="default"/>
      </w:rPr>
    </w:lvl>
  </w:abstractNum>
  <w:abstractNum w:abstractNumId="1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2"/>
  </w:num>
  <w:num w:numId="6">
    <w:abstractNumId w:val="15"/>
  </w:num>
  <w:num w:numId="7">
    <w:abstractNumId w:val="10"/>
  </w:num>
  <w:num w:numId="8">
    <w:abstractNumId w:val="5"/>
  </w:num>
  <w:num w:numId="9">
    <w:abstractNumId w:val="17"/>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1"/>
  </w:num>
  <w:num w:numId="18">
    <w:abstractNumId w:val="4"/>
  </w:num>
  <w:num w:numId="19">
    <w:abstractNumId w:val="14"/>
  </w:num>
  <w:num w:numId="20">
    <w:abstractNumId w:val="6"/>
  </w:num>
  <w:num w:numId="21">
    <w:abstractNumId w:val="9"/>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3"/>
  </w:num>
  <w:num w:numId="31">
    <w:abstractNumId w:val="12"/>
  </w:num>
  <w:num w:numId="32">
    <w:abstractNumId w:val="12"/>
  </w:num>
  <w:num w:numId="33">
    <w:abstractNumId w:val="12"/>
  </w:num>
  <w:num w:numId="34">
    <w:abstractNumId w:val="12"/>
  </w:num>
  <w:num w:numId="35">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rsids>
    <w:rsidRoot w:val="0041275D"/>
    <w:rsid w:val="0000015C"/>
    <w:rsid w:val="00004AEE"/>
    <w:rsid w:val="00005CAA"/>
    <w:rsid w:val="00010210"/>
    <w:rsid w:val="00012D66"/>
    <w:rsid w:val="00015ADA"/>
    <w:rsid w:val="00020C99"/>
    <w:rsid w:val="00024094"/>
    <w:rsid w:val="0002707B"/>
    <w:rsid w:val="00030E79"/>
    <w:rsid w:val="00031B32"/>
    <w:rsid w:val="000414F5"/>
    <w:rsid w:val="00042C36"/>
    <w:rsid w:val="000431E5"/>
    <w:rsid w:val="00046330"/>
    <w:rsid w:val="00047483"/>
    <w:rsid w:val="0005148E"/>
    <w:rsid w:val="000547F0"/>
    <w:rsid w:val="00062A46"/>
    <w:rsid w:val="000759E5"/>
    <w:rsid w:val="0007601C"/>
    <w:rsid w:val="00084AC6"/>
    <w:rsid w:val="00085816"/>
    <w:rsid w:val="000869BC"/>
    <w:rsid w:val="00091608"/>
    <w:rsid w:val="0009196E"/>
    <w:rsid w:val="00091C4C"/>
    <w:rsid w:val="00092F92"/>
    <w:rsid w:val="0009333C"/>
    <w:rsid w:val="00094F69"/>
    <w:rsid w:val="0009704F"/>
    <w:rsid w:val="000A0F11"/>
    <w:rsid w:val="000A125A"/>
    <w:rsid w:val="000A228F"/>
    <w:rsid w:val="000A4F52"/>
    <w:rsid w:val="000A57CD"/>
    <w:rsid w:val="000B2FF3"/>
    <w:rsid w:val="000B3758"/>
    <w:rsid w:val="000B4951"/>
    <w:rsid w:val="000B640A"/>
    <w:rsid w:val="000B7681"/>
    <w:rsid w:val="000B7B42"/>
    <w:rsid w:val="000C02B7"/>
    <w:rsid w:val="000C140D"/>
    <w:rsid w:val="000C2814"/>
    <w:rsid w:val="000C451B"/>
    <w:rsid w:val="000C5342"/>
    <w:rsid w:val="000C706A"/>
    <w:rsid w:val="000D1D42"/>
    <w:rsid w:val="000D2887"/>
    <w:rsid w:val="000D6D63"/>
    <w:rsid w:val="000D706B"/>
    <w:rsid w:val="000D7810"/>
    <w:rsid w:val="000E0081"/>
    <w:rsid w:val="000E07CF"/>
    <w:rsid w:val="000E1A66"/>
    <w:rsid w:val="000E1EAD"/>
    <w:rsid w:val="000F1AF7"/>
    <w:rsid w:val="00100050"/>
    <w:rsid w:val="00100BEF"/>
    <w:rsid w:val="00102E17"/>
    <w:rsid w:val="00106A5C"/>
    <w:rsid w:val="00106ECB"/>
    <w:rsid w:val="0011498E"/>
    <w:rsid w:val="00116F28"/>
    <w:rsid w:val="00117A45"/>
    <w:rsid w:val="00117B2E"/>
    <w:rsid w:val="001224AE"/>
    <w:rsid w:val="00123035"/>
    <w:rsid w:val="001279AC"/>
    <w:rsid w:val="00132D16"/>
    <w:rsid w:val="001337D4"/>
    <w:rsid w:val="001340EA"/>
    <w:rsid w:val="00134E3F"/>
    <w:rsid w:val="0014510E"/>
    <w:rsid w:val="0014795D"/>
    <w:rsid w:val="00147C12"/>
    <w:rsid w:val="00147EFC"/>
    <w:rsid w:val="001527A1"/>
    <w:rsid w:val="001530DC"/>
    <w:rsid w:val="001539AF"/>
    <w:rsid w:val="00154989"/>
    <w:rsid w:val="00155A9F"/>
    <w:rsid w:val="0015684F"/>
    <w:rsid w:val="00157C80"/>
    <w:rsid w:val="00160262"/>
    <w:rsid w:val="0016186F"/>
    <w:rsid w:val="0016280A"/>
    <w:rsid w:val="0016281C"/>
    <w:rsid w:val="0016433A"/>
    <w:rsid w:val="0016780A"/>
    <w:rsid w:val="001713FA"/>
    <w:rsid w:val="00173EBF"/>
    <w:rsid w:val="0017431D"/>
    <w:rsid w:val="001765DA"/>
    <w:rsid w:val="001842A2"/>
    <w:rsid w:val="00185039"/>
    <w:rsid w:val="00185407"/>
    <w:rsid w:val="001869F9"/>
    <w:rsid w:val="00187FA8"/>
    <w:rsid w:val="001922D0"/>
    <w:rsid w:val="00192F5E"/>
    <w:rsid w:val="0019529E"/>
    <w:rsid w:val="00197772"/>
    <w:rsid w:val="001A44F6"/>
    <w:rsid w:val="001A4DC1"/>
    <w:rsid w:val="001A51C8"/>
    <w:rsid w:val="001B472B"/>
    <w:rsid w:val="001B4CA8"/>
    <w:rsid w:val="001C2A92"/>
    <w:rsid w:val="001C4F3D"/>
    <w:rsid w:val="001C7E53"/>
    <w:rsid w:val="001D0CDC"/>
    <w:rsid w:val="001D1D82"/>
    <w:rsid w:val="001E0C99"/>
    <w:rsid w:val="001E1182"/>
    <w:rsid w:val="001F0D78"/>
    <w:rsid w:val="001F0E8B"/>
    <w:rsid w:val="001F6C60"/>
    <w:rsid w:val="001F6CEA"/>
    <w:rsid w:val="00200944"/>
    <w:rsid w:val="00202387"/>
    <w:rsid w:val="00202C90"/>
    <w:rsid w:val="00204395"/>
    <w:rsid w:val="002133E7"/>
    <w:rsid w:val="00213DE8"/>
    <w:rsid w:val="00216118"/>
    <w:rsid w:val="002209AB"/>
    <w:rsid w:val="002251E3"/>
    <w:rsid w:val="002262E6"/>
    <w:rsid w:val="00227A95"/>
    <w:rsid w:val="0023155E"/>
    <w:rsid w:val="002316BD"/>
    <w:rsid w:val="002336F3"/>
    <w:rsid w:val="00242F40"/>
    <w:rsid w:val="002473FC"/>
    <w:rsid w:val="00250349"/>
    <w:rsid w:val="00252E3C"/>
    <w:rsid w:val="00262198"/>
    <w:rsid w:val="00273BED"/>
    <w:rsid w:val="0027445B"/>
    <w:rsid w:val="00277426"/>
    <w:rsid w:val="00285F1B"/>
    <w:rsid w:val="00292B81"/>
    <w:rsid w:val="0029322E"/>
    <w:rsid w:val="00293B46"/>
    <w:rsid w:val="00295977"/>
    <w:rsid w:val="00296477"/>
    <w:rsid w:val="002974BC"/>
    <w:rsid w:val="002A2CD1"/>
    <w:rsid w:val="002A5EC3"/>
    <w:rsid w:val="002B18AE"/>
    <w:rsid w:val="002B6472"/>
    <w:rsid w:val="002B67D3"/>
    <w:rsid w:val="002C1C93"/>
    <w:rsid w:val="002C3738"/>
    <w:rsid w:val="002C5066"/>
    <w:rsid w:val="002D4AAC"/>
    <w:rsid w:val="002D6C33"/>
    <w:rsid w:val="002F045A"/>
    <w:rsid w:val="002F7A1D"/>
    <w:rsid w:val="0030039D"/>
    <w:rsid w:val="00300715"/>
    <w:rsid w:val="0030326F"/>
    <w:rsid w:val="00305C4D"/>
    <w:rsid w:val="00310701"/>
    <w:rsid w:val="00311510"/>
    <w:rsid w:val="003119B2"/>
    <w:rsid w:val="003138AC"/>
    <w:rsid w:val="00315980"/>
    <w:rsid w:val="003163A3"/>
    <w:rsid w:val="00316F7F"/>
    <w:rsid w:val="00320162"/>
    <w:rsid w:val="0032087E"/>
    <w:rsid w:val="003218E8"/>
    <w:rsid w:val="00330DCE"/>
    <w:rsid w:val="00331E11"/>
    <w:rsid w:val="0033392D"/>
    <w:rsid w:val="00334761"/>
    <w:rsid w:val="00337EBC"/>
    <w:rsid w:val="0034033E"/>
    <w:rsid w:val="00341041"/>
    <w:rsid w:val="00341C94"/>
    <w:rsid w:val="00341DCD"/>
    <w:rsid w:val="0034504D"/>
    <w:rsid w:val="0034563E"/>
    <w:rsid w:val="00346ECC"/>
    <w:rsid w:val="003504CC"/>
    <w:rsid w:val="003518D6"/>
    <w:rsid w:val="0035460C"/>
    <w:rsid w:val="003556BD"/>
    <w:rsid w:val="00364E6D"/>
    <w:rsid w:val="00365147"/>
    <w:rsid w:val="0037016E"/>
    <w:rsid w:val="00370E55"/>
    <w:rsid w:val="00372908"/>
    <w:rsid w:val="00376457"/>
    <w:rsid w:val="00381917"/>
    <w:rsid w:val="00383020"/>
    <w:rsid w:val="003975FD"/>
    <w:rsid w:val="003A0593"/>
    <w:rsid w:val="003A462A"/>
    <w:rsid w:val="003B60CC"/>
    <w:rsid w:val="003C1B25"/>
    <w:rsid w:val="003C2443"/>
    <w:rsid w:val="003C31E0"/>
    <w:rsid w:val="003C5DA3"/>
    <w:rsid w:val="003C71C3"/>
    <w:rsid w:val="003D33D7"/>
    <w:rsid w:val="003D4BCD"/>
    <w:rsid w:val="003E01D8"/>
    <w:rsid w:val="003E2100"/>
    <w:rsid w:val="003E2135"/>
    <w:rsid w:val="003E2BDB"/>
    <w:rsid w:val="003E45FA"/>
    <w:rsid w:val="003E48BE"/>
    <w:rsid w:val="003E53CA"/>
    <w:rsid w:val="003E5ED5"/>
    <w:rsid w:val="003E64A7"/>
    <w:rsid w:val="003E76BC"/>
    <w:rsid w:val="003F0CB7"/>
    <w:rsid w:val="003F6F5B"/>
    <w:rsid w:val="00400F8F"/>
    <w:rsid w:val="00401F7D"/>
    <w:rsid w:val="0040342D"/>
    <w:rsid w:val="00403FB9"/>
    <w:rsid w:val="00404612"/>
    <w:rsid w:val="00405E1C"/>
    <w:rsid w:val="0041192D"/>
    <w:rsid w:val="0041275D"/>
    <w:rsid w:val="00413EE1"/>
    <w:rsid w:val="00413FA3"/>
    <w:rsid w:val="0042128E"/>
    <w:rsid w:val="0042353D"/>
    <w:rsid w:val="0042465A"/>
    <w:rsid w:val="00432B60"/>
    <w:rsid w:val="004333E6"/>
    <w:rsid w:val="00440698"/>
    <w:rsid w:val="00440CCF"/>
    <w:rsid w:val="00442F69"/>
    <w:rsid w:val="004540E2"/>
    <w:rsid w:val="00454454"/>
    <w:rsid w:val="004667E9"/>
    <w:rsid w:val="00467924"/>
    <w:rsid w:val="004712A5"/>
    <w:rsid w:val="0047266F"/>
    <w:rsid w:val="004756EB"/>
    <w:rsid w:val="00476D6B"/>
    <w:rsid w:val="004861E6"/>
    <w:rsid w:val="004862AB"/>
    <w:rsid w:val="00486807"/>
    <w:rsid w:val="0049013A"/>
    <w:rsid w:val="00490DDB"/>
    <w:rsid w:val="0049109F"/>
    <w:rsid w:val="00492C16"/>
    <w:rsid w:val="004A0678"/>
    <w:rsid w:val="004A48A3"/>
    <w:rsid w:val="004A6BAD"/>
    <w:rsid w:val="004B0D92"/>
    <w:rsid w:val="004B0EC0"/>
    <w:rsid w:val="004B32B2"/>
    <w:rsid w:val="004B4797"/>
    <w:rsid w:val="004B553B"/>
    <w:rsid w:val="004B5A51"/>
    <w:rsid w:val="004B66F1"/>
    <w:rsid w:val="004C3B7B"/>
    <w:rsid w:val="004C3EA0"/>
    <w:rsid w:val="004D46F2"/>
    <w:rsid w:val="004E4ABD"/>
    <w:rsid w:val="004F07DC"/>
    <w:rsid w:val="004F13A9"/>
    <w:rsid w:val="004F32CC"/>
    <w:rsid w:val="004F3BCC"/>
    <w:rsid w:val="004F3D69"/>
    <w:rsid w:val="004F7169"/>
    <w:rsid w:val="00500D66"/>
    <w:rsid w:val="005036A6"/>
    <w:rsid w:val="00511E3E"/>
    <w:rsid w:val="00513472"/>
    <w:rsid w:val="00514C8E"/>
    <w:rsid w:val="00517F35"/>
    <w:rsid w:val="00523A57"/>
    <w:rsid w:val="00523ED3"/>
    <w:rsid w:val="00530378"/>
    <w:rsid w:val="00531DBF"/>
    <w:rsid w:val="005337FC"/>
    <w:rsid w:val="005378EF"/>
    <w:rsid w:val="00544484"/>
    <w:rsid w:val="00544C29"/>
    <w:rsid w:val="00545759"/>
    <w:rsid w:val="00545BE0"/>
    <w:rsid w:val="00554C6A"/>
    <w:rsid w:val="005571FE"/>
    <w:rsid w:val="00557C1C"/>
    <w:rsid w:val="00562E85"/>
    <w:rsid w:val="0056332F"/>
    <w:rsid w:val="00565A3A"/>
    <w:rsid w:val="00570AD7"/>
    <w:rsid w:val="00573D57"/>
    <w:rsid w:val="005741CE"/>
    <w:rsid w:val="00581C39"/>
    <w:rsid w:val="005834A4"/>
    <w:rsid w:val="00584F6B"/>
    <w:rsid w:val="00585A32"/>
    <w:rsid w:val="005903B6"/>
    <w:rsid w:val="00592B20"/>
    <w:rsid w:val="005A0247"/>
    <w:rsid w:val="005A126E"/>
    <w:rsid w:val="005A452F"/>
    <w:rsid w:val="005A703F"/>
    <w:rsid w:val="005B06F0"/>
    <w:rsid w:val="005B140D"/>
    <w:rsid w:val="005B34E6"/>
    <w:rsid w:val="005C1FEA"/>
    <w:rsid w:val="005C3495"/>
    <w:rsid w:val="005C3785"/>
    <w:rsid w:val="005C3B5C"/>
    <w:rsid w:val="005C60E4"/>
    <w:rsid w:val="005E1236"/>
    <w:rsid w:val="005E13EA"/>
    <w:rsid w:val="005E15E0"/>
    <w:rsid w:val="005E3889"/>
    <w:rsid w:val="005E3DFC"/>
    <w:rsid w:val="005E60AF"/>
    <w:rsid w:val="005E7B4E"/>
    <w:rsid w:val="005F1DEA"/>
    <w:rsid w:val="005F4932"/>
    <w:rsid w:val="005F7085"/>
    <w:rsid w:val="00602FCB"/>
    <w:rsid w:val="00603DA5"/>
    <w:rsid w:val="006066FC"/>
    <w:rsid w:val="00606B7A"/>
    <w:rsid w:val="00607FC9"/>
    <w:rsid w:val="00610955"/>
    <w:rsid w:val="006125AA"/>
    <w:rsid w:val="0061490C"/>
    <w:rsid w:val="00616861"/>
    <w:rsid w:val="0061785D"/>
    <w:rsid w:val="00622FE1"/>
    <w:rsid w:val="0062521C"/>
    <w:rsid w:val="00630A2B"/>
    <w:rsid w:val="00630BA2"/>
    <w:rsid w:val="00631F5A"/>
    <w:rsid w:val="0063283F"/>
    <w:rsid w:val="00632DC7"/>
    <w:rsid w:val="00633896"/>
    <w:rsid w:val="006345A0"/>
    <w:rsid w:val="006357FB"/>
    <w:rsid w:val="006367FD"/>
    <w:rsid w:val="0063768A"/>
    <w:rsid w:val="006406FC"/>
    <w:rsid w:val="0064407B"/>
    <w:rsid w:val="00645E31"/>
    <w:rsid w:val="00646122"/>
    <w:rsid w:val="00651174"/>
    <w:rsid w:val="00652DC2"/>
    <w:rsid w:val="00653E16"/>
    <w:rsid w:val="00657220"/>
    <w:rsid w:val="0066104B"/>
    <w:rsid w:val="00661419"/>
    <w:rsid w:val="00663654"/>
    <w:rsid w:val="006655EE"/>
    <w:rsid w:val="00667C10"/>
    <w:rsid w:val="00667EF4"/>
    <w:rsid w:val="00672AF4"/>
    <w:rsid w:val="00672B85"/>
    <w:rsid w:val="00673B97"/>
    <w:rsid w:val="00674E59"/>
    <w:rsid w:val="00676FCA"/>
    <w:rsid w:val="00677177"/>
    <w:rsid w:val="0068056B"/>
    <w:rsid w:val="00682DDA"/>
    <w:rsid w:val="0068612E"/>
    <w:rsid w:val="00687858"/>
    <w:rsid w:val="00687C92"/>
    <w:rsid w:val="006903B7"/>
    <w:rsid w:val="0069534E"/>
    <w:rsid w:val="00696365"/>
    <w:rsid w:val="0069669C"/>
    <w:rsid w:val="006969F8"/>
    <w:rsid w:val="006A1200"/>
    <w:rsid w:val="006A231D"/>
    <w:rsid w:val="006A2C5A"/>
    <w:rsid w:val="006A4787"/>
    <w:rsid w:val="006A4F4E"/>
    <w:rsid w:val="006A73B6"/>
    <w:rsid w:val="006B14DB"/>
    <w:rsid w:val="006B21C4"/>
    <w:rsid w:val="006B6653"/>
    <w:rsid w:val="006C424B"/>
    <w:rsid w:val="006C4A1A"/>
    <w:rsid w:val="006C7DAD"/>
    <w:rsid w:val="006D0393"/>
    <w:rsid w:val="006D1A83"/>
    <w:rsid w:val="006D5D1E"/>
    <w:rsid w:val="006E1CFE"/>
    <w:rsid w:val="006E1E59"/>
    <w:rsid w:val="006E31A2"/>
    <w:rsid w:val="006E55E2"/>
    <w:rsid w:val="006E6D10"/>
    <w:rsid w:val="006F10C4"/>
    <w:rsid w:val="006F40E9"/>
    <w:rsid w:val="006F5603"/>
    <w:rsid w:val="00701400"/>
    <w:rsid w:val="007037CF"/>
    <w:rsid w:val="00703BB8"/>
    <w:rsid w:val="007102AF"/>
    <w:rsid w:val="00713654"/>
    <w:rsid w:val="00716583"/>
    <w:rsid w:val="007167C0"/>
    <w:rsid w:val="007203C3"/>
    <w:rsid w:val="00720481"/>
    <w:rsid w:val="00721642"/>
    <w:rsid w:val="00721BC7"/>
    <w:rsid w:val="0072510B"/>
    <w:rsid w:val="00725E46"/>
    <w:rsid w:val="00727C18"/>
    <w:rsid w:val="00727E2F"/>
    <w:rsid w:val="00733193"/>
    <w:rsid w:val="00735C05"/>
    <w:rsid w:val="00736C2A"/>
    <w:rsid w:val="00737CBA"/>
    <w:rsid w:val="00740C09"/>
    <w:rsid w:val="007419A2"/>
    <w:rsid w:val="00745EF2"/>
    <w:rsid w:val="0074703B"/>
    <w:rsid w:val="00752FF8"/>
    <w:rsid w:val="00754C17"/>
    <w:rsid w:val="0075732A"/>
    <w:rsid w:val="00760262"/>
    <w:rsid w:val="0076310C"/>
    <w:rsid w:val="007635F3"/>
    <w:rsid w:val="00765BF1"/>
    <w:rsid w:val="0076744F"/>
    <w:rsid w:val="00767BCE"/>
    <w:rsid w:val="00767EFC"/>
    <w:rsid w:val="007707DE"/>
    <w:rsid w:val="00770B5D"/>
    <w:rsid w:val="00771EFE"/>
    <w:rsid w:val="007752F1"/>
    <w:rsid w:val="00776768"/>
    <w:rsid w:val="00781264"/>
    <w:rsid w:val="00782D61"/>
    <w:rsid w:val="00791024"/>
    <w:rsid w:val="007921C6"/>
    <w:rsid w:val="00794818"/>
    <w:rsid w:val="007A2573"/>
    <w:rsid w:val="007A3B9C"/>
    <w:rsid w:val="007B047A"/>
    <w:rsid w:val="007B106C"/>
    <w:rsid w:val="007B1A4E"/>
    <w:rsid w:val="007B3D05"/>
    <w:rsid w:val="007B5503"/>
    <w:rsid w:val="007B5CB5"/>
    <w:rsid w:val="007C6BB3"/>
    <w:rsid w:val="007D14B4"/>
    <w:rsid w:val="007D3AD7"/>
    <w:rsid w:val="007D7575"/>
    <w:rsid w:val="007D786A"/>
    <w:rsid w:val="007E19C3"/>
    <w:rsid w:val="007E24F6"/>
    <w:rsid w:val="007F0CDC"/>
    <w:rsid w:val="007F19A8"/>
    <w:rsid w:val="007F523E"/>
    <w:rsid w:val="00800F64"/>
    <w:rsid w:val="00802F0B"/>
    <w:rsid w:val="00810A67"/>
    <w:rsid w:val="0081315B"/>
    <w:rsid w:val="00832149"/>
    <w:rsid w:val="00833CF7"/>
    <w:rsid w:val="00845601"/>
    <w:rsid w:val="00852231"/>
    <w:rsid w:val="008524B9"/>
    <w:rsid w:val="00852DB6"/>
    <w:rsid w:val="00855C5C"/>
    <w:rsid w:val="0086233C"/>
    <w:rsid w:val="008628D9"/>
    <w:rsid w:val="00865CFA"/>
    <w:rsid w:val="00865FB9"/>
    <w:rsid w:val="00867748"/>
    <w:rsid w:val="008753CD"/>
    <w:rsid w:val="00880137"/>
    <w:rsid w:val="00883CE7"/>
    <w:rsid w:val="00887856"/>
    <w:rsid w:val="00892D94"/>
    <w:rsid w:val="008938F7"/>
    <w:rsid w:val="00897012"/>
    <w:rsid w:val="008A187F"/>
    <w:rsid w:val="008A3C96"/>
    <w:rsid w:val="008B0BBA"/>
    <w:rsid w:val="008B1627"/>
    <w:rsid w:val="008B4019"/>
    <w:rsid w:val="008B505F"/>
    <w:rsid w:val="008B65C9"/>
    <w:rsid w:val="008C0D09"/>
    <w:rsid w:val="008C2D4A"/>
    <w:rsid w:val="008C6A05"/>
    <w:rsid w:val="008C7DBB"/>
    <w:rsid w:val="008D3900"/>
    <w:rsid w:val="008D6E1D"/>
    <w:rsid w:val="008D6EDB"/>
    <w:rsid w:val="008E36FE"/>
    <w:rsid w:val="008F39B4"/>
    <w:rsid w:val="008F4162"/>
    <w:rsid w:val="00903E02"/>
    <w:rsid w:val="00904B91"/>
    <w:rsid w:val="009053D8"/>
    <w:rsid w:val="009110D5"/>
    <w:rsid w:val="00912924"/>
    <w:rsid w:val="00913175"/>
    <w:rsid w:val="00916EDB"/>
    <w:rsid w:val="00920861"/>
    <w:rsid w:val="00922B13"/>
    <w:rsid w:val="009242EF"/>
    <w:rsid w:val="00924AB9"/>
    <w:rsid w:val="009312E6"/>
    <w:rsid w:val="00932291"/>
    <w:rsid w:val="00933050"/>
    <w:rsid w:val="00933B1B"/>
    <w:rsid w:val="0093408E"/>
    <w:rsid w:val="009376EC"/>
    <w:rsid w:val="00940467"/>
    <w:rsid w:val="00942AE9"/>
    <w:rsid w:val="00947507"/>
    <w:rsid w:val="0095113C"/>
    <w:rsid w:val="00952DDF"/>
    <w:rsid w:val="00952EC4"/>
    <w:rsid w:val="00955881"/>
    <w:rsid w:val="00972423"/>
    <w:rsid w:val="009751D0"/>
    <w:rsid w:val="009812D4"/>
    <w:rsid w:val="00982653"/>
    <w:rsid w:val="00983673"/>
    <w:rsid w:val="00984E25"/>
    <w:rsid w:val="00985C00"/>
    <w:rsid w:val="009873F4"/>
    <w:rsid w:val="009920D8"/>
    <w:rsid w:val="009A371F"/>
    <w:rsid w:val="009A4869"/>
    <w:rsid w:val="009B2052"/>
    <w:rsid w:val="009B38BE"/>
    <w:rsid w:val="009B4556"/>
    <w:rsid w:val="009B682F"/>
    <w:rsid w:val="009C3D0F"/>
    <w:rsid w:val="009D6232"/>
    <w:rsid w:val="009E1B19"/>
    <w:rsid w:val="009E1D6D"/>
    <w:rsid w:val="009E63FF"/>
    <w:rsid w:val="009E67BE"/>
    <w:rsid w:val="009F35E2"/>
    <w:rsid w:val="009F438B"/>
    <w:rsid w:val="009F4C1B"/>
    <w:rsid w:val="009F5868"/>
    <w:rsid w:val="009F65F9"/>
    <w:rsid w:val="009F68BA"/>
    <w:rsid w:val="00A06277"/>
    <w:rsid w:val="00A079DC"/>
    <w:rsid w:val="00A10BAB"/>
    <w:rsid w:val="00A111C2"/>
    <w:rsid w:val="00A12BC5"/>
    <w:rsid w:val="00A1514B"/>
    <w:rsid w:val="00A17C39"/>
    <w:rsid w:val="00A20072"/>
    <w:rsid w:val="00A21440"/>
    <w:rsid w:val="00A238AA"/>
    <w:rsid w:val="00A24082"/>
    <w:rsid w:val="00A30298"/>
    <w:rsid w:val="00A336F8"/>
    <w:rsid w:val="00A338E7"/>
    <w:rsid w:val="00A35CAA"/>
    <w:rsid w:val="00A35CB5"/>
    <w:rsid w:val="00A36E7F"/>
    <w:rsid w:val="00A41E65"/>
    <w:rsid w:val="00A426F9"/>
    <w:rsid w:val="00A42961"/>
    <w:rsid w:val="00A43517"/>
    <w:rsid w:val="00A43E0A"/>
    <w:rsid w:val="00A4428D"/>
    <w:rsid w:val="00A4475C"/>
    <w:rsid w:val="00A46247"/>
    <w:rsid w:val="00A47F07"/>
    <w:rsid w:val="00A530C7"/>
    <w:rsid w:val="00A53CDD"/>
    <w:rsid w:val="00A55F5B"/>
    <w:rsid w:val="00A60185"/>
    <w:rsid w:val="00A622EC"/>
    <w:rsid w:val="00A661EA"/>
    <w:rsid w:val="00A66263"/>
    <w:rsid w:val="00A6775C"/>
    <w:rsid w:val="00A7000D"/>
    <w:rsid w:val="00A70A6C"/>
    <w:rsid w:val="00A76BD5"/>
    <w:rsid w:val="00A80D66"/>
    <w:rsid w:val="00A819B3"/>
    <w:rsid w:val="00A830E5"/>
    <w:rsid w:val="00A83DF5"/>
    <w:rsid w:val="00A84BF3"/>
    <w:rsid w:val="00A87135"/>
    <w:rsid w:val="00A93280"/>
    <w:rsid w:val="00A93C73"/>
    <w:rsid w:val="00A951EA"/>
    <w:rsid w:val="00A961A6"/>
    <w:rsid w:val="00A972FC"/>
    <w:rsid w:val="00A973E1"/>
    <w:rsid w:val="00A97F71"/>
    <w:rsid w:val="00AA1C65"/>
    <w:rsid w:val="00AA2548"/>
    <w:rsid w:val="00AA3B6E"/>
    <w:rsid w:val="00AA58C4"/>
    <w:rsid w:val="00AA7B43"/>
    <w:rsid w:val="00AB11C8"/>
    <w:rsid w:val="00AB14AA"/>
    <w:rsid w:val="00AB2248"/>
    <w:rsid w:val="00AB5633"/>
    <w:rsid w:val="00AC08A8"/>
    <w:rsid w:val="00AC0CD5"/>
    <w:rsid w:val="00AD2FE6"/>
    <w:rsid w:val="00AD56C8"/>
    <w:rsid w:val="00AD58F2"/>
    <w:rsid w:val="00AD5FBC"/>
    <w:rsid w:val="00AE2940"/>
    <w:rsid w:val="00AE3210"/>
    <w:rsid w:val="00AE4011"/>
    <w:rsid w:val="00AF5E13"/>
    <w:rsid w:val="00AF5EA3"/>
    <w:rsid w:val="00AF6573"/>
    <w:rsid w:val="00AF7690"/>
    <w:rsid w:val="00B040B0"/>
    <w:rsid w:val="00B0512A"/>
    <w:rsid w:val="00B0529F"/>
    <w:rsid w:val="00B05D52"/>
    <w:rsid w:val="00B1418B"/>
    <w:rsid w:val="00B151A0"/>
    <w:rsid w:val="00B1520C"/>
    <w:rsid w:val="00B1560E"/>
    <w:rsid w:val="00B21195"/>
    <w:rsid w:val="00B22B3D"/>
    <w:rsid w:val="00B24B22"/>
    <w:rsid w:val="00B25310"/>
    <w:rsid w:val="00B31B16"/>
    <w:rsid w:val="00B32F8F"/>
    <w:rsid w:val="00B4690F"/>
    <w:rsid w:val="00B46AEE"/>
    <w:rsid w:val="00B47C42"/>
    <w:rsid w:val="00B510B1"/>
    <w:rsid w:val="00B54AAF"/>
    <w:rsid w:val="00B54DE9"/>
    <w:rsid w:val="00B553EC"/>
    <w:rsid w:val="00B55870"/>
    <w:rsid w:val="00B56F6F"/>
    <w:rsid w:val="00B60059"/>
    <w:rsid w:val="00B63FB0"/>
    <w:rsid w:val="00B65CBD"/>
    <w:rsid w:val="00B74705"/>
    <w:rsid w:val="00B74DB0"/>
    <w:rsid w:val="00B77732"/>
    <w:rsid w:val="00B80D6D"/>
    <w:rsid w:val="00B9154F"/>
    <w:rsid w:val="00B93D3F"/>
    <w:rsid w:val="00B93DD0"/>
    <w:rsid w:val="00B95494"/>
    <w:rsid w:val="00B97732"/>
    <w:rsid w:val="00BA0849"/>
    <w:rsid w:val="00BA56D7"/>
    <w:rsid w:val="00BA65A8"/>
    <w:rsid w:val="00BA6A97"/>
    <w:rsid w:val="00BA6D19"/>
    <w:rsid w:val="00BA7461"/>
    <w:rsid w:val="00BA7DA9"/>
    <w:rsid w:val="00BC2981"/>
    <w:rsid w:val="00BC4215"/>
    <w:rsid w:val="00BC4BB5"/>
    <w:rsid w:val="00BD0396"/>
    <w:rsid w:val="00BD1A6F"/>
    <w:rsid w:val="00BD5B71"/>
    <w:rsid w:val="00BD5EE3"/>
    <w:rsid w:val="00BD60E3"/>
    <w:rsid w:val="00BD6DF3"/>
    <w:rsid w:val="00BE096A"/>
    <w:rsid w:val="00BE6D3C"/>
    <w:rsid w:val="00BE7852"/>
    <w:rsid w:val="00BF5296"/>
    <w:rsid w:val="00BF6D87"/>
    <w:rsid w:val="00BF77E9"/>
    <w:rsid w:val="00BF7CEE"/>
    <w:rsid w:val="00C03880"/>
    <w:rsid w:val="00C135CF"/>
    <w:rsid w:val="00C16F58"/>
    <w:rsid w:val="00C2683F"/>
    <w:rsid w:val="00C3184D"/>
    <w:rsid w:val="00C34AC1"/>
    <w:rsid w:val="00C43084"/>
    <w:rsid w:val="00C4714E"/>
    <w:rsid w:val="00C50941"/>
    <w:rsid w:val="00C5504F"/>
    <w:rsid w:val="00C55991"/>
    <w:rsid w:val="00C55D1F"/>
    <w:rsid w:val="00C63376"/>
    <w:rsid w:val="00C634B5"/>
    <w:rsid w:val="00C66CB4"/>
    <w:rsid w:val="00C74F97"/>
    <w:rsid w:val="00C76A08"/>
    <w:rsid w:val="00C803D7"/>
    <w:rsid w:val="00C82462"/>
    <w:rsid w:val="00C8276E"/>
    <w:rsid w:val="00C83AD1"/>
    <w:rsid w:val="00C842AC"/>
    <w:rsid w:val="00C85B7B"/>
    <w:rsid w:val="00C92AD5"/>
    <w:rsid w:val="00C93152"/>
    <w:rsid w:val="00C93FD9"/>
    <w:rsid w:val="00C94CB6"/>
    <w:rsid w:val="00C96688"/>
    <w:rsid w:val="00CA0723"/>
    <w:rsid w:val="00CA4542"/>
    <w:rsid w:val="00CA5C72"/>
    <w:rsid w:val="00CA6650"/>
    <w:rsid w:val="00CA6D0F"/>
    <w:rsid w:val="00CB1690"/>
    <w:rsid w:val="00CB250E"/>
    <w:rsid w:val="00CB2D53"/>
    <w:rsid w:val="00CB7EE9"/>
    <w:rsid w:val="00CC27E7"/>
    <w:rsid w:val="00CC2B33"/>
    <w:rsid w:val="00CC4365"/>
    <w:rsid w:val="00CD11B0"/>
    <w:rsid w:val="00CD5E0E"/>
    <w:rsid w:val="00CE0BC4"/>
    <w:rsid w:val="00CE4F44"/>
    <w:rsid w:val="00CE71C2"/>
    <w:rsid w:val="00CF2242"/>
    <w:rsid w:val="00CF2A11"/>
    <w:rsid w:val="00CF42D5"/>
    <w:rsid w:val="00CF4EDA"/>
    <w:rsid w:val="00CF562A"/>
    <w:rsid w:val="00CF5929"/>
    <w:rsid w:val="00CF59EB"/>
    <w:rsid w:val="00CF64FE"/>
    <w:rsid w:val="00D00281"/>
    <w:rsid w:val="00D01E11"/>
    <w:rsid w:val="00D021CB"/>
    <w:rsid w:val="00D05227"/>
    <w:rsid w:val="00D10C4C"/>
    <w:rsid w:val="00D10F1A"/>
    <w:rsid w:val="00D116F8"/>
    <w:rsid w:val="00D117FF"/>
    <w:rsid w:val="00D15280"/>
    <w:rsid w:val="00D15DB0"/>
    <w:rsid w:val="00D166B0"/>
    <w:rsid w:val="00D17596"/>
    <w:rsid w:val="00D17860"/>
    <w:rsid w:val="00D20E88"/>
    <w:rsid w:val="00D22640"/>
    <w:rsid w:val="00D26D3A"/>
    <w:rsid w:val="00D32949"/>
    <w:rsid w:val="00D35BF1"/>
    <w:rsid w:val="00D36DF2"/>
    <w:rsid w:val="00D41945"/>
    <w:rsid w:val="00D45C91"/>
    <w:rsid w:val="00D45D8A"/>
    <w:rsid w:val="00D45EE3"/>
    <w:rsid w:val="00D50618"/>
    <w:rsid w:val="00D509E9"/>
    <w:rsid w:val="00D53B1C"/>
    <w:rsid w:val="00D61714"/>
    <w:rsid w:val="00D620BE"/>
    <w:rsid w:val="00D652C8"/>
    <w:rsid w:val="00D656FF"/>
    <w:rsid w:val="00D7160E"/>
    <w:rsid w:val="00D81662"/>
    <w:rsid w:val="00D82448"/>
    <w:rsid w:val="00D83615"/>
    <w:rsid w:val="00D83AAD"/>
    <w:rsid w:val="00D85A1E"/>
    <w:rsid w:val="00D97037"/>
    <w:rsid w:val="00DA1B12"/>
    <w:rsid w:val="00DA4F90"/>
    <w:rsid w:val="00DA512B"/>
    <w:rsid w:val="00DA54C9"/>
    <w:rsid w:val="00DA6739"/>
    <w:rsid w:val="00DA6CAE"/>
    <w:rsid w:val="00DB044B"/>
    <w:rsid w:val="00DB1A9E"/>
    <w:rsid w:val="00DB1DB3"/>
    <w:rsid w:val="00DB2E0E"/>
    <w:rsid w:val="00DB31D6"/>
    <w:rsid w:val="00DB3296"/>
    <w:rsid w:val="00DB345C"/>
    <w:rsid w:val="00DB4005"/>
    <w:rsid w:val="00DB44E2"/>
    <w:rsid w:val="00DB61F1"/>
    <w:rsid w:val="00DB7950"/>
    <w:rsid w:val="00DC325B"/>
    <w:rsid w:val="00DC34EB"/>
    <w:rsid w:val="00DC4E2E"/>
    <w:rsid w:val="00DC78C0"/>
    <w:rsid w:val="00DE2C10"/>
    <w:rsid w:val="00DF14C9"/>
    <w:rsid w:val="00DF1E5B"/>
    <w:rsid w:val="00DF2275"/>
    <w:rsid w:val="00DF3C8A"/>
    <w:rsid w:val="00DF3F5E"/>
    <w:rsid w:val="00DF5653"/>
    <w:rsid w:val="00E0018E"/>
    <w:rsid w:val="00E04CF0"/>
    <w:rsid w:val="00E0596E"/>
    <w:rsid w:val="00E05CD3"/>
    <w:rsid w:val="00E06F66"/>
    <w:rsid w:val="00E2111A"/>
    <w:rsid w:val="00E21678"/>
    <w:rsid w:val="00E22338"/>
    <w:rsid w:val="00E270CE"/>
    <w:rsid w:val="00E3128E"/>
    <w:rsid w:val="00E344AA"/>
    <w:rsid w:val="00E34D79"/>
    <w:rsid w:val="00E356E5"/>
    <w:rsid w:val="00E36F81"/>
    <w:rsid w:val="00E378A8"/>
    <w:rsid w:val="00E40B9B"/>
    <w:rsid w:val="00E45765"/>
    <w:rsid w:val="00E5098C"/>
    <w:rsid w:val="00E52FA8"/>
    <w:rsid w:val="00E54ECD"/>
    <w:rsid w:val="00E574EF"/>
    <w:rsid w:val="00E57CD8"/>
    <w:rsid w:val="00E57E07"/>
    <w:rsid w:val="00E60213"/>
    <w:rsid w:val="00E661B2"/>
    <w:rsid w:val="00E72A08"/>
    <w:rsid w:val="00E7466D"/>
    <w:rsid w:val="00E74D29"/>
    <w:rsid w:val="00E806FF"/>
    <w:rsid w:val="00E83C74"/>
    <w:rsid w:val="00E83CEE"/>
    <w:rsid w:val="00E84B63"/>
    <w:rsid w:val="00E91F18"/>
    <w:rsid w:val="00E9226D"/>
    <w:rsid w:val="00E96424"/>
    <w:rsid w:val="00EA2A91"/>
    <w:rsid w:val="00EA416C"/>
    <w:rsid w:val="00EA5941"/>
    <w:rsid w:val="00EB0865"/>
    <w:rsid w:val="00EB60CE"/>
    <w:rsid w:val="00EB7D53"/>
    <w:rsid w:val="00EC1200"/>
    <w:rsid w:val="00EC5142"/>
    <w:rsid w:val="00EC596B"/>
    <w:rsid w:val="00EE13C5"/>
    <w:rsid w:val="00EE3146"/>
    <w:rsid w:val="00EE5498"/>
    <w:rsid w:val="00EF50BB"/>
    <w:rsid w:val="00EF71E4"/>
    <w:rsid w:val="00F00192"/>
    <w:rsid w:val="00F01DF6"/>
    <w:rsid w:val="00F027B8"/>
    <w:rsid w:val="00F0340D"/>
    <w:rsid w:val="00F035F2"/>
    <w:rsid w:val="00F059A6"/>
    <w:rsid w:val="00F10173"/>
    <w:rsid w:val="00F137F9"/>
    <w:rsid w:val="00F14A04"/>
    <w:rsid w:val="00F2356D"/>
    <w:rsid w:val="00F23756"/>
    <w:rsid w:val="00F2441B"/>
    <w:rsid w:val="00F2464C"/>
    <w:rsid w:val="00F2522A"/>
    <w:rsid w:val="00F2523A"/>
    <w:rsid w:val="00F25FFA"/>
    <w:rsid w:val="00F26E20"/>
    <w:rsid w:val="00F310D2"/>
    <w:rsid w:val="00F311A1"/>
    <w:rsid w:val="00F31E11"/>
    <w:rsid w:val="00F36F3D"/>
    <w:rsid w:val="00F37C48"/>
    <w:rsid w:val="00F41A13"/>
    <w:rsid w:val="00F465C3"/>
    <w:rsid w:val="00F477BD"/>
    <w:rsid w:val="00F50333"/>
    <w:rsid w:val="00F5147D"/>
    <w:rsid w:val="00F53047"/>
    <w:rsid w:val="00F53491"/>
    <w:rsid w:val="00F54656"/>
    <w:rsid w:val="00F55386"/>
    <w:rsid w:val="00F56411"/>
    <w:rsid w:val="00F60181"/>
    <w:rsid w:val="00F65A1C"/>
    <w:rsid w:val="00F66F50"/>
    <w:rsid w:val="00F7052E"/>
    <w:rsid w:val="00F77432"/>
    <w:rsid w:val="00F81162"/>
    <w:rsid w:val="00F829A7"/>
    <w:rsid w:val="00F82FF8"/>
    <w:rsid w:val="00F8330D"/>
    <w:rsid w:val="00F84305"/>
    <w:rsid w:val="00F8485C"/>
    <w:rsid w:val="00F85780"/>
    <w:rsid w:val="00F87149"/>
    <w:rsid w:val="00F87FFE"/>
    <w:rsid w:val="00F94F03"/>
    <w:rsid w:val="00F954C9"/>
    <w:rsid w:val="00FA4CF0"/>
    <w:rsid w:val="00FA61AA"/>
    <w:rsid w:val="00FA63FB"/>
    <w:rsid w:val="00FA69A4"/>
    <w:rsid w:val="00FB1279"/>
    <w:rsid w:val="00FB1495"/>
    <w:rsid w:val="00FC20F8"/>
    <w:rsid w:val="00FC3361"/>
    <w:rsid w:val="00FD1694"/>
    <w:rsid w:val="00FD7636"/>
    <w:rsid w:val="00FE3229"/>
    <w:rsid w:val="00FE74C3"/>
    <w:rsid w:val="00FF215C"/>
    <w:rsid w:val="00FF3AB5"/>
    <w:rsid w:val="00FF49E8"/>
    <w:rsid w:val="00FF4CAF"/>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rPr>
      <w:sz w:val="20"/>
      <w:szCs w:val="20"/>
    </w:rPr>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character" w:styleId="FollowedHyperlink">
    <w:name w:val="FollowedHyperlink"/>
    <w:basedOn w:val="DefaultParagraphFont"/>
    <w:uiPriority w:val="99"/>
    <w:semiHidden/>
    <w:unhideWhenUsed/>
    <w:rsid w:val="00AD2FE6"/>
    <w:rPr>
      <w:color w:val="800080" w:themeColor="followedHyperlink"/>
      <w:u w:val="single"/>
    </w:rPr>
  </w:style>
  <w:style w:type="paragraph" w:customStyle="1" w:styleId="Question">
    <w:name w:val="Question"/>
    <w:basedOn w:val="Normal"/>
    <w:link w:val="QuestionChar"/>
    <w:qFormat/>
    <w:rsid w:val="00A4475C"/>
    <w:pPr>
      <w:pBdr>
        <w:top w:val="single" w:sz="4" w:space="1" w:color="auto"/>
        <w:left w:val="single" w:sz="4" w:space="4" w:color="auto"/>
        <w:bottom w:val="single" w:sz="4" w:space="1" w:color="auto"/>
        <w:right w:val="single" w:sz="4" w:space="4" w:color="auto"/>
      </w:pBdr>
      <w:spacing w:before="240" w:after="120" w:line="276" w:lineRule="auto"/>
    </w:pPr>
    <w:rPr>
      <w:rFonts w:ascii="Arial" w:eastAsia="Calibri" w:hAnsi="Arial" w:cstheme="minorHAnsi"/>
      <w:b/>
      <w:sz w:val="22"/>
      <w:szCs w:val="22"/>
    </w:rPr>
  </w:style>
  <w:style w:type="character" w:customStyle="1" w:styleId="QuestionChar">
    <w:name w:val="Question Char"/>
    <w:basedOn w:val="DefaultParagraphFont"/>
    <w:link w:val="Question"/>
    <w:rsid w:val="00A4475C"/>
    <w:rPr>
      <w:rFonts w:cstheme="minorHAnsi"/>
      <w:b/>
      <w:sz w:val="22"/>
      <w:szCs w:val="22"/>
      <w:lang w:eastAsia="en-US"/>
    </w:rPr>
  </w:style>
  <w:style w:type="paragraph" w:customStyle="1" w:styleId="BRCopyrightPage">
    <w:name w:val="BR Copyright Page"/>
    <w:basedOn w:val="Normal"/>
    <w:link w:val="BRCopyrightPageChar"/>
    <w:qFormat/>
    <w:rsid w:val="00F26E20"/>
    <w:pPr>
      <w:autoSpaceDE w:val="0"/>
      <w:autoSpaceDN w:val="0"/>
      <w:spacing w:after="200"/>
    </w:pPr>
    <w:rPr>
      <w:rFonts w:ascii="Arial" w:eastAsiaTheme="minorHAnsi" w:hAnsi="Arial" w:cs="Arial"/>
      <w:sz w:val="20"/>
      <w:szCs w:val="20"/>
      <w:lang w:eastAsia="en-AU"/>
    </w:rPr>
  </w:style>
  <w:style w:type="character" w:customStyle="1" w:styleId="BRCopyrightPageChar">
    <w:name w:val="BR Copyright Page Char"/>
    <w:basedOn w:val="DefaultParagraphFont"/>
    <w:link w:val="BRCopyrightPage"/>
    <w:rsid w:val="00F26E20"/>
    <w:rPr>
      <w:rFonts w:eastAsiaTheme="minorHAnsi" w:cs="Arial"/>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55161745">
      <w:bodyDiv w:val="1"/>
      <w:marLeft w:val="0"/>
      <w:marRight w:val="0"/>
      <w:marTop w:val="0"/>
      <w:marBottom w:val="0"/>
      <w:divBdr>
        <w:top w:val="none" w:sz="0" w:space="0" w:color="auto"/>
        <w:left w:val="none" w:sz="0" w:space="0" w:color="auto"/>
        <w:bottom w:val="none" w:sz="0" w:space="0" w:color="auto"/>
        <w:right w:val="none" w:sz="0" w:space="0" w:color="auto"/>
      </w:divBdr>
    </w:div>
    <w:div w:id="16464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esc.environment.gov.au/pubs/iesc-information-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7" ma:contentTypeDescription="SPIRE Document" ma:contentTypeScope="" ma:versionID="f60c03ad78f2fea64dd75dc971fdf537">
  <xsd:schema xmlns:xsd="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dms="http://schemas.microsoft.com/office/2006/documentManagement/types" targetNamespace="aa3e7952-617a-4d1d-acc5-2dff72d3e0ca"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ocumentDescription xmlns="aa3e7952-617a-4d1d-acc5-2dff72d3e0ca" xsi:nil="true"/>
    <Function xmlns="aa3e7952-617a-4d1d-acc5-2dff72d3e0ca">Regulation</Function>
    <IconOverlay xmlns="http://schemas.microsoft.com/sharepoint/v4" xsi:nil="true"/>
    <Approval xmlns="aa3e7952-617a-4d1d-acc5-2dff72d3e0ca" xsi:nil="true"/>
    <RecordNumber xmlns="aa3e7952-617a-4d1d-acc5-2dff72d3e0c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62A5C-13F2-421D-8712-373AB4206314}">
  <ds:schemaRefs>
    <ds:schemaRef ds:uri="http://schemas.microsoft.com/sharepoint/events"/>
  </ds:schemaRefs>
</ds:datastoreItem>
</file>

<file path=customXml/itemProps2.xml><?xml version="1.0" encoding="utf-8"?>
<ds:datastoreItem xmlns:ds="http://schemas.openxmlformats.org/officeDocument/2006/customXml" ds:itemID="{3C9AE0DD-52EF-4FFD-8513-A581D258139E}">
  <ds:schemaRefs>
    <ds:schemaRef ds:uri="http://schemas.microsoft.com/office/2006/metadata/customXsn"/>
  </ds:schemaRefs>
</ds:datastoreItem>
</file>

<file path=customXml/itemProps3.xml><?xml version="1.0" encoding="utf-8"?>
<ds:datastoreItem xmlns:ds="http://schemas.openxmlformats.org/officeDocument/2006/customXml" ds:itemID="{91752225-77CD-4B6A-AD1A-BA0A22A2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8BAABC-FB2C-480E-AFAE-4F1575145906}">
  <ds:schemaRefs>
    <ds:schemaRef ds:uri="http://schemas.microsoft.com/office/2006/metadata/properties"/>
    <ds:schemaRef ds:uri="aa3e7952-617a-4d1d-acc5-2dff72d3e0ca"/>
    <ds:schemaRef ds:uri="http://schemas.microsoft.com/sharepoint/v4"/>
  </ds:schemaRefs>
</ds:datastoreItem>
</file>

<file path=customXml/itemProps5.xml><?xml version="1.0" encoding="utf-8"?>
<ds:datastoreItem xmlns:ds="http://schemas.openxmlformats.org/officeDocument/2006/customXml" ds:itemID="{5E9B98BD-4759-43F5-A543-0BC94C83FAE3}">
  <ds:schemaRefs>
    <ds:schemaRef ds:uri="http://schemas.microsoft.com/sharepoint/v3/contenttype/forms"/>
  </ds:schemaRefs>
</ds:datastoreItem>
</file>

<file path=customXml/itemProps6.xml><?xml version="1.0" encoding="utf-8"?>
<ds:datastoreItem xmlns:ds="http://schemas.openxmlformats.org/officeDocument/2006/customXml" ds:itemID="{81905038-BCF7-459E-9DEE-563B9DBB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6413</Words>
  <Characters>36560</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Angus Place Advice</vt:lpstr>
    </vt:vector>
  </TitlesOfParts>
  <LinksUpToDate>false</LinksUpToDate>
  <CharactersWithSpaces>42888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2014-054: Springvale Mine Extension Project (EPBC 2013/6881; SSD - 5594)</dc:title>
  <dc:creator/>
  <cp:lastModifiedBy/>
  <cp:revision>1</cp:revision>
  <dcterms:created xsi:type="dcterms:W3CDTF">2014-09-05T01:16:00Z</dcterms:created>
  <dcterms:modified xsi:type="dcterms:W3CDTF">2014-09-05T01:16:00Z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0x0101004B053E8A7B22804ABD3AFA2474FA5D680072C1761AC4BD1348A1142D010C7B722F</vt:lpwstr>
  </property>
  <property fmtid="{D5CDD505-2E9C-101B-9397-08002B2CF9AE}" pid="3" name="RecordPoint_SubmissionDate">
    <vt:lpwstr/>
  </property>
  <property fmtid="{D5CDD505-2E9C-101B-9397-08002B2CF9AE}" pid="4" name="RecordPoint_RecordNumberSubmitted">
    <vt:lpwstr>000112740</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2014-08-26T10:19:09.3397544+10:00</vt:lpwstr>
  </property>
  <property fmtid="{D5CDD505-2E9C-101B-9397-08002B2CF9AE}" pid="10" name="RecordPoint_ActiveItemUniqueId">
    <vt:lpwstr>{4c2d2028-a6d8-496e-acb5-c9b80c843bc2}</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ies>
</file>