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8D1CFA" w:rsidRDefault="00F027B8" w:rsidP="00A30904">
      <w:pPr>
        <w:pStyle w:val="Header"/>
      </w:pPr>
      <w:r w:rsidRPr="008D1CFA">
        <w:rPr>
          <w:noProof/>
          <w:lang w:eastAsia="en-AU"/>
        </w:rPr>
        <w:drawing>
          <wp:anchor distT="0" distB="0" distL="114300" distR="114300" simplePos="0" relativeHeight="251658240" behindDoc="0" locked="0" layoutInCell="1" allowOverlap="1">
            <wp:simplePos x="0" y="0"/>
            <wp:positionH relativeFrom="column">
              <wp:posOffset>-912602</wp:posOffset>
            </wp:positionH>
            <wp:positionV relativeFrom="paragraph">
              <wp:posOffset>-905774</wp:posOffset>
            </wp:positionV>
            <wp:extent cx="7572195" cy="2355012"/>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2"/>
                    </a:xfrm>
                    <a:prstGeom prst="rect">
                      <a:avLst/>
                    </a:prstGeom>
                    <a:noFill/>
                    <a:ln w="9525">
                      <a:noFill/>
                      <a:miter lim="800000"/>
                      <a:headEnd/>
                      <a:tailEnd/>
                    </a:ln>
                  </pic:spPr>
                </pic:pic>
              </a:graphicData>
            </a:graphic>
          </wp:anchor>
        </w:drawing>
      </w:r>
      <w:r w:rsidR="001765DA" w:rsidRPr="008D1CFA">
        <w:t>Advi</w:t>
      </w:r>
    </w:p>
    <w:p w:rsidR="00F027B8" w:rsidRPr="008D1CFA" w:rsidRDefault="00F027B8" w:rsidP="00A30904">
      <w:pPr>
        <w:pStyle w:val="Header"/>
      </w:pPr>
    </w:p>
    <w:p w:rsidR="00F027B8" w:rsidRPr="008D1CFA" w:rsidRDefault="00F027B8" w:rsidP="00A30904">
      <w:pPr>
        <w:pStyle w:val="Header"/>
      </w:pPr>
    </w:p>
    <w:p w:rsidR="00F027B8" w:rsidRPr="008D1CFA" w:rsidRDefault="00F027B8" w:rsidP="00A30904">
      <w:pPr>
        <w:pStyle w:val="Header"/>
      </w:pPr>
    </w:p>
    <w:p w:rsidR="00F027B8" w:rsidRPr="008D1CFA" w:rsidRDefault="00F027B8" w:rsidP="00A30904">
      <w:pPr>
        <w:pStyle w:val="Header"/>
      </w:pPr>
    </w:p>
    <w:p w:rsidR="001765DA" w:rsidRPr="008D1CFA" w:rsidRDefault="00F027B8" w:rsidP="00B93C3E">
      <w:pPr>
        <w:pStyle w:val="Heading1"/>
      </w:pPr>
      <w:bookmarkStart w:id="0" w:name="OLE_LINK1"/>
      <w:bookmarkStart w:id="1" w:name="OLE_LINK2"/>
      <w:r w:rsidRPr="008D1CFA">
        <w:t>Advi</w:t>
      </w:r>
      <w:r w:rsidR="001765DA" w:rsidRPr="008D1CFA">
        <w:t>ce to decision maker on coal mining</w:t>
      </w:r>
      <w:r w:rsidR="00E21678" w:rsidRPr="008D1CFA">
        <w:t xml:space="preserve"> project </w:t>
      </w:r>
    </w:p>
    <w:p w:rsidR="004861E6" w:rsidRPr="008D1CFA" w:rsidRDefault="001765DA" w:rsidP="00A30904">
      <w:pPr>
        <w:pStyle w:val="Heading2"/>
      </w:pPr>
      <w:bookmarkStart w:id="2" w:name="OLE_LINK3"/>
      <w:bookmarkStart w:id="3" w:name="OLE_LINK4"/>
      <w:bookmarkEnd w:id="0"/>
      <w:bookmarkEnd w:id="1"/>
      <w:r w:rsidRPr="008D1CFA">
        <w:t>Proposed action:</w:t>
      </w:r>
      <w:r w:rsidR="002974BC" w:rsidRPr="008D1CFA">
        <w:t xml:space="preserve"> </w:t>
      </w:r>
      <w:r w:rsidR="00CF2E2A" w:rsidRPr="008D1CFA">
        <w:t>Springsure Creek Coal Project</w:t>
      </w:r>
      <w:r w:rsidR="00E21678" w:rsidRPr="008D1CFA">
        <w:t xml:space="preserve"> (EPBC </w:t>
      </w:r>
      <w:r w:rsidR="00CF2E2A" w:rsidRPr="008D1CFA">
        <w:t>2010</w:t>
      </w:r>
      <w:r w:rsidR="00E21678" w:rsidRPr="008D1CFA">
        <w:t>/</w:t>
      </w:r>
      <w:r w:rsidR="00033F4F" w:rsidRPr="008D1CFA">
        <w:t>5782</w:t>
      </w:r>
      <w:r w:rsidR="00E21678" w:rsidRPr="008D1CFA">
        <w:t>)</w:t>
      </w:r>
      <w:r w:rsidR="00C803D7" w:rsidRPr="008D1CFA">
        <w:t xml:space="preserve"> –</w:t>
      </w:r>
      <w:r w:rsidR="00B455FB" w:rsidRPr="008D1CFA">
        <w:t xml:space="preserve"> </w:t>
      </w:r>
      <w:r w:rsidR="00C803D7" w:rsidRPr="008D1CFA">
        <w:t xml:space="preserve">New Development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8D1CFA" w:rsidTr="00B93C3E">
        <w:trPr>
          <w:trHeight w:val="563"/>
        </w:trPr>
        <w:tc>
          <w:tcPr>
            <w:tcW w:w="1809" w:type="dxa"/>
            <w:tcBorders>
              <w:top w:val="single" w:sz="4" w:space="0" w:color="auto"/>
              <w:bottom w:val="single" w:sz="4" w:space="0" w:color="auto"/>
            </w:tcBorders>
          </w:tcPr>
          <w:bookmarkEnd w:id="2"/>
          <w:bookmarkEnd w:id="3"/>
          <w:p w:rsidR="001765DA" w:rsidRPr="008D1CFA" w:rsidRDefault="001765DA" w:rsidP="00A30904">
            <w:pPr>
              <w:pStyle w:val="Heading4"/>
            </w:pPr>
            <w:r w:rsidRPr="008D1CFA">
              <w:t>Requesting agency</w:t>
            </w:r>
          </w:p>
        </w:tc>
        <w:tc>
          <w:tcPr>
            <w:tcW w:w="8159" w:type="dxa"/>
            <w:tcBorders>
              <w:top w:val="single" w:sz="4" w:space="0" w:color="auto"/>
              <w:bottom w:val="single" w:sz="4" w:space="0" w:color="auto"/>
            </w:tcBorders>
            <w:vAlign w:val="center"/>
          </w:tcPr>
          <w:p w:rsidR="001765DA" w:rsidRPr="008D1CFA" w:rsidRDefault="001765DA" w:rsidP="00B93C3E">
            <w:r w:rsidRPr="008D1CFA">
              <w:t>Dep</w:t>
            </w:r>
            <w:bookmarkStart w:id="4" w:name="_GoBack"/>
            <w:bookmarkEnd w:id="4"/>
            <w:r w:rsidRPr="008D1CFA">
              <w:t xml:space="preserve">artment of </w:t>
            </w:r>
            <w:r w:rsidR="00033F4F" w:rsidRPr="008D1CFA">
              <w:t>the Environment</w:t>
            </w:r>
            <w:r w:rsidR="00F56411" w:rsidRPr="008D1CFA">
              <w:t xml:space="preserve"> </w:t>
            </w:r>
          </w:p>
        </w:tc>
      </w:tr>
      <w:tr w:rsidR="001765DA" w:rsidRPr="008D1CFA" w:rsidTr="00B93C3E">
        <w:trPr>
          <w:trHeight w:val="19"/>
        </w:trPr>
        <w:tc>
          <w:tcPr>
            <w:tcW w:w="1809" w:type="dxa"/>
            <w:tcBorders>
              <w:top w:val="single" w:sz="4" w:space="0" w:color="auto"/>
              <w:bottom w:val="single" w:sz="4" w:space="0" w:color="auto"/>
            </w:tcBorders>
          </w:tcPr>
          <w:p w:rsidR="001765DA" w:rsidRPr="008D1CFA" w:rsidRDefault="001765DA" w:rsidP="00A30904">
            <w:pPr>
              <w:pStyle w:val="Heading4"/>
            </w:pPr>
            <w:r w:rsidRPr="008D1CFA">
              <w:t>Date of request</w:t>
            </w:r>
          </w:p>
        </w:tc>
        <w:tc>
          <w:tcPr>
            <w:tcW w:w="8159" w:type="dxa"/>
            <w:tcBorders>
              <w:top w:val="single" w:sz="4" w:space="0" w:color="auto"/>
              <w:bottom w:val="single" w:sz="4" w:space="0" w:color="auto"/>
            </w:tcBorders>
            <w:vAlign w:val="center"/>
          </w:tcPr>
          <w:p w:rsidR="001765DA" w:rsidRPr="008D1CFA" w:rsidRDefault="00033F4F" w:rsidP="00B93C3E">
            <w:r w:rsidRPr="008D1CFA">
              <w:t>8 November</w:t>
            </w:r>
            <w:r w:rsidR="00A10BAB" w:rsidRPr="008D1CFA">
              <w:t xml:space="preserve"> </w:t>
            </w:r>
            <w:r w:rsidR="00716583" w:rsidRPr="008D1CFA">
              <w:t>201</w:t>
            </w:r>
            <w:r w:rsidR="00062A46" w:rsidRPr="008D1CFA">
              <w:t>3</w:t>
            </w:r>
          </w:p>
        </w:tc>
      </w:tr>
      <w:tr w:rsidR="00185039" w:rsidRPr="008D1CFA" w:rsidTr="00B93C3E">
        <w:trPr>
          <w:trHeight w:val="19"/>
        </w:trPr>
        <w:tc>
          <w:tcPr>
            <w:tcW w:w="1809" w:type="dxa"/>
            <w:tcBorders>
              <w:top w:val="single" w:sz="4" w:space="0" w:color="auto"/>
              <w:bottom w:val="single" w:sz="4" w:space="0" w:color="auto"/>
            </w:tcBorders>
          </w:tcPr>
          <w:p w:rsidR="00185039" w:rsidRPr="008D1CFA" w:rsidRDefault="00185039" w:rsidP="00A30904">
            <w:pPr>
              <w:pStyle w:val="Heading4"/>
            </w:pPr>
            <w:r w:rsidRPr="008D1CFA">
              <w:t>Date request accepted</w:t>
            </w:r>
          </w:p>
        </w:tc>
        <w:tc>
          <w:tcPr>
            <w:tcW w:w="8159" w:type="dxa"/>
            <w:tcBorders>
              <w:top w:val="single" w:sz="4" w:space="0" w:color="auto"/>
              <w:bottom w:val="single" w:sz="4" w:space="0" w:color="auto"/>
            </w:tcBorders>
            <w:vAlign w:val="center"/>
          </w:tcPr>
          <w:p w:rsidR="00185039" w:rsidRPr="008D1CFA" w:rsidRDefault="00033F4F" w:rsidP="00B93C3E">
            <w:r w:rsidRPr="008D1CFA">
              <w:t xml:space="preserve">11 November </w:t>
            </w:r>
            <w:r w:rsidR="00185039" w:rsidRPr="008D1CFA">
              <w:t>201</w:t>
            </w:r>
            <w:r w:rsidRPr="008D1CFA">
              <w:t>3</w:t>
            </w:r>
          </w:p>
        </w:tc>
      </w:tr>
      <w:tr w:rsidR="00062A46" w:rsidRPr="008D1CFA" w:rsidTr="00B93C3E">
        <w:trPr>
          <w:trHeight w:val="19"/>
        </w:trPr>
        <w:tc>
          <w:tcPr>
            <w:tcW w:w="1809" w:type="dxa"/>
            <w:tcBorders>
              <w:top w:val="single" w:sz="4" w:space="0" w:color="auto"/>
              <w:bottom w:val="single" w:sz="4" w:space="0" w:color="auto"/>
            </w:tcBorders>
            <w:vAlign w:val="center"/>
          </w:tcPr>
          <w:p w:rsidR="00062A46" w:rsidRPr="008D1CFA" w:rsidRDefault="00062A46" w:rsidP="00A30904">
            <w:pPr>
              <w:pStyle w:val="Heading4"/>
            </w:pPr>
            <w:r w:rsidRPr="008D1CFA">
              <w:t xml:space="preserve">Advice stage </w:t>
            </w:r>
          </w:p>
        </w:tc>
        <w:tc>
          <w:tcPr>
            <w:tcW w:w="8159" w:type="dxa"/>
            <w:tcBorders>
              <w:top w:val="single" w:sz="4" w:space="0" w:color="auto"/>
              <w:bottom w:val="single" w:sz="4" w:space="0" w:color="auto"/>
            </w:tcBorders>
            <w:vAlign w:val="center"/>
          </w:tcPr>
          <w:p w:rsidR="00062A46" w:rsidRPr="008D1CFA" w:rsidRDefault="00F06B95" w:rsidP="00B93C3E">
            <w:pPr>
              <w:rPr>
                <w:lang w:eastAsia="en-AU"/>
              </w:rPr>
            </w:pPr>
            <w:r w:rsidRPr="008D1CFA">
              <w:rPr>
                <w:lang w:eastAsia="en-AU"/>
              </w:rPr>
              <w:t>Assessment</w:t>
            </w:r>
          </w:p>
        </w:tc>
      </w:tr>
    </w:tbl>
    <w:p w:rsidR="007203C3" w:rsidRPr="008D1CFA" w:rsidRDefault="007203C3" w:rsidP="00A30904">
      <w:pPr>
        <w:pStyle w:val="Heading3"/>
      </w:pPr>
      <w:r w:rsidRPr="008D1CFA">
        <w:t>Advice</w:t>
      </w:r>
    </w:p>
    <w:p w:rsidR="007203C3" w:rsidRPr="008D1CFA" w:rsidRDefault="007203C3" w:rsidP="00A30904">
      <w:bookmarkStart w:id="5" w:name="OLE_LINK5"/>
      <w:bookmarkStart w:id="6" w:name="OLE_LINK6"/>
      <w:r w:rsidRPr="008D1CFA">
        <w:t xml:space="preserve">The Independent Expert Scientific Committee on Coal Seam Gas and Large Coal Mining Development </w:t>
      </w:r>
      <w:bookmarkEnd w:id="5"/>
      <w:bookmarkEnd w:id="6"/>
      <w:r w:rsidRPr="008D1CFA">
        <w:t xml:space="preserve">(the Committee) was requested to provide advice on the </w:t>
      </w:r>
      <w:r w:rsidR="00F06B95" w:rsidRPr="008D1CFA">
        <w:t xml:space="preserve">Springsure Creek Coal Project </w:t>
      </w:r>
      <w:r w:rsidRPr="008D1CFA">
        <w:t xml:space="preserve">in </w:t>
      </w:r>
      <w:r w:rsidR="00F06B95" w:rsidRPr="008D1CFA">
        <w:t>Queensland</w:t>
      </w:r>
      <w:r w:rsidRPr="008D1CFA">
        <w:t xml:space="preserve"> which is being assessed by the Department of </w:t>
      </w:r>
      <w:r w:rsidR="00F06B95" w:rsidRPr="008D1CFA">
        <w:t>the</w:t>
      </w:r>
      <w:r w:rsidRPr="008D1CFA">
        <w:t xml:space="preserve"> Environment (the Department) in accordance with the provisions of the </w:t>
      </w:r>
      <w:r w:rsidRPr="008D1CFA">
        <w:rPr>
          <w:i/>
        </w:rPr>
        <w:t>Environment Protection and Biodiversity Conservation Act 1999</w:t>
      </w:r>
      <w:r w:rsidRPr="008D1CFA">
        <w:t xml:space="preserve"> (EPBC Act</w:t>
      </w:r>
      <w:r w:rsidR="00F06B95" w:rsidRPr="008D1CFA">
        <w:t>).</w:t>
      </w:r>
    </w:p>
    <w:p w:rsidR="007203C3" w:rsidRPr="008D1CFA" w:rsidRDefault="007203C3" w:rsidP="00A30904">
      <w:r w:rsidRPr="008D1CFA">
        <w:t>This advice draws upon aspects of information in the Draft Environmental Impact Statement</w:t>
      </w:r>
      <w:r w:rsidR="00F06B95" w:rsidRPr="008D1CFA">
        <w:t xml:space="preserve"> on Matters of National Environmental Significance</w:t>
      </w:r>
      <w:r w:rsidR="00C56440" w:rsidRPr="008D1CFA">
        <w:t xml:space="preserve"> (Commonwealth draft EIS)</w:t>
      </w:r>
      <w:r w:rsidR="00F06B95" w:rsidRPr="008D1CFA">
        <w:t xml:space="preserve">, as well as the Queensland Draft </w:t>
      </w:r>
      <w:r w:rsidR="00C56440" w:rsidRPr="008D1CFA">
        <w:t xml:space="preserve">Environmental Impact Statement (Queensland draft EIS) </w:t>
      </w:r>
      <w:r w:rsidR="00F06B95" w:rsidRPr="008D1CFA">
        <w:t xml:space="preserve">and </w:t>
      </w:r>
      <w:r w:rsidRPr="008D1CFA">
        <w:t>Supplementary Environmental Impact Statement</w:t>
      </w:r>
      <w:r w:rsidR="00C56440" w:rsidRPr="008D1CFA">
        <w:t xml:space="preserve"> (Queensland supplementary EIS)</w:t>
      </w:r>
      <w:r w:rsidRPr="008D1CFA">
        <w:t>, together with the expert deliberations of the Committee. The project documentation and information accessed by the Committee are listed in the source documentation at the end of this advice.</w:t>
      </w:r>
    </w:p>
    <w:p w:rsidR="00F06B95" w:rsidRPr="008D1CFA" w:rsidRDefault="00F06B95" w:rsidP="00A30904">
      <w:r w:rsidRPr="008D1CFA">
        <w:t xml:space="preserve">The proposed project is a new underground longwall coal mine, producing up to 11 Mtpa of product coal over the 40 year proposed life of </w:t>
      </w:r>
      <w:r w:rsidR="00C32EE4">
        <w:t xml:space="preserve">the </w:t>
      </w:r>
      <w:r w:rsidRPr="008D1CFA">
        <w:t>mine. The proposed project is located in the Comet River catchment of the Fitzroy Basin, 47 km south-east of Emerald and 37 km north-east of Springsure, overlying the central Bowen Basin. As well as the 10,736 ha mine footprint, the Commonwealth referral includes the associated infrastructure corridor (702.5 ha) and train load out facility (182.1 ha). The corridor is approximately 200 m wide and 40 km long and the train load out facility includes coal stockpiles, a coal handling plant and water storages.</w:t>
      </w:r>
    </w:p>
    <w:p w:rsidR="007203C3" w:rsidRPr="008D1CFA" w:rsidRDefault="007203C3" w:rsidP="00A30904">
      <w:r w:rsidRPr="008D1CFA">
        <w:t>The Committee, in line with its Information Guidelines</w:t>
      </w:r>
      <w:r w:rsidRPr="008D1CFA">
        <w:rPr>
          <w:vertAlign w:val="superscript"/>
        </w:rPr>
        <w:t>1</w:t>
      </w:r>
      <w:r w:rsidRPr="008D1CFA">
        <w:t>, has considered whether the proposed project assessment has used the following:</w:t>
      </w:r>
    </w:p>
    <w:p w:rsidR="007203C3" w:rsidRPr="008D1CFA" w:rsidRDefault="007203C3" w:rsidP="00A30904">
      <w:pPr>
        <w:pStyle w:val="Heading5"/>
      </w:pPr>
      <w:r w:rsidRPr="008D1CFA">
        <w:t>Relevant data and information: key conclusions</w:t>
      </w:r>
    </w:p>
    <w:p w:rsidR="00DC55EE" w:rsidRPr="008D1CFA" w:rsidRDefault="002A6B9E" w:rsidP="00A30904">
      <w:r w:rsidRPr="008D1CFA">
        <w:t>D</w:t>
      </w:r>
      <w:r w:rsidR="00DC55EE" w:rsidRPr="008D1CFA">
        <w:t xml:space="preserve">ata and information </w:t>
      </w:r>
      <w:r w:rsidRPr="008D1CFA">
        <w:t>that would increase confidence in the proponent’s assessments includes</w:t>
      </w:r>
      <w:r w:rsidR="00DC55EE" w:rsidRPr="008D1CFA">
        <w:t>:</w:t>
      </w:r>
    </w:p>
    <w:p w:rsidR="00DC55EE" w:rsidRPr="008D1CFA" w:rsidRDefault="00DC55EE" w:rsidP="008A177E">
      <w:pPr>
        <w:pStyle w:val="ListBullet"/>
      </w:pPr>
      <w:r w:rsidRPr="008D1CFA">
        <w:lastRenderedPageBreak/>
        <w:t>Water inputs, stores and outputs on a regional scale;</w:t>
      </w:r>
    </w:p>
    <w:p w:rsidR="00DC55EE" w:rsidRPr="008D1CFA" w:rsidRDefault="002A6B9E" w:rsidP="008A177E">
      <w:pPr>
        <w:pStyle w:val="ListBullet"/>
      </w:pPr>
      <w:r w:rsidRPr="008D1CFA">
        <w:t>S</w:t>
      </w:r>
      <w:r w:rsidR="00DC55EE" w:rsidRPr="008D1CFA">
        <w:t xml:space="preserve">urface water monitoring data to </w:t>
      </w:r>
      <w:r w:rsidR="00AB5D08" w:rsidRPr="008D1CFA">
        <w:t xml:space="preserve">enable </w:t>
      </w:r>
      <w:r w:rsidR="00DC55EE" w:rsidRPr="008D1CFA">
        <w:t>local water quality objectives</w:t>
      </w:r>
      <w:r w:rsidR="00AB5D08" w:rsidRPr="008D1CFA">
        <w:t xml:space="preserve"> to be determined</w:t>
      </w:r>
      <w:r w:rsidR="00DC55EE" w:rsidRPr="008D1CFA">
        <w:t>;</w:t>
      </w:r>
    </w:p>
    <w:p w:rsidR="00056850" w:rsidRPr="008D1CFA" w:rsidRDefault="00DC55EE" w:rsidP="008A177E">
      <w:pPr>
        <w:pStyle w:val="ListBullet"/>
      </w:pPr>
      <w:r w:rsidRPr="008D1CFA">
        <w:t>Local data which verifies the hydraulic characteristics of each hydrostratigraphic unit and any variation in these parameters across the proposed project area</w:t>
      </w:r>
      <w:r w:rsidR="008A177E" w:rsidRPr="008D1CFA">
        <w:t>. Field data on the Rewan Formation is key and has not been provided</w:t>
      </w:r>
      <w:r w:rsidRPr="008D1CFA">
        <w:t>;</w:t>
      </w:r>
      <w:r w:rsidR="0078087D" w:rsidRPr="008D1CFA">
        <w:t xml:space="preserve"> and</w:t>
      </w:r>
    </w:p>
    <w:p w:rsidR="00056850" w:rsidRPr="008D1CFA" w:rsidRDefault="00DC55EE" w:rsidP="008A177E">
      <w:pPr>
        <w:pStyle w:val="ListBullet"/>
      </w:pPr>
      <w:r w:rsidRPr="008D1CFA">
        <w:t>Information related to the extent of hydrological interactions between water sources; including the role of faults in tr</w:t>
      </w:r>
      <w:r w:rsidR="0078087D" w:rsidRPr="008D1CFA">
        <w:t>ansmitting groundwater flow.</w:t>
      </w:r>
    </w:p>
    <w:p w:rsidR="007203C3" w:rsidRPr="008D1CFA" w:rsidRDefault="007203C3" w:rsidP="00A30904">
      <w:pPr>
        <w:pStyle w:val="Heading5"/>
      </w:pPr>
      <w:r w:rsidRPr="008D1CFA">
        <w:t>Application of appropriate methodologies: key conclusions</w:t>
      </w:r>
    </w:p>
    <w:p w:rsidR="00CA78C5" w:rsidRPr="008D1CFA" w:rsidRDefault="00CA78C5" w:rsidP="00CA78C5">
      <w:r w:rsidRPr="008D1CFA">
        <w:t xml:space="preserve">Key methodologies and assessments needed to assess the proposed project that are not </w:t>
      </w:r>
      <w:r w:rsidR="003F5FD2" w:rsidRPr="008D1CFA">
        <w:t>presented or have not been applied appropriately</w:t>
      </w:r>
      <w:r w:rsidRPr="008D1CFA">
        <w:t xml:space="preserve"> include:</w:t>
      </w:r>
    </w:p>
    <w:p w:rsidR="00056850" w:rsidRPr="008D1CFA" w:rsidRDefault="000C3C6E" w:rsidP="008A177E">
      <w:pPr>
        <w:pStyle w:val="ListBullet"/>
      </w:pPr>
      <w:r w:rsidRPr="008D1CFA">
        <w:t>Detailed numerical groundwater modelling, incorporating groundwater drawdown and dewatering volumes over time for each hydrostratigraphic unit for the life of the project and until recovery</w:t>
      </w:r>
      <w:r w:rsidR="00056850" w:rsidRPr="008D1CFA">
        <w:t>;</w:t>
      </w:r>
    </w:p>
    <w:p w:rsidR="00056850" w:rsidRPr="008D1CFA" w:rsidRDefault="00056850" w:rsidP="008A177E">
      <w:pPr>
        <w:pStyle w:val="ListBullet"/>
      </w:pPr>
      <w:r w:rsidRPr="008D1CFA">
        <w:t>A cumulative impact assessment incorporating operating and proposed developments;</w:t>
      </w:r>
    </w:p>
    <w:p w:rsidR="00143979" w:rsidRPr="008D1CFA" w:rsidRDefault="00143979" w:rsidP="008A177E">
      <w:pPr>
        <w:pStyle w:val="ListBullet"/>
      </w:pPr>
      <w:r w:rsidRPr="008D1CFA">
        <w:t xml:space="preserve">A defined </w:t>
      </w:r>
      <w:r w:rsidR="00C57A9F" w:rsidRPr="008D1CFA">
        <w:t xml:space="preserve">mine water </w:t>
      </w:r>
      <w:r w:rsidRPr="008D1CFA">
        <w:t xml:space="preserve">discharge strategy; </w:t>
      </w:r>
    </w:p>
    <w:p w:rsidR="00056850" w:rsidRPr="008D1CFA" w:rsidRDefault="00056850" w:rsidP="008A177E">
      <w:pPr>
        <w:pStyle w:val="ListBullet"/>
      </w:pPr>
      <w:r w:rsidRPr="008D1CFA">
        <w:t>A risk assessment covering the impacts of the proposed project on surface and groundwater resources and dependent ecosystems;</w:t>
      </w:r>
    </w:p>
    <w:p w:rsidR="008A177E" w:rsidRPr="008D1CFA" w:rsidRDefault="00CA78C5" w:rsidP="008A177E">
      <w:pPr>
        <w:pStyle w:val="ListBullet"/>
      </w:pPr>
      <w:r w:rsidRPr="008D1CFA">
        <w:t xml:space="preserve">A </w:t>
      </w:r>
      <w:r w:rsidR="009137C1" w:rsidRPr="008D1CFA">
        <w:t xml:space="preserve">complete </w:t>
      </w:r>
      <w:r w:rsidRPr="008D1CFA">
        <w:t>site water balance which allows assessment of the impacts of the proposed water management strategy under seasonal climate variation and over various stag</w:t>
      </w:r>
      <w:r w:rsidR="00DC106F" w:rsidRPr="008D1CFA">
        <w:t>es of mine development and the resultant impacts on receiving environments;</w:t>
      </w:r>
      <w:r w:rsidR="00143979" w:rsidRPr="008D1CFA">
        <w:t xml:space="preserve"> </w:t>
      </w:r>
      <w:r w:rsidR="00056850" w:rsidRPr="008D1CFA">
        <w:t>and</w:t>
      </w:r>
    </w:p>
    <w:p w:rsidR="008A177E" w:rsidRPr="008D1CFA" w:rsidRDefault="00DC106F" w:rsidP="008A177E">
      <w:pPr>
        <w:pStyle w:val="ListBullet"/>
      </w:pPr>
      <w:r w:rsidRPr="008D1CFA">
        <w:t>A representative stygofauna survey</w:t>
      </w:r>
      <w:r w:rsidR="00056850" w:rsidRPr="008D1CFA">
        <w:t>.</w:t>
      </w:r>
    </w:p>
    <w:p w:rsidR="00CA78C5" w:rsidRPr="008D1CFA" w:rsidRDefault="00CA78C5" w:rsidP="00CA78C5">
      <w:r w:rsidRPr="008D1CFA">
        <w:t xml:space="preserve">These assessments </w:t>
      </w:r>
      <w:r w:rsidR="00AD2401" w:rsidRPr="008D1CFA">
        <w:t xml:space="preserve">would assist with </w:t>
      </w:r>
      <w:r w:rsidR="000D11E6" w:rsidRPr="008D1CFA">
        <w:t>validation of</w:t>
      </w:r>
      <w:r w:rsidR="008A177E" w:rsidRPr="008D1CFA">
        <w:t xml:space="preserve"> </w:t>
      </w:r>
      <w:r w:rsidRPr="008D1CFA">
        <w:t xml:space="preserve">and increase confidence in the proponent’s impact assessments and mitigation proposals. The </w:t>
      </w:r>
      <w:r w:rsidR="005F64BD" w:rsidRPr="008D1CFA">
        <w:t>Committee</w:t>
      </w:r>
      <w:r w:rsidRPr="008D1CFA">
        <w:t xml:space="preserve"> notes that some of these methodologies may be incorporated into future versions of the project assessment documentation.</w:t>
      </w:r>
    </w:p>
    <w:p w:rsidR="007203C3" w:rsidRPr="008D1CFA" w:rsidRDefault="007203C3" w:rsidP="00A30904">
      <w:pPr>
        <w:pStyle w:val="Heading5"/>
      </w:pPr>
      <w:r w:rsidRPr="008D1CFA">
        <w:t>Reasonable values and parameters in calculation</w:t>
      </w:r>
      <w:r w:rsidR="003D46D2" w:rsidRPr="008D1CFA">
        <w:t>s</w:t>
      </w:r>
      <w:r w:rsidRPr="008D1CFA">
        <w:t>: key conclusions</w:t>
      </w:r>
    </w:p>
    <w:p w:rsidR="00DC0200" w:rsidRPr="008D1CFA" w:rsidRDefault="00DC0200" w:rsidP="0095471E">
      <w:pPr>
        <w:rPr>
          <w:lang w:val="en-US" w:eastAsia="en-AU"/>
        </w:rPr>
      </w:pPr>
      <w:r w:rsidRPr="008D1CFA">
        <w:rPr>
          <w:lang w:val="en-US" w:eastAsia="en-AU"/>
        </w:rPr>
        <w:t xml:space="preserve">The </w:t>
      </w:r>
      <w:r w:rsidR="0095471E" w:rsidRPr="008D1CFA">
        <w:rPr>
          <w:lang w:val="en-US" w:eastAsia="en-AU"/>
        </w:rPr>
        <w:t xml:space="preserve">hydraulic parameters used to model the Rewan Formation are not based on local field data. Given </w:t>
      </w:r>
      <w:r w:rsidRPr="008D1CFA">
        <w:rPr>
          <w:lang w:val="en-US" w:eastAsia="en-AU"/>
        </w:rPr>
        <w:t>this lack of local data, the model sensitivity</w:t>
      </w:r>
      <w:r w:rsidR="0095471E" w:rsidRPr="008D1CFA">
        <w:rPr>
          <w:lang w:val="en-US" w:eastAsia="en-AU"/>
        </w:rPr>
        <w:t xml:space="preserve"> and the large range </w:t>
      </w:r>
      <w:r w:rsidRPr="008D1CFA">
        <w:rPr>
          <w:lang w:val="en-US" w:eastAsia="en-AU"/>
        </w:rPr>
        <w:t>of</w:t>
      </w:r>
      <w:r w:rsidR="0095471E" w:rsidRPr="008D1CFA">
        <w:rPr>
          <w:lang w:val="en-US" w:eastAsia="en-AU"/>
        </w:rPr>
        <w:t xml:space="preserve"> hydraulic parameters</w:t>
      </w:r>
      <w:r w:rsidRPr="008D1CFA">
        <w:rPr>
          <w:lang w:val="en-US" w:eastAsia="en-AU"/>
        </w:rPr>
        <w:t xml:space="preserve"> </w:t>
      </w:r>
      <w:r w:rsidR="00282BED" w:rsidRPr="008D1CFA">
        <w:rPr>
          <w:lang w:val="en-US" w:eastAsia="en-AU"/>
        </w:rPr>
        <w:t>from</w:t>
      </w:r>
      <w:r w:rsidRPr="008D1CFA">
        <w:rPr>
          <w:lang w:val="en-US" w:eastAsia="en-AU"/>
        </w:rPr>
        <w:t xml:space="preserve"> literature</w:t>
      </w:r>
      <w:r w:rsidR="00EE62C2">
        <w:rPr>
          <w:lang w:val="en-US" w:eastAsia="en-AU"/>
        </w:rPr>
        <w:t xml:space="preserve"> for this formation</w:t>
      </w:r>
      <w:r w:rsidR="0095471E" w:rsidRPr="008D1CFA">
        <w:rPr>
          <w:lang w:val="en-US" w:eastAsia="en-AU"/>
        </w:rPr>
        <w:t xml:space="preserve"> </w:t>
      </w:r>
      <w:r w:rsidRPr="008D1CFA">
        <w:rPr>
          <w:lang w:val="en-US" w:eastAsia="en-AU"/>
        </w:rPr>
        <w:t xml:space="preserve">across </w:t>
      </w:r>
      <w:r w:rsidR="0095471E" w:rsidRPr="008D1CFA">
        <w:rPr>
          <w:lang w:val="en-US" w:eastAsia="en-AU"/>
        </w:rPr>
        <w:t xml:space="preserve">the Bowen Basin, the </w:t>
      </w:r>
      <w:r w:rsidRPr="008D1CFA">
        <w:rPr>
          <w:lang w:val="en-US" w:eastAsia="en-AU"/>
        </w:rPr>
        <w:t>Committee</w:t>
      </w:r>
      <w:r w:rsidR="0095471E" w:rsidRPr="008D1CFA">
        <w:rPr>
          <w:lang w:val="en-US" w:eastAsia="en-AU"/>
        </w:rPr>
        <w:t xml:space="preserve"> </w:t>
      </w:r>
      <w:r w:rsidR="00640B60" w:rsidRPr="008D1CFA">
        <w:rPr>
          <w:lang w:val="en-US" w:eastAsia="en-AU"/>
        </w:rPr>
        <w:t>notes that there is considerable uncertainty in the values used for</w:t>
      </w:r>
      <w:r w:rsidR="0095471E" w:rsidRPr="008D1CFA">
        <w:rPr>
          <w:lang w:val="en-US" w:eastAsia="en-AU"/>
        </w:rPr>
        <w:t xml:space="preserve"> </w:t>
      </w:r>
      <w:r w:rsidR="0078087D" w:rsidRPr="008D1CFA">
        <w:rPr>
          <w:lang w:val="en-US" w:eastAsia="en-AU"/>
        </w:rPr>
        <w:t>hydraulic parameters</w:t>
      </w:r>
      <w:r w:rsidR="00640B60" w:rsidRPr="008D1CFA">
        <w:rPr>
          <w:lang w:val="en-US" w:eastAsia="en-AU"/>
        </w:rPr>
        <w:t xml:space="preserve"> of the Rewan Formation</w:t>
      </w:r>
      <w:r w:rsidR="0095471E" w:rsidRPr="008D1CFA">
        <w:rPr>
          <w:lang w:val="en-US" w:eastAsia="en-AU"/>
        </w:rPr>
        <w:t>.</w:t>
      </w:r>
      <w:r w:rsidR="005F64BD" w:rsidRPr="008D1CFA">
        <w:rPr>
          <w:lang w:val="en-US" w:eastAsia="en-AU"/>
        </w:rPr>
        <w:t xml:space="preserve"> </w:t>
      </w:r>
    </w:p>
    <w:p w:rsidR="007203C3" w:rsidRPr="008D1CFA" w:rsidRDefault="007203C3" w:rsidP="007203C3">
      <w:pPr>
        <w:pStyle w:val="Default"/>
        <w:spacing w:after="200" w:line="276" w:lineRule="auto"/>
        <w:rPr>
          <w:rFonts w:ascii="Arial" w:eastAsia="Times New Roman" w:hAnsi="Arial" w:cs="Arial"/>
          <w:color w:val="auto"/>
          <w:sz w:val="20"/>
          <w:szCs w:val="20"/>
          <w:lang w:eastAsia="en-US"/>
        </w:rPr>
      </w:pPr>
      <w:r w:rsidRPr="008D1CFA">
        <w:rPr>
          <w:rFonts w:ascii="Arial" w:eastAsia="Times New Roman" w:hAnsi="Arial" w:cs="Arial"/>
          <w:color w:val="auto"/>
          <w:sz w:val="20"/>
          <w:szCs w:val="20"/>
          <w:lang w:eastAsia="en-US"/>
        </w:rPr>
        <w:t xml:space="preserve">The Committee’s advice in response to the Department’s specific </w:t>
      </w:r>
      <w:r w:rsidR="003D46D2" w:rsidRPr="008D1CFA">
        <w:rPr>
          <w:rFonts w:ascii="Arial" w:eastAsia="Times New Roman" w:hAnsi="Arial" w:cs="Arial"/>
          <w:color w:val="auto"/>
          <w:sz w:val="20"/>
          <w:szCs w:val="20"/>
          <w:lang w:eastAsia="en-US"/>
        </w:rPr>
        <w:t>q</w:t>
      </w:r>
      <w:r w:rsidR="005F4172" w:rsidRPr="008D1CFA">
        <w:rPr>
          <w:rFonts w:ascii="Arial" w:eastAsia="Times New Roman" w:hAnsi="Arial" w:cs="Arial"/>
          <w:color w:val="auto"/>
          <w:sz w:val="20"/>
          <w:szCs w:val="20"/>
          <w:lang w:eastAsia="en-US"/>
        </w:rPr>
        <w:t>uestion</w:t>
      </w:r>
      <w:r w:rsidRPr="008D1CFA">
        <w:rPr>
          <w:rFonts w:ascii="Arial" w:eastAsia="Times New Roman" w:hAnsi="Arial" w:cs="Arial"/>
          <w:color w:val="auto"/>
          <w:sz w:val="20"/>
          <w:szCs w:val="20"/>
          <w:lang w:eastAsia="en-US"/>
        </w:rPr>
        <w:t xml:space="preserve">s is provided below. </w:t>
      </w:r>
    </w:p>
    <w:p w:rsidR="007203C3" w:rsidRPr="008D1CFA" w:rsidRDefault="005F4172" w:rsidP="0095471E">
      <w:pPr>
        <w:pStyle w:val="Heading6"/>
      </w:pPr>
      <w:r w:rsidRPr="008D1CFA">
        <w:t>Question </w:t>
      </w:r>
      <w:r w:rsidR="007203C3" w:rsidRPr="008D1CFA">
        <w:t xml:space="preserve">1: </w:t>
      </w:r>
      <w:r w:rsidR="0060063F" w:rsidRPr="008D1CFA">
        <w:t>The proponent has stated that as the nearest mines (including Rolleston and Minerva) are not within the same sub</w:t>
      </w:r>
      <w:r w:rsidR="00C32EE4">
        <w:t>-</w:t>
      </w:r>
      <w:r w:rsidR="0060063F" w:rsidRPr="008D1CFA">
        <w:t>catchment a cumulative impact is not expected. Does the Committee agree with this statement? If not</w:t>
      </w:r>
      <w:r w:rsidR="00C32EE4">
        <w:t>,</w:t>
      </w:r>
      <w:r w:rsidR="0060063F" w:rsidRPr="008D1CFA">
        <w:t xml:space="preserve"> what information is needed from the proponent to support the claim?</w:t>
      </w:r>
    </w:p>
    <w:p w:rsidR="00560E31" w:rsidRPr="008D1CFA" w:rsidRDefault="00E309DE" w:rsidP="00E309DE">
      <w:pPr>
        <w:pStyle w:val="ListNumber"/>
      </w:pPr>
      <w:r w:rsidRPr="008D1CFA">
        <w:t xml:space="preserve">The proponent’s </w:t>
      </w:r>
      <w:r w:rsidR="0078087D" w:rsidRPr="008D1CFA">
        <w:t>conclusions</w:t>
      </w:r>
      <w:r w:rsidRPr="008D1CFA">
        <w:t xml:space="preserve"> about lack of cumulative impacts to groundwater through drawdown are not supported by sufficient evidence. </w:t>
      </w:r>
      <w:r w:rsidR="00D93FB1" w:rsidRPr="008D1CFA">
        <w:t>C</w:t>
      </w:r>
      <w:r w:rsidR="0078087D" w:rsidRPr="008D1CFA">
        <w:t>onclusion</w:t>
      </w:r>
      <w:r w:rsidR="00D93FB1" w:rsidRPr="008D1CFA">
        <w:t>s</w:t>
      </w:r>
      <w:r w:rsidR="0078087D" w:rsidRPr="008D1CFA">
        <w:t xml:space="preserve"> </w:t>
      </w:r>
      <w:r w:rsidR="003D628C" w:rsidRPr="008D1CFA">
        <w:t>should</w:t>
      </w:r>
      <w:r w:rsidR="0078087D" w:rsidRPr="008D1CFA">
        <w:t xml:space="preserve"> be supported by broader scale drawdown information, for example, a</w:t>
      </w:r>
      <w:r w:rsidRPr="008D1CFA">
        <w:t xml:space="preserve"> map of the predicted or actual drawdown extents for existing and proposed </w:t>
      </w:r>
      <w:r w:rsidR="000C3C6E" w:rsidRPr="008D1CFA">
        <w:t>coal seam gas and</w:t>
      </w:r>
      <w:r w:rsidR="000425C1" w:rsidRPr="008D1CFA">
        <w:t xml:space="preserve"> coal mining </w:t>
      </w:r>
      <w:r w:rsidRPr="008D1CFA">
        <w:t xml:space="preserve">developments in the region. </w:t>
      </w:r>
    </w:p>
    <w:p w:rsidR="00056850" w:rsidRPr="008D1CFA" w:rsidRDefault="000C3C6E" w:rsidP="00E309DE">
      <w:pPr>
        <w:pStyle w:val="ListNumber"/>
      </w:pPr>
      <w:r w:rsidRPr="008D1CFA">
        <w:t>The</w:t>
      </w:r>
      <w:r w:rsidR="00640B60" w:rsidRPr="008D1CFA">
        <w:t xml:space="preserve"> variable</w:t>
      </w:r>
      <w:r w:rsidRPr="008D1CFA">
        <w:t xml:space="preserve"> hydraulic properties and </w:t>
      </w:r>
      <w:r w:rsidR="00640B60" w:rsidRPr="008D1CFA">
        <w:t xml:space="preserve">heterogeneity </w:t>
      </w:r>
      <w:r w:rsidRPr="008D1CFA">
        <w:t xml:space="preserve">of the Rewan Formation across the region are key factors in determining cumulative impacts to groundwater. </w:t>
      </w:r>
      <w:r w:rsidR="003E364D" w:rsidRPr="008D1CFA">
        <w:t xml:space="preserve">Given the wide range of hydraulic parameters </w:t>
      </w:r>
      <w:r w:rsidR="0058040D" w:rsidRPr="008D1CFA">
        <w:t>for</w:t>
      </w:r>
      <w:r w:rsidR="003E364D" w:rsidRPr="008D1CFA">
        <w:t xml:space="preserve"> </w:t>
      </w:r>
      <w:r w:rsidRPr="008D1CFA">
        <w:t xml:space="preserve">the Rewan Formation </w:t>
      </w:r>
      <w:r w:rsidR="0058040D" w:rsidRPr="008D1CFA">
        <w:t>from literature and other proposals on which the Committee has provided advice</w:t>
      </w:r>
      <w:r w:rsidR="003E364D" w:rsidRPr="008D1CFA">
        <w:t xml:space="preserve">, it is </w:t>
      </w:r>
      <w:r w:rsidR="00640B60" w:rsidRPr="008D1CFA">
        <w:t xml:space="preserve">possible </w:t>
      </w:r>
      <w:r w:rsidR="003E364D" w:rsidRPr="008D1CFA">
        <w:t xml:space="preserve">that this formation </w:t>
      </w:r>
      <w:r w:rsidR="00640B60" w:rsidRPr="008D1CFA">
        <w:t xml:space="preserve">may be </w:t>
      </w:r>
      <w:r w:rsidRPr="008D1CFA">
        <w:t xml:space="preserve">more permeable </w:t>
      </w:r>
      <w:r w:rsidR="00640B60" w:rsidRPr="008D1CFA">
        <w:t xml:space="preserve">and heterogeneous </w:t>
      </w:r>
      <w:r w:rsidRPr="008D1CFA">
        <w:t>than modelled by the proponent</w:t>
      </w:r>
      <w:r w:rsidR="0058040D" w:rsidRPr="008D1CFA">
        <w:t>. If this is the case,</w:t>
      </w:r>
      <w:r w:rsidR="003E364D" w:rsidRPr="008D1CFA">
        <w:t xml:space="preserve"> </w:t>
      </w:r>
      <w:r w:rsidRPr="008D1CFA">
        <w:t xml:space="preserve">groundwater impacts </w:t>
      </w:r>
      <w:r w:rsidR="003E364D" w:rsidRPr="008D1CFA">
        <w:t xml:space="preserve">from the proposed project </w:t>
      </w:r>
      <w:r w:rsidRPr="008D1CFA">
        <w:t xml:space="preserve">may be </w:t>
      </w:r>
      <w:r w:rsidR="00640B60" w:rsidRPr="008D1CFA">
        <w:t xml:space="preserve">less </w:t>
      </w:r>
      <w:r w:rsidRPr="008D1CFA">
        <w:t xml:space="preserve">localised and could be regionally significant. </w:t>
      </w:r>
    </w:p>
    <w:p w:rsidR="00E309DE" w:rsidRPr="008D1CFA" w:rsidRDefault="002878A2" w:rsidP="00E309DE">
      <w:pPr>
        <w:pStyle w:val="ListNumber"/>
      </w:pPr>
      <w:r w:rsidRPr="008D1CFA">
        <w:t xml:space="preserve">The </w:t>
      </w:r>
      <w:r w:rsidR="00BE148F">
        <w:t>asserted</w:t>
      </w:r>
      <w:r w:rsidR="00BE148F" w:rsidRPr="008D1CFA">
        <w:t xml:space="preserve"> </w:t>
      </w:r>
      <w:r w:rsidR="000C3C6E" w:rsidRPr="008D1CFA">
        <w:t xml:space="preserve">lack of cumulative drawdown does not preclude cumulative impacts to groundwater. Cumulative impacts such as changes to the regional groundwater flow regime, enhanced </w:t>
      </w:r>
      <w:r w:rsidR="000C3C6E" w:rsidRPr="008D1CFA">
        <w:lastRenderedPageBreak/>
        <w:t xml:space="preserve">recharge or connectivity should also be considered. There is also the potential for significant cumulative impacts to surface water quality and quantity within the </w:t>
      </w:r>
      <w:r w:rsidR="0058040D" w:rsidRPr="008D1CFA">
        <w:t>c</w:t>
      </w:r>
      <w:r w:rsidR="000C3C6E" w:rsidRPr="008D1CFA">
        <w:t>atchment, as a result of subsidence, planned or emergency discharges and loss of catchment area.</w:t>
      </w:r>
    </w:p>
    <w:p w:rsidR="00E309DE" w:rsidRPr="008D1CFA" w:rsidRDefault="000C3C6E" w:rsidP="00E309DE">
      <w:pPr>
        <w:pStyle w:val="ListNumber"/>
      </w:pPr>
      <w:r w:rsidRPr="008D1CFA">
        <w:t>An adequate cumulative impact assessment should:</w:t>
      </w:r>
    </w:p>
    <w:p w:rsidR="00E309DE" w:rsidRPr="008D1CFA" w:rsidRDefault="000C3C6E" w:rsidP="00E309DE">
      <w:pPr>
        <w:pStyle w:val="ListNumber2"/>
      </w:pPr>
      <w:r w:rsidRPr="008D1CFA">
        <w:t>Cover geographic and temporal</w:t>
      </w:r>
      <w:r w:rsidR="00E309DE" w:rsidRPr="008D1CFA">
        <w:t xml:space="preserve"> boundaries large enough to include all potentially significant impacts on the water resources</w:t>
      </w:r>
      <w:r w:rsidR="00A450F7" w:rsidRPr="008D1CFA">
        <w:t xml:space="preserve">. </w:t>
      </w:r>
      <w:r w:rsidRPr="008D1CFA">
        <w:t>For example; surface water impacts should be considered across the Comet River Catchment, which covers an area of 17,294 km</w:t>
      </w:r>
      <w:r w:rsidRPr="008D1CFA">
        <w:rPr>
          <w:vertAlign w:val="superscript"/>
        </w:rPr>
        <w:t>2</w:t>
      </w:r>
      <w:r w:rsidR="00A450F7" w:rsidRPr="008D1CFA">
        <w:t>;</w:t>
      </w:r>
    </w:p>
    <w:p w:rsidR="00E309DE" w:rsidRPr="008D1CFA" w:rsidRDefault="00E309DE" w:rsidP="00E309DE">
      <w:pPr>
        <w:pStyle w:val="ListNumber2"/>
      </w:pPr>
      <w:r w:rsidRPr="008D1CFA">
        <w:t>Identify past, present, and reasonably foreseeable actions, including development proposals, programs and policies, likely to impact on the water resources of concern</w:t>
      </w:r>
      <w:r w:rsidR="00A450F7" w:rsidRPr="008D1CFA">
        <w:t xml:space="preserve">. </w:t>
      </w:r>
      <w:r w:rsidR="000C3C6E" w:rsidRPr="008D1CFA">
        <w:t>The Committee considers that all operating coal mines within this catchment have the potential to contribute to cumulative impacts, including Rolleston, Minerva and Blackwater South, which are located within an approximate 50 km radius. Any coal seam gas exploration or production activity, as well as coal mining developments that are undergoing assessment such as Meteor Downs South (EPBC 2013/6799) should also be considered</w:t>
      </w:r>
      <w:r w:rsidRPr="008D1CFA">
        <w:t>;</w:t>
      </w:r>
    </w:p>
    <w:p w:rsidR="00056850" w:rsidRPr="008D1CFA" w:rsidRDefault="00056850" w:rsidP="00056850">
      <w:pPr>
        <w:pStyle w:val="ListNumber2"/>
      </w:pPr>
      <w:r w:rsidRPr="008D1CFA">
        <w:t xml:space="preserve">Compile the hydraulic data and groundwater modelling from other </w:t>
      </w:r>
      <w:r w:rsidR="006F621E" w:rsidRPr="008D1CFA">
        <w:t xml:space="preserve">projects </w:t>
      </w:r>
      <w:r w:rsidRPr="008D1CFA">
        <w:t xml:space="preserve">considered within the cumulative impact assessment to assess the </w:t>
      </w:r>
      <w:r w:rsidR="006F621E" w:rsidRPr="008D1CFA">
        <w:t xml:space="preserve">integrity </w:t>
      </w:r>
      <w:r w:rsidRPr="008D1CFA">
        <w:t>of the Rewan Formation and impacts to groundwater on a regional scale</w:t>
      </w:r>
      <w:r w:rsidR="0058040D" w:rsidRPr="008D1CFA">
        <w:t>;</w:t>
      </w:r>
    </w:p>
    <w:p w:rsidR="00E309DE" w:rsidRPr="008D1CFA" w:rsidRDefault="00372421" w:rsidP="00DA0A34">
      <w:pPr>
        <w:pStyle w:val="ListNumber2"/>
      </w:pPr>
      <w:r w:rsidRPr="008D1CFA">
        <w:t xml:space="preserve">Utilise appropriately robust and </w:t>
      </w:r>
      <w:r w:rsidR="00E309DE" w:rsidRPr="008D1CFA">
        <w:t>repeatable methodologies to determine the significance of impacts; and</w:t>
      </w:r>
    </w:p>
    <w:p w:rsidR="00E309DE" w:rsidRPr="008D1CFA" w:rsidRDefault="00E309DE" w:rsidP="00E309DE">
      <w:pPr>
        <w:pStyle w:val="ListNumber2"/>
      </w:pPr>
      <w:r w:rsidRPr="008D1CFA">
        <w:t>Determine mitigation, monitoring and management measures to avoid or minimise and report on potential cumulative impacts.</w:t>
      </w:r>
    </w:p>
    <w:p w:rsidR="007203C3" w:rsidRPr="008D1CFA" w:rsidRDefault="005F4172" w:rsidP="0095471E">
      <w:pPr>
        <w:pStyle w:val="Heading6"/>
      </w:pPr>
      <w:r w:rsidRPr="008D1CFA">
        <w:t>Question </w:t>
      </w:r>
      <w:r w:rsidR="007203C3" w:rsidRPr="008D1CFA">
        <w:t>2:</w:t>
      </w:r>
      <w:r w:rsidR="0060063F" w:rsidRPr="008D1CFA">
        <w:t xml:space="preserve"> Are the numerical and conceptual groundwater models presented in Main Document, section 6 of Attachment A</w:t>
      </w:r>
      <w:r w:rsidR="00C50DF3">
        <w:t>,</w:t>
      </w:r>
      <w:r w:rsidR="0060063F" w:rsidRPr="008D1CFA">
        <w:t xml:space="preserve"> adequate to predict the impacts on groundwater? If not discuss what information is missing?</w:t>
      </w:r>
    </w:p>
    <w:p w:rsidR="00C56440" w:rsidRPr="008D1CFA" w:rsidRDefault="00C56440" w:rsidP="00C56440">
      <w:pPr>
        <w:pStyle w:val="ListNumber"/>
        <w:rPr>
          <w:lang w:val="en-US" w:eastAsia="en-AU"/>
        </w:rPr>
      </w:pPr>
      <w:r w:rsidRPr="008D1CFA">
        <w:rPr>
          <w:lang w:val="en-US" w:eastAsia="en-AU"/>
        </w:rPr>
        <w:t xml:space="preserve">The groundwater </w:t>
      </w:r>
      <w:r w:rsidR="00DC106F" w:rsidRPr="008D1CFA">
        <w:rPr>
          <w:lang w:val="en-US" w:eastAsia="en-AU"/>
        </w:rPr>
        <w:t>section of the Main Document of the Commonwealth draft EIS is not supported by a groundwater technical report. Inclusion of additional information in the project assessment documentation, such as the independent</w:t>
      </w:r>
      <w:r w:rsidRPr="008D1CFA">
        <w:rPr>
          <w:lang w:val="en-US" w:eastAsia="en-AU"/>
        </w:rPr>
        <w:t xml:space="preserve"> peer review of the groundwater model, </w:t>
      </w:r>
      <w:r w:rsidR="0058418A" w:rsidRPr="008D1CFA">
        <w:rPr>
          <w:lang w:val="en-US" w:eastAsia="en-AU"/>
        </w:rPr>
        <w:t>w</w:t>
      </w:r>
      <w:r w:rsidRPr="008D1CFA">
        <w:rPr>
          <w:lang w:val="en-US" w:eastAsia="en-AU"/>
        </w:rPr>
        <w:t xml:space="preserve">ould increase confidence in the proponent’s groundwater </w:t>
      </w:r>
      <w:r w:rsidR="0058418A" w:rsidRPr="008D1CFA">
        <w:rPr>
          <w:lang w:val="en-US" w:eastAsia="en-AU"/>
        </w:rPr>
        <w:t>models</w:t>
      </w:r>
      <w:r w:rsidRPr="008D1CFA">
        <w:rPr>
          <w:lang w:val="en-US" w:eastAsia="en-AU"/>
        </w:rPr>
        <w:t xml:space="preserve">. </w:t>
      </w:r>
    </w:p>
    <w:p w:rsidR="00C56440" w:rsidRPr="008D1CFA" w:rsidRDefault="00E309DE" w:rsidP="00E309DE">
      <w:pPr>
        <w:pStyle w:val="ListNumber"/>
        <w:rPr>
          <w:lang w:val="en-US" w:eastAsia="en-AU"/>
        </w:rPr>
      </w:pPr>
      <w:r w:rsidRPr="008D1CFA">
        <w:rPr>
          <w:lang w:val="en-US" w:eastAsia="en-AU"/>
        </w:rPr>
        <w:t xml:space="preserve">The </w:t>
      </w:r>
      <w:r w:rsidR="00987476" w:rsidRPr="008D1CFA">
        <w:rPr>
          <w:lang w:val="en-US" w:eastAsia="en-AU"/>
        </w:rPr>
        <w:t>Committee</w:t>
      </w:r>
      <w:r w:rsidRPr="008D1CFA">
        <w:rPr>
          <w:lang w:val="en-US" w:eastAsia="en-AU"/>
        </w:rPr>
        <w:t xml:space="preserve"> considers that the groundwater conceptual model is not supported by sufficient evidence. The level of confidence in the groundwater conceptualisation would increase with additional groundwater baseline data in the proposed project area</w:t>
      </w:r>
      <w:r w:rsidR="00C50DF3">
        <w:rPr>
          <w:lang w:val="en-US" w:eastAsia="en-AU"/>
        </w:rPr>
        <w:t>,</w:t>
      </w:r>
      <w:r w:rsidRPr="008D1CFA">
        <w:rPr>
          <w:lang w:val="en-US" w:eastAsia="en-AU"/>
        </w:rPr>
        <w:t xml:space="preserve"> including</w:t>
      </w:r>
      <w:r w:rsidR="00C56440" w:rsidRPr="008D1CFA">
        <w:rPr>
          <w:lang w:val="en-US" w:eastAsia="en-AU"/>
        </w:rPr>
        <w:t>:</w:t>
      </w:r>
    </w:p>
    <w:p w:rsidR="006A5E06" w:rsidRPr="008D1CFA" w:rsidRDefault="00347B44" w:rsidP="00C57A9F">
      <w:pPr>
        <w:pStyle w:val="ListNumber2"/>
        <w:rPr>
          <w:lang w:val="en-US" w:eastAsia="en-AU"/>
        </w:rPr>
      </w:pPr>
      <w:r w:rsidRPr="008D1CFA">
        <w:rPr>
          <w:lang w:val="en-US" w:eastAsia="en-AU"/>
        </w:rPr>
        <w:t xml:space="preserve">Packer tests or core permeability test results to verify </w:t>
      </w:r>
      <w:r w:rsidR="00BE148F">
        <w:rPr>
          <w:lang w:val="en-US" w:eastAsia="en-AU"/>
        </w:rPr>
        <w:t>hydraulic</w:t>
      </w:r>
      <w:r w:rsidR="00BE148F" w:rsidRPr="008D1CFA">
        <w:rPr>
          <w:lang w:val="en-US" w:eastAsia="en-AU"/>
        </w:rPr>
        <w:t xml:space="preserve"> </w:t>
      </w:r>
      <w:r w:rsidRPr="008D1CFA">
        <w:rPr>
          <w:lang w:val="en-US" w:eastAsia="en-AU"/>
        </w:rPr>
        <w:t xml:space="preserve">assumptions in the hydrogeological conceptualisation. </w:t>
      </w:r>
      <w:r w:rsidR="000C3C6E" w:rsidRPr="008D1CFA">
        <w:rPr>
          <w:lang w:val="en-US" w:eastAsia="en-AU"/>
        </w:rPr>
        <w:t xml:space="preserve">In particular, the Rewan Formation is known to have variable hydraulic parameters, faulting and variable thickness. </w:t>
      </w:r>
      <w:r w:rsidR="006F621E" w:rsidRPr="008D1CFA">
        <w:rPr>
          <w:lang w:val="en-US" w:eastAsia="en-AU"/>
        </w:rPr>
        <w:t xml:space="preserve">In </w:t>
      </w:r>
      <w:r w:rsidR="00BE148F">
        <w:rPr>
          <w:lang w:val="en-US" w:eastAsia="en-AU"/>
        </w:rPr>
        <w:t>the conceptualisation</w:t>
      </w:r>
      <w:r w:rsidR="006F621E" w:rsidRPr="008D1CFA">
        <w:rPr>
          <w:lang w:val="en-US" w:eastAsia="en-AU"/>
        </w:rPr>
        <w:t>, t</w:t>
      </w:r>
      <w:r w:rsidR="000C3C6E" w:rsidRPr="008D1CFA">
        <w:rPr>
          <w:lang w:val="en-US" w:eastAsia="en-AU"/>
        </w:rPr>
        <w:t>he hydraulic properties of the formation have been determine</w:t>
      </w:r>
      <w:r w:rsidR="005E2B3F" w:rsidRPr="008D1CFA">
        <w:rPr>
          <w:lang w:val="en-US" w:eastAsia="en-AU"/>
        </w:rPr>
        <w:t>d</w:t>
      </w:r>
      <w:r w:rsidR="000C3C6E" w:rsidRPr="008D1CFA">
        <w:rPr>
          <w:lang w:val="en-US" w:eastAsia="en-AU"/>
        </w:rPr>
        <w:t xml:space="preserve"> based on regional estimates, not </w:t>
      </w:r>
      <w:r w:rsidR="000C25BA">
        <w:rPr>
          <w:lang w:val="en-US" w:eastAsia="en-AU"/>
        </w:rPr>
        <w:t xml:space="preserve">local </w:t>
      </w:r>
      <w:r w:rsidR="000C3C6E" w:rsidRPr="008D1CFA">
        <w:rPr>
          <w:lang w:val="en-US" w:eastAsia="en-AU"/>
        </w:rPr>
        <w:t>field data</w:t>
      </w:r>
      <w:r w:rsidR="005E2B3F" w:rsidRPr="008D1CFA">
        <w:rPr>
          <w:lang w:val="en-US" w:eastAsia="en-AU"/>
        </w:rPr>
        <w:t>;</w:t>
      </w:r>
    </w:p>
    <w:p w:rsidR="00C56440" w:rsidRPr="008D1CFA" w:rsidRDefault="00C56440" w:rsidP="00C56440">
      <w:pPr>
        <w:pStyle w:val="ListNumber2"/>
        <w:rPr>
          <w:lang w:val="en-US" w:eastAsia="en-AU"/>
        </w:rPr>
      </w:pPr>
      <w:r w:rsidRPr="008D1CFA">
        <w:rPr>
          <w:lang w:val="en-US" w:eastAsia="en-AU"/>
        </w:rPr>
        <w:t>S</w:t>
      </w:r>
      <w:r w:rsidR="00E309DE" w:rsidRPr="008D1CFA">
        <w:rPr>
          <w:lang w:val="en-US" w:eastAsia="en-AU"/>
        </w:rPr>
        <w:t>easonal trends for groundwater level and quality in each hydrostratigraphic unit</w:t>
      </w:r>
      <w:r w:rsidRPr="008D1CFA">
        <w:rPr>
          <w:lang w:val="en-US" w:eastAsia="en-AU"/>
        </w:rPr>
        <w:t>;</w:t>
      </w:r>
      <w:r w:rsidR="00E309DE" w:rsidRPr="008D1CFA">
        <w:rPr>
          <w:lang w:val="en-US" w:eastAsia="en-AU"/>
        </w:rPr>
        <w:t xml:space="preserve"> and </w:t>
      </w:r>
    </w:p>
    <w:p w:rsidR="00143979" w:rsidRPr="008D1CFA" w:rsidRDefault="000C3C6E" w:rsidP="00C56440">
      <w:pPr>
        <w:pStyle w:val="ListNumber2"/>
        <w:rPr>
          <w:lang w:val="en-US" w:eastAsia="en-AU"/>
        </w:rPr>
      </w:pPr>
      <w:r w:rsidRPr="008D1CFA">
        <w:rPr>
          <w:lang w:val="en-US" w:eastAsia="en-AU"/>
        </w:rPr>
        <w:t>Investigations into faulting</w:t>
      </w:r>
      <w:r w:rsidR="00067B23" w:rsidRPr="008D1CFA">
        <w:rPr>
          <w:lang w:val="en-US" w:eastAsia="en-AU"/>
        </w:rPr>
        <w:t xml:space="preserve"> across the proposed</w:t>
      </w:r>
      <w:r w:rsidRPr="008D1CFA">
        <w:rPr>
          <w:lang w:val="en-US" w:eastAsia="en-AU"/>
        </w:rPr>
        <w:t xml:space="preserve"> project area and an assessment of the role of faults in transmitting or impeding </w:t>
      </w:r>
      <w:r w:rsidR="005E2B3F" w:rsidRPr="008D1CFA">
        <w:rPr>
          <w:lang w:val="en-US" w:eastAsia="en-AU"/>
        </w:rPr>
        <w:t xml:space="preserve">groundwater </w:t>
      </w:r>
      <w:r w:rsidRPr="008D1CFA">
        <w:rPr>
          <w:lang w:val="en-US" w:eastAsia="en-AU"/>
        </w:rPr>
        <w:t>flow.</w:t>
      </w:r>
    </w:p>
    <w:p w:rsidR="00E309DE" w:rsidRPr="008D1CFA" w:rsidRDefault="000C3C6E" w:rsidP="00E309DE">
      <w:pPr>
        <w:pStyle w:val="ListNumber"/>
        <w:rPr>
          <w:lang w:val="en-US" w:eastAsia="en-AU"/>
        </w:rPr>
      </w:pPr>
      <w:r w:rsidRPr="008D1CFA">
        <w:rPr>
          <w:lang w:val="en-US" w:eastAsia="en-AU"/>
        </w:rPr>
        <w:t>Confidence in the nume</w:t>
      </w:r>
      <w:r w:rsidR="00C336B0" w:rsidRPr="008D1CFA">
        <w:rPr>
          <w:lang w:val="en-US" w:eastAsia="en-AU"/>
        </w:rPr>
        <w:t>rical groundwater model</w:t>
      </w:r>
      <w:r w:rsidR="00E309DE" w:rsidRPr="008D1CFA">
        <w:rPr>
          <w:lang w:val="en-US" w:eastAsia="en-AU"/>
        </w:rPr>
        <w:t xml:space="preserve"> presented</w:t>
      </w:r>
      <w:r w:rsidR="00611488" w:rsidRPr="008D1CFA">
        <w:rPr>
          <w:lang w:val="en-US" w:eastAsia="en-AU"/>
        </w:rPr>
        <w:t xml:space="preserve"> is low, due to the following factors</w:t>
      </w:r>
      <w:r w:rsidR="00E309DE" w:rsidRPr="008D1CFA">
        <w:rPr>
          <w:lang w:val="en-US" w:eastAsia="en-AU"/>
        </w:rPr>
        <w:t>:</w:t>
      </w:r>
    </w:p>
    <w:p w:rsidR="00E309DE" w:rsidRPr="008D1CFA" w:rsidRDefault="00E309DE" w:rsidP="00E309DE">
      <w:pPr>
        <w:pStyle w:val="ListNumber2"/>
        <w:rPr>
          <w:lang w:val="en-US" w:eastAsia="en-AU"/>
        </w:rPr>
      </w:pPr>
      <w:r w:rsidRPr="008D1CFA">
        <w:rPr>
          <w:lang w:val="en-US" w:eastAsia="en-AU"/>
        </w:rPr>
        <w:t xml:space="preserve">Limited data for calibration, future stresses more than </w:t>
      </w:r>
      <w:r w:rsidR="00570486" w:rsidRPr="008D1CFA">
        <w:rPr>
          <w:lang w:val="en-US" w:eastAsia="en-AU"/>
        </w:rPr>
        <w:t>five</w:t>
      </w:r>
      <w:r w:rsidRPr="008D1CFA">
        <w:rPr>
          <w:lang w:val="en-US" w:eastAsia="en-AU"/>
        </w:rPr>
        <w:t xml:space="preserve"> times the calibration stresses, and extended predictive timeframes compared to existing data; </w:t>
      </w:r>
    </w:p>
    <w:p w:rsidR="00E309DE" w:rsidRPr="008D1CFA" w:rsidRDefault="00E309DE" w:rsidP="00E309DE">
      <w:pPr>
        <w:pStyle w:val="ListNumber2"/>
        <w:rPr>
          <w:lang w:val="en-US" w:eastAsia="en-AU"/>
        </w:rPr>
      </w:pPr>
      <w:r w:rsidRPr="008D1CFA">
        <w:rPr>
          <w:lang w:val="en-US" w:eastAsia="en-AU"/>
        </w:rPr>
        <w:lastRenderedPageBreak/>
        <w:t xml:space="preserve">Model boundaries </w:t>
      </w:r>
      <w:r w:rsidR="00611488" w:rsidRPr="008D1CFA">
        <w:rPr>
          <w:lang w:val="en-US" w:eastAsia="en-AU"/>
        </w:rPr>
        <w:t>that appear to be arbitrary;</w:t>
      </w:r>
      <w:r w:rsidRPr="008D1CFA">
        <w:rPr>
          <w:lang w:val="en-US" w:eastAsia="en-AU"/>
        </w:rPr>
        <w:t xml:space="preserve"> </w:t>
      </w:r>
      <w:r w:rsidR="00611488" w:rsidRPr="008D1CFA">
        <w:rPr>
          <w:lang w:val="en-US" w:eastAsia="en-AU"/>
        </w:rPr>
        <w:t>as</w:t>
      </w:r>
      <w:r w:rsidRPr="008D1CFA">
        <w:rPr>
          <w:lang w:val="en-US" w:eastAsia="en-AU"/>
        </w:rPr>
        <w:t xml:space="preserve"> they are not based on defined natural features</w:t>
      </w:r>
      <w:r w:rsidR="00611488" w:rsidRPr="008D1CFA">
        <w:rPr>
          <w:lang w:val="en-US" w:eastAsia="en-AU"/>
        </w:rPr>
        <w:t xml:space="preserve"> and</w:t>
      </w:r>
      <w:r w:rsidRPr="008D1CFA">
        <w:rPr>
          <w:lang w:val="en-US" w:eastAsia="en-AU"/>
        </w:rPr>
        <w:t xml:space="preserve"> are unlikely to be accurately represented by no through-flow;</w:t>
      </w:r>
    </w:p>
    <w:p w:rsidR="00E309DE" w:rsidRPr="008D1CFA" w:rsidRDefault="00E309DE" w:rsidP="00E309DE">
      <w:pPr>
        <w:pStyle w:val="ListNumber2"/>
        <w:rPr>
          <w:lang w:val="en-US" w:eastAsia="en-AU"/>
        </w:rPr>
      </w:pPr>
      <w:r w:rsidRPr="008D1CFA">
        <w:rPr>
          <w:lang w:val="en-US" w:eastAsia="en-AU"/>
        </w:rPr>
        <w:t xml:space="preserve">The overuse of no-flow boundaries means </w:t>
      </w:r>
      <w:r w:rsidR="00611488" w:rsidRPr="008D1CFA">
        <w:rPr>
          <w:lang w:val="en-US" w:eastAsia="en-AU"/>
        </w:rPr>
        <w:t xml:space="preserve">that </w:t>
      </w:r>
      <w:r w:rsidRPr="008D1CFA">
        <w:rPr>
          <w:lang w:val="en-US" w:eastAsia="en-AU"/>
        </w:rPr>
        <w:t>evapotranspiration may be over</w:t>
      </w:r>
      <w:r w:rsidR="00611488" w:rsidRPr="008D1CFA">
        <w:rPr>
          <w:lang w:val="en-US" w:eastAsia="en-AU"/>
        </w:rPr>
        <w:t>-</w:t>
      </w:r>
      <w:r w:rsidRPr="008D1CFA">
        <w:rPr>
          <w:lang w:val="en-US" w:eastAsia="en-AU"/>
        </w:rPr>
        <w:t xml:space="preserve">influenced by the model design. This is an issue as </w:t>
      </w:r>
      <w:r w:rsidR="00611488" w:rsidRPr="008D1CFA">
        <w:rPr>
          <w:lang w:val="en-US" w:eastAsia="en-AU"/>
        </w:rPr>
        <w:t xml:space="preserve">the model </w:t>
      </w:r>
      <w:r w:rsidRPr="008D1CFA">
        <w:rPr>
          <w:lang w:val="en-US" w:eastAsia="en-AU"/>
        </w:rPr>
        <w:t xml:space="preserve">evapotranspiration </w:t>
      </w:r>
      <w:r w:rsidR="00611488" w:rsidRPr="008D1CFA">
        <w:rPr>
          <w:lang w:val="en-US" w:eastAsia="en-AU"/>
        </w:rPr>
        <w:t xml:space="preserve">output </w:t>
      </w:r>
      <w:r w:rsidRPr="008D1CFA">
        <w:rPr>
          <w:lang w:val="en-US" w:eastAsia="en-AU"/>
        </w:rPr>
        <w:t>is used as a proxy for assessing impacts to groundwater dependent ecosystems; and</w:t>
      </w:r>
    </w:p>
    <w:p w:rsidR="00E309DE" w:rsidRPr="008D1CFA" w:rsidRDefault="00E309DE" w:rsidP="00E309DE">
      <w:pPr>
        <w:pStyle w:val="ListNumber2"/>
        <w:rPr>
          <w:lang w:val="en-US" w:eastAsia="en-AU"/>
        </w:rPr>
      </w:pPr>
      <w:r w:rsidRPr="008D1CFA">
        <w:rPr>
          <w:lang w:val="en-US" w:eastAsia="en-AU"/>
        </w:rPr>
        <w:t xml:space="preserve">The </w:t>
      </w:r>
      <w:r w:rsidR="00611488" w:rsidRPr="008D1CFA">
        <w:rPr>
          <w:lang w:val="en-US" w:eastAsia="en-AU"/>
        </w:rPr>
        <w:t>high model sensitivity</w:t>
      </w:r>
      <w:r w:rsidRPr="008D1CFA">
        <w:rPr>
          <w:lang w:val="en-US" w:eastAsia="en-AU"/>
        </w:rPr>
        <w:t xml:space="preserve"> to the integrity of the Rewan Formation</w:t>
      </w:r>
      <w:r w:rsidR="00C336B0" w:rsidRPr="008D1CFA">
        <w:rPr>
          <w:lang w:val="en-US" w:eastAsia="en-AU"/>
        </w:rPr>
        <w:t xml:space="preserve">. </w:t>
      </w:r>
    </w:p>
    <w:p w:rsidR="006A5E06" w:rsidRPr="008D1CFA" w:rsidRDefault="0058418A">
      <w:pPr>
        <w:pStyle w:val="ListNumber"/>
        <w:rPr>
          <w:lang w:val="en-US" w:eastAsia="en-AU"/>
        </w:rPr>
      </w:pPr>
      <w:r w:rsidRPr="008D1CFA">
        <w:rPr>
          <w:lang w:val="en-US" w:eastAsia="en-AU"/>
        </w:rPr>
        <w:t>T</w:t>
      </w:r>
      <w:r w:rsidR="00E309DE" w:rsidRPr="008D1CFA">
        <w:rPr>
          <w:lang w:val="en-US" w:eastAsia="en-AU"/>
        </w:rPr>
        <w:t xml:space="preserve">he </w:t>
      </w:r>
      <w:r w:rsidR="00987476" w:rsidRPr="008D1CFA">
        <w:rPr>
          <w:lang w:val="en-US" w:eastAsia="en-AU"/>
        </w:rPr>
        <w:t>Committee</w:t>
      </w:r>
      <w:r w:rsidR="00E309DE" w:rsidRPr="008D1CFA">
        <w:rPr>
          <w:lang w:val="en-US" w:eastAsia="en-AU"/>
        </w:rPr>
        <w:t xml:space="preserve"> recommends</w:t>
      </w:r>
      <w:r w:rsidR="00316E04" w:rsidRPr="008D1CFA">
        <w:rPr>
          <w:lang w:val="en-US" w:eastAsia="en-AU"/>
        </w:rPr>
        <w:t xml:space="preserve"> that</w:t>
      </w:r>
      <w:r w:rsidR="003B6F4F" w:rsidRPr="008D1CFA">
        <w:rPr>
          <w:lang w:val="en-US" w:eastAsia="en-AU"/>
        </w:rPr>
        <w:t xml:space="preserve"> t</w:t>
      </w:r>
      <w:r w:rsidR="00E309DE" w:rsidRPr="008D1CFA">
        <w:rPr>
          <w:lang w:val="en-US" w:eastAsia="en-AU"/>
        </w:rPr>
        <w:t xml:space="preserve">he </w:t>
      </w:r>
      <w:r w:rsidR="00255113" w:rsidRPr="008D1CFA">
        <w:rPr>
          <w:lang w:val="en-US" w:eastAsia="en-AU"/>
        </w:rPr>
        <w:t>groundwater modelling include</w:t>
      </w:r>
      <w:r w:rsidR="00E309DE" w:rsidRPr="008D1CFA">
        <w:rPr>
          <w:lang w:val="en-US" w:eastAsia="en-AU"/>
        </w:rPr>
        <w:t>:</w:t>
      </w:r>
    </w:p>
    <w:p w:rsidR="003B6F4F" w:rsidRPr="008D1CFA" w:rsidRDefault="003B6F4F" w:rsidP="003B6F4F">
      <w:pPr>
        <w:pStyle w:val="ListNumber2"/>
        <w:rPr>
          <w:lang w:val="en-US" w:eastAsia="en-AU"/>
        </w:rPr>
      </w:pPr>
      <w:r w:rsidRPr="008D1CFA">
        <w:rPr>
          <w:lang w:val="en-US" w:eastAsia="en-AU"/>
        </w:rPr>
        <w:t>Data from field investigations into the hydraulic conductivity of the Rewan Formation and role of faulting in transmitting or impeding groundwater flow across the proposed project area</w:t>
      </w:r>
      <w:r w:rsidR="007B04BD" w:rsidRPr="008D1CFA">
        <w:rPr>
          <w:lang w:val="en-US" w:eastAsia="en-AU"/>
        </w:rPr>
        <w:t>;</w:t>
      </w:r>
    </w:p>
    <w:p w:rsidR="006A5E06" w:rsidRPr="008D1CFA" w:rsidRDefault="000C3C6E">
      <w:pPr>
        <w:pStyle w:val="ListNumber2"/>
        <w:rPr>
          <w:lang w:val="en-US" w:eastAsia="en-AU"/>
        </w:rPr>
      </w:pPr>
      <w:r w:rsidRPr="008D1CFA">
        <w:rPr>
          <w:lang w:val="en-US" w:eastAsia="en-AU"/>
        </w:rPr>
        <w:t>A range of model runs to account for the uncertainty</w:t>
      </w:r>
      <w:r w:rsidR="00826EC1" w:rsidRPr="008D1CFA">
        <w:rPr>
          <w:lang w:val="en-US" w:eastAsia="en-AU"/>
        </w:rPr>
        <w:t xml:space="preserve"> of the hydraulic parameters </w:t>
      </w:r>
      <w:r w:rsidRPr="008D1CFA">
        <w:rPr>
          <w:lang w:val="en-US" w:eastAsia="en-AU"/>
        </w:rPr>
        <w:t>in the Rewan Formation. As the model is highly sensitive to the vertical hydraulic conductivity of the Rewan Formation and values in literature span across several order</w:t>
      </w:r>
      <w:r w:rsidR="006F621E" w:rsidRPr="008D1CFA">
        <w:rPr>
          <w:lang w:val="en-US" w:eastAsia="en-AU"/>
        </w:rPr>
        <w:t>s</w:t>
      </w:r>
      <w:r w:rsidRPr="008D1CFA">
        <w:rPr>
          <w:lang w:val="en-US" w:eastAsia="en-AU"/>
        </w:rPr>
        <w:t xml:space="preserve"> of magnitude, it is recommended that the uncertainty scenarios also consider variations in vertical hydraulic conductivity of multiple orders of magnitude;</w:t>
      </w:r>
    </w:p>
    <w:p w:rsidR="009501D5" w:rsidRPr="008D1CFA" w:rsidRDefault="009501D5" w:rsidP="009501D5">
      <w:pPr>
        <w:pStyle w:val="ListNumber2"/>
        <w:rPr>
          <w:lang w:val="en-US" w:eastAsia="en-AU"/>
        </w:rPr>
      </w:pPr>
      <w:r w:rsidRPr="008D1CFA">
        <w:rPr>
          <w:lang w:val="en-US" w:eastAsia="en-AU"/>
        </w:rPr>
        <w:t xml:space="preserve">Additional data from deeper formations, with a reconsideration of flow paths through the Rewan and Bandanna Formations to inform the groundwater conceptualisation and model boundaries or boundary conditions; </w:t>
      </w:r>
    </w:p>
    <w:p w:rsidR="006A5E06" w:rsidRPr="008D1CFA" w:rsidRDefault="00C24B9A">
      <w:pPr>
        <w:pStyle w:val="ListNumber2"/>
        <w:rPr>
          <w:lang w:val="en-US" w:eastAsia="en-AU"/>
        </w:rPr>
      </w:pPr>
      <w:r w:rsidRPr="008D1CFA">
        <w:rPr>
          <w:lang w:val="en-US" w:eastAsia="en-AU"/>
        </w:rPr>
        <w:t>A s</w:t>
      </w:r>
      <w:r w:rsidR="00255113" w:rsidRPr="008D1CFA">
        <w:rPr>
          <w:lang w:val="en-US" w:eastAsia="en-AU"/>
        </w:rPr>
        <w:t>treamflow</w:t>
      </w:r>
      <w:r w:rsidRPr="008D1CFA">
        <w:rPr>
          <w:lang w:val="en-US" w:eastAsia="en-AU"/>
        </w:rPr>
        <w:t xml:space="preserve"> component</w:t>
      </w:r>
      <w:r w:rsidR="00255113" w:rsidRPr="008D1CFA">
        <w:rPr>
          <w:lang w:val="en-US" w:eastAsia="en-AU"/>
        </w:rPr>
        <w:t xml:space="preserve"> and an assessment of impacts on this parameter to assist in determining impacts to groundwater dependent ecosystems</w:t>
      </w:r>
      <w:r w:rsidR="00067B23" w:rsidRPr="008D1CFA">
        <w:rPr>
          <w:lang w:val="en-US" w:eastAsia="en-AU"/>
        </w:rPr>
        <w:t>;</w:t>
      </w:r>
    </w:p>
    <w:p w:rsidR="00067B23" w:rsidRPr="008D1CFA" w:rsidRDefault="00067B23" w:rsidP="00067B23">
      <w:pPr>
        <w:pStyle w:val="ListNumber2"/>
        <w:rPr>
          <w:lang w:val="en-US" w:eastAsia="en-AU"/>
        </w:rPr>
      </w:pPr>
      <w:r w:rsidRPr="008D1CFA">
        <w:rPr>
          <w:lang w:val="en-US" w:eastAsia="en-AU"/>
        </w:rPr>
        <w:t>Actual recharge and evapotranspiration patterns based on local data; and</w:t>
      </w:r>
    </w:p>
    <w:p w:rsidR="00067B23" w:rsidRPr="008D1CFA" w:rsidRDefault="00067B23" w:rsidP="00067B23">
      <w:pPr>
        <w:pStyle w:val="ListNumber2"/>
        <w:rPr>
          <w:lang w:val="en-US" w:eastAsia="en-AU"/>
        </w:rPr>
      </w:pPr>
      <w:r w:rsidRPr="008D1CFA">
        <w:rPr>
          <w:lang w:val="en-US" w:eastAsia="en-AU"/>
        </w:rPr>
        <w:t>Groundwater drawdown over time curves and dewatering volumes for each hydrostratigraphic unit across the project life and until equilibrium is reached for the base case and all uncertainty scenarios.</w:t>
      </w:r>
    </w:p>
    <w:p w:rsidR="0060063F" w:rsidRPr="008D1CFA" w:rsidRDefault="005F4172" w:rsidP="0095471E">
      <w:pPr>
        <w:pStyle w:val="Heading6"/>
      </w:pPr>
      <w:r w:rsidRPr="008D1CFA">
        <w:t>Question </w:t>
      </w:r>
      <w:r w:rsidR="0060063F" w:rsidRPr="008D1CFA">
        <w:t>3: Does the numerical and conceptual groundwater models presented in Main Document, section 6 of Attachment A</w:t>
      </w:r>
      <w:r w:rsidR="00C50DF3">
        <w:t>,</w:t>
      </w:r>
      <w:r w:rsidR="0060063F" w:rsidRPr="008D1CFA">
        <w:t xml:space="preserve"> present any concerns that may impact upon water resources or any other matters of national environmental significance?</w:t>
      </w:r>
    </w:p>
    <w:p w:rsidR="003B395B" w:rsidRPr="008D1CFA" w:rsidRDefault="005F4172" w:rsidP="00E309DE">
      <w:pPr>
        <w:pStyle w:val="ListNumber"/>
        <w:rPr>
          <w:lang w:val="en-US" w:eastAsia="en-AU"/>
        </w:rPr>
      </w:pPr>
      <w:r w:rsidRPr="008D1CFA">
        <w:rPr>
          <w:lang w:val="en-US" w:eastAsia="en-AU"/>
        </w:rPr>
        <w:t>There are p</w:t>
      </w:r>
      <w:r w:rsidR="00E309DE" w:rsidRPr="008D1CFA">
        <w:rPr>
          <w:lang w:val="en-US" w:eastAsia="en-AU"/>
        </w:rPr>
        <w:t xml:space="preserve">otentially significant impacts to </w:t>
      </w:r>
      <w:r w:rsidR="003A3262">
        <w:rPr>
          <w:lang w:val="en-US" w:eastAsia="en-AU"/>
        </w:rPr>
        <w:t xml:space="preserve">surface and </w:t>
      </w:r>
      <w:r w:rsidR="00E309DE" w:rsidRPr="008D1CFA">
        <w:rPr>
          <w:lang w:val="en-US" w:eastAsia="en-AU"/>
        </w:rPr>
        <w:t xml:space="preserve">groundwater </w:t>
      </w:r>
      <w:r w:rsidR="005933F9">
        <w:rPr>
          <w:lang w:val="en-US" w:eastAsia="en-AU"/>
        </w:rPr>
        <w:t xml:space="preserve">resources </w:t>
      </w:r>
      <w:r w:rsidR="00E309DE" w:rsidRPr="008D1CFA">
        <w:rPr>
          <w:lang w:val="en-US" w:eastAsia="en-AU"/>
        </w:rPr>
        <w:t>as a</w:t>
      </w:r>
      <w:r w:rsidRPr="008D1CFA">
        <w:rPr>
          <w:lang w:val="en-US" w:eastAsia="en-AU"/>
        </w:rPr>
        <w:t xml:space="preserve"> result of the proposed project,</w:t>
      </w:r>
      <w:r w:rsidR="00E309DE" w:rsidRPr="008D1CFA">
        <w:rPr>
          <w:lang w:val="en-US" w:eastAsia="en-AU"/>
        </w:rPr>
        <w:t xml:space="preserve"> due to </w:t>
      </w:r>
      <w:r w:rsidR="002267A6" w:rsidRPr="008D1CFA">
        <w:rPr>
          <w:lang w:val="en-US" w:eastAsia="en-AU"/>
        </w:rPr>
        <w:t xml:space="preserve">depressurisation </w:t>
      </w:r>
      <w:r w:rsidR="00E309DE" w:rsidRPr="008D1CFA">
        <w:rPr>
          <w:lang w:val="en-US" w:eastAsia="en-AU"/>
        </w:rPr>
        <w:t>of the coal seam and subsidence. Impacts as a result of subsidence</w:t>
      </w:r>
      <w:r w:rsidR="0058418A" w:rsidRPr="008D1CFA">
        <w:rPr>
          <w:lang w:val="en-US" w:eastAsia="en-AU"/>
        </w:rPr>
        <w:t xml:space="preserve"> </w:t>
      </w:r>
      <w:r w:rsidR="000C3C6E" w:rsidRPr="008D1CFA">
        <w:rPr>
          <w:lang w:val="en-US" w:eastAsia="en-AU"/>
        </w:rPr>
        <w:t xml:space="preserve">include </w:t>
      </w:r>
      <w:r w:rsidR="003A3262">
        <w:rPr>
          <w:lang w:val="en-US" w:eastAsia="en-AU"/>
        </w:rPr>
        <w:t xml:space="preserve">changes to aquifer structure, </w:t>
      </w:r>
      <w:r w:rsidR="000C3C6E" w:rsidRPr="008D1CFA">
        <w:rPr>
          <w:lang w:val="en-US" w:eastAsia="en-AU"/>
        </w:rPr>
        <w:t>a reduction in streamflow of up to 30%, ponding, erosion and sedimentation, potential streambed crack</w:t>
      </w:r>
      <w:r w:rsidR="00826EC1" w:rsidRPr="008D1CFA">
        <w:rPr>
          <w:lang w:val="en-US" w:eastAsia="en-AU"/>
        </w:rPr>
        <w:t>ing</w:t>
      </w:r>
      <w:r w:rsidR="000C3C6E" w:rsidRPr="008D1CFA">
        <w:rPr>
          <w:lang w:val="en-US" w:eastAsia="en-AU"/>
        </w:rPr>
        <w:t xml:space="preserve"> and loss of riparian vegetation. These are further outline</w:t>
      </w:r>
      <w:r w:rsidR="0058418A" w:rsidRPr="008D1CFA">
        <w:rPr>
          <w:lang w:val="en-US" w:eastAsia="en-AU"/>
        </w:rPr>
        <w:t xml:space="preserve">d </w:t>
      </w:r>
      <w:r w:rsidR="00E309DE" w:rsidRPr="008D1CFA">
        <w:rPr>
          <w:lang w:val="en-US" w:eastAsia="en-AU"/>
        </w:rPr>
        <w:t xml:space="preserve">in </w:t>
      </w:r>
      <w:r w:rsidRPr="008D1CFA">
        <w:rPr>
          <w:lang w:val="en-US" w:eastAsia="en-AU"/>
        </w:rPr>
        <w:t>Question </w:t>
      </w:r>
      <w:r w:rsidR="00E309DE" w:rsidRPr="008D1CFA">
        <w:rPr>
          <w:lang w:val="en-US" w:eastAsia="en-AU"/>
        </w:rPr>
        <w:t xml:space="preserve">5. </w:t>
      </w:r>
    </w:p>
    <w:p w:rsidR="00143979" w:rsidRPr="008D1CFA" w:rsidRDefault="00067B23" w:rsidP="00067B23">
      <w:pPr>
        <w:pStyle w:val="ListNumber"/>
        <w:rPr>
          <w:lang w:val="en-US" w:eastAsia="en-AU"/>
        </w:rPr>
      </w:pPr>
      <w:r w:rsidRPr="008D1CFA">
        <w:rPr>
          <w:lang w:val="en-US" w:eastAsia="en-AU"/>
        </w:rPr>
        <w:t>Drawdown impacts are expected within the coal seams and overlying units, but the most significant impacts are likely to occur as a result of drawdown in the tertiary basalt and alluvium</w:t>
      </w:r>
      <w:r w:rsidR="00320539" w:rsidRPr="008D1CFA">
        <w:rPr>
          <w:lang w:val="en-US" w:eastAsia="en-AU"/>
        </w:rPr>
        <w:t xml:space="preserve"> due to the number of other water users and high potential to support groundwater dependent ecosystems within these units</w:t>
      </w:r>
      <w:r w:rsidRPr="008D1CFA">
        <w:rPr>
          <w:lang w:val="en-US" w:eastAsia="en-AU"/>
        </w:rPr>
        <w:t xml:space="preserve">. </w:t>
      </w:r>
    </w:p>
    <w:p w:rsidR="00056850" w:rsidRPr="008D1CFA" w:rsidRDefault="002878A2" w:rsidP="000C25BA">
      <w:pPr>
        <w:pStyle w:val="ListNumber2"/>
        <w:rPr>
          <w:lang w:val="en-US" w:eastAsia="en-AU"/>
        </w:rPr>
      </w:pPr>
      <w:r w:rsidRPr="008D1CFA">
        <w:rPr>
          <w:lang w:val="en-US" w:eastAsia="en-AU"/>
        </w:rPr>
        <w:t xml:space="preserve">The </w:t>
      </w:r>
      <w:r w:rsidR="00320539" w:rsidRPr="008D1CFA">
        <w:rPr>
          <w:lang w:val="en-US" w:eastAsia="en-AU"/>
        </w:rPr>
        <w:t>T</w:t>
      </w:r>
      <w:r w:rsidRPr="008D1CFA">
        <w:rPr>
          <w:lang w:val="en-US" w:eastAsia="en-AU"/>
        </w:rPr>
        <w:t xml:space="preserve">ertiary </w:t>
      </w:r>
      <w:r w:rsidR="00320539" w:rsidRPr="008D1CFA">
        <w:rPr>
          <w:lang w:val="en-US" w:eastAsia="en-AU"/>
        </w:rPr>
        <w:t>B</w:t>
      </w:r>
      <w:r w:rsidRPr="008D1CFA">
        <w:rPr>
          <w:lang w:val="en-US" w:eastAsia="en-AU"/>
        </w:rPr>
        <w:t xml:space="preserve">asalt is the major aquifer within the region and has the greatest number of groundwater users. </w:t>
      </w:r>
      <w:r w:rsidR="000C3C6E" w:rsidRPr="008D1CFA">
        <w:rPr>
          <w:lang w:val="en-US" w:eastAsia="en-AU"/>
        </w:rPr>
        <w:t>Under the uncertainty scenario</w:t>
      </w:r>
      <w:r w:rsidR="003A3262">
        <w:rPr>
          <w:lang w:val="en-US" w:eastAsia="en-AU"/>
        </w:rPr>
        <w:t xml:space="preserve"> presented in the Commonwealth draft EIS</w:t>
      </w:r>
      <w:r w:rsidR="00320539" w:rsidRPr="008D1CFA">
        <w:rPr>
          <w:lang w:val="en-US" w:eastAsia="en-AU"/>
        </w:rPr>
        <w:t>, the m</w:t>
      </w:r>
      <w:r w:rsidRPr="008D1CFA">
        <w:rPr>
          <w:lang w:val="en-US" w:eastAsia="en-AU"/>
        </w:rPr>
        <w:t xml:space="preserve">aximum drawdown in the </w:t>
      </w:r>
      <w:r w:rsidR="00320539" w:rsidRPr="008D1CFA">
        <w:rPr>
          <w:lang w:val="en-US" w:eastAsia="en-AU"/>
        </w:rPr>
        <w:t>T</w:t>
      </w:r>
      <w:r w:rsidRPr="008D1CFA">
        <w:rPr>
          <w:lang w:val="en-US" w:eastAsia="en-AU"/>
        </w:rPr>
        <w:t xml:space="preserve">ertiary </w:t>
      </w:r>
      <w:r w:rsidR="00320539" w:rsidRPr="008D1CFA">
        <w:rPr>
          <w:lang w:val="en-US" w:eastAsia="en-AU"/>
        </w:rPr>
        <w:t>B</w:t>
      </w:r>
      <w:r w:rsidRPr="008D1CFA">
        <w:rPr>
          <w:lang w:val="en-US" w:eastAsia="en-AU"/>
        </w:rPr>
        <w:t xml:space="preserve">asalt is modelled to be in excess of 5.5 m </w:t>
      </w:r>
      <w:r w:rsidR="00320539" w:rsidRPr="008D1CFA">
        <w:rPr>
          <w:lang w:val="en-US" w:eastAsia="en-AU"/>
        </w:rPr>
        <w:t>and occur</w:t>
      </w:r>
      <w:r w:rsidR="006F621E" w:rsidRPr="008D1CFA">
        <w:rPr>
          <w:lang w:val="en-US" w:eastAsia="en-AU"/>
        </w:rPr>
        <w:t>s</w:t>
      </w:r>
      <w:r w:rsidR="00320539" w:rsidRPr="008D1CFA">
        <w:rPr>
          <w:lang w:val="en-US" w:eastAsia="en-AU"/>
        </w:rPr>
        <w:t xml:space="preserve"> </w:t>
      </w:r>
      <w:r w:rsidRPr="008D1CFA">
        <w:rPr>
          <w:lang w:val="en-US" w:eastAsia="en-AU"/>
        </w:rPr>
        <w:t xml:space="preserve">at year 50. Existing water levels in bores in the </w:t>
      </w:r>
      <w:r w:rsidR="00320539" w:rsidRPr="008D1CFA">
        <w:rPr>
          <w:lang w:val="en-US" w:eastAsia="en-AU"/>
        </w:rPr>
        <w:t>B</w:t>
      </w:r>
      <w:r w:rsidRPr="008D1CFA">
        <w:rPr>
          <w:lang w:val="en-US" w:eastAsia="en-AU"/>
        </w:rPr>
        <w:t>asalt will be draw</w:t>
      </w:r>
      <w:r w:rsidR="00115325" w:rsidRPr="008D1CFA">
        <w:rPr>
          <w:lang w:val="en-US" w:eastAsia="en-AU"/>
        </w:rPr>
        <w:t xml:space="preserve">n </w:t>
      </w:r>
      <w:r w:rsidRPr="008D1CFA">
        <w:rPr>
          <w:lang w:val="en-US" w:eastAsia="en-AU"/>
        </w:rPr>
        <w:t>down by up to four metres</w:t>
      </w:r>
      <w:r w:rsidR="00320539" w:rsidRPr="008D1CFA">
        <w:rPr>
          <w:lang w:val="en-US" w:eastAsia="en-AU"/>
        </w:rPr>
        <w:t xml:space="preserve">, or </w:t>
      </w:r>
      <w:r w:rsidRPr="008D1CFA">
        <w:rPr>
          <w:lang w:val="en-US" w:eastAsia="en-AU"/>
        </w:rPr>
        <w:t xml:space="preserve">up to 14% of saturated thickness. The proponent commits to ‘making good’ impacts on unusable bores, consistent with the provisions under the Queensland </w:t>
      </w:r>
      <w:r w:rsidR="000C3C6E" w:rsidRPr="000C25BA">
        <w:rPr>
          <w:i/>
          <w:lang w:val="en-US" w:eastAsia="en-AU"/>
        </w:rPr>
        <w:t>Water</w:t>
      </w:r>
      <w:r w:rsidR="00BD4E22">
        <w:rPr>
          <w:i/>
          <w:lang w:val="en-US" w:eastAsia="en-AU"/>
        </w:rPr>
        <w:t> </w:t>
      </w:r>
      <w:r w:rsidR="000C3C6E" w:rsidRPr="000C25BA">
        <w:rPr>
          <w:i/>
          <w:lang w:val="en-US" w:eastAsia="en-AU"/>
        </w:rPr>
        <w:t>Act</w:t>
      </w:r>
      <w:r w:rsidR="00BD4E22">
        <w:rPr>
          <w:i/>
          <w:lang w:val="en-US" w:eastAsia="en-AU"/>
        </w:rPr>
        <w:t> </w:t>
      </w:r>
      <w:r w:rsidR="000C3C6E" w:rsidRPr="000C25BA">
        <w:rPr>
          <w:i/>
          <w:lang w:val="en-US" w:eastAsia="en-AU"/>
        </w:rPr>
        <w:t>2000</w:t>
      </w:r>
      <w:r w:rsidRPr="008D1CFA">
        <w:rPr>
          <w:lang w:val="en-US" w:eastAsia="en-AU"/>
        </w:rPr>
        <w:t>.</w:t>
      </w:r>
    </w:p>
    <w:p w:rsidR="00E309DE" w:rsidRPr="008D1CFA" w:rsidRDefault="001F4920" w:rsidP="000C25BA">
      <w:pPr>
        <w:pStyle w:val="ListNumber2"/>
        <w:rPr>
          <w:lang w:val="en-US" w:eastAsia="en-AU"/>
        </w:rPr>
      </w:pPr>
      <w:r w:rsidRPr="008D1CFA">
        <w:rPr>
          <w:lang w:val="en-US" w:eastAsia="en-AU"/>
        </w:rPr>
        <w:lastRenderedPageBreak/>
        <w:t>D</w:t>
      </w:r>
      <w:r w:rsidR="002878A2" w:rsidRPr="008D1CFA">
        <w:rPr>
          <w:lang w:val="en-US" w:eastAsia="en-AU"/>
        </w:rPr>
        <w:t>eep-rooted vegetation that uses groundwater, such as Brigalow</w:t>
      </w:r>
      <w:r w:rsidR="004A2E47" w:rsidRPr="008D1CFA">
        <w:rPr>
          <w:lang w:val="en-US" w:eastAsia="en-AU"/>
        </w:rPr>
        <w:t xml:space="preserve"> </w:t>
      </w:r>
      <w:r w:rsidR="000D11E6" w:rsidRPr="008D1CFA">
        <w:rPr>
          <w:lang w:val="en-US" w:eastAsia="en-AU"/>
        </w:rPr>
        <w:t>(</w:t>
      </w:r>
      <w:r w:rsidR="000D11E6" w:rsidRPr="000C25BA">
        <w:rPr>
          <w:i/>
          <w:lang w:val="en-US" w:eastAsia="en-AU"/>
        </w:rPr>
        <w:t>Acacia harpophylla</w:t>
      </w:r>
      <w:r w:rsidR="000D11E6" w:rsidRPr="008D1CFA">
        <w:rPr>
          <w:lang w:val="en-US" w:eastAsia="en-AU"/>
        </w:rPr>
        <w:t>)</w:t>
      </w:r>
      <w:r w:rsidR="002878A2" w:rsidRPr="008D1CFA">
        <w:rPr>
          <w:lang w:val="en-US" w:eastAsia="en-AU"/>
        </w:rPr>
        <w:t>, may experien</w:t>
      </w:r>
      <w:r w:rsidR="000C3C6E" w:rsidRPr="008D1CFA">
        <w:rPr>
          <w:lang w:val="en-US" w:eastAsia="en-AU"/>
        </w:rPr>
        <w:t>ce changes in key ecological processes as a result of change in groundwater availability including growth, reproduction, recruitment, mortality and even changes in ecosystems structure and function</w:t>
      </w:r>
      <w:r w:rsidR="000C3C6E" w:rsidRPr="000C25BA">
        <w:rPr>
          <w:vertAlign w:val="superscript"/>
          <w:lang w:val="en-US" w:eastAsia="en-AU"/>
        </w:rPr>
        <w:t>2</w:t>
      </w:r>
      <w:r w:rsidR="002878A2" w:rsidRPr="008D1CFA">
        <w:rPr>
          <w:lang w:val="en-US" w:eastAsia="en-AU"/>
        </w:rPr>
        <w:t>. The assessment of impacts to groundwater dependent vegetation would benefit from a spatial representation of the depth to groundwater</w:t>
      </w:r>
      <w:r w:rsidR="000C3C6E" w:rsidRPr="008D1CFA">
        <w:rPr>
          <w:lang w:val="en-US" w:eastAsia="en-AU"/>
        </w:rPr>
        <w:t xml:space="preserve"> and its seasonal variability</w:t>
      </w:r>
      <w:r w:rsidRPr="008D1CFA">
        <w:rPr>
          <w:lang w:val="en-US" w:eastAsia="en-AU"/>
        </w:rPr>
        <w:t>, along with the</w:t>
      </w:r>
      <w:r w:rsidR="002878A2" w:rsidRPr="008D1CFA">
        <w:rPr>
          <w:lang w:val="en-US" w:eastAsia="en-AU"/>
        </w:rPr>
        <w:t xml:space="preserve"> location of threatened ecological communities and predicted drawdown contours.</w:t>
      </w:r>
    </w:p>
    <w:p w:rsidR="00E309DE" w:rsidRPr="008D1CFA" w:rsidRDefault="00E309DE" w:rsidP="000C25BA">
      <w:pPr>
        <w:pStyle w:val="ListNumber2"/>
        <w:rPr>
          <w:lang w:val="en-US" w:eastAsia="en-AU"/>
        </w:rPr>
      </w:pPr>
      <w:r w:rsidRPr="008D1CFA">
        <w:rPr>
          <w:lang w:val="en-US" w:eastAsia="en-AU"/>
        </w:rPr>
        <w:t xml:space="preserve">The </w:t>
      </w:r>
      <w:r w:rsidR="00987476" w:rsidRPr="008D1CFA">
        <w:rPr>
          <w:lang w:val="en-US" w:eastAsia="en-AU"/>
        </w:rPr>
        <w:t>Committee</w:t>
      </w:r>
      <w:r w:rsidRPr="008D1CFA">
        <w:rPr>
          <w:lang w:val="en-US" w:eastAsia="en-AU"/>
        </w:rPr>
        <w:t xml:space="preserve"> considers that the level of uncertainty in groundwater modelling means that these impacts need to be re-evaluated following the modifications to the groundwater model</w:t>
      </w:r>
      <w:r w:rsidR="005F4172" w:rsidRPr="008D1CFA">
        <w:rPr>
          <w:lang w:val="en-US" w:eastAsia="en-AU"/>
        </w:rPr>
        <w:t>s</w:t>
      </w:r>
      <w:r w:rsidRPr="008D1CFA">
        <w:rPr>
          <w:lang w:val="en-US" w:eastAsia="en-AU"/>
        </w:rPr>
        <w:t xml:space="preserve"> </w:t>
      </w:r>
      <w:r w:rsidR="001B27EB" w:rsidRPr="008D1CFA">
        <w:rPr>
          <w:lang w:val="en-US" w:eastAsia="en-AU"/>
        </w:rPr>
        <w:t xml:space="preserve">recommended </w:t>
      </w:r>
      <w:r w:rsidRPr="008D1CFA">
        <w:rPr>
          <w:lang w:val="en-US" w:eastAsia="en-AU"/>
        </w:rPr>
        <w:t xml:space="preserve">in </w:t>
      </w:r>
      <w:r w:rsidR="00877510" w:rsidRPr="008D1CFA">
        <w:rPr>
          <w:lang w:val="en-US" w:eastAsia="en-AU"/>
        </w:rPr>
        <w:t>response to</w:t>
      </w:r>
      <w:r w:rsidR="003B395B" w:rsidRPr="008D1CFA">
        <w:rPr>
          <w:lang w:val="en-US" w:eastAsia="en-AU"/>
        </w:rPr>
        <w:t xml:space="preserve"> </w:t>
      </w:r>
      <w:r w:rsidR="005F4172" w:rsidRPr="008D1CFA">
        <w:rPr>
          <w:lang w:val="en-US" w:eastAsia="en-AU"/>
        </w:rPr>
        <w:t>Question </w:t>
      </w:r>
      <w:r w:rsidRPr="008D1CFA">
        <w:rPr>
          <w:lang w:val="en-US" w:eastAsia="en-AU"/>
        </w:rPr>
        <w:t xml:space="preserve">2. </w:t>
      </w:r>
    </w:p>
    <w:p w:rsidR="0060063F" w:rsidRPr="008D1CFA" w:rsidRDefault="005F4172" w:rsidP="0095471E">
      <w:pPr>
        <w:pStyle w:val="Heading6"/>
      </w:pPr>
      <w:r w:rsidRPr="008D1CFA">
        <w:t>Question </w:t>
      </w:r>
      <w:r w:rsidR="0060063F" w:rsidRPr="008D1CFA">
        <w:t xml:space="preserve">4: </w:t>
      </w:r>
      <w:r w:rsidR="00DC55EE" w:rsidRPr="008D1CFA">
        <w:t>Does the Committee have any concerns regarding the predicted levels of drawdown and does it agree with predictions that these drawdown levels will recover over time? Is the recovery time an acceptable outcome?</w:t>
      </w:r>
    </w:p>
    <w:p w:rsidR="00283136" w:rsidRPr="008D1CFA" w:rsidRDefault="000C3C6E" w:rsidP="00E309DE">
      <w:pPr>
        <w:pStyle w:val="ListNumber"/>
        <w:rPr>
          <w:lang w:val="en-US" w:eastAsia="en-AU"/>
        </w:rPr>
      </w:pPr>
      <w:r w:rsidRPr="008D1CFA">
        <w:rPr>
          <w:lang w:val="en-US" w:eastAsia="en-AU"/>
        </w:rPr>
        <w:t xml:space="preserve">The Committee provides the following advice with respect to </w:t>
      </w:r>
      <w:r w:rsidR="000C25BA">
        <w:rPr>
          <w:lang w:val="en-US" w:eastAsia="en-AU"/>
        </w:rPr>
        <w:t xml:space="preserve">predictions of </w:t>
      </w:r>
      <w:r w:rsidRPr="008D1CFA">
        <w:rPr>
          <w:lang w:val="en-US" w:eastAsia="en-AU"/>
        </w:rPr>
        <w:t>drawdown and recovery:</w:t>
      </w:r>
    </w:p>
    <w:p w:rsidR="006A5E06" w:rsidRPr="008D1CFA" w:rsidRDefault="00E309DE">
      <w:pPr>
        <w:pStyle w:val="ListNumber2"/>
        <w:rPr>
          <w:lang w:val="en-US" w:eastAsia="en-AU"/>
        </w:rPr>
      </w:pPr>
      <w:r w:rsidRPr="008D1CFA">
        <w:rPr>
          <w:lang w:val="en-US" w:eastAsia="en-AU"/>
        </w:rPr>
        <w:t xml:space="preserve">The predicted levels of drawdown are of concern where </w:t>
      </w:r>
      <w:r w:rsidR="00EA01B4" w:rsidRPr="008D1CFA">
        <w:rPr>
          <w:lang w:val="en-US" w:eastAsia="en-AU"/>
        </w:rPr>
        <w:t xml:space="preserve">the drawdown </w:t>
      </w:r>
      <w:r w:rsidR="00564C64" w:rsidRPr="008D1CFA">
        <w:rPr>
          <w:lang w:val="en-US" w:eastAsia="en-AU"/>
        </w:rPr>
        <w:t>may</w:t>
      </w:r>
      <w:r w:rsidR="0058418A" w:rsidRPr="008D1CFA">
        <w:rPr>
          <w:lang w:val="en-US" w:eastAsia="en-AU"/>
        </w:rPr>
        <w:t xml:space="preserve"> </w:t>
      </w:r>
      <w:r w:rsidR="00EA01B4" w:rsidRPr="008D1CFA">
        <w:rPr>
          <w:lang w:val="en-US" w:eastAsia="en-AU"/>
        </w:rPr>
        <w:t>impact on</w:t>
      </w:r>
      <w:r w:rsidRPr="008D1CFA">
        <w:rPr>
          <w:lang w:val="en-US" w:eastAsia="en-AU"/>
        </w:rPr>
        <w:t xml:space="preserve"> groundwater dependent assets</w:t>
      </w:r>
      <w:r w:rsidR="00EE62C2">
        <w:rPr>
          <w:lang w:val="en-US" w:eastAsia="en-AU"/>
        </w:rPr>
        <w:t>,</w:t>
      </w:r>
      <w:r w:rsidRPr="008D1CFA">
        <w:rPr>
          <w:lang w:val="en-US" w:eastAsia="en-AU"/>
        </w:rPr>
        <w:t xml:space="preserve"> such as riparian vegetation</w:t>
      </w:r>
      <w:r w:rsidR="00EE62C2">
        <w:rPr>
          <w:lang w:val="en-US" w:eastAsia="en-AU"/>
        </w:rPr>
        <w:t>,</w:t>
      </w:r>
      <w:r w:rsidR="00564C64" w:rsidRPr="008D1CFA">
        <w:rPr>
          <w:lang w:val="en-US" w:eastAsia="en-AU"/>
        </w:rPr>
        <w:t xml:space="preserve"> or other bores</w:t>
      </w:r>
      <w:r w:rsidRPr="008D1CFA">
        <w:rPr>
          <w:lang w:val="en-US" w:eastAsia="en-AU"/>
        </w:rPr>
        <w:t xml:space="preserve">. </w:t>
      </w:r>
      <w:r w:rsidR="00F33CCB" w:rsidRPr="008D1CFA">
        <w:rPr>
          <w:lang w:val="en-US" w:eastAsia="en-AU"/>
        </w:rPr>
        <w:t>Any predicted quantitative impacts should be treated with uncertainty given the lack of confidence in the groundwater modelling</w:t>
      </w:r>
      <w:r w:rsidRPr="008D1CFA">
        <w:rPr>
          <w:lang w:val="en-US" w:eastAsia="en-AU"/>
        </w:rPr>
        <w:t xml:space="preserve">. </w:t>
      </w:r>
    </w:p>
    <w:p w:rsidR="006A5E06" w:rsidRPr="008D1CFA" w:rsidRDefault="000B1654">
      <w:pPr>
        <w:pStyle w:val="ListNumber2"/>
        <w:rPr>
          <w:lang w:val="en-US" w:eastAsia="en-AU"/>
        </w:rPr>
      </w:pPr>
      <w:r w:rsidRPr="008D1CFA">
        <w:rPr>
          <w:lang w:val="en-US" w:eastAsia="en-AU"/>
        </w:rPr>
        <w:t xml:space="preserve">Groundwater levels </w:t>
      </w:r>
      <w:r w:rsidR="004A2E47" w:rsidRPr="008D1CFA">
        <w:rPr>
          <w:lang w:val="en-US" w:eastAsia="en-AU"/>
        </w:rPr>
        <w:t xml:space="preserve">can be expected to </w:t>
      </w:r>
      <w:r w:rsidRPr="008D1CFA">
        <w:rPr>
          <w:lang w:val="en-US" w:eastAsia="en-AU"/>
        </w:rPr>
        <w:t>eventually recover to a new equilibrium and based on the information available, this is likely to be hundreds of years. However, the Committee has a low level of confidence in the accuracy of predicted recovery timeframes, given that predictions are well beyond the period of observations on which the groundwater model is calibrated</w:t>
      </w:r>
      <w:r w:rsidR="00E309DE" w:rsidRPr="008D1CFA">
        <w:rPr>
          <w:lang w:val="en-US" w:eastAsia="en-AU"/>
        </w:rPr>
        <w:t xml:space="preserve">. </w:t>
      </w:r>
      <w:r w:rsidRPr="008D1CFA">
        <w:rPr>
          <w:lang w:val="en-US" w:eastAsia="en-AU"/>
        </w:rPr>
        <w:t xml:space="preserve">The time taken for the groundwater system to reach a new equilibrium depends largely on the properties of the overburden. This is demonstrated in the time to reach maximum drawdown for the base case (150 years) versus the uncertainty case (50 years). </w:t>
      </w:r>
      <w:r w:rsidR="00E309DE" w:rsidRPr="008D1CFA">
        <w:rPr>
          <w:lang w:val="en-US" w:eastAsia="en-AU"/>
        </w:rPr>
        <w:t xml:space="preserve">Deformation of overburden strata as a result of subsidence will permanently alter the properties of overlying aquifers and in some cases the post-mining water levels will exceed pre-mining levels due to enhanced hydraulic conductivity. </w:t>
      </w:r>
    </w:p>
    <w:p w:rsidR="00F33CCB" w:rsidRPr="008D1CFA" w:rsidRDefault="005F4172" w:rsidP="00F33CCB">
      <w:pPr>
        <w:pStyle w:val="Heading6"/>
      </w:pPr>
      <w:r w:rsidRPr="008D1CFA">
        <w:t>Question </w:t>
      </w:r>
      <w:r w:rsidR="0060063F" w:rsidRPr="008D1CFA">
        <w:t xml:space="preserve">5: </w:t>
      </w:r>
      <w:r w:rsidR="00DC55EE" w:rsidRPr="008D1CFA">
        <w:t>Will subsidence have significant impacts on downstream surface water and groundwater quality and quantity?</w:t>
      </w:r>
    </w:p>
    <w:p w:rsidR="00E309DE" w:rsidRPr="008D1CFA" w:rsidRDefault="002D4893" w:rsidP="00B64E6F">
      <w:pPr>
        <w:pStyle w:val="ListNumber"/>
        <w:rPr>
          <w:lang w:val="en-US" w:eastAsia="en-AU"/>
        </w:rPr>
      </w:pPr>
      <w:r w:rsidRPr="008D1CFA">
        <w:rPr>
          <w:lang w:val="en-US" w:eastAsia="en-AU"/>
        </w:rPr>
        <w:t xml:space="preserve">There are potentially significant impacts to groundwater quantity </w:t>
      </w:r>
      <w:r w:rsidR="00B64E6F" w:rsidRPr="008D1CFA">
        <w:rPr>
          <w:lang w:val="en-US" w:eastAsia="en-AU"/>
        </w:rPr>
        <w:t>as a result of d</w:t>
      </w:r>
      <w:r w:rsidR="00E309DE" w:rsidRPr="008D1CFA">
        <w:rPr>
          <w:lang w:val="en-US" w:eastAsia="en-AU"/>
        </w:rPr>
        <w:t>eformation above extracted longwall panels</w:t>
      </w:r>
      <w:r w:rsidR="00B64E6F" w:rsidRPr="008D1CFA">
        <w:rPr>
          <w:lang w:val="en-US" w:eastAsia="en-AU"/>
        </w:rPr>
        <w:t>, which</w:t>
      </w:r>
      <w:r w:rsidR="00E309DE" w:rsidRPr="008D1CFA">
        <w:rPr>
          <w:lang w:val="en-US" w:eastAsia="en-AU"/>
        </w:rPr>
        <w:t xml:space="preserve"> </w:t>
      </w:r>
      <w:r w:rsidR="000C4BD1" w:rsidRPr="008D1CFA">
        <w:rPr>
          <w:lang w:val="en-US" w:eastAsia="en-AU"/>
        </w:rPr>
        <w:t xml:space="preserve">can be expected to </w:t>
      </w:r>
      <w:r w:rsidR="00E309DE" w:rsidRPr="008D1CFA">
        <w:rPr>
          <w:lang w:val="en-US" w:eastAsia="en-AU"/>
        </w:rPr>
        <w:t xml:space="preserve">result in permanent changes to aquifer structure and a new groundwater equilibrium, with higher heads for some parts of the aquifers. </w:t>
      </w:r>
      <w:r w:rsidR="00EE62C2">
        <w:rPr>
          <w:lang w:val="en-US" w:eastAsia="en-AU"/>
        </w:rPr>
        <w:t>Whilst t</w:t>
      </w:r>
      <w:r w:rsidR="00E309DE" w:rsidRPr="008D1CFA">
        <w:rPr>
          <w:lang w:val="en-US" w:eastAsia="en-AU"/>
        </w:rPr>
        <w:t xml:space="preserve">hese changes are </w:t>
      </w:r>
      <w:r w:rsidR="009914C8" w:rsidRPr="008D1CFA">
        <w:rPr>
          <w:lang w:val="en-US" w:eastAsia="en-AU"/>
        </w:rPr>
        <w:t>likely</w:t>
      </w:r>
      <w:r w:rsidR="00E309DE" w:rsidRPr="008D1CFA">
        <w:rPr>
          <w:lang w:val="en-US" w:eastAsia="en-AU"/>
        </w:rPr>
        <w:t xml:space="preserve"> to be </w:t>
      </w:r>
      <w:r w:rsidR="00DC106F" w:rsidRPr="008D1CFA">
        <w:rPr>
          <w:lang w:val="en-US" w:eastAsia="en-AU"/>
        </w:rPr>
        <w:t>largely confined within the mining lease area</w:t>
      </w:r>
      <w:r w:rsidR="00EE05BF">
        <w:rPr>
          <w:lang w:val="en-US" w:eastAsia="en-AU"/>
        </w:rPr>
        <w:t>,</w:t>
      </w:r>
      <w:r w:rsidR="00EE62C2">
        <w:rPr>
          <w:lang w:val="en-US" w:eastAsia="en-AU"/>
        </w:rPr>
        <w:t xml:space="preserve"> f</w:t>
      </w:r>
      <w:r w:rsidR="00DC106F" w:rsidRPr="008D1CFA">
        <w:rPr>
          <w:lang w:val="en-US" w:eastAsia="en-AU"/>
        </w:rPr>
        <w:t>ractures</w:t>
      </w:r>
      <w:r w:rsidR="00EE62C2">
        <w:rPr>
          <w:lang w:val="en-US" w:eastAsia="en-AU"/>
        </w:rPr>
        <w:t>,</w:t>
      </w:r>
      <w:r w:rsidR="00DC106F" w:rsidRPr="008D1CFA">
        <w:rPr>
          <w:lang w:val="en-US" w:eastAsia="en-AU"/>
        </w:rPr>
        <w:t xml:space="preserve"> as a result of deformation</w:t>
      </w:r>
      <w:r w:rsidR="00EE62C2">
        <w:rPr>
          <w:lang w:val="en-US" w:eastAsia="en-AU"/>
        </w:rPr>
        <w:t>, may</w:t>
      </w:r>
      <w:r w:rsidR="00DC106F" w:rsidRPr="008D1CFA">
        <w:rPr>
          <w:lang w:val="en-US" w:eastAsia="en-AU"/>
        </w:rPr>
        <w:t xml:space="preserve"> extend through water table aquifers </w:t>
      </w:r>
      <w:r w:rsidR="00EE62C2">
        <w:rPr>
          <w:lang w:val="en-US" w:eastAsia="en-AU"/>
        </w:rPr>
        <w:t>and</w:t>
      </w:r>
      <w:r w:rsidR="00DC106F" w:rsidRPr="008D1CFA">
        <w:rPr>
          <w:lang w:val="en-US" w:eastAsia="en-AU"/>
        </w:rPr>
        <w:t xml:space="preserve"> impact groundwater dependent ecosystems</w:t>
      </w:r>
      <w:r w:rsidR="00EE62C2">
        <w:rPr>
          <w:lang w:val="en-US" w:eastAsia="en-AU"/>
        </w:rPr>
        <w:t>.</w:t>
      </w:r>
    </w:p>
    <w:p w:rsidR="00B64EE6" w:rsidRPr="008D1CFA" w:rsidRDefault="00E309DE" w:rsidP="00B64E6F">
      <w:pPr>
        <w:pStyle w:val="ListNumber"/>
        <w:rPr>
          <w:lang w:val="en-US" w:eastAsia="en-AU"/>
        </w:rPr>
      </w:pPr>
      <w:r w:rsidRPr="008D1CFA">
        <w:rPr>
          <w:lang w:val="en-US" w:eastAsia="en-AU"/>
        </w:rPr>
        <w:t xml:space="preserve">Impacts to surface water quantity include a reduction in streamflow of up to 30%, including complete capture of flows during low rainfall years, </w:t>
      </w:r>
      <w:r w:rsidR="00C67EB3" w:rsidRPr="008D1CFA">
        <w:rPr>
          <w:lang w:val="en-US" w:eastAsia="en-AU"/>
        </w:rPr>
        <w:t xml:space="preserve">ponding and </w:t>
      </w:r>
      <w:r w:rsidRPr="008D1CFA">
        <w:rPr>
          <w:lang w:val="en-US" w:eastAsia="en-AU"/>
        </w:rPr>
        <w:t xml:space="preserve">changes in peak flows due to </w:t>
      </w:r>
      <w:r w:rsidR="00B64EE6" w:rsidRPr="008D1CFA">
        <w:rPr>
          <w:lang w:val="en-US" w:eastAsia="en-AU"/>
        </w:rPr>
        <w:t xml:space="preserve">both </w:t>
      </w:r>
      <w:r w:rsidRPr="008D1CFA">
        <w:rPr>
          <w:lang w:val="en-US" w:eastAsia="en-AU"/>
        </w:rPr>
        <w:t xml:space="preserve">the loss of some overland flows </w:t>
      </w:r>
      <w:r w:rsidR="00B64EE6" w:rsidRPr="008D1CFA">
        <w:rPr>
          <w:lang w:val="en-US" w:eastAsia="en-AU"/>
        </w:rPr>
        <w:t>and the</w:t>
      </w:r>
      <w:r w:rsidRPr="008D1CFA">
        <w:rPr>
          <w:lang w:val="en-US" w:eastAsia="en-AU"/>
        </w:rPr>
        <w:t xml:space="preserve"> reduction in storage capacity of existing dams resulting in increased through-flows. </w:t>
      </w:r>
    </w:p>
    <w:p w:rsidR="00975008" w:rsidRPr="008D1CFA" w:rsidRDefault="00975008" w:rsidP="00B64E6F">
      <w:pPr>
        <w:pStyle w:val="ListNumber2"/>
        <w:rPr>
          <w:lang w:val="en-US" w:eastAsia="en-AU"/>
        </w:rPr>
      </w:pPr>
      <w:r w:rsidRPr="008D1CFA">
        <w:rPr>
          <w:lang w:val="en-US" w:eastAsia="en-AU"/>
        </w:rPr>
        <w:t xml:space="preserve">Potential impacts as a result of changes to the surface flow regime to users further downstream, particularly in a cumulative sense, have not been addressed. In particular, changes to the inundation regime for wetlands covered by </w:t>
      </w:r>
      <w:r w:rsidR="000C4BD1" w:rsidRPr="008D1CFA">
        <w:rPr>
          <w:lang w:val="en-US" w:eastAsia="en-AU"/>
        </w:rPr>
        <w:t xml:space="preserve">State Planning Policy </w:t>
      </w:r>
      <w:r w:rsidRPr="008D1CFA">
        <w:rPr>
          <w:lang w:val="en-US" w:eastAsia="en-AU"/>
        </w:rPr>
        <w:t xml:space="preserve">4-11 (wetlands in the Fitzroy Basin, protected due to impacts on the Great Barrier Reef), </w:t>
      </w:r>
      <w:r w:rsidR="000C4BD1" w:rsidRPr="008D1CFA">
        <w:rPr>
          <w:lang w:val="en-US" w:eastAsia="en-AU"/>
        </w:rPr>
        <w:t xml:space="preserve">including </w:t>
      </w:r>
      <w:r w:rsidRPr="008D1CFA">
        <w:rPr>
          <w:lang w:val="en-US" w:eastAsia="en-AU"/>
        </w:rPr>
        <w:t>the wetland two kilometres to the east of the proposed project site, have not been considered.</w:t>
      </w:r>
    </w:p>
    <w:p w:rsidR="0027309D" w:rsidRPr="008D1CFA" w:rsidRDefault="002C0835" w:rsidP="00B64E6F">
      <w:pPr>
        <w:pStyle w:val="ListNumber2"/>
        <w:rPr>
          <w:lang w:val="en-US" w:eastAsia="en-AU"/>
        </w:rPr>
      </w:pPr>
      <w:r w:rsidRPr="008D1CFA">
        <w:rPr>
          <w:lang w:val="en-US" w:eastAsia="en-AU"/>
        </w:rPr>
        <w:lastRenderedPageBreak/>
        <w:t>There is the potential for surface tension cracks, or streambed cracking as a result of subsidence, but its likelihood or consequence has not been assessed in the project assessment documentation. Surface or streambed cracking may result in a significant loss of surface flows</w:t>
      </w:r>
      <w:r w:rsidR="00AE0183" w:rsidRPr="008D1CFA">
        <w:rPr>
          <w:lang w:val="en-US" w:eastAsia="en-AU"/>
        </w:rPr>
        <w:t xml:space="preserve"> to groundwater</w:t>
      </w:r>
      <w:r w:rsidRPr="008D1CFA">
        <w:rPr>
          <w:lang w:val="en-US" w:eastAsia="en-AU"/>
        </w:rPr>
        <w:t xml:space="preserve">. </w:t>
      </w:r>
    </w:p>
    <w:p w:rsidR="00224980" w:rsidRPr="008D1CFA" w:rsidRDefault="001F4920" w:rsidP="00224980">
      <w:pPr>
        <w:pStyle w:val="ListNumber2"/>
        <w:rPr>
          <w:lang w:val="en-US" w:eastAsia="en-AU"/>
        </w:rPr>
      </w:pPr>
      <w:r w:rsidRPr="008D1CFA">
        <w:rPr>
          <w:lang w:val="en-US" w:eastAsia="en-AU"/>
        </w:rPr>
        <w:t xml:space="preserve">Brigalow trees (as well as other species) may be affected by prolonged ponding of surface </w:t>
      </w:r>
      <w:r w:rsidR="00C67EB3" w:rsidRPr="008D1CFA">
        <w:rPr>
          <w:lang w:val="en-US" w:eastAsia="en-AU"/>
        </w:rPr>
        <w:t>waters</w:t>
      </w:r>
      <w:r w:rsidRPr="008D1CFA">
        <w:rPr>
          <w:lang w:val="en-US" w:eastAsia="en-AU"/>
        </w:rPr>
        <w:t xml:space="preserve"> above extracted longwall panels. </w:t>
      </w:r>
      <w:r w:rsidR="00C67EB3" w:rsidRPr="008D1CFA">
        <w:rPr>
          <w:lang w:val="en-US" w:eastAsia="en-AU"/>
        </w:rPr>
        <w:t>The proponent expects that</w:t>
      </w:r>
      <w:r w:rsidRPr="008D1CFA">
        <w:rPr>
          <w:lang w:val="en-US" w:eastAsia="en-AU"/>
        </w:rPr>
        <w:t xml:space="preserve"> dieback of younger individuals may occur</w:t>
      </w:r>
      <w:r w:rsidR="00C67EB3" w:rsidRPr="008D1CFA">
        <w:rPr>
          <w:lang w:val="en-US" w:eastAsia="en-AU"/>
        </w:rPr>
        <w:t xml:space="preserve"> at depths greater than 1.2 m</w:t>
      </w:r>
      <w:r w:rsidRPr="008D1CFA">
        <w:rPr>
          <w:lang w:val="en-US" w:eastAsia="en-AU"/>
        </w:rPr>
        <w:t>.</w:t>
      </w:r>
      <w:r w:rsidR="005850F0" w:rsidRPr="008D1CFA">
        <w:rPr>
          <w:lang w:val="en-US" w:eastAsia="en-AU"/>
        </w:rPr>
        <w:t xml:space="preserve"> The Committee recommends that the proponent consider mitigation or remediation strategies including consideration of the mine design to limit subsidence above longwall panels where listed communit</w:t>
      </w:r>
      <w:r w:rsidR="00AC30F1" w:rsidRPr="008D1CFA">
        <w:rPr>
          <w:lang w:val="en-US" w:eastAsia="en-AU"/>
        </w:rPr>
        <w:t>ies occur.</w:t>
      </w:r>
      <w:r w:rsidR="00224980" w:rsidRPr="008D1CFA">
        <w:rPr>
          <w:lang w:val="en-US" w:eastAsia="en-AU"/>
        </w:rPr>
        <w:t xml:space="preserve"> </w:t>
      </w:r>
    </w:p>
    <w:p w:rsidR="002C0835" w:rsidRPr="008D1CFA" w:rsidRDefault="00224980" w:rsidP="00224980">
      <w:pPr>
        <w:pStyle w:val="ListNumber2"/>
        <w:rPr>
          <w:lang w:val="en-US" w:eastAsia="en-AU"/>
        </w:rPr>
      </w:pPr>
      <w:r w:rsidRPr="008D1CFA">
        <w:rPr>
          <w:lang w:val="en-US" w:eastAsia="en-AU"/>
        </w:rPr>
        <w:t xml:space="preserve">Significant </w:t>
      </w:r>
      <w:r w:rsidR="00FA1E08" w:rsidRPr="008D1CFA">
        <w:rPr>
          <w:lang w:val="en-US" w:eastAsia="en-AU"/>
        </w:rPr>
        <w:t xml:space="preserve">changes to the flow regime and </w:t>
      </w:r>
      <w:r w:rsidRPr="008D1CFA">
        <w:rPr>
          <w:lang w:val="en-US" w:eastAsia="en-AU"/>
        </w:rPr>
        <w:t xml:space="preserve">geomorphological change could lead to bank instability and loss of riparian vegetation, </w:t>
      </w:r>
      <w:r w:rsidR="00FA1E08" w:rsidRPr="008D1CFA">
        <w:rPr>
          <w:lang w:val="en-US" w:eastAsia="en-AU"/>
        </w:rPr>
        <w:t>including</w:t>
      </w:r>
      <w:r w:rsidRPr="008D1CFA">
        <w:rPr>
          <w:lang w:val="en-US" w:eastAsia="en-AU"/>
        </w:rPr>
        <w:t xml:space="preserve"> listed ecological communities such as Brigalow.</w:t>
      </w:r>
    </w:p>
    <w:p w:rsidR="002C0835" w:rsidRPr="008D1CFA" w:rsidRDefault="002C0835" w:rsidP="00B64E6F">
      <w:pPr>
        <w:pStyle w:val="ListNumber"/>
        <w:rPr>
          <w:lang w:val="en-US" w:eastAsia="en-AU"/>
        </w:rPr>
      </w:pPr>
      <w:r w:rsidRPr="008D1CFA">
        <w:rPr>
          <w:lang w:val="en-US" w:eastAsia="en-AU"/>
        </w:rPr>
        <w:t xml:space="preserve">Changes in surface water flow patterns may have impacts on stream geomorphology, leading to </w:t>
      </w:r>
      <w:r w:rsidR="00B64E6F" w:rsidRPr="008D1CFA">
        <w:rPr>
          <w:lang w:val="en-US" w:eastAsia="en-AU"/>
        </w:rPr>
        <w:t xml:space="preserve">water quality issues associated with </w:t>
      </w:r>
      <w:r w:rsidR="001E5B5F" w:rsidRPr="008D1CFA">
        <w:rPr>
          <w:lang w:val="en-US" w:eastAsia="en-AU"/>
        </w:rPr>
        <w:t>erosion and sedimentation</w:t>
      </w:r>
      <w:r w:rsidR="00AE0183" w:rsidRPr="008D1CFA">
        <w:rPr>
          <w:lang w:val="en-US" w:eastAsia="en-AU"/>
        </w:rPr>
        <w:t>.</w:t>
      </w:r>
      <w:r w:rsidR="001E5B5F" w:rsidRPr="008D1CFA">
        <w:rPr>
          <w:lang w:val="en-US" w:eastAsia="en-AU"/>
        </w:rPr>
        <w:t xml:space="preserve"> </w:t>
      </w:r>
      <w:r w:rsidR="00DC106F" w:rsidRPr="008D1CFA">
        <w:rPr>
          <w:lang w:val="en-US" w:eastAsia="en-AU"/>
        </w:rPr>
        <w:t xml:space="preserve">Increases in sediment load in multiple creeks, which already exhibit turbidity beyond regional water quality objectives, are likely as a result of the proposed project. </w:t>
      </w:r>
    </w:p>
    <w:p w:rsidR="009501D5" w:rsidRPr="008D1CFA" w:rsidRDefault="000C25BA" w:rsidP="009501D5">
      <w:pPr>
        <w:pStyle w:val="ListNumber"/>
        <w:rPr>
          <w:lang w:val="en-US" w:eastAsia="en-AU"/>
        </w:rPr>
      </w:pPr>
      <w:r>
        <w:rPr>
          <w:lang w:val="en-US" w:eastAsia="en-AU"/>
        </w:rPr>
        <w:t>Recognising that t</w:t>
      </w:r>
      <w:r w:rsidR="009501D5" w:rsidRPr="008D1CFA">
        <w:rPr>
          <w:lang w:val="en-US" w:eastAsia="en-AU"/>
        </w:rPr>
        <w:t>he proponent’s subsidence modelling is based on assumptions</w:t>
      </w:r>
      <w:r w:rsidR="008F1549" w:rsidRPr="008D1CFA">
        <w:rPr>
          <w:lang w:val="en-US" w:eastAsia="en-AU"/>
        </w:rPr>
        <w:t xml:space="preserve"> which overestimate impacts</w:t>
      </w:r>
      <w:r>
        <w:rPr>
          <w:lang w:val="en-US" w:eastAsia="en-AU"/>
        </w:rPr>
        <w:t>; the assessment of</w:t>
      </w:r>
      <w:r w:rsidR="009501D5" w:rsidRPr="008D1CFA">
        <w:rPr>
          <w:lang w:val="en-US" w:eastAsia="en-AU"/>
        </w:rPr>
        <w:t xml:space="preserve"> subsidence impacts </w:t>
      </w:r>
      <w:r w:rsidR="00E07D20" w:rsidRPr="008D1CFA">
        <w:rPr>
          <w:lang w:val="en-US" w:eastAsia="en-AU"/>
        </w:rPr>
        <w:t>remain</w:t>
      </w:r>
      <w:r w:rsidR="00BE148F">
        <w:rPr>
          <w:lang w:val="en-US" w:eastAsia="en-AU"/>
        </w:rPr>
        <w:t>s</w:t>
      </w:r>
      <w:r w:rsidR="00E07D20" w:rsidRPr="008D1CFA">
        <w:rPr>
          <w:lang w:val="en-US" w:eastAsia="en-AU"/>
        </w:rPr>
        <w:t xml:space="preserve"> </w:t>
      </w:r>
      <w:r w:rsidR="009501D5" w:rsidRPr="008D1CFA">
        <w:rPr>
          <w:lang w:val="en-US" w:eastAsia="en-AU"/>
        </w:rPr>
        <w:t>uncertain due to:</w:t>
      </w:r>
    </w:p>
    <w:p w:rsidR="009501D5" w:rsidRPr="008D1CFA" w:rsidRDefault="009501D5" w:rsidP="009501D5">
      <w:pPr>
        <w:pStyle w:val="ListNumber2"/>
      </w:pPr>
      <w:r w:rsidRPr="008D1CFA">
        <w:t>Insufficient discussion in the project assessment documentation of all parameters relevant to understanding the subsidence profile, including horizontal displacement, curvature and strain, as well as the consideration of subsidence parameters in a cumulative, total and transient sense;</w:t>
      </w:r>
    </w:p>
    <w:p w:rsidR="009501D5" w:rsidRPr="008D1CFA" w:rsidRDefault="009501D5" w:rsidP="009501D5">
      <w:pPr>
        <w:pStyle w:val="ListNumber2"/>
        <w:rPr>
          <w:lang w:val="en-US" w:eastAsia="en-AU"/>
        </w:rPr>
      </w:pPr>
      <w:r w:rsidRPr="008D1CFA">
        <w:rPr>
          <w:lang w:val="en-US" w:eastAsia="en-AU"/>
        </w:rPr>
        <w:t>Insufficient assessment of subsidence in the surface cracking zone and far-field effects; and</w:t>
      </w:r>
    </w:p>
    <w:p w:rsidR="009501D5" w:rsidRPr="008D1CFA" w:rsidRDefault="009501D5" w:rsidP="009501D5">
      <w:pPr>
        <w:pStyle w:val="ListNumber2"/>
      </w:pPr>
      <w:r w:rsidRPr="008D1CFA">
        <w:rPr>
          <w:lang w:val="en-US" w:eastAsia="en-AU"/>
        </w:rPr>
        <w:t>The potential for the chain pillars to yield at depths of cover beyond 350 m.</w:t>
      </w:r>
    </w:p>
    <w:p w:rsidR="0060063F" w:rsidRPr="008D1CFA" w:rsidRDefault="005F4172" w:rsidP="0095471E">
      <w:pPr>
        <w:pStyle w:val="Heading6"/>
      </w:pPr>
      <w:r w:rsidRPr="008D1CFA">
        <w:t>Question </w:t>
      </w:r>
      <w:r w:rsidR="0060063F" w:rsidRPr="008D1CFA">
        <w:t xml:space="preserve">6: </w:t>
      </w:r>
      <w:r w:rsidR="00DC55EE" w:rsidRPr="008D1CFA">
        <w:t>What does the Committee consider are the key uncertainties and risks of the project in relation to water resources?</w:t>
      </w:r>
    </w:p>
    <w:p w:rsidR="00E07D20" w:rsidRPr="008D1CFA" w:rsidRDefault="00E309DE" w:rsidP="0035768B">
      <w:pPr>
        <w:pStyle w:val="ListNumber"/>
      </w:pPr>
      <w:r w:rsidRPr="008D1CFA">
        <w:rPr>
          <w:lang w:val="en-US" w:eastAsia="en-AU"/>
        </w:rPr>
        <w:t>There are significant uncertainties with respect to subsidence and groundwater modelling</w:t>
      </w:r>
      <w:r w:rsidR="004F66A3" w:rsidRPr="008D1CFA">
        <w:rPr>
          <w:lang w:val="en-US" w:eastAsia="en-AU"/>
        </w:rPr>
        <w:t xml:space="preserve">, </w:t>
      </w:r>
      <w:r w:rsidR="000C3C6E" w:rsidRPr="008D1CFA">
        <w:rPr>
          <w:lang w:val="en-US" w:eastAsia="en-AU"/>
        </w:rPr>
        <w:t>particularly in relation to the integrity of the Rewan Formation</w:t>
      </w:r>
      <w:r w:rsidRPr="008D1CFA">
        <w:rPr>
          <w:lang w:val="en-US" w:eastAsia="en-AU"/>
        </w:rPr>
        <w:t xml:space="preserve">. Further information on </w:t>
      </w:r>
      <w:r w:rsidR="004F66A3" w:rsidRPr="008D1CFA">
        <w:rPr>
          <w:lang w:val="en-US" w:eastAsia="en-AU"/>
        </w:rPr>
        <w:t xml:space="preserve">risks to </w:t>
      </w:r>
      <w:r w:rsidRPr="008D1CFA">
        <w:rPr>
          <w:lang w:val="en-US" w:eastAsia="en-AU"/>
        </w:rPr>
        <w:t xml:space="preserve">groundwater and </w:t>
      </w:r>
      <w:r w:rsidR="004F66A3" w:rsidRPr="008D1CFA">
        <w:rPr>
          <w:lang w:val="en-US" w:eastAsia="en-AU"/>
        </w:rPr>
        <w:t xml:space="preserve">as a result of </w:t>
      </w:r>
      <w:r w:rsidRPr="008D1CFA">
        <w:rPr>
          <w:lang w:val="en-US" w:eastAsia="en-AU"/>
        </w:rPr>
        <w:t xml:space="preserve">subsidence are provided in </w:t>
      </w:r>
      <w:r w:rsidR="00FC7B81" w:rsidRPr="008D1CFA">
        <w:rPr>
          <w:lang w:val="en-US" w:eastAsia="en-AU"/>
        </w:rPr>
        <w:t xml:space="preserve">advice on </w:t>
      </w:r>
      <w:r w:rsidR="005F4172" w:rsidRPr="008D1CFA">
        <w:rPr>
          <w:lang w:val="en-US" w:eastAsia="en-AU"/>
        </w:rPr>
        <w:t>Question</w:t>
      </w:r>
      <w:r w:rsidRPr="008D1CFA">
        <w:rPr>
          <w:lang w:val="en-US" w:eastAsia="en-AU"/>
        </w:rPr>
        <w:t>s 2 to 5.</w:t>
      </w:r>
    </w:p>
    <w:p w:rsidR="00E309DE" w:rsidRPr="008D1CFA" w:rsidRDefault="000C3C6E" w:rsidP="0035768B">
      <w:pPr>
        <w:pStyle w:val="ListNumber"/>
      </w:pPr>
      <w:r w:rsidRPr="008D1CFA">
        <w:t xml:space="preserve">Due to the number of other coal developments operating or proposed within the </w:t>
      </w:r>
      <w:r w:rsidR="00EE05BF">
        <w:t>c</w:t>
      </w:r>
      <w:r w:rsidRPr="008D1CFA">
        <w:t>atchment</w:t>
      </w:r>
      <w:r w:rsidR="00DC106F" w:rsidRPr="008D1CFA">
        <w:t>, the</w:t>
      </w:r>
      <w:r w:rsidR="00E309DE" w:rsidRPr="008D1CFA">
        <w:t xml:space="preserve"> lack of detail about the proposed discharge strategy pose</w:t>
      </w:r>
      <w:r w:rsidR="003816E7" w:rsidRPr="008D1CFA">
        <w:t>s</w:t>
      </w:r>
      <w:r w:rsidR="00E309DE" w:rsidRPr="008D1CFA">
        <w:t xml:space="preserve"> a key risk. The project assessment documentation would benefit from consideration of </w:t>
      </w:r>
      <w:r w:rsidR="003816E7" w:rsidRPr="008D1CFA">
        <w:t xml:space="preserve">impacts to </w:t>
      </w:r>
      <w:r w:rsidR="00E309DE" w:rsidRPr="008D1CFA">
        <w:t xml:space="preserve">the regional water balance and a clear explanation of the proposed discharge strategy, assessment of its operation under various climatic scenarios and at various stages of mine development. The </w:t>
      </w:r>
      <w:r w:rsidR="00987476" w:rsidRPr="008D1CFA">
        <w:t>Committee</w:t>
      </w:r>
      <w:r w:rsidR="00E309DE" w:rsidRPr="008D1CFA">
        <w:t xml:space="preserve"> recommends that the discharge strategy reflect Fitzroy Model Water conditions and their requirements.</w:t>
      </w:r>
    </w:p>
    <w:p w:rsidR="004F66A3" w:rsidRPr="008D1CFA" w:rsidRDefault="00E07D20" w:rsidP="004F66A3">
      <w:pPr>
        <w:pStyle w:val="ListNumber"/>
      </w:pPr>
      <w:r w:rsidRPr="008D1CFA">
        <w:t>The</w:t>
      </w:r>
      <w:r w:rsidR="000C3C6E" w:rsidRPr="008D1CFA">
        <w:t xml:space="preserve"> </w:t>
      </w:r>
      <w:r w:rsidRPr="008D1CFA">
        <w:t>ecology appendix to the Commonwealth draft EIS</w:t>
      </w:r>
      <w:r w:rsidR="000C3C6E" w:rsidRPr="008D1CFA">
        <w:t xml:space="preserve"> </w:t>
      </w:r>
      <w:r w:rsidRPr="008D1CFA">
        <w:t xml:space="preserve">states </w:t>
      </w:r>
      <w:r w:rsidR="000C3C6E" w:rsidRPr="008D1CFA">
        <w:t>that there is no alluvium present within the project area</w:t>
      </w:r>
      <w:r w:rsidR="000D11E6" w:rsidRPr="008D1CFA">
        <w:t>, but this is inconsistent with the hydrogeological conceptualisation. As such,</w:t>
      </w:r>
      <w:r w:rsidRPr="008D1CFA">
        <w:t xml:space="preserve"> </w:t>
      </w:r>
      <w:r w:rsidR="000C3C6E" w:rsidRPr="008D1CFA">
        <w:t xml:space="preserve">impacts on ecological assets within the alluvium have not been appropriately considered and this poses a significant risk. </w:t>
      </w:r>
    </w:p>
    <w:p w:rsidR="00BA7684" w:rsidRPr="008D1CFA" w:rsidRDefault="004F66A3" w:rsidP="004F66A3">
      <w:pPr>
        <w:pStyle w:val="ListNumber"/>
      </w:pPr>
      <w:r w:rsidRPr="008D1CFA">
        <w:t>The proposed project presents a risk to downstream water quality, particularly with respect to turbidity as a result of erosion, sedimentation and bank instability over the subsided landform</w:t>
      </w:r>
      <w:r w:rsidR="00EB5047" w:rsidRPr="008D1CFA">
        <w:t xml:space="preserve">. </w:t>
      </w:r>
      <w:r w:rsidR="00FA1E08" w:rsidRPr="008D1CFA">
        <w:t xml:space="preserve">The project assessment documentation would benefit from </w:t>
      </w:r>
      <w:r w:rsidR="00EB5047" w:rsidRPr="008D1CFA">
        <w:t xml:space="preserve">predictions of additional sediment loads across the site and downstream and an assessment of </w:t>
      </w:r>
      <w:r w:rsidR="00FA1E08" w:rsidRPr="008D1CFA">
        <w:t>impacts on water related assets</w:t>
      </w:r>
      <w:r w:rsidR="00EB5047" w:rsidRPr="008D1CFA">
        <w:t xml:space="preserve">, as well </w:t>
      </w:r>
      <w:r w:rsidR="00EB5047" w:rsidRPr="008D1CFA">
        <w:lastRenderedPageBreak/>
        <w:t>as determination of</w:t>
      </w:r>
      <w:r w:rsidR="00FA1E08" w:rsidRPr="008D1CFA">
        <w:t xml:space="preserve"> </w:t>
      </w:r>
      <w:r w:rsidR="00EB5047" w:rsidRPr="008D1CFA">
        <w:t xml:space="preserve">trigger levels </w:t>
      </w:r>
      <w:r w:rsidR="00FA1E08" w:rsidRPr="008D1CFA">
        <w:t xml:space="preserve">and mitigation and remediation strategies where necessary for the control of sediment and erosion. </w:t>
      </w:r>
    </w:p>
    <w:p w:rsidR="0060063F" w:rsidRPr="008D1CFA" w:rsidRDefault="005F4172" w:rsidP="0095471E">
      <w:pPr>
        <w:pStyle w:val="Heading6"/>
      </w:pPr>
      <w:r w:rsidRPr="008D1CFA">
        <w:t>Question </w:t>
      </w:r>
      <w:r w:rsidR="00DC55EE" w:rsidRPr="008D1CFA">
        <w:t>7</w:t>
      </w:r>
      <w:r w:rsidR="0060063F" w:rsidRPr="008D1CFA">
        <w:t xml:space="preserve">: </w:t>
      </w:r>
      <w:r w:rsidR="00DC55EE" w:rsidRPr="008D1CFA">
        <w:t>Are there any likely impacts that the proponent has not considered that might lead to changes in surface and/or groundwater dynamics that may support other water dependent matters of national environmental significance?</w:t>
      </w:r>
    </w:p>
    <w:p w:rsidR="00C04899" w:rsidRPr="008D1CFA" w:rsidRDefault="005E2D34" w:rsidP="00C04899">
      <w:pPr>
        <w:pStyle w:val="ListNumber"/>
      </w:pPr>
      <w:r w:rsidRPr="008D1CFA">
        <w:t>Impacts to water dependent matters of national environmental significance</w:t>
      </w:r>
      <w:r w:rsidR="000C3C6E" w:rsidRPr="008D1CFA">
        <w:t>, including listed ecological communities</w:t>
      </w:r>
      <w:r w:rsidR="0027309D" w:rsidRPr="008D1CFA">
        <w:t>,</w:t>
      </w:r>
      <w:r w:rsidR="000C3C6E" w:rsidRPr="008D1CFA">
        <w:t xml:space="preserve"> as a result of groundwater drawdown and changes to surface hydrology,</w:t>
      </w:r>
      <w:r w:rsidR="00054184" w:rsidRPr="008D1CFA">
        <w:t xml:space="preserve"> </w:t>
      </w:r>
      <w:r w:rsidRPr="008D1CFA">
        <w:t xml:space="preserve">have been discussed in advice on Questions 3, 5 and 6. </w:t>
      </w:r>
      <w:r w:rsidR="00BC4529" w:rsidRPr="008D1CFA">
        <w:t>The Committee considers that f</w:t>
      </w:r>
      <w:r w:rsidR="000C3C6E" w:rsidRPr="008D1CFA">
        <w:t>urther impacts in addition to those previously described t</w:t>
      </w:r>
      <w:r w:rsidR="00BC4529" w:rsidRPr="008D1CFA">
        <w:t xml:space="preserve">o matters of national environmental significance </w:t>
      </w:r>
      <w:r w:rsidR="00BE148F">
        <w:t>from</w:t>
      </w:r>
      <w:r w:rsidR="00BC4529" w:rsidRPr="008D1CFA">
        <w:t xml:space="preserve"> change</w:t>
      </w:r>
      <w:r w:rsidR="00BE148F">
        <w:t>s</w:t>
      </w:r>
      <w:r w:rsidR="00BC4529" w:rsidRPr="008D1CFA">
        <w:t xml:space="preserve"> to water dynamics as a result of the proposed project are unlikely. </w:t>
      </w:r>
    </w:p>
    <w:p w:rsidR="00DC55EE" w:rsidRPr="008D1CFA" w:rsidRDefault="005F4172" w:rsidP="0095471E">
      <w:pPr>
        <w:pStyle w:val="Heading6"/>
      </w:pPr>
      <w:r w:rsidRPr="008D1CFA">
        <w:t>Question </w:t>
      </w:r>
      <w:r w:rsidR="00DC55EE" w:rsidRPr="008D1CFA">
        <w:t>8</w:t>
      </w:r>
      <w:r w:rsidR="0060063F" w:rsidRPr="008D1CFA">
        <w:t xml:space="preserve">: </w:t>
      </w:r>
      <w:r w:rsidR="00DC55EE" w:rsidRPr="008D1CFA">
        <w:t>Are there additional measures and commitments required to monitor, mitigate and manage impacts resulting from changes to surface and groundwater resources?</w:t>
      </w:r>
    </w:p>
    <w:p w:rsidR="00D069A9" w:rsidRPr="008D1CFA" w:rsidRDefault="000C3C6E" w:rsidP="00B51566">
      <w:pPr>
        <w:pStyle w:val="ListNumber"/>
        <w:rPr>
          <w:lang w:val="en-US" w:eastAsia="en-AU"/>
        </w:rPr>
      </w:pPr>
      <w:r w:rsidRPr="008D1CFA">
        <w:rPr>
          <w:lang w:val="en-US" w:eastAsia="en-AU"/>
        </w:rPr>
        <w:t>In general, mitigation and management measures proposed in the project assessment documentation are broad and not related to any trigger levels</w:t>
      </w:r>
      <w:r w:rsidR="00B51566" w:rsidRPr="008D1CFA">
        <w:rPr>
          <w:lang w:val="en-US" w:eastAsia="en-AU"/>
        </w:rPr>
        <w:t>. I</w:t>
      </w:r>
      <w:r w:rsidR="00D069A9" w:rsidRPr="008D1CFA">
        <w:rPr>
          <w:lang w:val="en-US" w:eastAsia="en-AU"/>
        </w:rPr>
        <w:t xml:space="preserve">nsufficient detail has been provided on the circumstances in which proposed mitigation and monitoring actions </w:t>
      </w:r>
      <w:r w:rsidR="0035768B" w:rsidRPr="008D1CFA">
        <w:rPr>
          <w:lang w:val="en-US" w:eastAsia="en-AU"/>
        </w:rPr>
        <w:t>would</w:t>
      </w:r>
      <w:r w:rsidR="00D069A9" w:rsidRPr="008D1CFA">
        <w:rPr>
          <w:lang w:val="en-US" w:eastAsia="en-AU"/>
        </w:rPr>
        <w:t xml:space="preserve"> be applied. </w:t>
      </w:r>
      <w:r w:rsidR="00B436DB" w:rsidRPr="008D1CFA">
        <w:rPr>
          <w:lang w:val="en-US" w:eastAsia="en-AU"/>
        </w:rPr>
        <w:t>D</w:t>
      </w:r>
      <w:r w:rsidR="00D069A9" w:rsidRPr="008D1CFA">
        <w:rPr>
          <w:lang w:val="en-US" w:eastAsia="en-AU"/>
        </w:rPr>
        <w:t>elay</w:t>
      </w:r>
      <w:r w:rsidR="00B436DB" w:rsidRPr="008D1CFA">
        <w:rPr>
          <w:lang w:val="en-US" w:eastAsia="en-AU"/>
        </w:rPr>
        <w:t>s</w:t>
      </w:r>
      <w:r w:rsidR="00D069A9" w:rsidRPr="008D1CFA">
        <w:rPr>
          <w:lang w:val="en-US" w:eastAsia="en-AU"/>
        </w:rPr>
        <w:t xml:space="preserve"> in developing management plans </w:t>
      </w:r>
      <w:r w:rsidR="00B436DB" w:rsidRPr="008D1CFA">
        <w:rPr>
          <w:lang w:val="en-US" w:eastAsia="en-AU"/>
        </w:rPr>
        <w:t>could pose</w:t>
      </w:r>
      <w:r w:rsidR="00D069A9" w:rsidRPr="008D1CFA">
        <w:rPr>
          <w:lang w:val="en-US" w:eastAsia="en-AU"/>
        </w:rPr>
        <w:t xml:space="preserve"> a short-term risk if impacts are greater or occur sooner than expected. Priority actions include:</w:t>
      </w:r>
    </w:p>
    <w:p w:rsidR="00BC4529" w:rsidRPr="008D1CFA" w:rsidRDefault="00BC4529" w:rsidP="00BC4529">
      <w:pPr>
        <w:pStyle w:val="ListNumber2"/>
      </w:pPr>
      <w:r w:rsidRPr="008D1CFA">
        <w:t>Development of a detailed subsidence monitoring plan to validate subsidence predictions, monitor, mitigate and update predictions as required;</w:t>
      </w:r>
    </w:p>
    <w:p w:rsidR="00BC4529" w:rsidRPr="008D1CFA" w:rsidRDefault="00BC4529" w:rsidP="00BC4529">
      <w:pPr>
        <w:pStyle w:val="ListNumber2"/>
      </w:pPr>
      <w:r w:rsidRPr="008D1CFA">
        <w:t>Further studies and updates to groundwater modelling, as recommended in advice on Question 2</w:t>
      </w:r>
      <w:r w:rsidR="00CE4BF2" w:rsidRPr="008D1CFA">
        <w:t xml:space="preserve"> </w:t>
      </w:r>
      <w:r w:rsidR="000C3C6E" w:rsidRPr="008D1CFA">
        <w:t>with a further independent peer review of these updates</w:t>
      </w:r>
      <w:r w:rsidRPr="008D1CFA">
        <w:t xml:space="preserve">; </w:t>
      </w:r>
    </w:p>
    <w:p w:rsidR="00F245A2" w:rsidRPr="008D1CFA" w:rsidRDefault="00F245A2" w:rsidP="00F245A2">
      <w:pPr>
        <w:pStyle w:val="ListNumber2"/>
      </w:pPr>
      <w:r w:rsidRPr="008D1CFA">
        <w:t>Determination of local water quality objectives and ongoing monitoring to detect any potential impacts; and</w:t>
      </w:r>
    </w:p>
    <w:p w:rsidR="007B04BD" w:rsidRPr="008D1CFA" w:rsidRDefault="00A720D9" w:rsidP="00BC4529">
      <w:pPr>
        <w:pStyle w:val="ListNumber2"/>
      </w:pPr>
      <w:r w:rsidRPr="008D1CFA">
        <w:t>I</w:t>
      </w:r>
      <w:r w:rsidR="00D069A9" w:rsidRPr="008D1CFA">
        <w:t>nvestigation into and monitoring of groundwater dependent ecosystems within and surrounding the proposed project area. Appropriate mitigation and management measures should be determined for any groundwater dependent wetland</w:t>
      </w:r>
      <w:r w:rsidR="001E5B5F" w:rsidRPr="008D1CFA">
        <w:t>s</w:t>
      </w:r>
      <w:r w:rsidR="00AB5D08" w:rsidRPr="008D1CFA">
        <w:t xml:space="preserve">, </w:t>
      </w:r>
      <w:r w:rsidR="001E5B5F" w:rsidRPr="008D1CFA">
        <w:t xml:space="preserve">vegetation and stygofauna. </w:t>
      </w:r>
    </w:p>
    <w:p w:rsidR="007B04BD" w:rsidRPr="008D1CFA" w:rsidRDefault="007B04BD">
      <w:pPr>
        <w:autoSpaceDE/>
        <w:autoSpaceDN/>
        <w:adjustRightInd/>
        <w:spacing w:after="0" w:line="240" w:lineRule="auto"/>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8D1CFA" w:rsidTr="003B266A">
        <w:trPr>
          <w:cantSplit/>
        </w:trPr>
        <w:tc>
          <w:tcPr>
            <w:tcW w:w="1809" w:type="dxa"/>
            <w:tcBorders>
              <w:top w:val="single" w:sz="4" w:space="0" w:color="auto"/>
              <w:bottom w:val="single" w:sz="4" w:space="0" w:color="auto"/>
            </w:tcBorders>
          </w:tcPr>
          <w:p w:rsidR="007203C3" w:rsidRPr="008D1CFA" w:rsidRDefault="007203C3" w:rsidP="00A30904">
            <w:pPr>
              <w:pStyle w:val="Heading4"/>
            </w:pPr>
            <w:r w:rsidRPr="008D1CFA">
              <w:t>Date of advice</w:t>
            </w:r>
          </w:p>
        </w:tc>
        <w:tc>
          <w:tcPr>
            <w:tcW w:w="8159" w:type="dxa"/>
            <w:tcBorders>
              <w:top w:val="single" w:sz="4" w:space="0" w:color="auto"/>
              <w:bottom w:val="single" w:sz="4" w:space="0" w:color="auto"/>
            </w:tcBorders>
          </w:tcPr>
          <w:p w:rsidR="007203C3" w:rsidRPr="008D1CFA" w:rsidRDefault="008022A0" w:rsidP="00A30904">
            <w:r w:rsidRPr="008D1CFA">
              <w:t>12 December</w:t>
            </w:r>
            <w:r w:rsidR="007203C3" w:rsidRPr="008D1CFA">
              <w:t xml:space="preserve"> 2013</w:t>
            </w:r>
          </w:p>
        </w:tc>
      </w:tr>
      <w:tr w:rsidR="007203C3" w:rsidRPr="008D1CFA" w:rsidTr="003B266A">
        <w:trPr>
          <w:cantSplit/>
        </w:trPr>
        <w:tc>
          <w:tcPr>
            <w:tcW w:w="1809" w:type="dxa"/>
            <w:tcBorders>
              <w:top w:val="single" w:sz="4" w:space="0" w:color="auto"/>
              <w:bottom w:val="single" w:sz="4" w:space="0" w:color="auto"/>
            </w:tcBorders>
          </w:tcPr>
          <w:p w:rsidR="007203C3" w:rsidRPr="008D1CFA" w:rsidRDefault="007203C3" w:rsidP="00A30904">
            <w:pPr>
              <w:pStyle w:val="Heading4"/>
            </w:pPr>
            <w:r w:rsidRPr="008D1CFA">
              <w:t>Source documentation available to the Committee in the formulation of this advice</w:t>
            </w:r>
          </w:p>
        </w:tc>
        <w:tc>
          <w:tcPr>
            <w:tcW w:w="8159" w:type="dxa"/>
            <w:tcBorders>
              <w:top w:val="single" w:sz="4" w:space="0" w:color="auto"/>
              <w:bottom w:val="single" w:sz="4" w:space="0" w:color="auto"/>
            </w:tcBorders>
          </w:tcPr>
          <w:p w:rsidR="008022A0" w:rsidRPr="008D1CFA" w:rsidRDefault="008022A0" w:rsidP="0095471E">
            <w:r w:rsidRPr="008D1CFA">
              <w:t>Springsure Creek Coal Pty Ltd, 2013a. Springsure Creek Coal Mine Project Draft Environmental Impact Statement. February 2013.</w:t>
            </w:r>
          </w:p>
          <w:p w:rsidR="008022A0" w:rsidRPr="008D1CFA" w:rsidRDefault="008022A0" w:rsidP="0095471E">
            <w:r w:rsidRPr="008D1CFA">
              <w:t>Springsure Creek Coal Pty Ltd, 2013b. Springsure Creek Coal Mine Project Final Environmental Impact Statement. J</w:t>
            </w:r>
            <w:r w:rsidR="00DD28B1" w:rsidRPr="008D1CFA">
              <w:t>une 2013.</w:t>
            </w:r>
          </w:p>
          <w:p w:rsidR="008022A0" w:rsidRPr="008D1CFA" w:rsidRDefault="008022A0" w:rsidP="0095471E">
            <w:r w:rsidRPr="008D1CFA">
              <w:t>Springsure Creek Coal Pty Ltd, 2013c. Springsure Creek Coal Project Draft Environmental Impact Statement - Matters of National Environmental Significance. September 2013.</w:t>
            </w:r>
          </w:p>
          <w:p w:rsidR="007203C3" w:rsidRPr="008D1CFA" w:rsidRDefault="00DD28B1" w:rsidP="0095471E">
            <w:r w:rsidRPr="008D1CFA">
              <w:t>Water Resource Australia Pty Ltd, 2013. Independent Peer Review of Groundwater Modelling for the Springsure Creek Coal Mine EIS</w:t>
            </w:r>
            <w:r w:rsidR="00E36F86">
              <w:t>.</w:t>
            </w:r>
          </w:p>
        </w:tc>
      </w:tr>
      <w:tr w:rsidR="007203C3" w:rsidRPr="008D1CFA" w:rsidTr="003B266A">
        <w:trPr>
          <w:cantSplit/>
        </w:trPr>
        <w:tc>
          <w:tcPr>
            <w:tcW w:w="1809" w:type="dxa"/>
            <w:tcBorders>
              <w:top w:val="single" w:sz="4" w:space="0" w:color="auto"/>
              <w:bottom w:val="single" w:sz="4" w:space="0" w:color="auto"/>
            </w:tcBorders>
          </w:tcPr>
          <w:p w:rsidR="007203C3" w:rsidRPr="008D1CFA" w:rsidRDefault="007203C3" w:rsidP="00A30904">
            <w:pPr>
              <w:pStyle w:val="Heading4"/>
            </w:pPr>
            <w:r w:rsidRPr="008D1CFA">
              <w:lastRenderedPageBreak/>
              <w:t>References cited within the Committee’s advice</w:t>
            </w:r>
          </w:p>
        </w:tc>
        <w:tc>
          <w:tcPr>
            <w:tcW w:w="8159" w:type="dxa"/>
            <w:tcBorders>
              <w:top w:val="single" w:sz="4" w:space="0" w:color="auto"/>
              <w:bottom w:val="single" w:sz="4" w:space="0" w:color="auto"/>
            </w:tcBorders>
          </w:tcPr>
          <w:p w:rsidR="007203C3" w:rsidRPr="008D1CFA" w:rsidRDefault="007203C3" w:rsidP="00A30904">
            <w:r w:rsidRPr="008D1CFA">
              <w:rPr>
                <w:vertAlign w:val="superscript"/>
              </w:rPr>
              <w:t xml:space="preserve">1 </w:t>
            </w:r>
            <w:r w:rsidRPr="008D1CFA">
              <w:t xml:space="preserve">Information Guidelines for Proposals Relating to the Development of Coal Seam Gas and Large Coal Mines where there is a Significant Impact on Water Resources available at: </w:t>
            </w:r>
            <w:hyperlink r:id="rId9" w:history="1">
              <w:r w:rsidRPr="008D1CFA">
                <w:rPr>
                  <w:rStyle w:val="Hyperlink"/>
                </w:rPr>
                <w:t>http://www.environment.gov.au/coal-seam-gas-mining/project-advice/pubs/iesc-information-guidelines.pdf</w:t>
              </w:r>
            </w:hyperlink>
            <w:r w:rsidR="00E36F86">
              <w:t>.</w:t>
            </w:r>
          </w:p>
          <w:p w:rsidR="00012118" w:rsidRPr="008D1CFA" w:rsidRDefault="000C3C6E" w:rsidP="00012118">
            <w:pPr>
              <w:rPr>
                <w:bCs/>
              </w:rPr>
            </w:pPr>
            <w:r w:rsidRPr="008D1CFA">
              <w:rPr>
                <w:vertAlign w:val="superscript"/>
              </w:rPr>
              <w:t>2</w:t>
            </w:r>
            <w:r w:rsidR="00012118" w:rsidRPr="008D1CFA">
              <w:t xml:space="preserve"> Eamus, D., et al. 2006. </w:t>
            </w:r>
            <w:r w:rsidRPr="008D1CFA">
              <w:t>Ecohydrology: Vegetation function, water and resource management</w:t>
            </w:r>
            <w:r w:rsidR="00012118" w:rsidRPr="008D1CFA">
              <w:t xml:space="preserve">. Collingwood, </w:t>
            </w:r>
            <w:r w:rsidR="0061523E" w:rsidRPr="008D1CFA">
              <w:t xml:space="preserve">Victoria. </w:t>
            </w:r>
            <w:r w:rsidR="00012118" w:rsidRPr="008D1CFA">
              <w:t>CSIRO Publishing</w:t>
            </w:r>
            <w:r w:rsidR="00E36F86">
              <w:t>.</w:t>
            </w:r>
          </w:p>
        </w:tc>
      </w:tr>
    </w:tbl>
    <w:p w:rsidR="007203C3" w:rsidRPr="00062A46" w:rsidRDefault="00271505" w:rsidP="00A30904">
      <w:r w:rsidRPr="008D1CFA">
        <w:fldChar w:fldCharType="begin"/>
      </w:r>
      <w:r w:rsidR="00012118" w:rsidRPr="008D1CFA">
        <w:instrText xml:space="preserve"> ADDIN EN.REFLIST </w:instrText>
      </w:r>
      <w:r w:rsidRPr="008D1CFA">
        <w:fldChar w:fldCharType="end"/>
      </w:r>
    </w:p>
    <w:sectPr w:rsidR="007203C3" w:rsidRPr="00062A46" w:rsidSect="007203C3">
      <w:headerReference w:type="even" r:id="rId10"/>
      <w:footerReference w:type="even"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C47" w:rsidRDefault="00A60C47" w:rsidP="00A30904">
      <w:r>
        <w:separator/>
      </w:r>
    </w:p>
    <w:p w:rsidR="00A60C47" w:rsidRDefault="00A60C47" w:rsidP="00A30904"/>
  </w:endnote>
  <w:endnote w:type="continuationSeparator" w:id="0">
    <w:p w:rsidR="00A60C47" w:rsidRDefault="00A60C47" w:rsidP="00A30904">
      <w:r>
        <w:continuationSeparator/>
      </w:r>
    </w:p>
    <w:p w:rsidR="00A60C47" w:rsidRDefault="00A60C47" w:rsidP="00A3090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62" w:rsidRDefault="003A3262" w:rsidP="00CA78C5">
    <w:pPr>
      <w:pStyle w:val="Foote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62" w:rsidRPr="00CA78C5" w:rsidRDefault="003A3262" w:rsidP="00CA78C5">
    <w:pPr>
      <w:pStyle w:val="Footer"/>
      <w:pBdr>
        <w:top w:val="single" w:sz="4" w:space="1" w:color="auto"/>
      </w:pBdr>
      <w:spacing w:after="0" w:line="240" w:lineRule="auto"/>
      <w:rPr>
        <w:sz w:val="12"/>
      </w:rPr>
    </w:pPr>
  </w:p>
  <w:p w:rsidR="003A3262" w:rsidRPr="00C62E92" w:rsidRDefault="003A3262" w:rsidP="00CA78C5">
    <w:pPr>
      <w:pStyle w:val="Footer"/>
      <w:spacing w:after="0" w:line="240" w:lineRule="auto"/>
    </w:pPr>
    <w:r w:rsidRPr="00C62E92">
      <w:t xml:space="preserve">Final Advice </w:t>
    </w:r>
    <w:r w:rsidRPr="00C62E92">
      <w:ptab w:relativeTo="margin" w:alignment="right" w:leader="none"/>
    </w:r>
    <w:r w:rsidRPr="00C62E92">
      <w:t>12 December 2013</w:t>
    </w:r>
  </w:p>
  <w:p w:rsidR="003A3262" w:rsidRDefault="00271505" w:rsidP="00CA78C5">
    <w:pPr>
      <w:pStyle w:val="Footer"/>
      <w:spacing w:after="0" w:line="240" w:lineRule="auto"/>
      <w:jc w:val="center"/>
    </w:pPr>
    <w:fldSimple w:instr=" PAGE   \* MERGEFORMAT ">
      <w:r w:rsidR="0029667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62" w:rsidRPr="00D15280" w:rsidRDefault="003A3262" w:rsidP="00A30904">
    <w:pPr>
      <w:pStyle w:val="Footer"/>
    </w:pPr>
    <w:r w:rsidRPr="00062A46">
      <w:rPr>
        <w:color w:val="FF0000"/>
      </w:rPr>
      <w:t>Draft</w:t>
    </w:r>
    <w:r w:rsidRPr="00D15280">
      <w:t xml:space="preserve"> Advice</w:t>
    </w:r>
    <w:r>
      <w:t xml:space="preserve"> – Version </w:t>
    </w:r>
    <w:r w:rsidRPr="00062A46">
      <w:rPr>
        <w:color w:val="FF0000"/>
      </w:rPr>
      <w:t>1</w:t>
    </w:r>
    <w:r w:rsidRPr="00D15280">
      <w:ptab w:relativeTo="margin" w:alignment="right" w:leader="none"/>
    </w:r>
    <w:r w:rsidRPr="00062A46">
      <w:rPr>
        <w:b/>
        <w:color w:val="FF0000"/>
      </w:rPr>
      <w:t>DATE</w:t>
    </w:r>
  </w:p>
  <w:p w:rsidR="003A3262" w:rsidRPr="00062A46" w:rsidRDefault="00271505" w:rsidP="00A30904">
    <w:pPr>
      <w:pStyle w:val="Footer"/>
    </w:pPr>
    <w:sdt>
      <w:sdtPr>
        <w:id w:val="16689876"/>
        <w:docPartObj>
          <w:docPartGallery w:val="Page Numbers (Bottom of Page)"/>
          <w:docPartUnique/>
        </w:docPartObj>
      </w:sdtPr>
      <w:sdtContent>
        <w:fldSimple w:instr=" PAGE   \* MERGEFORMAT ">
          <w:r w:rsidR="003A3262">
            <w:rPr>
              <w:noProof/>
            </w:rPr>
            <w:t>1</w:t>
          </w:r>
        </w:fldSimple>
      </w:sdtContent>
    </w:sdt>
  </w:p>
  <w:p w:rsidR="003A3262" w:rsidRDefault="003A3262" w:rsidP="00A309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C47" w:rsidRDefault="00A60C47" w:rsidP="00A30904">
      <w:r>
        <w:separator/>
      </w:r>
    </w:p>
    <w:p w:rsidR="00A60C47" w:rsidRDefault="00A60C47" w:rsidP="00A30904"/>
  </w:footnote>
  <w:footnote w:type="continuationSeparator" w:id="0">
    <w:p w:rsidR="00A60C47" w:rsidRDefault="00A60C47" w:rsidP="00A30904">
      <w:r>
        <w:continuationSeparator/>
      </w:r>
    </w:p>
    <w:p w:rsidR="00A60C47" w:rsidRDefault="00A60C47" w:rsidP="00A309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62" w:rsidRDefault="003A3262" w:rsidP="00A30904">
    <w:pPr>
      <w:pStyle w:val="Classification"/>
    </w:pPr>
    <w:r>
      <w:rPr>
        <w:lang w:val="en-US"/>
      </w:rPr>
      <w:t>Error! Unknown document property name.</w:t>
    </w:r>
  </w:p>
  <w:p w:rsidR="003A3262" w:rsidRDefault="003A3262" w:rsidP="00A309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62" w:rsidRDefault="003A3262" w:rsidP="00A30904">
    <w:pPr>
      <w:pStyle w:val="Header"/>
    </w:pPr>
  </w:p>
  <w:p w:rsidR="003A3262" w:rsidRDefault="003A3262" w:rsidP="00A309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F8243DDE"/>
    <w:lvl w:ilvl="0">
      <w:start w:val="1"/>
      <w:numFmt w:val="decimal"/>
      <w:lvlText w:val="%1."/>
      <w:lvlJc w:val="left"/>
      <w:pPr>
        <w:tabs>
          <w:tab w:val="num" w:pos="643"/>
        </w:tabs>
        <w:ind w:left="643" w:hanging="360"/>
      </w:pPr>
    </w:lvl>
  </w:abstractNum>
  <w:abstractNum w:abstractNumId="2">
    <w:nsid w:val="FFFFFF88"/>
    <w:multiLevelType w:val="singleLevel"/>
    <w:tmpl w:val="D2A0E7C4"/>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16343908">
      <w:start w:val="1"/>
      <w:numFmt w:val="decimal"/>
      <w:lvlText w:val="%1."/>
      <w:lvlJc w:val="left"/>
      <w:pPr>
        <w:ind w:left="360" w:hanging="360"/>
      </w:pPr>
      <w:rPr>
        <w:color w:val="auto"/>
      </w:rPr>
    </w:lvl>
    <w:lvl w:ilvl="1" w:tplc="5394B9EE" w:tentative="1">
      <w:start w:val="1"/>
      <w:numFmt w:val="lowerLetter"/>
      <w:lvlText w:val="%2."/>
      <w:lvlJc w:val="left"/>
      <w:pPr>
        <w:ind w:left="1080" w:hanging="360"/>
      </w:pPr>
    </w:lvl>
    <w:lvl w:ilvl="2" w:tplc="6E1C8C50" w:tentative="1">
      <w:start w:val="1"/>
      <w:numFmt w:val="lowerRoman"/>
      <w:lvlText w:val="%3."/>
      <w:lvlJc w:val="right"/>
      <w:pPr>
        <w:ind w:left="1800" w:hanging="180"/>
      </w:pPr>
    </w:lvl>
    <w:lvl w:ilvl="3" w:tplc="40BE089C" w:tentative="1">
      <w:start w:val="1"/>
      <w:numFmt w:val="decimal"/>
      <w:lvlText w:val="%4."/>
      <w:lvlJc w:val="left"/>
      <w:pPr>
        <w:ind w:left="2520" w:hanging="360"/>
      </w:pPr>
    </w:lvl>
    <w:lvl w:ilvl="4" w:tplc="883AA1E6" w:tentative="1">
      <w:start w:val="1"/>
      <w:numFmt w:val="lowerLetter"/>
      <w:lvlText w:val="%5."/>
      <w:lvlJc w:val="left"/>
      <w:pPr>
        <w:ind w:left="3240" w:hanging="360"/>
      </w:pPr>
    </w:lvl>
    <w:lvl w:ilvl="5" w:tplc="8E306B94" w:tentative="1">
      <w:start w:val="1"/>
      <w:numFmt w:val="lowerRoman"/>
      <w:lvlText w:val="%6."/>
      <w:lvlJc w:val="right"/>
      <w:pPr>
        <w:ind w:left="3960" w:hanging="180"/>
      </w:pPr>
    </w:lvl>
    <w:lvl w:ilvl="6" w:tplc="791CB376" w:tentative="1">
      <w:start w:val="1"/>
      <w:numFmt w:val="decimal"/>
      <w:lvlText w:val="%7."/>
      <w:lvlJc w:val="left"/>
      <w:pPr>
        <w:ind w:left="4680" w:hanging="360"/>
      </w:pPr>
    </w:lvl>
    <w:lvl w:ilvl="7" w:tplc="65D4EABA" w:tentative="1">
      <w:start w:val="1"/>
      <w:numFmt w:val="lowerLetter"/>
      <w:lvlText w:val="%8."/>
      <w:lvlJc w:val="left"/>
      <w:pPr>
        <w:ind w:left="5400" w:hanging="360"/>
      </w:pPr>
    </w:lvl>
    <w:lvl w:ilvl="8" w:tplc="817E4020" w:tentative="1">
      <w:start w:val="1"/>
      <w:numFmt w:val="lowerRoman"/>
      <w:lvlText w:val="%9."/>
      <w:lvlJc w:val="right"/>
      <w:pPr>
        <w:ind w:left="6120" w:hanging="180"/>
      </w:pPr>
    </w:lvl>
  </w:abstractNum>
  <w:abstractNum w:abstractNumId="5">
    <w:nsid w:val="0EF21922"/>
    <w:multiLevelType w:val="hybridMultilevel"/>
    <w:tmpl w:val="D4C6437C"/>
    <w:lvl w:ilvl="0" w:tplc="B4E09E70">
      <w:start w:val="1"/>
      <w:numFmt w:val="lowerLetter"/>
      <w:lvlText w:val="%1)"/>
      <w:lvlJc w:val="left"/>
      <w:pPr>
        <w:ind w:left="720" w:hanging="360"/>
      </w:pPr>
    </w:lvl>
    <w:lvl w:ilvl="1" w:tplc="A1281048" w:tentative="1">
      <w:start w:val="1"/>
      <w:numFmt w:val="lowerLetter"/>
      <w:lvlText w:val="%2."/>
      <w:lvlJc w:val="left"/>
      <w:pPr>
        <w:ind w:left="1440" w:hanging="360"/>
      </w:pPr>
    </w:lvl>
    <w:lvl w:ilvl="2" w:tplc="EA8EE654" w:tentative="1">
      <w:start w:val="1"/>
      <w:numFmt w:val="lowerRoman"/>
      <w:lvlText w:val="%3."/>
      <w:lvlJc w:val="right"/>
      <w:pPr>
        <w:ind w:left="2160" w:hanging="180"/>
      </w:pPr>
    </w:lvl>
    <w:lvl w:ilvl="3" w:tplc="A5B0EA9A" w:tentative="1">
      <w:start w:val="1"/>
      <w:numFmt w:val="decimal"/>
      <w:lvlText w:val="%4."/>
      <w:lvlJc w:val="left"/>
      <w:pPr>
        <w:ind w:left="2880" w:hanging="360"/>
      </w:pPr>
    </w:lvl>
    <w:lvl w:ilvl="4" w:tplc="AE94D828" w:tentative="1">
      <w:start w:val="1"/>
      <w:numFmt w:val="lowerLetter"/>
      <w:lvlText w:val="%5."/>
      <w:lvlJc w:val="left"/>
      <w:pPr>
        <w:ind w:left="3600" w:hanging="360"/>
      </w:pPr>
    </w:lvl>
    <w:lvl w:ilvl="5" w:tplc="FFCE21E4" w:tentative="1">
      <w:start w:val="1"/>
      <w:numFmt w:val="lowerRoman"/>
      <w:lvlText w:val="%6."/>
      <w:lvlJc w:val="right"/>
      <w:pPr>
        <w:ind w:left="4320" w:hanging="180"/>
      </w:pPr>
    </w:lvl>
    <w:lvl w:ilvl="6" w:tplc="A3A47B26" w:tentative="1">
      <w:start w:val="1"/>
      <w:numFmt w:val="decimal"/>
      <w:lvlText w:val="%7."/>
      <w:lvlJc w:val="left"/>
      <w:pPr>
        <w:ind w:left="5040" w:hanging="360"/>
      </w:pPr>
    </w:lvl>
    <w:lvl w:ilvl="7" w:tplc="D466DB86" w:tentative="1">
      <w:start w:val="1"/>
      <w:numFmt w:val="lowerLetter"/>
      <w:lvlText w:val="%8."/>
      <w:lvlJc w:val="left"/>
      <w:pPr>
        <w:ind w:left="5760" w:hanging="360"/>
      </w:pPr>
    </w:lvl>
    <w:lvl w:ilvl="8" w:tplc="2B8CEFD4" w:tentative="1">
      <w:start w:val="1"/>
      <w:numFmt w:val="lowerRoman"/>
      <w:lvlText w:val="%9."/>
      <w:lvlJc w:val="right"/>
      <w:pPr>
        <w:ind w:left="6480" w:hanging="180"/>
      </w:pPr>
    </w:lvl>
  </w:abstractNum>
  <w:abstractNum w:abstractNumId="6">
    <w:nsid w:val="141B0CDF"/>
    <w:multiLevelType w:val="multilevel"/>
    <w:tmpl w:val="E5E89F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05E7559"/>
    <w:multiLevelType w:val="hybridMultilevel"/>
    <w:tmpl w:val="231AF052"/>
    <w:lvl w:ilvl="0" w:tplc="1E74C572">
      <w:start w:val="1"/>
      <w:numFmt w:val="decimal"/>
      <w:lvlText w:val="%1)"/>
      <w:lvlJc w:val="left"/>
      <w:pPr>
        <w:ind w:left="644" w:hanging="360"/>
      </w:pPr>
    </w:lvl>
    <w:lvl w:ilvl="1" w:tplc="4F78227E" w:tentative="1">
      <w:start w:val="1"/>
      <w:numFmt w:val="lowerLetter"/>
      <w:lvlText w:val="%2."/>
      <w:lvlJc w:val="left"/>
      <w:pPr>
        <w:ind w:left="1440" w:hanging="360"/>
      </w:pPr>
    </w:lvl>
    <w:lvl w:ilvl="2" w:tplc="C29ECAB4" w:tentative="1">
      <w:start w:val="1"/>
      <w:numFmt w:val="lowerRoman"/>
      <w:lvlText w:val="%3."/>
      <w:lvlJc w:val="right"/>
      <w:pPr>
        <w:ind w:left="2160" w:hanging="180"/>
      </w:pPr>
    </w:lvl>
    <w:lvl w:ilvl="3" w:tplc="D4345D2E" w:tentative="1">
      <w:start w:val="1"/>
      <w:numFmt w:val="decimal"/>
      <w:lvlText w:val="%4."/>
      <w:lvlJc w:val="left"/>
      <w:pPr>
        <w:ind w:left="2880" w:hanging="360"/>
      </w:pPr>
    </w:lvl>
    <w:lvl w:ilvl="4" w:tplc="2EFE2D34" w:tentative="1">
      <w:start w:val="1"/>
      <w:numFmt w:val="lowerLetter"/>
      <w:lvlText w:val="%5."/>
      <w:lvlJc w:val="left"/>
      <w:pPr>
        <w:ind w:left="3600" w:hanging="360"/>
      </w:pPr>
    </w:lvl>
    <w:lvl w:ilvl="5" w:tplc="8AD2FA18" w:tentative="1">
      <w:start w:val="1"/>
      <w:numFmt w:val="lowerRoman"/>
      <w:lvlText w:val="%6."/>
      <w:lvlJc w:val="right"/>
      <w:pPr>
        <w:ind w:left="4320" w:hanging="180"/>
      </w:pPr>
    </w:lvl>
    <w:lvl w:ilvl="6" w:tplc="06C61FDC" w:tentative="1">
      <w:start w:val="1"/>
      <w:numFmt w:val="decimal"/>
      <w:lvlText w:val="%7."/>
      <w:lvlJc w:val="left"/>
      <w:pPr>
        <w:ind w:left="5040" w:hanging="360"/>
      </w:pPr>
    </w:lvl>
    <w:lvl w:ilvl="7" w:tplc="B5841B8A" w:tentative="1">
      <w:start w:val="1"/>
      <w:numFmt w:val="lowerLetter"/>
      <w:lvlText w:val="%8."/>
      <w:lvlJc w:val="left"/>
      <w:pPr>
        <w:ind w:left="5760" w:hanging="360"/>
      </w:pPr>
    </w:lvl>
    <w:lvl w:ilvl="8" w:tplc="CE9259B6" w:tentative="1">
      <w:start w:val="1"/>
      <w:numFmt w:val="lowerRoman"/>
      <w:lvlText w:val="%9."/>
      <w:lvlJc w:val="right"/>
      <w:pPr>
        <w:ind w:left="6480" w:hanging="180"/>
      </w:pPr>
    </w:lvl>
  </w:abstractNum>
  <w:abstractNum w:abstractNumId="1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170AB0"/>
    <w:multiLevelType w:val="multilevel"/>
    <w:tmpl w:val="E35CF356"/>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28" w:hanging="369"/>
      </w:pPr>
      <w:rPr>
        <w:rFonts w:cs="Times New Roman" w:hint="default"/>
      </w:rPr>
    </w:lvl>
    <w:lvl w:ilvl="2">
      <w:start w:val="1"/>
      <w:numFmt w:val="lowerRoman"/>
      <w:lvlText w:val="%3."/>
      <w:lvlJc w:val="left"/>
      <w:pPr>
        <w:ind w:left="397" w:hanging="369"/>
      </w:pPr>
      <w:rPr>
        <w:rFonts w:cs="Times New Roman" w:hint="default"/>
      </w:rPr>
    </w:lvl>
    <w:lvl w:ilvl="3">
      <w:start w:val="1"/>
      <w:numFmt w:val="lowerLetter"/>
      <w:lvlText w:val="%4)"/>
      <w:lvlJc w:val="left"/>
      <w:pPr>
        <w:ind w:left="766" w:hanging="369"/>
      </w:pPr>
      <w:rPr>
        <w:rFonts w:cs="Times New Roman" w:hint="default"/>
      </w:rPr>
    </w:lvl>
    <w:lvl w:ilvl="4">
      <w:start w:val="1"/>
      <w:numFmt w:val="none"/>
      <w:lvlText w:val=""/>
      <w:lvlJc w:val="left"/>
      <w:pPr>
        <w:ind w:left="1135" w:hanging="369"/>
      </w:pPr>
      <w:rPr>
        <w:rFonts w:cs="Times New Roman" w:hint="default"/>
      </w:rPr>
    </w:lvl>
    <w:lvl w:ilvl="5">
      <w:start w:val="1"/>
      <w:numFmt w:val="none"/>
      <w:lvlText w:val=""/>
      <w:lvlJc w:val="left"/>
      <w:pPr>
        <w:ind w:left="1504" w:hanging="369"/>
      </w:pPr>
      <w:rPr>
        <w:rFonts w:cs="Times New Roman" w:hint="default"/>
      </w:rPr>
    </w:lvl>
    <w:lvl w:ilvl="6">
      <w:start w:val="1"/>
      <w:numFmt w:val="none"/>
      <w:lvlText w:val=""/>
      <w:lvlJc w:val="left"/>
      <w:pPr>
        <w:ind w:left="1873" w:hanging="369"/>
      </w:pPr>
      <w:rPr>
        <w:rFonts w:cs="Times New Roman" w:hint="default"/>
      </w:rPr>
    </w:lvl>
    <w:lvl w:ilvl="7">
      <w:start w:val="1"/>
      <w:numFmt w:val="none"/>
      <w:lvlText w:val=""/>
      <w:lvlJc w:val="left"/>
      <w:pPr>
        <w:ind w:left="2242" w:hanging="369"/>
      </w:pPr>
      <w:rPr>
        <w:rFonts w:cs="Times New Roman" w:hint="default"/>
      </w:rPr>
    </w:lvl>
    <w:lvl w:ilvl="8">
      <w:start w:val="1"/>
      <w:numFmt w:val="none"/>
      <w:lvlText w:val=""/>
      <w:lvlJc w:val="left"/>
      <w:pPr>
        <w:ind w:left="2611" w:hanging="369"/>
      </w:pPr>
      <w:rPr>
        <w:rFonts w:cs="Times New Roman" w:hint="default"/>
      </w:rPr>
    </w:lvl>
  </w:abstractNum>
  <w:abstractNum w:abstractNumId="12">
    <w:nsid w:val="5B8D7DBB"/>
    <w:multiLevelType w:val="hybridMultilevel"/>
    <w:tmpl w:val="83FA89DC"/>
    <w:lvl w:ilvl="0" w:tplc="BEBA8FDE">
      <w:start w:val="1"/>
      <w:numFmt w:val="bullet"/>
      <w:lvlText w:val=""/>
      <w:lvlJc w:val="left"/>
      <w:pPr>
        <w:ind w:left="360" w:hanging="360"/>
      </w:pPr>
      <w:rPr>
        <w:rFonts w:ascii="Symbol" w:hAnsi="Symbol" w:hint="default"/>
      </w:rPr>
    </w:lvl>
    <w:lvl w:ilvl="1" w:tplc="C220EDC0" w:tentative="1">
      <w:start w:val="1"/>
      <w:numFmt w:val="bullet"/>
      <w:lvlText w:val="o"/>
      <w:lvlJc w:val="left"/>
      <w:pPr>
        <w:ind w:left="1080" w:hanging="360"/>
      </w:pPr>
      <w:rPr>
        <w:rFonts w:ascii="Courier New" w:hAnsi="Courier New" w:hint="default"/>
      </w:rPr>
    </w:lvl>
    <w:lvl w:ilvl="2" w:tplc="820A632E" w:tentative="1">
      <w:start w:val="1"/>
      <w:numFmt w:val="bullet"/>
      <w:lvlText w:val=""/>
      <w:lvlJc w:val="left"/>
      <w:pPr>
        <w:ind w:left="1800" w:hanging="360"/>
      </w:pPr>
      <w:rPr>
        <w:rFonts w:ascii="Wingdings" w:hAnsi="Wingdings" w:hint="default"/>
      </w:rPr>
    </w:lvl>
    <w:lvl w:ilvl="3" w:tplc="7BB2EDAC" w:tentative="1">
      <w:start w:val="1"/>
      <w:numFmt w:val="bullet"/>
      <w:lvlText w:val=""/>
      <w:lvlJc w:val="left"/>
      <w:pPr>
        <w:ind w:left="2520" w:hanging="360"/>
      </w:pPr>
      <w:rPr>
        <w:rFonts w:ascii="Symbol" w:hAnsi="Symbol" w:hint="default"/>
      </w:rPr>
    </w:lvl>
    <w:lvl w:ilvl="4" w:tplc="9C48E3C8" w:tentative="1">
      <w:start w:val="1"/>
      <w:numFmt w:val="bullet"/>
      <w:lvlText w:val="o"/>
      <w:lvlJc w:val="left"/>
      <w:pPr>
        <w:ind w:left="3240" w:hanging="360"/>
      </w:pPr>
      <w:rPr>
        <w:rFonts w:ascii="Courier New" w:hAnsi="Courier New" w:hint="default"/>
      </w:rPr>
    </w:lvl>
    <w:lvl w:ilvl="5" w:tplc="33F4621A" w:tentative="1">
      <w:start w:val="1"/>
      <w:numFmt w:val="bullet"/>
      <w:lvlText w:val=""/>
      <w:lvlJc w:val="left"/>
      <w:pPr>
        <w:ind w:left="3960" w:hanging="360"/>
      </w:pPr>
      <w:rPr>
        <w:rFonts w:ascii="Wingdings" w:hAnsi="Wingdings" w:hint="default"/>
      </w:rPr>
    </w:lvl>
    <w:lvl w:ilvl="6" w:tplc="D746145E" w:tentative="1">
      <w:start w:val="1"/>
      <w:numFmt w:val="bullet"/>
      <w:lvlText w:val=""/>
      <w:lvlJc w:val="left"/>
      <w:pPr>
        <w:ind w:left="4680" w:hanging="360"/>
      </w:pPr>
      <w:rPr>
        <w:rFonts w:ascii="Symbol" w:hAnsi="Symbol" w:hint="default"/>
      </w:rPr>
    </w:lvl>
    <w:lvl w:ilvl="7" w:tplc="BA10677A" w:tentative="1">
      <w:start w:val="1"/>
      <w:numFmt w:val="bullet"/>
      <w:lvlText w:val="o"/>
      <w:lvlJc w:val="left"/>
      <w:pPr>
        <w:ind w:left="5400" w:hanging="360"/>
      </w:pPr>
      <w:rPr>
        <w:rFonts w:ascii="Courier New" w:hAnsi="Courier New" w:hint="default"/>
      </w:rPr>
    </w:lvl>
    <w:lvl w:ilvl="8" w:tplc="3948E00C" w:tentative="1">
      <w:start w:val="1"/>
      <w:numFmt w:val="bullet"/>
      <w:lvlText w:val=""/>
      <w:lvlJc w:val="left"/>
      <w:pPr>
        <w:ind w:left="6120" w:hanging="360"/>
      </w:pPr>
      <w:rPr>
        <w:rFonts w:ascii="Wingdings" w:hAnsi="Wingdings" w:hint="default"/>
      </w:rPr>
    </w:lvl>
  </w:abstractNum>
  <w:abstractNum w:abstractNumId="13">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DD4FC6"/>
    <w:multiLevelType w:val="hybridMultilevel"/>
    <w:tmpl w:val="4ABC604C"/>
    <w:lvl w:ilvl="0" w:tplc="6CAC8780">
      <w:start w:val="1"/>
      <w:numFmt w:val="decimal"/>
      <w:lvlText w:val="%1."/>
      <w:lvlJc w:val="left"/>
      <w:pPr>
        <w:ind w:left="360" w:hanging="360"/>
      </w:pPr>
    </w:lvl>
    <w:lvl w:ilvl="1" w:tplc="CE60B804">
      <w:start w:val="1"/>
      <w:numFmt w:val="lowerLetter"/>
      <w:lvlText w:val="%2."/>
      <w:lvlJc w:val="left"/>
      <w:pPr>
        <w:ind w:left="1080" w:hanging="360"/>
      </w:pPr>
    </w:lvl>
    <w:lvl w:ilvl="2" w:tplc="0AF245F6" w:tentative="1">
      <w:start w:val="1"/>
      <w:numFmt w:val="lowerRoman"/>
      <w:lvlText w:val="%3."/>
      <w:lvlJc w:val="right"/>
      <w:pPr>
        <w:ind w:left="1800" w:hanging="180"/>
      </w:pPr>
    </w:lvl>
    <w:lvl w:ilvl="3" w:tplc="58C618BC" w:tentative="1">
      <w:start w:val="1"/>
      <w:numFmt w:val="decimal"/>
      <w:lvlText w:val="%4."/>
      <w:lvlJc w:val="left"/>
      <w:pPr>
        <w:ind w:left="2520" w:hanging="360"/>
      </w:pPr>
    </w:lvl>
    <w:lvl w:ilvl="4" w:tplc="43B860C2" w:tentative="1">
      <w:start w:val="1"/>
      <w:numFmt w:val="lowerLetter"/>
      <w:lvlText w:val="%5."/>
      <w:lvlJc w:val="left"/>
      <w:pPr>
        <w:ind w:left="3240" w:hanging="360"/>
      </w:pPr>
    </w:lvl>
    <w:lvl w:ilvl="5" w:tplc="74927838" w:tentative="1">
      <w:start w:val="1"/>
      <w:numFmt w:val="lowerRoman"/>
      <w:lvlText w:val="%6."/>
      <w:lvlJc w:val="right"/>
      <w:pPr>
        <w:ind w:left="3960" w:hanging="180"/>
      </w:pPr>
    </w:lvl>
    <w:lvl w:ilvl="6" w:tplc="7438FBF4" w:tentative="1">
      <w:start w:val="1"/>
      <w:numFmt w:val="decimal"/>
      <w:lvlText w:val="%7."/>
      <w:lvlJc w:val="left"/>
      <w:pPr>
        <w:ind w:left="4680" w:hanging="360"/>
      </w:pPr>
    </w:lvl>
    <w:lvl w:ilvl="7" w:tplc="51C45170" w:tentative="1">
      <w:start w:val="1"/>
      <w:numFmt w:val="lowerLetter"/>
      <w:lvlText w:val="%8."/>
      <w:lvlJc w:val="left"/>
      <w:pPr>
        <w:ind w:left="5400" w:hanging="360"/>
      </w:pPr>
    </w:lvl>
    <w:lvl w:ilvl="8" w:tplc="C886395E" w:tentative="1">
      <w:start w:val="1"/>
      <w:numFmt w:val="lowerRoman"/>
      <w:lvlText w:val="%9."/>
      <w:lvlJc w:val="right"/>
      <w:pPr>
        <w:ind w:left="6120" w:hanging="180"/>
      </w:pPr>
    </w:lvl>
  </w:abstractNum>
  <w:abstractNum w:abstractNumId="16">
    <w:nsid w:val="72E5194A"/>
    <w:multiLevelType w:val="hybridMultilevel"/>
    <w:tmpl w:val="652E1196"/>
    <w:lvl w:ilvl="0" w:tplc="11543012">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7B85684F"/>
    <w:multiLevelType w:val="hybridMultilevel"/>
    <w:tmpl w:val="BDCA9B80"/>
    <w:lvl w:ilvl="0" w:tplc="32568E4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8"/>
  </w:num>
  <w:num w:numId="4">
    <w:abstractNumId w:val="7"/>
  </w:num>
  <w:num w:numId="5">
    <w:abstractNumId w:val="13"/>
  </w:num>
  <w:num w:numId="6">
    <w:abstractNumId w:val="15"/>
  </w:num>
  <w:num w:numId="7">
    <w:abstractNumId w:val="9"/>
  </w:num>
  <w:num w:numId="8">
    <w:abstractNumId w:val="5"/>
  </w:num>
  <w:num w:numId="9">
    <w:abstractNumId w:val="18"/>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0"/>
  </w:num>
  <w:num w:numId="18">
    <w:abstractNumId w:val="4"/>
  </w:num>
  <w:num w:numId="19">
    <w:abstractNumId w:val="14"/>
  </w:num>
  <w:num w:numId="20">
    <w:abstractNumId w:val="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17"/>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6"/>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6"/>
  </w:num>
  <w:num w:numId="44">
    <w:abstractNumId w:val="13"/>
  </w:num>
  <w:num w:numId="45">
    <w:abstractNumId w:val="13"/>
  </w:num>
  <w:num w:numId="46">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lt;record-ids&gt;&lt;item&gt;440&lt;/item&gt;&lt;/record-ids&gt;&lt;/item&gt;&lt;/Libraries&gt;"/>
  </w:docVars>
  <w:rsids>
    <w:rsidRoot w:val="0041275D"/>
    <w:rsid w:val="00004AEE"/>
    <w:rsid w:val="00005CAA"/>
    <w:rsid w:val="00010210"/>
    <w:rsid w:val="00012118"/>
    <w:rsid w:val="00012D66"/>
    <w:rsid w:val="00015ADA"/>
    <w:rsid w:val="00020C99"/>
    <w:rsid w:val="00023C5D"/>
    <w:rsid w:val="0002707B"/>
    <w:rsid w:val="00031B32"/>
    <w:rsid w:val="00032E90"/>
    <w:rsid w:val="00033F4F"/>
    <w:rsid w:val="00040A9C"/>
    <w:rsid w:val="000425C1"/>
    <w:rsid w:val="0005148E"/>
    <w:rsid w:val="00054184"/>
    <w:rsid w:val="000547F0"/>
    <w:rsid w:val="00056850"/>
    <w:rsid w:val="00062A46"/>
    <w:rsid w:val="00064D63"/>
    <w:rsid w:val="00067B23"/>
    <w:rsid w:val="000759E5"/>
    <w:rsid w:val="0007601C"/>
    <w:rsid w:val="00083F89"/>
    <w:rsid w:val="00084AC6"/>
    <w:rsid w:val="00091608"/>
    <w:rsid w:val="0009196E"/>
    <w:rsid w:val="00092F92"/>
    <w:rsid w:val="0009333C"/>
    <w:rsid w:val="0009704F"/>
    <w:rsid w:val="000A0F11"/>
    <w:rsid w:val="000A125A"/>
    <w:rsid w:val="000A228F"/>
    <w:rsid w:val="000A57CD"/>
    <w:rsid w:val="000B1654"/>
    <w:rsid w:val="000B3758"/>
    <w:rsid w:val="000B7681"/>
    <w:rsid w:val="000B7B42"/>
    <w:rsid w:val="000C02B7"/>
    <w:rsid w:val="000C25BA"/>
    <w:rsid w:val="000C2814"/>
    <w:rsid w:val="000C3C6E"/>
    <w:rsid w:val="000C451B"/>
    <w:rsid w:val="000C4BD1"/>
    <w:rsid w:val="000C5342"/>
    <w:rsid w:val="000C706A"/>
    <w:rsid w:val="000D11E6"/>
    <w:rsid w:val="000D2887"/>
    <w:rsid w:val="000D6D63"/>
    <w:rsid w:val="000D706B"/>
    <w:rsid w:val="000D7810"/>
    <w:rsid w:val="000D7F33"/>
    <w:rsid w:val="000E0081"/>
    <w:rsid w:val="000E07CF"/>
    <w:rsid w:val="000F32CD"/>
    <w:rsid w:val="00100BEF"/>
    <w:rsid w:val="00102E17"/>
    <w:rsid w:val="00110BD1"/>
    <w:rsid w:val="001141AA"/>
    <w:rsid w:val="0011498E"/>
    <w:rsid w:val="00115325"/>
    <w:rsid w:val="00116F28"/>
    <w:rsid w:val="00117A45"/>
    <w:rsid w:val="001224AE"/>
    <w:rsid w:val="00123035"/>
    <w:rsid w:val="001337D4"/>
    <w:rsid w:val="001340EA"/>
    <w:rsid w:val="00143979"/>
    <w:rsid w:val="00145613"/>
    <w:rsid w:val="00147C12"/>
    <w:rsid w:val="00147EFC"/>
    <w:rsid w:val="00151357"/>
    <w:rsid w:val="001527A1"/>
    <w:rsid w:val="001530DC"/>
    <w:rsid w:val="00154989"/>
    <w:rsid w:val="00155A9F"/>
    <w:rsid w:val="0015684F"/>
    <w:rsid w:val="00160262"/>
    <w:rsid w:val="0016186F"/>
    <w:rsid w:val="0016281C"/>
    <w:rsid w:val="0016433A"/>
    <w:rsid w:val="0016780A"/>
    <w:rsid w:val="001713FA"/>
    <w:rsid w:val="00173EBF"/>
    <w:rsid w:val="001765DA"/>
    <w:rsid w:val="00177D77"/>
    <w:rsid w:val="001842A2"/>
    <w:rsid w:val="00185039"/>
    <w:rsid w:val="00185407"/>
    <w:rsid w:val="00187FA8"/>
    <w:rsid w:val="001922D0"/>
    <w:rsid w:val="00192F5E"/>
    <w:rsid w:val="00197772"/>
    <w:rsid w:val="00197D6A"/>
    <w:rsid w:val="001A51C8"/>
    <w:rsid w:val="001B27EB"/>
    <w:rsid w:val="001B472B"/>
    <w:rsid w:val="001B4CA8"/>
    <w:rsid w:val="001C2A92"/>
    <w:rsid w:val="001C3D25"/>
    <w:rsid w:val="001C4F3D"/>
    <w:rsid w:val="001D0CDC"/>
    <w:rsid w:val="001D1D82"/>
    <w:rsid w:val="001E1182"/>
    <w:rsid w:val="001E5B5F"/>
    <w:rsid w:val="001F0E8B"/>
    <w:rsid w:val="001F4920"/>
    <w:rsid w:val="00200944"/>
    <w:rsid w:val="00202387"/>
    <w:rsid w:val="002026AE"/>
    <w:rsid w:val="00202C90"/>
    <w:rsid w:val="002047D1"/>
    <w:rsid w:val="00213DE8"/>
    <w:rsid w:val="00216118"/>
    <w:rsid w:val="002209AB"/>
    <w:rsid w:val="00224980"/>
    <w:rsid w:val="002251E3"/>
    <w:rsid w:val="002262E6"/>
    <w:rsid w:val="002267A6"/>
    <w:rsid w:val="00227A95"/>
    <w:rsid w:val="002316BD"/>
    <w:rsid w:val="002336F3"/>
    <w:rsid w:val="00233C32"/>
    <w:rsid w:val="002473FC"/>
    <w:rsid w:val="00252E3C"/>
    <w:rsid w:val="00255113"/>
    <w:rsid w:val="00262198"/>
    <w:rsid w:val="00271505"/>
    <w:rsid w:val="0027309D"/>
    <w:rsid w:val="00282BED"/>
    <w:rsid w:val="00283136"/>
    <w:rsid w:val="00285F1B"/>
    <w:rsid w:val="002878A2"/>
    <w:rsid w:val="00292B81"/>
    <w:rsid w:val="0029322E"/>
    <w:rsid w:val="00296477"/>
    <w:rsid w:val="0029667E"/>
    <w:rsid w:val="002974BC"/>
    <w:rsid w:val="002A5EC3"/>
    <w:rsid w:val="002A6B9E"/>
    <w:rsid w:val="002B1235"/>
    <w:rsid w:val="002B18AE"/>
    <w:rsid w:val="002B6472"/>
    <w:rsid w:val="002B67D3"/>
    <w:rsid w:val="002C0835"/>
    <w:rsid w:val="002C1C93"/>
    <w:rsid w:val="002C5066"/>
    <w:rsid w:val="002D4893"/>
    <w:rsid w:val="002D4AAC"/>
    <w:rsid w:val="002D6C33"/>
    <w:rsid w:val="002F045A"/>
    <w:rsid w:val="0030039D"/>
    <w:rsid w:val="00300715"/>
    <w:rsid w:val="0030326F"/>
    <w:rsid w:val="00310701"/>
    <w:rsid w:val="00311510"/>
    <w:rsid w:val="003138AC"/>
    <w:rsid w:val="00315980"/>
    <w:rsid w:val="00316E04"/>
    <w:rsid w:val="00316F7F"/>
    <w:rsid w:val="00320162"/>
    <w:rsid w:val="00320539"/>
    <w:rsid w:val="0032087E"/>
    <w:rsid w:val="003218E8"/>
    <w:rsid w:val="00330DCE"/>
    <w:rsid w:val="00331E11"/>
    <w:rsid w:val="00334761"/>
    <w:rsid w:val="00337EBC"/>
    <w:rsid w:val="0034033E"/>
    <w:rsid w:val="00341DCD"/>
    <w:rsid w:val="0034504D"/>
    <w:rsid w:val="0034563E"/>
    <w:rsid w:val="00347B44"/>
    <w:rsid w:val="003504CC"/>
    <w:rsid w:val="003518D6"/>
    <w:rsid w:val="0035460C"/>
    <w:rsid w:val="003556BD"/>
    <w:rsid w:val="0035768B"/>
    <w:rsid w:val="00365147"/>
    <w:rsid w:val="0037016E"/>
    <w:rsid w:val="00370E55"/>
    <w:rsid w:val="00372421"/>
    <w:rsid w:val="00372908"/>
    <w:rsid w:val="00374105"/>
    <w:rsid w:val="00375CC5"/>
    <w:rsid w:val="00376457"/>
    <w:rsid w:val="003816E7"/>
    <w:rsid w:val="00381917"/>
    <w:rsid w:val="00383020"/>
    <w:rsid w:val="00386AA9"/>
    <w:rsid w:val="003975FD"/>
    <w:rsid w:val="003A0593"/>
    <w:rsid w:val="003A3262"/>
    <w:rsid w:val="003B266A"/>
    <w:rsid w:val="003B395B"/>
    <w:rsid w:val="003B60CC"/>
    <w:rsid w:val="003B64C3"/>
    <w:rsid w:val="003B6F4F"/>
    <w:rsid w:val="003C1B25"/>
    <w:rsid w:val="003C2443"/>
    <w:rsid w:val="003C31E0"/>
    <w:rsid w:val="003C5DA3"/>
    <w:rsid w:val="003D46D2"/>
    <w:rsid w:val="003D4BCD"/>
    <w:rsid w:val="003D5D81"/>
    <w:rsid w:val="003D628C"/>
    <w:rsid w:val="003E01D8"/>
    <w:rsid w:val="003E2100"/>
    <w:rsid w:val="003E364D"/>
    <w:rsid w:val="003E45FA"/>
    <w:rsid w:val="003E53CA"/>
    <w:rsid w:val="003E5ED5"/>
    <w:rsid w:val="003F0CB7"/>
    <w:rsid w:val="003F5FD2"/>
    <w:rsid w:val="003F6F5B"/>
    <w:rsid w:val="0040342D"/>
    <w:rsid w:val="00403FB9"/>
    <w:rsid w:val="00405E1C"/>
    <w:rsid w:val="0041192D"/>
    <w:rsid w:val="0041275D"/>
    <w:rsid w:val="00413EE1"/>
    <w:rsid w:val="0042128E"/>
    <w:rsid w:val="0042465A"/>
    <w:rsid w:val="00432B60"/>
    <w:rsid w:val="00440698"/>
    <w:rsid w:val="00451311"/>
    <w:rsid w:val="004540E2"/>
    <w:rsid w:val="00454454"/>
    <w:rsid w:val="00461591"/>
    <w:rsid w:val="00462CD6"/>
    <w:rsid w:val="00465D1A"/>
    <w:rsid w:val="00467924"/>
    <w:rsid w:val="004712A5"/>
    <w:rsid w:val="0047266F"/>
    <w:rsid w:val="00476D6B"/>
    <w:rsid w:val="004861E6"/>
    <w:rsid w:val="0049013A"/>
    <w:rsid w:val="00492C16"/>
    <w:rsid w:val="00496FE3"/>
    <w:rsid w:val="004A0231"/>
    <w:rsid w:val="004A0678"/>
    <w:rsid w:val="004A2E47"/>
    <w:rsid w:val="004A48A3"/>
    <w:rsid w:val="004B0D92"/>
    <w:rsid w:val="004B0EC0"/>
    <w:rsid w:val="004B32B2"/>
    <w:rsid w:val="004B583A"/>
    <w:rsid w:val="004B66F1"/>
    <w:rsid w:val="004C3B7B"/>
    <w:rsid w:val="004C3EA0"/>
    <w:rsid w:val="004F3D69"/>
    <w:rsid w:val="004F66A3"/>
    <w:rsid w:val="004F7169"/>
    <w:rsid w:val="00500D66"/>
    <w:rsid w:val="005036A6"/>
    <w:rsid w:val="00511580"/>
    <w:rsid w:val="00514C8E"/>
    <w:rsid w:val="00517F35"/>
    <w:rsid w:val="00523A57"/>
    <w:rsid w:val="00523ED3"/>
    <w:rsid w:val="00531DBF"/>
    <w:rsid w:val="005337FC"/>
    <w:rsid w:val="00537595"/>
    <w:rsid w:val="00545759"/>
    <w:rsid w:val="00545BE0"/>
    <w:rsid w:val="00554C6A"/>
    <w:rsid w:val="00560E31"/>
    <w:rsid w:val="00562E85"/>
    <w:rsid w:val="0056332F"/>
    <w:rsid w:val="00564C64"/>
    <w:rsid w:val="00570486"/>
    <w:rsid w:val="0058040D"/>
    <w:rsid w:val="00581C39"/>
    <w:rsid w:val="005834A4"/>
    <w:rsid w:val="0058418A"/>
    <w:rsid w:val="00584D82"/>
    <w:rsid w:val="00584F6B"/>
    <w:rsid w:val="005850F0"/>
    <w:rsid w:val="005903B6"/>
    <w:rsid w:val="00592B20"/>
    <w:rsid w:val="005933F9"/>
    <w:rsid w:val="005A0247"/>
    <w:rsid w:val="005A126E"/>
    <w:rsid w:val="005A452F"/>
    <w:rsid w:val="005A703F"/>
    <w:rsid w:val="005B140D"/>
    <w:rsid w:val="005C1FEA"/>
    <w:rsid w:val="005C3495"/>
    <w:rsid w:val="005C3785"/>
    <w:rsid w:val="005E13EA"/>
    <w:rsid w:val="005E15E0"/>
    <w:rsid w:val="005E2B3F"/>
    <w:rsid w:val="005E2D34"/>
    <w:rsid w:val="005E3889"/>
    <w:rsid w:val="005E3DFC"/>
    <w:rsid w:val="005E60AF"/>
    <w:rsid w:val="005E7B4E"/>
    <w:rsid w:val="005F1DEA"/>
    <w:rsid w:val="005F4172"/>
    <w:rsid w:val="005F4932"/>
    <w:rsid w:val="005F64BD"/>
    <w:rsid w:val="0060063F"/>
    <w:rsid w:val="00602FCB"/>
    <w:rsid w:val="00607FC9"/>
    <w:rsid w:val="00610955"/>
    <w:rsid w:val="00611488"/>
    <w:rsid w:val="0061490C"/>
    <w:rsid w:val="0061523E"/>
    <w:rsid w:val="00620CC0"/>
    <w:rsid w:val="00622FE1"/>
    <w:rsid w:val="0062521C"/>
    <w:rsid w:val="00630A2B"/>
    <w:rsid w:val="0063283F"/>
    <w:rsid w:val="00632DC7"/>
    <w:rsid w:val="00633896"/>
    <w:rsid w:val="006357FB"/>
    <w:rsid w:val="006406FC"/>
    <w:rsid w:val="00640B60"/>
    <w:rsid w:val="0064407B"/>
    <w:rsid w:val="00646122"/>
    <w:rsid w:val="00653E16"/>
    <w:rsid w:val="006542A3"/>
    <w:rsid w:val="006551F1"/>
    <w:rsid w:val="00657220"/>
    <w:rsid w:val="0066104B"/>
    <w:rsid w:val="00661419"/>
    <w:rsid w:val="006655EE"/>
    <w:rsid w:val="00667C10"/>
    <w:rsid w:val="00667EF4"/>
    <w:rsid w:val="00672B85"/>
    <w:rsid w:val="00673B97"/>
    <w:rsid w:val="00674E59"/>
    <w:rsid w:val="00676FCA"/>
    <w:rsid w:val="00677177"/>
    <w:rsid w:val="0068056B"/>
    <w:rsid w:val="0068612E"/>
    <w:rsid w:val="00687858"/>
    <w:rsid w:val="00687C92"/>
    <w:rsid w:val="006903B7"/>
    <w:rsid w:val="0069534E"/>
    <w:rsid w:val="00696365"/>
    <w:rsid w:val="0069669C"/>
    <w:rsid w:val="006A1200"/>
    <w:rsid w:val="006A2C5A"/>
    <w:rsid w:val="006A4F4E"/>
    <w:rsid w:val="006A5E06"/>
    <w:rsid w:val="006B14DB"/>
    <w:rsid w:val="006B21C4"/>
    <w:rsid w:val="006C1CD3"/>
    <w:rsid w:val="006C4A1A"/>
    <w:rsid w:val="006C7DAD"/>
    <w:rsid w:val="006D0393"/>
    <w:rsid w:val="006D1A83"/>
    <w:rsid w:val="006D5D1E"/>
    <w:rsid w:val="006E1CFE"/>
    <w:rsid w:val="006E31A2"/>
    <w:rsid w:val="006E6D10"/>
    <w:rsid w:val="006F10C4"/>
    <w:rsid w:val="006F40E9"/>
    <w:rsid w:val="006F5603"/>
    <w:rsid w:val="006F621E"/>
    <w:rsid w:val="00701400"/>
    <w:rsid w:val="007037CF"/>
    <w:rsid w:val="00703BB8"/>
    <w:rsid w:val="00716583"/>
    <w:rsid w:val="007167C0"/>
    <w:rsid w:val="007203C3"/>
    <w:rsid w:val="00720481"/>
    <w:rsid w:val="00721642"/>
    <w:rsid w:val="0072510B"/>
    <w:rsid w:val="00727C18"/>
    <w:rsid w:val="00727E2F"/>
    <w:rsid w:val="00733193"/>
    <w:rsid w:val="00737CBA"/>
    <w:rsid w:val="007450CE"/>
    <w:rsid w:val="00752FF8"/>
    <w:rsid w:val="00754C17"/>
    <w:rsid w:val="0075732A"/>
    <w:rsid w:val="00760262"/>
    <w:rsid w:val="0076310C"/>
    <w:rsid w:val="0076744F"/>
    <w:rsid w:val="00767BCE"/>
    <w:rsid w:val="00767EFC"/>
    <w:rsid w:val="007707DE"/>
    <w:rsid w:val="00770B5D"/>
    <w:rsid w:val="007752F1"/>
    <w:rsid w:val="00776768"/>
    <w:rsid w:val="0078087D"/>
    <w:rsid w:val="00782D61"/>
    <w:rsid w:val="00791024"/>
    <w:rsid w:val="007921C6"/>
    <w:rsid w:val="00794818"/>
    <w:rsid w:val="007A2573"/>
    <w:rsid w:val="007A29C1"/>
    <w:rsid w:val="007A3B9C"/>
    <w:rsid w:val="007B04BD"/>
    <w:rsid w:val="007B106C"/>
    <w:rsid w:val="007B1A4E"/>
    <w:rsid w:val="007B3D05"/>
    <w:rsid w:val="007B5503"/>
    <w:rsid w:val="007C6BB3"/>
    <w:rsid w:val="007D14B4"/>
    <w:rsid w:val="007D3AD7"/>
    <w:rsid w:val="007E24F6"/>
    <w:rsid w:val="00800F64"/>
    <w:rsid w:val="008022A0"/>
    <w:rsid w:val="00802F0B"/>
    <w:rsid w:val="00810A67"/>
    <w:rsid w:val="00826EC1"/>
    <w:rsid w:val="00833CF7"/>
    <w:rsid w:val="00845601"/>
    <w:rsid w:val="00846CD4"/>
    <w:rsid w:val="008524B9"/>
    <w:rsid w:val="00855C5C"/>
    <w:rsid w:val="0086233C"/>
    <w:rsid w:val="00865CFA"/>
    <w:rsid w:val="00877510"/>
    <w:rsid w:val="00883CE7"/>
    <w:rsid w:val="00893B6D"/>
    <w:rsid w:val="008A0DB2"/>
    <w:rsid w:val="008A177E"/>
    <w:rsid w:val="008A187F"/>
    <w:rsid w:val="008A3C96"/>
    <w:rsid w:val="008B0BBA"/>
    <w:rsid w:val="008B1627"/>
    <w:rsid w:val="008B4019"/>
    <w:rsid w:val="008B505F"/>
    <w:rsid w:val="008B65C9"/>
    <w:rsid w:val="008C2D4A"/>
    <w:rsid w:val="008C6A05"/>
    <w:rsid w:val="008C7DBB"/>
    <w:rsid w:val="008D1CFA"/>
    <w:rsid w:val="008D3900"/>
    <w:rsid w:val="008D6E1D"/>
    <w:rsid w:val="008D6EDB"/>
    <w:rsid w:val="008E36FE"/>
    <w:rsid w:val="008F1549"/>
    <w:rsid w:val="008F39B4"/>
    <w:rsid w:val="008F4162"/>
    <w:rsid w:val="00903E02"/>
    <w:rsid w:val="00913175"/>
    <w:rsid w:val="009137C1"/>
    <w:rsid w:val="00916EDB"/>
    <w:rsid w:val="00920861"/>
    <w:rsid w:val="00922B13"/>
    <w:rsid w:val="009242EF"/>
    <w:rsid w:val="00924AB9"/>
    <w:rsid w:val="00932291"/>
    <w:rsid w:val="0093408E"/>
    <w:rsid w:val="00947507"/>
    <w:rsid w:val="009501D5"/>
    <w:rsid w:val="00952DDF"/>
    <w:rsid w:val="00952EC4"/>
    <w:rsid w:val="0095471E"/>
    <w:rsid w:val="00956EA6"/>
    <w:rsid w:val="00972423"/>
    <w:rsid w:val="00975008"/>
    <w:rsid w:val="0098047F"/>
    <w:rsid w:val="009812D4"/>
    <w:rsid w:val="00982653"/>
    <w:rsid w:val="009873F4"/>
    <w:rsid w:val="00987476"/>
    <w:rsid w:val="009914C8"/>
    <w:rsid w:val="009920D8"/>
    <w:rsid w:val="009A371F"/>
    <w:rsid w:val="009B38BE"/>
    <w:rsid w:val="009B4556"/>
    <w:rsid w:val="009B682F"/>
    <w:rsid w:val="009C2360"/>
    <w:rsid w:val="009C3D0F"/>
    <w:rsid w:val="009C7148"/>
    <w:rsid w:val="009D464D"/>
    <w:rsid w:val="009D6232"/>
    <w:rsid w:val="009D649E"/>
    <w:rsid w:val="009E1B19"/>
    <w:rsid w:val="009E1D6D"/>
    <w:rsid w:val="009E67BE"/>
    <w:rsid w:val="009F35E2"/>
    <w:rsid w:val="009F438B"/>
    <w:rsid w:val="009F65F9"/>
    <w:rsid w:val="009F68BA"/>
    <w:rsid w:val="00A06277"/>
    <w:rsid w:val="00A079DC"/>
    <w:rsid w:val="00A10BAB"/>
    <w:rsid w:val="00A111C2"/>
    <w:rsid w:val="00A17C39"/>
    <w:rsid w:val="00A21440"/>
    <w:rsid w:val="00A238AA"/>
    <w:rsid w:val="00A30904"/>
    <w:rsid w:val="00A31919"/>
    <w:rsid w:val="00A338E7"/>
    <w:rsid w:val="00A35CAA"/>
    <w:rsid w:val="00A36E7F"/>
    <w:rsid w:val="00A41E65"/>
    <w:rsid w:val="00A426F9"/>
    <w:rsid w:val="00A43517"/>
    <w:rsid w:val="00A43E0A"/>
    <w:rsid w:val="00A450F7"/>
    <w:rsid w:val="00A46247"/>
    <w:rsid w:val="00A47AF8"/>
    <w:rsid w:val="00A47F07"/>
    <w:rsid w:val="00A530C7"/>
    <w:rsid w:val="00A55F5B"/>
    <w:rsid w:val="00A60185"/>
    <w:rsid w:val="00A60C47"/>
    <w:rsid w:val="00A615D2"/>
    <w:rsid w:val="00A661EA"/>
    <w:rsid w:val="00A6775C"/>
    <w:rsid w:val="00A70A6C"/>
    <w:rsid w:val="00A720D9"/>
    <w:rsid w:val="00A830E5"/>
    <w:rsid w:val="00A84BF3"/>
    <w:rsid w:val="00A87135"/>
    <w:rsid w:val="00A93280"/>
    <w:rsid w:val="00A93C73"/>
    <w:rsid w:val="00A951EA"/>
    <w:rsid w:val="00A961A6"/>
    <w:rsid w:val="00A973E1"/>
    <w:rsid w:val="00A97F71"/>
    <w:rsid w:val="00AA1C65"/>
    <w:rsid w:val="00AA2548"/>
    <w:rsid w:val="00AA3B6E"/>
    <w:rsid w:val="00AA58C4"/>
    <w:rsid w:val="00AA59EE"/>
    <w:rsid w:val="00AB11C8"/>
    <w:rsid w:val="00AB2248"/>
    <w:rsid w:val="00AB5D08"/>
    <w:rsid w:val="00AC08A8"/>
    <w:rsid w:val="00AC30F1"/>
    <w:rsid w:val="00AD2401"/>
    <w:rsid w:val="00AD56C8"/>
    <w:rsid w:val="00AD58F2"/>
    <w:rsid w:val="00AE0183"/>
    <w:rsid w:val="00AF35E7"/>
    <w:rsid w:val="00AF5EA3"/>
    <w:rsid w:val="00AF6573"/>
    <w:rsid w:val="00AF7690"/>
    <w:rsid w:val="00B0512A"/>
    <w:rsid w:val="00B0529F"/>
    <w:rsid w:val="00B05D52"/>
    <w:rsid w:val="00B1418B"/>
    <w:rsid w:val="00B151A0"/>
    <w:rsid w:val="00B1560E"/>
    <w:rsid w:val="00B21195"/>
    <w:rsid w:val="00B22B3D"/>
    <w:rsid w:val="00B24B22"/>
    <w:rsid w:val="00B25310"/>
    <w:rsid w:val="00B32F8F"/>
    <w:rsid w:val="00B436DB"/>
    <w:rsid w:val="00B455FB"/>
    <w:rsid w:val="00B4690F"/>
    <w:rsid w:val="00B47C42"/>
    <w:rsid w:val="00B510B1"/>
    <w:rsid w:val="00B51566"/>
    <w:rsid w:val="00B54DE9"/>
    <w:rsid w:val="00B553EC"/>
    <w:rsid w:val="00B55870"/>
    <w:rsid w:val="00B64E6F"/>
    <w:rsid w:val="00B64EE6"/>
    <w:rsid w:val="00B77732"/>
    <w:rsid w:val="00B77EDA"/>
    <w:rsid w:val="00B80D6D"/>
    <w:rsid w:val="00B9154F"/>
    <w:rsid w:val="00B93C3E"/>
    <w:rsid w:val="00B93DD0"/>
    <w:rsid w:val="00B97732"/>
    <w:rsid w:val="00BA56D7"/>
    <w:rsid w:val="00BA65A8"/>
    <w:rsid w:val="00BA6A97"/>
    <w:rsid w:val="00BA6D19"/>
    <w:rsid w:val="00BA7461"/>
    <w:rsid w:val="00BA7684"/>
    <w:rsid w:val="00BA7DA9"/>
    <w:rsid w:val="00BC4215"/>
    <w:rsid w:val="00BC4529"/>
    <w:rsid w:val="00BC55D4"/>
    <w:rsid w:val="00BC7F6D"/>
    <w:rsid w:val="00BD0396"/>
    <w:rsid w:val="00BD1A6F"/>
    <w:rsid w:val="00BD4E22"/>
    <w:rsid w:val="00BD5B71"/>
    <w:rsid w:val="00BE148F"/>
    <w:rsid w:val="00BE6D3C"/>
    <w:rsid w:val="00BE7852"/>
    <w:rsid w:val="00BF7CEE"/>
    <w:rsid w:val="00C03880"/>
    <w:rsid w:val="00C04899"/>
    <w:rsid w:val="00C135CF"/>
    <w:rsid w:val="00C24B9A"/>
    <w:rsid w:val="00C2683F"/>
    <w:rsid w:val="00C3184D"/>
    <w:rsid w:val="00C32EE4"/>
    <w:rsid w:val="00C336B0"/>
    <w:rsid w:val="00C4714E"/>
    <w:rsid w:val="00C50941"/>
    <w:rsid w:val="00C50DF3"/>
    <w:rsid w:val="00C523D3"/>
    <w:rsid w:val="00C5504F"/>
    <w:rsid w:val="00C55991"/>
    <w:rsid w:val="00C56440"/>
    <w:rsid w:val="00C57A9F"/>
    <w:rsid w:val="00C62E92"/>
    <w:rsid w:val="00C63376"/>
    <w:rsid w:val="00C66CB4"/>
    <w:rsid w:val="00C67EB3"/>
    <w:rsid w:val="00C71922"/>
    <w:rsid w:val="00C74F97"/>
    <w:rsid w:val="00C76A08"/>
    <w:rsid w:val="00C803D7"/>
    <w:rsid w:val="00C80DF9"/>
    <w:rsid w:val="00C8276E"/>
    <w:rsid w:val="00C83AD1"/>
    <w:rsid w:val="00C842AC"/>
    <w:rsid w:val="00C85B7B"/>
    <w:rsid w:val="00C92AD5"/>
    <w:rsid w:val="00C93152"/>
    <w:rsid w:val="00C93FD9"/>
    <w:rsid w:val="00C956BD"/>
    <w:rsid w:val="00C96688"/>
    <w:rsid w:val="00CA0723"/>
    <w:rsid w:val="00CA4542"/>
    <w:rsid w:val="00CA78C5"/>
    <w:rsid w:val="00CB1690"/>
    <w:rsid w:val="00CC2B33"/>
    <w:rsid w:val="00CC4365"/>
    <w:rsid w:val="00CD11B0"/>
    <w:rsid w:val="00CD5E0E"/>
    <w:rsid w:val="00CE4BF2"/>
    <w:rsid w:val="00CE71C2"/>
    <w:rsid w:val="00CF2242"/>
    <w:rsid w:val="00CF2E2A"/>
    <w:rsid w:val="00CF42D5"/>
    <w:rsid w:val="00CF4EDA"/>
    <w:rsid w:val="00CF65AE"/>
    <w:rsid w:val="00D00281"/>
    <w:rsid w:val="00D01E11"/>
    <w:rsid w:val="00D021CB"/>
    <w:rsid w:val="00D069A9"/>
    <w:rsid w:val="00D10F1A"/>
    <w:rsid w:val="00D116F8"/>
    <w:rsid w:val="00D15280"/>
    <w:rsid w:val="00D17596"/>
    <w:rsid w:val="00D22640"/>
    <w:rsid w:val="00D26D3A"/>
    <w:rsid w:val="00D45C91"/>
    <w:rsid w:val="00D45EE3"/>
    <w:rsid w:val="00D50618"/>
    <w:rsid w:val="00D509E9"/>
    <w:rsid w:val="00D53B1C"/>
    <w:rsid w:val="00D61714"/>
    <w:rsid w:val="00D6449F"/>
    <w:rsid w:val="00D652C8"/>
    <w:rsid w:val="00D656FF"/>
    <w:rsid w:val="00D82448"/>
    <w:rsid w:val="00D83615"/>
    <w:rsid w:val="00D87643"/>
    <w:rsid w:val="00D93FB1"/>
    <w:rsid w:val="00D97037"/>
    <w:rsid w:val="00DA0A34"/>
    <w:rsid w:val="00DA1B12"/>
    <w:rsid w:val="00DA4F90"/>
    <w:rsid w:val="00DA54C9"/>
    <w:rsid w:val="00DA6739"/>
    <w:rsid w:val="00DA6CAE"/>
    <w:rsid w:val="00DB1A9E"/>
    <w:rsid w:val="00DB31D6"/>
    <w:rsid w:val="00DB3296"/>
    <w:rsid w:val="00DB4005"/>
    <w:rsid w:val="00DB61F1"/>
    <w:rsid w:val="00DC0200"/>
    <w:rsid w:val="00DC032D"/>
    <w:rsid w:val="00DC106F"/>
    <w:rsid w:val="00DC325B"/>
    <w:rsid w:val="00DC34EB"/>
    <w:rsid w:val="00DC4E2E"/>
    <w:rsid w:val="00DC55EE"/>
    <w:rsid w:val="00DC78C0"/>
    <w:rsid w:val="00DD28B1"/>
    <w:rsid w:val="00DE2C10"/>
    <w:rsid w:val="00DE3D6D"/>
    <w:rsid w:val="00DF14C9"/>
    <w:rsid w:val="00DF1E5B"/>
    <w:rsid w:val="00DF2275"/>
    <w:rsid w:val="00DF3F5E"/>
    <w:rsid w:val="00DF5653"/>
    <w:rsid w:val="00E0596E"/>
    <w:rsid w:val="00E06F66"/>
    <w:rsid w:val="00E07D20"/>
    <w:rsid w:val="00E12908"/>
    <w:rsid w:val="00E2111A"/>
    <w:rsid w:val="00E21678"/>
    <w:rsid w:val="00E309DE"/>
    <w:rsid w:val="00E356E5"/>
    <w:rsid w:val="00E36F81"/>
    <w:rsid w:val="00E36F86"/>
    <w:rsid w:val="00E378A8"/>
    <w:rsid w:val="00E40B9B"/>
    <w:rsid w:val="00E45765"/>
    <w:rsid w:val="00E5098C"/>
    <w:rsid w:val="00E57E07"/>
    <w:rsid w:val="00E60213"/>
    <w:rsid w:val="00E661B2"/>
    <w:rsid w:val="00E74D29"/>
    <w:rsid w:val="00E806FF"/>
    <w:rsid w:val="00E83C74"/>
    <w:rsid w:val="00E83CEE"/>
    <w:rsid w:val="00E91F18"/>
    <w:rsid w:val="00E9226D"/>
    <w:rsid w:val="00E96424"/>
    <w:rsid w:val="00EA01B4"/>
    <w:rsid w:val="00EA0FF1"/>
    <w:rsid w:val="00EA2A91"/>
    <w:rsid w:val="00EA416C"/>
    <w:rsid w:val="00EA5941"/>
    <w:rsid w:val="00EB5047"/>
    <w:rsid w:val="00EB60CE"/>
    <w:rsid w:val="00EB7D53"/>
    <w:rsid w:val="00EC596B"/>
    <w:rsid w:val="00ED6B6B"/>
    <w:rsid w:val="00EE05BF"/>
    <w:rsid w:val="00EE13C5"/>
    <w:rsid w:val="00EE3146"/>
    <w:rsid w:val="00EE5A70"/>
    <w:rsid w:val="00EE62C2"/>
    <w:rsid w:val="00EF2596"/>
    <w:rsid w:val="00EF50BB"/>
    <w:rsid w:val="00EF71E4"/>
    <w:rsid w:val="00F00192"/>
    <w:rsid w:val="00F01DF6"/>
    <w:rsid w:val="00F01E02"/>
    <w:rsid w:val="00F027B8"/>
    <w:rsid w:val="00F0340D"/>
    <w:rsid w:val="00F035F2"/>
    <w:rsid w:val="00F059A6"/>
    <w:rsid w:val="00F06B95"/>
    <w:rsid w:val="00F23756"/>
    <w:rsid w:val="00F245A2"/>
    <w:rsid w:val="00F2523A"/>
    <w:rsid w:val="00F25FFA"/>
    <w:rsid w:val="00F310D2"/>
    <w:rsid w:val="00F33CCB"/>
    <w:rsid w:val="00F36F3D"/>
    <w:rsid w:val="00F37C48"/>
    <w:rsid w:val="00F477BD"/>
    <w:rsid w:val="00F50333"/>
    <w:rsid w:val="00F53491"/>
    <w:rsid w:val="00F54656"/>
    <w:rsid w:val="00F55386"/>
    <w:rsid w:val="00F56411"/>
    <w:rsid w:val="00F60181"/>
    <w:rsid w:val="00F65A1C"/>
    <w:rsid w:val="00F66F50"/>
    <w:rsid w:val="00F77432"/>
    <w:rsid w:val="00F77731"/>
    <w:rsid w:val="00F81162"/>
    <w:rsid w:val="00F82FF8"/>
    <w:rsid w:val="00F8330D"/>
    <w:rsid w:val="00F84305"/>
    <w:rsid w:val="00F8485C"/>
    <w:rsid w:val="00F85F9C"/>
    <w:rsid w:val="00F87149"/>
    <w:rsid w:val="00F87FFE"/>
    <w:rsid w:val="00F954C9"/>
    <w:rsid w:val="00FA1E08"/>
    <w:rsid w:val="00FA4CF0"/>
    <w:rsid w:val="00FA61AA"/>
    <w:rsid w:val="00FA69A4"/>
    <w:rsid w:val="00FB1279"/>
    <w:rsid w:val="00FB1495"/>
    <w:rsid w:val="00FC20F8"/>
    <w:rsid w:val="00FC7B81"/>
    <w:rsid w:val="00FD1694"/>
    <w:rsid w:val="00FD7636"/>
    <w:rsid w:val="00FE3229"/>
    <w:rsid w:val="00FE74C3"/>
    <w:rsid w:val="00FE7B79"/>
    <w:rsid w:val="00FF215C"/>
    <w:rsid w:val="00FF3EF2"/>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04"/>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B93C3E"/>
    <w:pPr>
      <w:keepLines/>
      <w:tabs>
        <w:tab w:val="clear" w:pos="4513"/>
        <w:tab w:val="clear" w:pos="9026"/>
      </w:tabs>
      <w:jc w:val="center"/>
      <w:outlineLvl w:val="0"/>
    </w:pPr>
    <w:rPr>
      <w:b/>
      <w:sz w:val="24"/>
    </w:rPr>
  </w:style>
  <w:style w:type="paragraph" w:styleId="Heading2">
    <w:name w:val="heading 2"/>
    <w:basedOn w:val="Header"/>
    <w:next w:val="Normal"/>
    <w:link w:val="Heading2Char"/>
    <w:uiPriority w:val="9"/>
    <w:qFormat/>
    <w:rsid w:val="00A30904"/>
    <w:pPr>
      <w:keepLines/>
      <w:tabs>
        <w:tab w:val="clear" w:pos="4513"/>
        <w:tab w:val="clear" w:pos="9026"/>
      </w:tabs>
      <w:jc w:val="center"/>
      <w:outlineLvl w:val="1"/>
    </w:pPr>
    <w:rPr>
      <w:b/>
      <w:lang w:eastAsia="en-AU"/>
    </w:rPr>
  </w:style>
  <w:style w:type="paragraph" w:styleId="Heading3">
    <w:name w:val="heading 3"/>
    <w:basedOn w:val="tablelabel"/>
    <w:next w:val="Normal"/>
    <w:link w:val="Heading3Char"/>
    <w:uiPriority w:val="9"/>
    <w:qFormat/>
    <w:rsid w:val="00DC55EE"/>
    <w:pPr>
      <w:spacing w:before="200"/>
      <w:outlineLvl w:val="2"/>
    </w:pPr>
    <w:rPr>
      <w:sz w:val="20"/>
    </w:rPr>
  </w:style>
  <w:style w:type="paragraph" w:styleId="Heading4">
    <w:name w:val="heading 4"/>
    <w:basedOn w:val="tablelabel"/>
    <w:next w:val="Normal"/>
    <w:link w:val="Heading4Char"/>
    <w:uiPriority w:val="9"/>
    <w:qFormat/>
    <w:rsid w:val="00A30904"/>
    <w:pPr>
      <w:spacing w:after="0"/>
      <w:outlineLvl w:val="3"/>
    </w:pPr>
    <w:rPr>
      <w:sz w:val="20"/>
    </w:rPr>
  </w:style>
  <w:style w:type="paragraph" w:styleId="Heading5">
    <w:name w:val="heading 5"/>
    <w:basedOn w:val="Normal"/>
    <w:next w:val="Normal"/>
    <w:link w:val="Heading5Char"/>
    <w:uiPriority w:val="9"/>
    <w:unhideWhenUsed/>
    <w:qFormat/>
    <w:rsid w:val="00A30904"/>
    <w:pPr>
      <w:keepNext/>
      <w:keepLines/>
      <w:outlineLvl w:val="4"/>
    </w:pPr>
    <w:rPr>
      <w:u w:val="single"/>
    </w:rPr>
  </w:style>
  <w:style w:type="paragraph" w:styleId="Heading6">
    <w:name w:val="heading 6"/>
    <w:basedOn w:val="Normal"/>
    <w:next w:val="Normal"/>
    <w:link w:val="Heading6Char"/>
    <w:uiPriority w:val="9"/>
    <w:unhideWhenUsed/>
    <w:qFormat/>
    <w:rsid w:val="0095471E"/>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B93C3E"/>
    <w:rPr>
      <w:rFonts w:eastAsia="Times New Roman" w:cs="Arial"/>
      <w:b/>
      <w:sz w:val="24"/>
      <w:lang w:eastAsia="en-US"/>
    </w:rPr>
  </w:style>
  <w:style w:type="character" w:customStyle="1" w:styleId="Heading2Char">
    <w:name w:val="Heading 2 Char"/>
    <w:basedOn w:val="DefaultParagraphFont"/>
    <w:link w:val="Heading2"/>
    <w:uiPriority w:val="9"/>
    <w:rsid w:val="00A30904"/>
    <w:rPr>
      <w:rFonts w:eastAsia="Times New Roman" w:cs="Arial"/>
      <w:b/>
      <w:szCs w:val="24"/>
    </w:rPr>
  </w:style>
  <w:style w:type="character" w:customStyle="1" w:styleId="Heading3Char">
    <w:name w:val="Heading 3 Char"/>
    <w:basedOn w:val="DefaultParagraphFont"/>
    <w:link w:val="Heading3"/>
    <w:uiPriority w:val="9"/>
    <w:rsid w:val="00DC55EE"/>
    <w:rPr>
      <w:rFonts w:eastAsia="Times New Roman" w:cs="Arial"/>
      <w:b/>
      <w:lang w:eastAsia="en-US"/>
    </w:rPr>
  </w:style>
  <w:style w:type="character" w:customStyle="1" w:styleId="Heading4Char">
    <w:name w:val="Heading 4 Char"/>
    <w:basedOn w:val="DefaultParagraphFont"/>
    <w:link w:val="Heading4"/>
    <w:uiPriority w:val="9"/>
    <w:rsid w:val="00A30904"/>
    <w:rPr>
      <w:rFonts w:eastAsia="Times New Roman" w:cs="Arial"/>
      <w:b/>
      <w:lang w:eastAsia="en-US"/>
    </w:rPr>
  </w:style>
  <w:style w:type="paragraph" w:styleId="ListBullet">
    <w:name w:val="List Bullet"/>
    <w:basedOn w:val="Normal"/>
    <w:uiPriority w:val="99"/>
    <w:unhideWhenUsed/>
    <w:qFormat/>
    <w:rsid w:val="008A177E"/>
    <w:pPr>
      <w:numPr>
        <w:numId w:val="23"/>
      </w:numPr>
      <w:ind w:left="426" w:hanging="426"/>
      <w:contextualSpacing/>
    </w:p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99"/>
    <w:qFormat/>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Header"/>
    <w:uiPriority w:val="9"/>
    <w:qFormat/>
    <w:rsid w:val="00CA78C5"/>
    <w:pPr>
      <w:spacing w:after="0" w:line="240" w:lineRule="auto"/>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A30904"/>
    <w:rPr>
      <w:rFonts w:eastAsia="Times New Roman" w:cs="Arial"/>
      <w:u w:val="single"/>
      <w:lang w:eastAsia="en-US"/>
    </w:rPr>
  </w:style>
  <w:style w:type="character" w:styleId="FollowedHyperlink">
    <w:name w:val="FollowedHyperlink"/>
    <w:basedOn w:val="DefaultParagraphFont"/>
    <w:uiPriority w:val="99"/>
    <w:semiHidden/>
    <w:unhideWhenUsed/>
    <w:rsid w:val="00033F4F"/>
    <w:rPr>
      <w:color w:val="800080" w:themeColor="followedHyperlink"/>
      <w:u w:val="single"/>
    </w:rPr>
  </w:style>
  <w:style w:type="numbering" w:customStyle="1" w:styleId="BulletList1">
    <w:name w:val="Bullet List1"/>
    <w:rsid w:val="008022A0"/>
  </w:style>
  <w:style w:type="character" w:customStyle="1" w:styleId="Heading6Char">
    <w:name w:val="Heading 6 Char"/>
    <w:basedOn w:val="DefaultParagraphFont"/>
    <w:link w:val="Heading6"/>
    <w:uiPriority w:val="9"/>
    <w:rsid w:val="0095471E"/>
    <w:rPr>
      <w:rFonts w:eastAsia="Times New Roman" w:cs="Arial"/>
      <w:i/>
      <w:lang w:eastAsia="en-US"/>
    </w:rPr>
  </w:style>
  <w:style w:type="character" w:styleId="CommentReference">
    <w:name w:val="annotation reference"/>
    <w:basedOn w:val="DefaultParagraphFont"/>
    <w:uiPriority w:val="99"/>
    <w:semiHidden/>
    <w:unhideWhenUsed/>
    <w:rsid w:val="0027309D"/>
    <w:rPr>
      <w:sz w:val="16"/>
      <w:szCs w:val="16"/>
    </w:rPr>
  </w:style>
  <w:style w:type="paragraph" w:styleId="CommentText">
    <w:name w:val="annotation text"/>
    <w:basedOn w:val="Normal"/>
    <w:link w:val="CommentTextChar"/>
    <w:uiPriority w:val="99"/>
    <w:semiHidden/>
    <w:unhideWhenUsed/>
    <w:rsid w:val="0027309D"/>
    <w:pPr>
      <w:spacing w:line="240" w:lineRule="auto"/>
    </w:pPr>
  </w:style>
  <w:style w:type="character" w:customStyle="1" w:styleId="CommentTextChar">
    <w:name w:val="Comment Text Char"/>
    <w:basedOn w:val="DefaultParagraphFont"/>
    <w:link w:val="CommentText"/>
    <w:uiPriority w:val="99"/>
    <w:semiHidden/>
    <w:rsid w:val="0027309D"/>
    <w:rPr>
      <w:rFonts w:eastAsia="Times New Roman" w:cs="Arial"/>
      <w:lang w:eastAsia="en-US"/>
    </w:rPr>
  </w:style>
  <w:style w:type="paragraph" w:styleId="CommentSubject">
    <w:name w:val="annotation subject"/>
    <w:basedOn w:val="CommentText"/>
    <w:next w:val="CommentText"/>
    <w:link w:val="CommentSubjectChar"/>
    <w:uiPriority w:val="99"/>
    <w:semiHidden/>
    <w:unhideWhenUsed/>
    <w:rsid w:val="0027309D"/>
    <w:rPr>
      <w:b/>
      <w:bCs/>
    </w:rPr>
  </w:style>
  <w:style w:type="character" w:customStyle="1" w:styleId="CommentSubjectChar">
    <w:name w:val="Comment Subject Char"/>
    <w:basedOn w:val="CommentTextChar"/>
    <w:link w:val="CommentSubject"/>
    <w:uiPriority w:val="99"/>
    <w:semiHidden/>
    <w:rsid w:val="0027309D"/>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19DB6-02E2-4633-B5A3-BF1096E9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3402</Words>
  <Characters>19394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Springsure Creek Coal Project (EPBC 2010/5782) – New Development</dc:title>
  <dc:creator/>
  <cp:lastModifiedBy/>
  <cp:revision>1</cp:revision>
  <dcterms:created xsi:type="dcterms:W3CDTF">2014-06-11T01:47:00Z</dcterms:created>
  <dcterms:modified xsi:type="dcterms:W3CDTF">2014-06-11T01:47:00Z</dcterms:modified>
</cp:coreProperties>
</file>