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F5B5B" w14:textId="1E6ABDB8" w:rsidR="00714B40" w:rsidRPr="00BF21A7" w:rsidRDefault="00714B40" w:rsidP="00714B40">
      <w:pPr>
        <w:pStyle w:val="Header"/>
        <w:suppressLineNumbers/>
        <w:ind w:hanging="1418"/>
        <w:sectPr w:rsidR="00714B40" w:rsidRPr="00BF21A7" w:rsidSect="00264083">
          <w:headerReference w:type="even" r:id="rId7"/>
          <w:footerReference w:type="default" r:id="rId8"/>
          <w:headerReference w:type="first" r:id="rId9"/>
          <w:footerReference w:type="first" r:id="rId10"/>
          <w:pgSz w:w="11906" w:h="16838"/>
          <w:pgMar w:top="142" w:right="1440" w:bottom="1440" w:left="1440" w:header="425" w:footer="425" w:gutter="0"/>
          <w:lnNumType w:countBy="1" w:restart="continuous"/>
          <w:pgNumType w:start="1"/>
          <w:cols w:space="708"/>
          <w:titlePg/>
          <w:docGrid w:linePitch="360"/>
        </w:sectPr>
      </w:pPr>
    </w:p>
    <w:p w14:paraId="788F5085" w14:textId="7756CAE6" w:rsidR="001765DA" w:rsidRPr="00BF21A7" w:rsidRDefault="00F027B8" w:rsidP="009E7F55">
      <w:pPr>
        <w:pStyle w:val="Heading1"/>
        <w:suppressLineNumbers/>
      </w:pPr>
      <w:r w:rsidRPr="00BF21A7">
        <w:t>Advi</w:t>
      </w:r>
      <w:r w:rsidR="001765DA" w:rsidRPr="00BF21A7">
        <w:t>ce to decision maker on coal mining</w:t>
      </w:r>
      <w:r w:rsidR="00E21678" w:rsidRPr="00BF21A7">
        <w:t xml:space="preserve"> project </w:t>
      </w:r>
    </w:p>
    <w:p w14:paraId="4BD198A9" w14:textId="0ABDBE83" w:rsidR="009325E6" w:rsidRPr="00A87320" w:rsidRDefault="009325E6" w:rsidP="009325E6">
      <w:pPr>
        <w:pStyle w:val="Heading2"/>
        <w:suppressLineNumbers/>
      </w:pPr>
      <w:r w:rsidRPr="00A87320">
        <w:t>IESC 20</w:t>
      </w:r>
      <w:r>
        <w:t>20</w:t>
      </w:r>
      <w:r w:rsidRPr="00A87320">
        <w:t>-1</w:t>
      </w:r>
      <w:r>
        <w:t>19</w:t>
      </w:r>
      <w:r w:rsidRPr="00A87320">
        <w:t xml:space="preserve">: Narrabri Underground Mine Stage 3 Extension Project (Narrabri Mine Extension) (State Ref No 9882) – Expansion </w:t>
      </w:r>
    </w:p>
    <w:tbl>
      <w:tblPr>
        <w:tblW w:w="9640" w:type="dxa"/>
        <w:tblInd w:w="-284" w:type="dxa"/>
        <w:tblBorders>
          <w:insideH w:val="single" w:sz="4" w:space="0" w:color="auto"/>
        </w:tblBorders>
        <w:tblCellMar>
          <w:top w:w="113" w:type="dxa"/>
          <w:bottom w:w="113" w:type="dxa"/>
        </w:tblCellMar>
        <w:tblLook w:val="01E0" w:firstRow="1" w:lastRow="1" w:firstColumn="1" w:lastColumn="1" w:noHBand="0" w:noVBand="0"/>
      </w:tblPr>
      <w:tblGrid>
        <w:gridCol w:w="1810"/>
        <w:gridCol w:w="7830"/>
      </w:tblGrid>
      <w:tr w:rsidR="001765DA" w:rsidRPr="00BF21A7" w14:paraId="09C5E40B" w14:textId="77777777" w:rsidTr="3298BA36">
        <w:trPr>
          <w:trHeight w:val="563"/>
        </w:trPr>
        <w:tc>
          <w:tcPr>
            <w:tcW w:w="1810" w:type="dxa"/>
            <w:tcBorders>
              <w:top w:val="single" w:sz="4" w:space="0" w:color="auto"/>
              <w:bottom w:val="single" w:sz="4" w:space="0" w:color="auto"/>
            </w:tcBorders>
          </w:tcPr>
          <w:p w14:paraId="7FD30821" w14:textId="567C79FB" w:rsidR="001765DA" w:rsidRPr="00BF21A7" w:rsidRDefault="001765DA" w:rsidP="00277A51">
            <w:pPr>
              <w:pStyle w:val="Heading6"/>
              <w:suppressLineNumbers/>
            </w:pPr>
            <w:r>
              <w:t>Requesting agenc</w:t>
            </w:r>
            <w:r w:rsidR="486D4BC3">
              <w:t>ies</w:t>
            </w:r>
          </w:p>
        </w:tc>
        <w:tc>
          <w:tcPr>
            <w:tcW w:w="7830" w:type="dxa"/>
            <w:tcBorders>
              <w:top w:val="single" w:sz="4" w:space="0" w:color="auto"/>
              <w:bottom w:val="single" w:sz="4" w:space="0" w:color="auto"/>
            </w:tcBorders>
          </w:tcPr>
          <w:p w14:paraId="037D4E42" w14:textId="77777777" w:rsidR="00CB05A6" w:rsidRDefault="00CB05A6" w:rsidP="00CB05A6">
            <w:pPr>
              <w:spacing w:after="0" w:line="240" w:lineRule="auto"/>
              <w:rPr>
                <w:rFonts w:ascii="ArialMT" w:eastAsia="Calibri" w:hAnsi="ArialMT" w:cs="ArialMT"/>
                <w:lang w:eastAsia="en-AU"/>
              </w:rPr>
            </w:pPr>
            <w:r>
              <w:rPr>
                <w:rFonts w:ascii="ArialMT" w:eastAsia="Calibri" w:hAnsi="ArialMT" w:cs="ArialMT"/>
                <w:lang w:eastAsia="en-AU"/>
              </w:rPr>
              <w:t>NSW Department of Planning, Industry and Environment (DPIE) and the</w:t>
            </w:r>
          </w:p>
          <w:p w14:paraId="31BBB971" w14:textId="1EE5D94D" w:rsidR="003E2BDB" w:rsidRPr="00BF21A7" w:rsidRDefault="00A510EE" w:rsidP="00CB05A6">
            <w:pPr>
              <w:pStyle w:val="Tabletext"/>
              <w:suppressLineNumbers/>
            </w:pPr>
            <w:r>
              <w:rPr>
                <w:rFonts w:ascii="ArialMT" w:eastAsia="Calibri" w:hAnsi="ArialMT" w:cs="ArialMT"/>
                <w:lang w:eastAsia="en-AU"/>
              </w:rPr>
              <w:t>Australian Government</w:t>
            </w:r>
            <w:r w:rsidR="00CB05A6">
              <w:rPr>
                <w:rFonts w:ascii="ArialMT" w:eastAsia="Calibri" w:hAnsi="ArialMT" w:cs="ArialMT"/>
                <w:lang w:eastAsia="en-AU"/>
              </w:rPr>
              <w:t xml:space="preserve"> Department of Agriculture, Water and the Environment (DAWE)</w:t>
            </w:r>
          </w:p>
        </w:tc>
      </w:tr>
      <w:tr w:rsidR="001765DA" w:rsidRPr="00BF21A7" w14:paraId="36793B1A" w14:textId="77777777" w:rsidTr="3298BA36">
        <w:trPr>
          <w:trHeight w:val="19"/>
        </w:trPr>
        <w:tc>
          <w:tcPr>
            <w:tcW w:w="1810" w:type="dxa"/>
            <w:tcBorders>
              <w:top w:val="single" w:sz="4" w:space="0" w:color="auto"/>
              <w:bottom w:val="single" w:sz="4" w:space="0" w:color="auto"/>
            </w:tcBorders>
          </w:tcPr>
          <w:p w14:paraId="07CA321F" w14:textId="77777777" w:rsidR="001765DA" w:rsidRPr="00BF21A7" w:rsidRDefault="001765DA" w:rsidP="00277A51">
            <w:pPr>
              <w:pStyle w:val="Heading6"/>
              <w:suppressLineNumbers/>
            </w:pPr>
            <w:r w:rsidRPr="00BF21A7">
              <w:t>Date of request</w:t>
            </w:r>
          </w:p>
        </w:tc>
        <w:tc>
          <w:tcPr>
            <w:tcW w:w="7830" w:type="dxa"/>
            <w:tcBorders>
              <w:top w:val="single" w:sz="4" w:space="0" w:color="auto"/>
              <w:bottom w:val="single" w:sz="4" w:space="0" w:color="auto"/>
            </w:tcBorders>
          </w:tcPr>
          <w:p w14:paraId="72F1849C" w14:textId="0865F1D1" w:rsidR="001765DA" w:rsidRPr="00FE2679" w:rsidRDefault="00CB05A6" w:rsidP="00277A51">
            <w:pPr>
              <w:pStyle w:val="Tabletext"/>
              <w:suppressLineNumbers/>
            </w:pPr>
            <w:r w:rsidRPr="00FE2679">
              <w:t>30 October 2020</w:t>
            </w:r>
          </w:p>
        </w:tc>
      </w:tr>
      <w:tr w:rsidR="00185039" w:rsidRPr="00BF21A7" w14:paraId="2535881E" w14:textId="77777777" w:rsidTr="3298BA36">
        <w:trPr>
          <w:trHeight w:val="19"/>
        </w:trPr>
        <w:tc>
          <w:tcPr>
            <w:tcW w:w="1810" w:type="dxa"/>
            <w:tcBorders>
              <w:top w:val="single" w:sz="4" w:space="0" w:color="auto"/>
              <w:bottom w:val="single" w:sz="4" w:space="0" w:color="auto"/>
            </w:tcBorders>
          </w:tcPr>
          <w:p w14:paraId="63DD139C" w14:textId="77777777" w:rsidR="00185039" w:rsidRPr="00BF21A7" w:rsidRDefault="00185039" w:rsidP="00277A51">
            <w:pPr>
              <w:pStyle w:val="Heading6"/>
              <w:suppressLineNumbers/>
            </w:pPr>
            <w:r w:rsidRPr="00BF21A7">
              <w:t>Date request accepted</w:t>
            </w:r>
          </w:p>
        </w:tc>
        <w:tc>
          <w:tcPr>
            <w:tcW w:w="7830" w:type="dxa"/>
            <w:tcBorders>
              <w:top w:val="single" w:sz="4" w:space="0" w:color="auto"/>
              <w:bottom w:val="single" w:sz="4" w:space="0" w:color="auto"/>
            </w:tcBorders>
          </w:tcPr>
          <w:p w14:paraId="3346263C" w14:textId="1B4DAF93" w:rsidR="00185039" w:rsidRPr="00FE2679" w:rsidRDefault="00CB05A6" w:rsidP="00277A51">
            <w:pPr>
              <w:pStyle w:val="Tabletext"/>
              <w:suppressLineNumbers/>
            </w:pPr>
            <w:r w:rsidRPr="00FE2679">
              <w:t>2 November 2020</w:t>
            </w:r>
          </w:p>
        </w:tc>
      </w:tr>
      <w:tr w:rsidR="00062A46" w:rsidRPr="00BF21A7" w14:paraId="5BD3ED13" w14:textId="77777777" w:rsidTr="3298BA36">
        <w:trPr>
          <w:trHeight w:val="19"/>
        </w:trPr>
        <w:tc>
          <w:tcPr>
            <w:tcW w:w="1810" w:type="dxa"/>
            <w:tcBorders>
              <w:top w:val="single" w:sz="4" w:space="0" w:color="auto"/>
              <w:bottom w:val="single" w:sz="4" w:space="0" w:color="auto"/>
            </w:tcBorders>
          </w:tcPr>
          <w:p w14:paraId="11B3A2D8" w14:textId="77777777" w:rsidR="00062A46" w:rsidRPr="00BF21A7" w:rsidRDefault="00062A46" w:rsidP="00277A51">
            <w:pPr>
              <w:pStyle w:val="Heading6"/>
              <w:suppressLineNumbers/>
            </w:pPr>
            <w:r w:rsidRPr="00BF21A7">
              <w:t xml:space="preserve">Advice stage </w:t>
            </w:r>
          </w:p>
        </w:tc>
        <w:tc>
          <w:tcPr>
            <w:tcW w:w="7830" w:type="dxa"/>
            <w:tcBorders>
              <w:top w:val="single" w:sz="4" w:space="0" w:color="auto"/>
              <w:bottom w:val="single" w:sz="4" w:space="0" w:color="auto"/>
            </w:tcBorders>
          </w:tcPr>
          <w:p w14:paraId="401107C5" w14:textId="0D1675F7" w:rsidR="00CB05A6" w:rsidRPr="00BF21A7" w:rsidRDefault="00062A46" w:rsidP="00CB05A6">
            <w:pPr>
              <w:pStyle w:val="Tabletext"/>
              <w:suppressLineNumbers/>
              <w:rPr>
                <w:lang w:eastAsia="en-AU"/>
              </w:rPr>
            </w:pPr>
            <w:r w:rsidRPr="00BF21A7">
              <w:rPr>
                <w:lang w:eastAsia="en-AU"/>
              </w:rPr>
              <w:t>Assessment</w:t>
            </w:r>
          </w:p>
          <w:p w14:paraId="6863E84E" w14:textId="4C1F0976" w:rsidR="00062A46" w:rsidRPr="00BF21A7" w:rsidRDefault="00062A46" w:rsidP="00277A51">
            <w:pPr>
              <w:pStyle w:val="Tabletext"/>
              <w:suppressLineNumbers/>
              <w:rPr>
                <w:lang w:eastAsia="en-AU"/>
              </w:rPr>
            </w:pPr>
          </w:p>
        </w:tc>
      </w:tr>
    </w:tbl>
    <w:p w14:paraId="3F18E609" w14:textId="51C82449" w:rsidR="00C60A1A" w:rsidRPr="00BF21A7" w:rsidRDefault="00C60A1A" w:rsidP="00C60A1A">
      <w:pPr>
        <w:pStyle w:val="Heading3"/>
        <w:spacing w:before="0" w:after="0"/>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000" w:firstRow="0" w:lastRow="0" w:firstColumn="0" w:lastColumn="0" w:noHBand="0" w:noVBand="0"/>
      </w:tblPr>
      <w:tblGrid>
        <w:gridCol w:w="9640"/>
      </w:tblGrid>
      <w:tr w:rsidR="00C60A1A" w:rsidRPr="00BF21A7" w14:paraId="20C5ECEF" w14:textId="77777777" w:rsidTr="0A50B889">
        <w:trPr>
          <w:trHeight w:val="416"/>
        </w:trPr>
        <w:tc>
          <w:tcPr>
            <w:tcW w:w="9640" w:type="dxa"/>
            <w:shd w:val="clear" w:color="auto" w:fill="E7E6E6"/>
          </w:tcPr>
          <w:p w14:paraId="04390E56" w14:textId="77777777" w:rsidR="00C60A1A" w:rsidRPr="00BF21A7" w:rsidRDefault="00C60A1A" w:rsidP="001A7E71">
            <w:pPr>
              <w:pStyle w:val="NEWNormalTNR12"/>
              <w:spacing w:before="120" w:after="120" w:line="276" w:lineRule="auto"/>
              <w:ind w:left="34"/>
              <w:rPr>
                <w:rFonts w:ascii="Arial" w:hAnsi="Arial" w:cs="Arial"/>
                <w:sz w:val="20"/>
                <w:szCs w:val="20"/>
              </w:rPr>
            </w:pPr>
            <w:r w:rsidRPr="00BF21A7">
              <w:rPr>
                <w:rFonts w:ascii="Arial" w:hAnsi="Arial" w:cs="Arial"/>
                <w:sz w:val="20"/>
                <w:szCs w:val="20"/>
              </w:rPr>
              <w:t>The Independent Expert Scientific Committee on Coal Seam Gas and Large Coal Mining Development (the IESC) provides independent, expert, scientific advice to the Australian and state government regulators on the potential impacts of coal seam gas and large coal mining proposals on water resources. The advice is designed to ensure that decisions by regulators on coal seam gas or large coal mining developments are informed by the best available science.</w:t>
            </w:r>
          </w:p>
          <w:p w14:paraId="1BE7A587" w14:textId="3E6C1E8E" w:rsidR="00C60A1A" w:rsidRPr="00BF21A7" w:rsidRDefault="60A6CC7C" w:rsidP="0A50B889">
            <w:pPr>
              <w:pStyle w:val="NEWNormalTNR12"/>
              <w:spacing w:before="120" w:after="120" w:line="276" w:lineRule="auto"/>
              <w:ind w:left="34"/>
              <w:rPr>
                <w:rFonts w:asciiTheme="minorHAnsi" w:hAnsiTheme="minorHAnsi"/>
                <w:sz w:val="20"/>
                <w:szCs w:val="20"/>
              </w:rPr>
            </w:pPr>
            <w:r w:rsidRPr="0A50B889">
              <w:rPr>
                <w:rFonts w:ascii="Arial" w:hAnsi="Arial" w:cs="Arial"/>
                <w:sz w:val="20"/>
                <w:szCs w:val="20"/>
              </w:rPr>
              <w:t xml:space="preserve">The IESC was requested by the Australian Government Department of </w:t>
            </w:r>
            <w:r w:rsidR="4933D02E" w:rsidRPr="0A50B889">
              <w:rPr>
                <w:rFonts w:ascii="Arial" w:hAnsi="Arial" w:cs="Arial"/>
                <w:sz w:val="20"/>
                <w:szCs w:val="20"/>
              </w:rPr>
              <w:t xml:space="preserve">Agriculture, Water and </w:t>
            </w:r>
            <w:r w:rsidRPr="0A50B889">
              <w:rPr>
                <w:rFonts w:ascii="Arial" w:hAnsi="Arial" w:cs="Arial"/>
                <w:sz w:val="20"/>
                <w:szCs w:val="20"/>
              </w:rPr>
              <w:t xml:space="preserve">the Environment </w:t>
            </w:r>
            <w:r w:rsidR="2EC312EC" w:rsidRPr="0A50B889">
              <w:rPr>
                <w:rFonts w:ascii="Arial" w:hAnsi="Arial" w:cs="Arial"/>
                <w:sz w:val="20"/>
                <w:szCs w:val="20"/>
              </w:rPr>
              <w:t>and</w:t>
            </w:r>
            <w:r w:rsidR="2EC312EC" w:rsidRPr="0A50B889">
              <w:rPr>
                <w:rFonts w:ascii="Arial" w:hAnsi="Arial" w:cs="Arial"/>
                <w:b/>
                <w:bCs/>
                <w:color w:val="FF0000"/>
                <w:sz w:val="20"/>
                <w:szCs w:val="20"/>
              </w:rPr>
              <w:t xml:space="preserve"> </w:t>
            </w:r>
            <w:r w:rsidRPr="0A50B889">
              <w:rPr>
                <w:rFonts w:ascii="Arial" w:hAnsi="Arial" w:cs="Arial"/>
                <w:sz w:val="20"/>
                <w:szCs w:val="20"/>
              </w:rPr>
              <w:t xml:space="preserve">the New South Wales </w:t>
            </w:r>
            <w:r w:rsidR="422E09C7" w:rsidRPr="0A50B889">
              <w:rPr>
                <w:rFonts w:ascii="Arial" w:hAnsi="Arial" w:cs="Arial"/>
                <w:sz w:val="20"/>
                <w:szCs w:val="20"/>
              </w:rPr>
              <w:t xml:space="preserve">Department of </w:t>
            </w:r>
            <w:r w:rsidR="4933D02E" w:rsidRPr="0A50B889">
              <w:rPr>
                <w:rFonts w:ascii="Arial" w:hAnsi="Arial" w:cs="Arial"/>
                <w:sz w:val="20"/>
                <w:szCs w:val="20"/>
              </w:rPr>
              <w:t xml:space="preserve">Planning, Industry and </w:t>
            </w:r>
            <w:r w:rsidR="422E09C7" w:rsidRPr="0A50B889">
              <w:rPr>
                <w:rFonts w:ascii="Arial" w:hAnsi="Arial" w:cs="Arial"/>
                <w:sz w:val="20"/>
                <w:szCs w:val="20"/>
              </w:rPr>
              <w:t xml:space="preserve">Environment </w:t>
            </w:r>
            <w:r w:rsidRPr="0A50B889">
              <w:rPr>
                <w:rFonts w:ascii="Arial" w:hAnsi="Arial" w:cs="Arial"/>
                <w:sz w:val="20"/>
                <w:szCs w:val="20"/>
              </w:rPr>
              <w:t xml:space="preserve">to provide advice on the </w:t>
            </w:r>
            <w:r w:rsidR="2EC312EC" w:rsidRPr="0A50B889">
              <w:rPr>
                <w:rFonts w:ascii="Arial" w:hAnsi="Arial" w:cs="Arial"/>
                <w:sz w:val="20"/>
                <w:szCs w:val="20"/>
              </w:rPr>
              <w:t xml:space="preserve">Narrabri Coal Operations Pty </w:t>
            </w:r>
            <w:proofErr w:type="spellStart"/>
            <w:r w:rsidR="2EC312EC" w:rsidRPr="0A50B889">
              <w:rPr>
                <w:rFonts w:ascii="Arial" w:hAnsi="Arial" w:cs="Arial"/>
                <w:sz w:val="20"/>
                <w:szCs w:val="20"/>
              </w:rPr>
              <w:t>Ltd’s</w:t>
            </w:r>
            <w:proofErr w:type="spellEnd"/>
            <w:r w:rsidR="2EC312EC" w:rsidRPr="0A50B889">
              <w:rPr>
                <w:rFonts w:ascii="Arial" w:hAnsi="Arial" w:cs="Arial"/>
                <w:sz w:val="20"/>
                <w:szCs w:val="20"/>
              </w:rPr>
              <w:t xml:space="preserve"> (NCOPL) Narrabri Underground Mine Stage 3 Extension Project in NSW. </w:t>
            </w:r>
            <w:r w:rsidRPr="0A50B889">
              <w:rPr>
                <w:rFonts w:ascii="Arial" w:hAnsi="Arial" w:cs="Arial"/>
                <w:sz w:val="20"/>
                <w:szCs w:val="20"/>
              </w:rPr>
              <w:t>This document provides the IESC’s advice in response to the requesting</w:t>
            </w:r>
            <w:r w:rsidRPr="0A50B889">
              <w:rPr>
                <w:rFonts w:ascii="Arial" w:hAnsi="Arial" w:cs="Arial"/>
                <w:b/>
                <w:bCs/>
                <w:color w:val="FF0000"/>
                <w:sz w:val="20"/>
                <w:szCs w:val="20"/>
              </w:rPr>
              <w:t xml:space="preserve"> </w:t>
            </w:r>
            <w:r w:rsidRPr="0A50B889">
              <w:rPr>
                <w:rFonts w:ascii="Arial" w:hAnsi="Arial" w:cs="Arial"/>
                <w:sz w:val="20"/>
                <w:szCs w:val="20"/>
              </w:rPr>
              <w:t>agencies’ questions. These questions are directed at matters specific to the project to be considered during the requesting agencies’</w:t>
            </w:r>
            <w:r w:rsidRPr="0A50B889">
              <w:rPr>
                <w:rFonts w:ascii="Arial" w:hAnsi="Arial" w:cs="Arial"/>
                <w:b/>
                <w:bCs/>
                <w:color w:val="FF0000"/>
                <w:sz w:val="20"/>
                <w:szCs w:val="20"/>
              </w:rPr>
              <w:t xml:space="preserve"> </w:t>
            </w:r>
            <w:r w:rsidRPr="0A50B889">
              <w:rPr>
                <w:rFonts w:ascii="Arial" w:hAnsi="Arial" w:cs="Arial"/>
                <w:sz w:val="20"/>
                <w:szCs w:val="20"/>
              </w:rPr>
              <w:t>assessment process. This advice draws upon the available assessment docume</w:t>
            </w:r>
            <w:r w:rsidR="41212378" w:rsidRPr="0A50B889">
              <w:rPr>
                <w:rFonts w:ascii="Arial" w:hAnsi="Arial" w:cs="Arial"/>
                <w:sz w:val="20"/>
                <w:szCs w:val="20"/>
              </w:rPr>
              <w:t xml:space="preserve">ntation, data and methodologies, </w:t>
            </w:r>
            <w:r w:rsidRPr="0A50B889">
              <w:rPr>
                <w:rFonts w:ascii="Arial" w:hAnsi="Arial" w:cs="Arial"/>
                <w:sz w:val="20"/>
                <w:szCs w:val="20"/>
              </w:rPr>
              <w:t>together with the expert deliberations of the IESC</w:t>
            </w:r>
            <w:r w:rsidR="178B3CED" w:rsidRPr="0A50B889">
              <w:rPr>
                <w:rFonts w:ascii="Arial" w:hAnsi="Arial" w:cs="Arial"/>
                <w:sz w:val="20"/>
                <w:szCs w:val="20"/>
              </w:rPr>
              <w:t>,</w:t>
            </w:r>
            <w:r w:rsidRPr="0A50B889">
              <w:rPr>
                <w:rFonts w:ascii="Arial" w:hAnsi="Arial" w:cs="Arial"/>
                <w:sz w:val="20"/>
                <w:szCs w:val="20"/>
              </w:rPr>
              <w:t xml:space="preserve"> and is assessed against the IESC Information Guidelines (</w:t>
            </w:r>
            <w:r w:rsidR="178B3CED" w:rsidRPr="0A50B889">
              <w:rPr>
                <w:rFonts w:ascii="Arial" w:hAnsi="Arial" w:cs="Arial"/>
                <w:sz w:val="20"/>
                <w:szCs w:val="20"/>
              </w:rPr>
              <w:t>IESC, 2018</w:t>
            </w:r>
            <w:r w:rsidRPr="0A50B889">
              <w:rPr>
                <w:rFonts w:ascii="Arial" w:hAnsi="Arial" w:cs="Arial"/>
                <w:sz w:val="20"/>
                <w:szCs w:val="20"/>
              </w:rPr>
              <w:t>).</w:t>
            </w:r>
          </w:p>
        </w:tc>
      </w:tr>
    </w:tbl>
    <w:p w14:paraId="7FEA122C" w14:textId="77777777" w:rsidR="00C60A1A" w:rsidRPr="00BF21A7" w:rsidRDefault="00C60A1A" w:rsidP="00C60A1A"/>
    <w:p w14:paraId="6C3ACB97" w14:textId="77777777" w:rsidR="00787D99" w:rsidRPr="00BF21A7" w:rsidRDefault="00787D99" w:rsidP="00D622B9">
      <w:pPr>
        <w:pStyle w:val="Heading3"/>
        <w:rPr>
          <w:color w:val="365F91" w:themeColor="accent1" w:themeShade="BF"/>
        </w:rPr>
      </w:pPr>
      <w:r w:rsidRPr="00BF21A7">
        <w:t>Summary</w:t>
      </w:r>
      <w:r w:rsidRPr="00BF21A7">
        <w:rPr>
          <w:color w:val="365F91" w:themeColor="accent1" w:themeShade="BF"/>
        </w:rPr>
        <w:t xml:space="preserve"> </w:t>
      </w:r>
    </w:p>
    <w:p w14:paraId="579F434B" w14:textId="3F50C7A8" w:rsidR="0077445A" w:rsidRPr="00A87320" w:rsidRDefault="0077445A" w:rsidP="0077445A">
      <w:r>
        <w:t xml:space="preserve">The proposed Narrabri Underground Mine Stage 3 Extension Project (the project) is a longwall mining extension to the existing underground Narrabri Coal Mine, located in the Gunnedah </w:t>
      </w:r>
      <w:r w:rsidR="00453594">
        <w:t xml:space="preserve">Basin </w:t>
      </w:r>
      <w:r>
        <w:t>Coalfields of NSW. The project will</w:t>
      </w:r>
      <w:r w:rsidR="00BD34E2">
        <w:t xml:space="preserve"> produce </w:t>
      </w:r>
      <w:r>
        <w:t>11 million tonnes per annum (Mtpa) of run-of-mine coal (a combination of thermal and pulverised coal injectate) and extend the mine</w:t>
      </w:r>
      <w:r w:rsidR="14398D14">
        <w:t>’s</w:t>
      </w:r>
      <w:r>
        <w:t xml:space="preserve"> life from July 2031</w:t>
      </w:r>
      <w:r w:rsidR="0003266A">
        <w:t xml:space="preserve"> </w:t>
      </w:r>
      <w:r>
        <w:t>to 204</w:t>
      </w:r>
      <w:r w:rsidR="006861AA">
        <w:t>4</w:t>
      </w:r>
      <w:r>
        <w:t>. The proposal also includes expansion and upgrades of existing surface infrastructure.</w:t>
      </w:r>
    </w:p>
    <w:p w14:paraId="13E5841F" w14:textId="6CAE37F1" w:rsidR="0077445A" w:rsidRPr="00A87320" w:rsidRDefault="0077445A" w:rsidP="6C42ACAA">
      <w:pPr>
        <w:rPr>
          <w:highlight w:val="yellow"/>
        </w:rPr>
      </w:pPr>
      <w:r>
        <w:lastRenderedPageBreak/>
        <w:t>The project is located within the Namoi Water Management Area</w:t>
      </w:r>
      <w:r w:rsidR="177598A9">
        <w:t>, a</w:t>
      </w:r>
      <w:r>
        <w:t xml:space="preserve"> region </w:t>
      </w:r>
      <w:r w:rsidR="130C972E">
        <w:t>with</w:t>
      </w:r>
      <w:r>
        <w:t xml:space="preserve"> one of the highest levels of groundwater extraction in the Murray-Darling Basin (</w:t>
      </w:r>
      <w:r w:rsidR="00BD7BD5">
        <w:t>DPI</w:t>
      </w:r>
      <w:r>
        <w:t>, 2017). Surface water resources in the area include the Namoi River</w:t>
      </w:r>
      <w:r w:rsidR="062E7DBA">
        <w:t>,</w:t>
      </w:r>
      <w:r w:rsidR="24CEBAA1">
        <w:t xml:space="preserve"> </w:t>
      </w:r>
      <w:r>
        <w:t xml:space="preserve">located approximately </w:t>
      </w:r>
      <w:r w:rsidR="60A2249C">
        <w:t>5</w:t>
      </w:r>
      <w:r>
        <w:t xml:space="preserve"> km </w:t>
      </w:r>
      <w:r w:rsidR="002915DF" w:rsidRPr="00677280">
        <w:t>east of</w:t>
      </w:r>
      <w:r w:rsidR="002915DF">
        <w:t xml:space="preserve"> </w:t>
      </w:r>
      <w:r>
        <w:t xml:space="preserve">the proposed extension, and </w:t>
      </w:r>
      <w:r w:rsidR="4FA7F0C8">
        <w:t xml:space="preserve">tributaries of </w:t>
      </w:r>
      <w:r>
        <w:t xml:space="preserve">the ephemeral Kurrajong </w:t>
      </w:r>
      <w:r w:rsidR="1E3F0109">
        <w:t xml:space="preserve">and </w:t>
      </w:r>
      <w:proofErr w:type="spellStart"/>
      <w:r w:rsidR="1E3F0109">
        <w:t>Tulla</w:t>
      </w:r>
      <w:proofErr w:type="spellEnd"/>
      <w:r w:rsidR="1E3F0109">
        <w:t xml:space="preserve"> Mullen c</w:t>
      </w:r>
      <w:r>
        <w:t>reek</w:t>
      </w:r>
      <w:r w:rsidR="25689D1B">
        <w:t>s that traverse</w:t>
      </w:r>
      <w:r>
        <w:t xml:space="preserve"> the proposed development area. Known groundwater-dependent ecosystems (GDEs) adjacent to or within the project area include Mayfield, Hardys and Eather Springs</w:t>
      </w:r>
      <w:r w:rsidR="4BE9D0EB" w:rsidRPr="00FD61EB">
        <w:t>,</w:t>
      </w:r>
      <w:r w:rsidR="408282BB" w:rsidRPr="00FD61EB">
        <w:t xml:space="preserve"> as well as several </w:t>
      </w:r>
      <w:r w:rsidR="04633BB2" w:rsidRPr="00FD61EB">
        <w:t>facultative terrestrial GDEs, some of which are mapped as ‘high prio</w:t>
      </w:r>
      <w:r w:rsidR="0AC9D216" w:rsidRPr="00FD61EB">
        <w:t xml:space="preserve">rity’ GDEs in Water Sharing Plans (WSPs) relevant to the </w:t>
      </w:r>
      <w:r w:rsidR="0AC9D216" w:rsidRPr="00677280">
        <w:t>project</w:t>
      </w:r>
      <w:r w:rsidR="002915DF" w:rsidRPr="00677280">
        <w:t xml:space="preserve"> area</w:t>
      </w:r>
      <w:r w:rsidRPr="00FD61EB">
        <w:t xml:space="preserve">. There are also </w:t>
      </w:r>
      <w:r w:rsidR="3BFE4408" w:rsidRPr="00FD61EB">
        <w:t xml:space="preserve">40 </w:t>
      </w:r>
      <w:r w:rsidRPr="00FD61EB">
        <w:t>farm dams</w:t>
      </w:r>
      <w:r w:rsidR="65BA6456" w:rsidRPr="00FD61EB">
        <w:t xml:space="preserve"> within the project area that are</w:t>
      </w:r>
      <w:r w:rsidRPr="00FD61EB">
        <w:t xml:space="preserve"> </w:t>
      </w:r>
      <w:r w:rsidR="521CB96D" w:rsidRPr="00FD61EB">
        <w:t>potentially impacted by subsidence.</w:t>
      </w:r>
    </w:p>
    <w:p w14:paraId="0617BF65" w14:textId="71006D20" w:rsidR="001A5558" w:rsidRDefault="0077445A" w:rsidP="00545173">
      <w:pPr>
        <w:keepNext/>
      </w:pPr>
      <w:r w:rsidRPr="00A87320">
        <w:rPr>
          <w:u w:val="single"/>
        </w:rPr>
        <w:t>Key potential impacts</w:t>
      </w:r>
      <w:r w:rsidRPr="00A87320">
        <w:t xml:space="preserve"> from this project are:</w:t>
      </w:r>
    </w:p>
    <w:p w14:paraId="108EF73F" w14:textId="26175F63" w:rsidR="00C97EC4" w:rsidRPr="009A6521" w:rsidRDefault="009A6521" w:rsidP="009A6521">
      <w:pPr>
        <w:pStyle w:val="ListParagraph"/>
        <w:numPr>
          <w:ilvl w:val="0"/>
          <w:numId w:val="7"/>
        </w:numPr>
        <w:jc w:val="both"/>
        <w:rPr>
          <w:rFonts w:eastAsia="Arial"/>
        </w:rPr>
      </w:pPr>
      <w:r>
        <w:t>d</w:t>
      </w:r>
      <w:r w:rsidR="00C97EC4">
        <w:t xml:space="preserve">rawdown within the saturated alluvium and porous rock aquifers </w:t>
      </w:r>
      <w:r>
        <w:t xml:space="preserve">leading to potential </w:t>
      </w:r>
      <w:r w:rsidR="28C9C789" w:rsidRPr="00C85D73">
        <w:t>long-term</w:t>
      </w:r>
      <w:r w:rsidR="00C85D73" w:rsidRPr="00C85D73">
        <w:t xml:space="preserve"> </w:t>
      </w:r>
      <w:r w:rsidRPr="00C85D73">
        <w:t>reduction</w:t>
      </w:r>
      <w:r>
        <w:t xml:space="preserve"> of available </w:t>
      </w:r>
      <w:r w:rsidR="49AF76E0">
        <w:t>groundwater</w:t>
      </w:r>
      <w:r>
        <w:t xml:space="preserve"> for springs, other GDEs, and agricultural water resources;</w:t>
      </w:r>
    </w:p>
    <w:p w14:paraId="78B5FAA9" w14:textId="141F2676" w:rsidR="00C54D4B" w:rsidRPr="00677280" w:rsidRDefault="0087590F" w:rsidP="7E6D0234">
      <w:pPr>
        <w:pStyle w:val="ListParagraph"/>
        <w:numPr>
          <w:ilvl w:val="0"/>
          <w:numId w:val="7"/>
        </w:numPr>
        <w:jc w:val="both"/>
        <w:rPr>
          <w:rFonts w:eastAsia="Arial"/>
        </w:rPr>
      </w:pPr>
      <w:r>
        <w:t xml:space="preserve">ground </w:t>
      </w:r>
      <w:r w:rsidR="6D7B975F">
        <w:t>d</w:t>
      </w:r>
      <w:r w:rsidR="00552CCD">
        <w:t>eformation</w:t>
      </w:r>
      <w:r w:rsidR="00E847BF">
        <w:t xml:space="preserve"> above longwalls</w:t>
      </w:r>
      <w:r>
        <w:t xml:space="preserve">, including </w:t>
      </w:r>
      <w:r w:rsidR="00552CCD">
        <w:t>subsidence</w:t>
      </w:r>
      <w:r>
        <w:t xml:space="preserve"> and mining-induced fracturing,</w:t>
      </w:r>
      <w:r w:rsidR="00552CCD">
        <w:t xml:space="preserve"> </w:t>
      </w:r>
      <w:r w:rsidR="00944B07">
        <w:t>which changes</w:t>
      </w:r>
      <w:r w:rsidR="00552CCD">
        <w:t xml:space="preserve"> hydraulic parameters </w:t>
      </w:r>
      <w:r>
        <w:t xml:space="preserve">of </w:t>
      </w:r>
      <w:r w:rsidR="00552CCD">
        <w:t>porous rock aquifers</w:t>
      </w:r>
      <w:r>
        <w:t xml:space="preserve"> and the groundwater flux within them</w:t>
      </w:r>
      <w:r w:rsidR="00E847BF">
        <w:t xml:space="preserve"> and</w:t>
      </w:r>
      <w:r w:rsidR="002915DF">
        <w:t xml:space="preserve"> </w:t>
      </w:r>
      <w:r w:rsidR="002915DF" w:rsidRPr="00677280">
        <w:t>the</w:t>
      </w:r>
      <w:r w:rsidR="00E847BF" w:rsidRPr="00677280">
        <w:t xml:space="preserve"> hydraulically connected alluvium</w:t>
      </w:r>
      <w:r w:rsidR="002514BC" w:rsidRPr="00677280">
        <w:t>,</w:t>
      </w:r>
      <w:r w:rsidR="00944B07" w:rsidRPr="00677280">
        <w:t xml:space="preserve"> </w:t>
      </w:r>
      <w:r w:rsidR="002915DF" w:rsidRPr="00677280">
        <w:t xml:space="preserve">producing </w:t>
      </w:r>
      <w:r w:rsidR="002514BC" w:rsidRPr="00677280">
        <w:t xml:space="preserve">a permanent area of groundwater drawdown (or groundwater sink) within the larger regional groundwater flow system. </w:t>
      </w:r>
      <w:r w:rsidR="00C54D4B" w:rsidRPr="00677280">
        <w:t>Th</w:t>
      </w:r>
      <w:r w:rsidR="66AF8E9C" w:rsidRPr="00677280">
        <w:t>ese changes</w:t>
      </w:r>
      <w:r w:rsidR="00C54D4B" w:rsidRPr="00677280">
        <w:t xml:space="preserve"> </w:t>
      </w:r>
      <w:r w:rsidR="00552CCD" w:rsidRPr="00677280">
        <w:t xml:space="preserve">can </w:t>
      </w:r>
      <w:r w:rsidR="6FA2842E" w:rsidRPr="00677280">
        <w:t>alter</w:t>
      </w:r>
      <w:r w:rsidR="00C54D4B" w:rsidRPr="00677280">
        <w:t xml:space="preserve"> </w:t>
      </w:r>
      <w:r w:rsidR="3473D4B6" w:rsidRPr="00677280">
        <w:t xml:space="preserve">flow regimes </w:t>
      </w:r>
      <w:r w:rsidR="195EA47D" w:rsidRPr="00677280">
        <w:t xml:space="preserve">and cause ponding </w:t>
      </w:r>
      <w:r w:rsidR="3473D4B6" w:rsidRPr="00677280">
        <w:t xml:space="preserve">in </w:t>
      </w:r>
      <w:r w:rsidR="3A906406" w:rsidRPr="00677280">
        <w:t xml:space="preserve">undermined </w:t>
      </w:r>
      <w:r w:rsidR="00C54D4B" w:rsidRPr="00677280">
        <w:t>ephemeral stream</w:t>
      </w:r>
      <w:r w:rsidR="2B894497" w:rsidRPr="00677280">
        <w:t>s</w:t>
      </w:r>
      <w:r w:rsidR="002915DF" w:rsidRPr="00677280">
        <w:t>, as well as induce surface water losses from farm dams</w:t>
      </w:r>
      <w:r w:rsidR="00C54D4B" w:rsidRPr="00677280">
        <w:t>;</w:t>
      </w:r>
    </w:p>
    <w:p w14:paraId="799A1050" w14:textId="29FC5A74" w:rsidR="00F743E9" w:rsidRPr="00795A5C" w:rsidRDefault="00F743E9" w:rsidP="001F1738">
      <w:pPr>
        <w:pStyle w:val="ListParagraph"/>
        <w:numPr>
          <w:ilvl w:val="0"/>
          <w:numId w:val="7"/>
        </w:numPr>
        <w:jc w:val="both"/>
      </w:pPr>
      <w:r>
        <w:t>extensive remnant and riparian vegetation dieback over longwall goafs due to subsidence</w:t>
      </w:r>
      <w:r w:rsidR="00AB44E3">
        <w:t>;</w:t>
      </w:r>
      <w:r>
        <w:t xml:space="preserve"> </w:t>
      </w:r>
    </w:p>
    <w:p w14:paraId="1D60936F" w14:textId="08606E78" w:rsidR="00C44E38" w:rsidRPr="00D05A05" w:rsidRDefault="7F08637F" w:rsidP="006453B7">
      <w:pPr>
        <w:pStyle w:val="ListParagraph"/>
        <w:numPr>
          <w:ilvl w:val="0"/>
          <w:numId w:val="7"/>
        </w:numPr>
        <w:jc w:val="both"/>
      </w:pPr>
      <w:r>
        <w:t>p</w:t>
      </w:r>
      <w:r w:rsidR="4C2F7730">
        <w:t xml:space="preserve">ossible </w:t>
      </w:r>
      <w:r w:rsidR="00F743E9">
        <w:t>discharge of saline water into the Namoi River above EC Guideline Values</w:t>
      </w:r>
      <w:r w:rsidR="00C35344">
        <w:t>;</w:t>
      </w:r>
      <w:r w:rsidR="00F743E9">
        <w:t xml:space="preserve"> and</w:t>
      </w:r>
    </w:p>
    <w:p w14:paraId="012CCB32" w14:textId="5AF5AE85" w:rsidR="00F743E9" w:rsidRDefault="00F743E9" w:rsidP="00233A5A">
      <w:pPr>
        <w:pStyle w:val="ListParagraph"/>
        <w:numPr>
          <w:ilvl w:val="0"/>
          <w:numId w:val="1"/>
        </w:numPr>
        <w:jc w:val="both"/>
        <w:rPr>
          <w:rFonts w:eastAsia="Arial"/>
        </w:rPr>
      </w:pPr>
      <w:r>
        <w:t>p</w:t>
      </w:r>
      <w:r w:rsidRPr="4E78671B">
        <w:t xml:space="preserve">otential loss </w:t>
      </w:r>
      <w:r w:rsidR="7330F886" w:rsidRPr="4E78671B">
        <w:t xml:space="preserve">or alteration </w:t>
      </w:r>
      <w:r w:rsidRPr="4E78671B">
        <w:t xml:space="preserve">of habitat for species </w:t>
      </w:r>
      <w:r w:rsidR="5CA28DD0" w:rsidRPr="4E78671B">
        <w:t>such as</w:t>
      </w:r>
      <w:r w:rsidRPr="4E78671B">
        <w:t xml:space="preserve"> </w:t>
      </w:r>
      <w:r w:rsidR="167C7CEC" w:rsidRPr="4E78671B">
        <w:t xml:space="preserve">the </w:t>
      </w:r>
      <w:r w:rsidR="00457ACC" w:rsidRPr="4E78671B">
        <w:t>Koala</w:t>
      </w:r>
      <w:r w:rsidR="6D4E9444" w:rsidRPr="4E78671B">
        <w:t xml:space="preserve"> </w:t>
      </w:r>
      <w:r w:rsidR="00457ACC" w:rsidRPr="00233A5A">
        <w:t>(</w:t>
      </w:r>
      <w:r w:rsidR="00457ACC" w:rsidRPr="00233A5A">
        <w:rPr>
          <w:i/>
          <w:iCs/>
        </w:rPr>
        <w:t>Phascolarctos</w:t>
      </w:r>
      <w:r w:rsidR="00457ACC" w:rsidRPr="00233A5A">
        <w:t xml:space="preserve"> </w:t>
      </w:r>
      <w:r w:rsidR="00457ACC" w:rsidRPr="00233A5A">
        <w:rPr>
          <w:i/>
          <w:iCs/>
        </w:rPr>
        <w:t>cinereus</w:t>
      </w:r>
      <w:r w:rsidR="00457ACC" w:rsidRPr="00233A5A">
        <w:t>)</w:t>
      </w:r>
      <w:r w:rsidR="4D908971" w:rsidRPr="4E78671B">
        <w:t xml:space="preserve"> </w:t>
      </w:r>
      <w:r w:rsidR="6D4E9444" w:rsidRPr="00233A5A">
        <w:t xml:space="preserve">listed as Vulnerable under the </w:t>
      </w:r>
      <w:r w:rsidR="6D4E9444" w:rsidRPr="003A492E">
        <w:rPr>
          <w:i/>
          <w:iCs/>
        </w:rPr>
        <w:t>Environment Protection and Biodiversity Conservation Act 1999</w:t>
      </w:r>
      <w:r w:rsidR="6D4E9444" w:rsidRPr="00233A5A">
        <w:t xml:space="preserve"> (EPBC Act)</w:t>
      </w:r>
      <w:r w:rsidR="00CC282B" w:rsidRPr="00233A5A">
        <w:t>.</w:t>
      </w:r>
    </w:p>
    <w:p w14:paraId="60FC3CE5" w14:textId="77777777" w:rsidR="00457ACC" w:rsidRPr="00812877" w:rsidRDefault="00457ACC" w:rsidP="00812877">
      <w:pPr>
        <w:autoSpaceDE/>
        <w:autoSpaceDN/>
        <w:adjustRightInd/>
        <w:spacing w:after="0" w:line="240" w:lineRule="auto"/>
        <w:rPr>
          <w:rFonts w:ascii="Segoe UI" w:hAnsi="Segoe UI" w:cs="Segoe UI"/>
          <w:i/>
          <w:iCs/>
          <w:sz w:val="21"/>
          <w:szCs w:val="21"/>
          <w:lang w:eastAsia="en-AU"/>
        </w:rPr>
      </w:pPr>
    </w:p>
    <w:p w14:paraId="6D15FD4D" w14:textId="6D4B9FFA" w:rsidR="004E26D2" w:rsidRDefault="004E26D2" w:rsidP="004E26D2">
      <w:pPr>
        <w:pStyle w:val="ListBullet"/>
        <w:ind w:left="0" w:firstLine="0"/>
        <w:rPr>
          <w:lang w:val="en-AU"/>
        </w:rPr>
      </w:pPr>
      <w:r w:rsidRPr="3C556711">
        <w:rPr>
          <w:lang w:val="en-AU"/>
        </w:rPr>
        <w:t>The IESC has identified areas in which additional work is required to address the key potential impacts, as detailed in this advice. These are summarised below.</w:t>
      </w:r>
    </w:p>
    <w:p w14:paraId="1557C2B1" w14:textId="086BC664" w:rsidR="00D5493E" w:rsidRDefault="1BB143E5" w:rsidP="4E78671B">
      <w:pPr>
        <w:pStyle w:val="ListParagraph"/>
        <w:numPr>
          <w:ilvl w:val="0"/>
          <w:numId w:val="7"/>
        </w:numPr>
        <w:jc w:val="both"/>
        <w:rPr>
          <w:rFonts w:eastAsia="Arial"/>
        </w:rPr>
      </w:pPr>
      <w:r>
        <w:t>S</w:t>
      </w:r>
      <w:r w:rsidR="000E499D">
        <w:t xml:space="preserve">urface water modelling informed by </w:t>
      </w:r>
      <w:r w:rsidR="2775A379">
        <w:t xml:space="preserve">data from </w:t>
      </w:r>
      <w:r w:rsidR="000E499D">
        <w:t xml:space="preserve">baseline stream gauging is still required to assess </w:t>
      </w:r>
      <w:r w:rsidR="12C794AA" w:rsidRPr="009803FB">
        <w:t xml:space="preserve">impacts on ecologically important </w:t>
      </w:r>
      <w:r w:rsidR="317C4CA9" w:rsidRPr="009803FB">
        <w:t>stream-</w:t>
      </w:r>
      <w:r w:rsidR="12C794AA" w:rsidRPr="009803FB">
        <w:t xml:space="preserve">flow components </w:t>
      </w:r>
      <w:r w:rsidR="2E60D4EF" w:rsidRPr="009803FB">
        <w:t>(e.g. spells of low- and zero flows)</w:t>
      </w:r>
      <w:r w:rsidR="000E499D">
        <w:t xml:space="preserve"> under a range of climatic scenarios</w:t>
      </w:r>
      <w:r w:rsidR="6C7781BF">
        <w:t xml:space="preserve"> relevant to the long-term nature of the impacts</w:t>
      </w:r>
      <w:r w:rsidR="000E499D">
        <w:t xml:space="preserve">. </w:t>
      </w:r>
    </w:p>
    <w:p w14:paraId="5A54E797" w14:textId="780AB1D3" w:rsidR="000E499D" w:rsidRDefault="000E499D" w:rsidP="001F1738">
      <w:pPr>
        <w:pStyle w:val="ListParagraph"/>
        <w:numPr>
          <w:ilvl w:val="0"/>
          <w:numId w:val="7"/>
        </w:numPr>
        <w:jc w:val="both"/>
      </w:pPr>
      <w:r>
        <w:t xml:space="preserve">Additional mitigation measures may be necessary, such as revising the mine </w:t>
      </w:r>
      <w:r w:rsidR="00812877">
        <w:t xml:space="preserve">layout and geometry </w:t>
      </w:r>
      <w:r>
        <w:t>to reduce subsidence-related strains and stresses</w:t>
      </w:r>
      <w:r w:rsidR="003A7B61">
        <w:t>, to protect water-related assets.</w:t>
      </w:r>
      <w:r>
        <w:t xml:space="preserve"> </w:t>
      </w:r>
    </w:p>
    <w:p w14:paraId="4D54ECFA" w14:textId="1EBD477D" w:rsidR="00C85D73" w:rsidRDefault="00A765FC" w:rsidP="001F1738">
      <w:pPr>
        <w:pStyle w:val="ListParagraph"/>
        <w:numPr>
          <w:ilvl w:val="0"/>
          <w:numId w:val="7"/>
        </w:numPr>
        <w:jc w:val="both"/>
      </w:pPr>
      <w:r>
        <w:t>G</w:t>
      </w:r>
      <w:r w:rsidR="00C85D73">
        <w:t>eophysical surveys and in-situ testing of hydraulic parameters</w:t>
      </w:r>
      <w:r>
        <w:t xml:space="preserve"> are required to</w:t>
      </w:r>
      <w:r w:rsidR="00C85D73">
        <w:t xml:space="preserve"> provide greater confidence in the extent and magnitude of predicted watertable drawdown within alluvium near the Namoi River.</w:t>
      </w:r>
    </w:p>
    <w:p w14:paraId="26BDD0D3" w14:textId="6228CCC8" w:rsidR="00C85D73" w:rsidRDefault="00795A5C" w:rsidP="00C85D73">
      <w:pPr>
        <w:pStyle w:val="ListParagraph"/>
        <w:numPr>
          <w:ilvl w:val="0"/>
          <w:numId w:val="7"/>
        </w:numPr>
        <w:jc w:val="both"/>
      </w:pPr>
      <w:r>
        <w:t>Expand the monitoring network at the site to better monitor changes in groundwater levels</w:t>
      </w:r>
      <w:r w:rsidR="00812877">
        <w:t xml:space="preserve"> and quality</w:t>
      </w:r>
      <w:r>
        <w:t>, particularly in areas of suspected groundwater</w:t>
      </w:r>
      <w:r w:rsidR="6AC00350">
        <w:t>-</w:t>
      </w:r>
      <w:r>
        <w:t>surface water interactions, to monitor potential impacts to GDEs.</w:t>
      </w:r>
      <w:r w:rsidR="002514BC">
        <w:t xml:space="preserve"> </w:t>
      </w:r>
    </w:p>
    <w:p w14:paraId="399E365D" w14:textId="1D73ABA0" w:rsidR="00795A5C" w:rsidRDefault="00A71F0D" w:rsidP="00A71F0D">
      <w:pPr>
        <w:pStyle w:val="ListParagraph"/>
        <w:numPr>
          <w:ilvl w:val="0"/>
          <w:numId w:val="7"/>
        </w:numPr>
        <w:jc w:val="both"/>
      </w:pPr>
      <w:r w:rsidRPr="00C85D73">
        <w:t xml:space="preserve">Additional monitoring of the effects of ground movement on groundwater levels by multi-level VWPs above the centreline of the first new longwall panels </w:t>
      </w:r>
      <w:r w:rsidRPr="00A71F0D">
        <w:t>to support updates of the assessments on the groundwater system.</w:t>
      </w:r>
    </w:p>
    <w:p w14:paraId="3BDE2149" w14:textId="5868ADB5" w:rsidR="00E1720A" w:rsidRPr="00A87320" w:rsidRDefault="00552CCD">
      <w:pPr>
        <w:pStyle w:val="ListParagraph"/>
        <w:numPr>
          <w:ilvl w:val="0"/>
          <w:numId w:val="7"/>
        </w:numPr>
        <w:jc w:val="both"/>
        <w:rPr>
          <w:rFonts w:eastAsia="Arial"/>
        </w:rPr>
      </w:pPr>
      <w:r>
        <w:t xml:space="preserve">Additional </w:t>
      </w:r>
      <w:r w:rsidR="6FEDC10E">
        <w:t>investigation</w:t>
      </w:r>
      <w:r>
        <w:t xml:space="preserve"> using a suitable suite of water-tracers</w:t>
      </w:r>
      <w:r w:rsidR="00E1720A">
        <w:t xml:space="preserve"> </w:t>
      </w:r>
      <w:r w:rsidR="4A1275E9">
        <w:t xml:space="preserve">injected </w:t>
      </w:r>
      <w:r w:rsidR="00E1720A">
        <w:t xml:space="preserve">into existing goafs at the site to assist in modelling how the planned reinjection of brine </w:t>
      </w:r>
      <w:r w:rsidR="34397E13">
        <w:t>could</w:t>
      </w:r>
      <w:r w:rsidR="00E1720A">
        <w:t xml:space="preserve"> move in the </w:t>
      </w:r>
      <w:r w:rsidR="6DDA39BC">
        <w:t xml:space="preserve">groundwater </w:t>
      </w:r>
      <w:r w:rsidR="00E1720A">
        <w:t xml:space="preserve">system. </w:t>
      </w:r>
    </w:p>
    <w:p w14:paraId="7FA35A98" w14:textId="7A787018" w:rsidR="004E26D2" w:rsidRDefault="5E68CF90" w:rsidP="001F1738">
      <w:pPr>
        <w:pStyle w:val="ListParagraph"/>
        <w:numPr>
          <w:ilvl w:val="0"/>
          <w:numId w:val="7"/>
        </w:numPr>
        <w:jc w:val="both"/>
      </w:pPr>
      <w:r>
        <w:lastRenderedPageBreak/>
        <w:t>Provide</w:t>
      </w:r>
      <w:r w:rsidR="168AE5AF">
        <w:t xml:space="preserve"> </w:t>
      </w:r>
      <w:r w:rsidR="00C31D97">
        <w:t xml:space="preserve">additional information </w:t>
      </w:r>
      <w:r w:rsidR="7F9A8F19">
        <w:t>about</w:t>
      </w:r>
      <w:r w:rsidR="00C31D97">
        <w:t xml:space="preserve"> the</w:t>
      </w:r>
      <w:r w:rsidR="00B14473">
        <w:t xml:space="preserve"> treatment of mine-affected water and its</w:t>
      </w:r>
      <w:r w:rsidR="00C31D97">
        <w:t xml:space="preserve"> </w:t>
      </w:r>
      <w:r w:rsidR="00B14473">
        <w:t xml:space="preserve">water quality </w:t>
      </w:r>
      <w:r w:rsidR="00C31D97">
        <w:t>before releases are made into the Namoi River.</w:t>
      </w:r>
      <w:r w:rsidR="00BA63EA">
        <w:t xml:space="preserve"> </w:t>
      </w:r>
      <w:r w:rsidR="2CB4DD88">
        <w:t>Hydrochemistry</w:t>
      </w:r>
      <w:r w:rsidR="00BA63EA">
        <w:t xml:space="preserve"> of the </w:t>
      </w:r>
      <w:r w:rsidR="5A9B8263">
        <w:t xml:space="preserve">receiving waters of the </w:t>
      </w:r>
      <w:r w:rsidR="00BA63EA">
        <w:t>Namoi should also be monitored</w:t>
      </w:r>
      <w:r w:rsidR="75CF5341">
        <w:t xml:space="preserve"> over time</w:t>
      </w:r>
      <w:r w:rsidR="00BA63EA">
        <w:t xml:space="preserve"> to establish background levels prior to water release. </w:t>
      </w:r>
    </w:p>
    <w:p w14:paraId="3BBD5C29" w14:textId="0265BD21" w:rsidR="6FAC511F" w:rsidRDefault="6FAC511F" w:rsidP="4E78671B">
      <w:pPr>
        <w:pStyle w:val="ListParagraph"/>
        <w:numPr>
          <w:ilvl w:val="0"/>
          <w:numId w:val="7"/>
        </w:numPr>
        <w:jc w:val="both"/>
      </w:pPr>
      <w:r>
        <w:t>Address inconsistencies in the risk assessment of GDEs</w:t>
      </w:r>
      <w:r w:rsidR="00A71F0D">
        <w:t>.</w:t>
      </w:r>
    </w:p>
    <w:p w14:paraId="40ADA673" w14:textId="750D9435" w:rsidR="0B6A7511" w:rsidRDefault="0B6A7511" w:rsidP="4E78671B">
      <w:pPr>
        <w:pStyle w:val="ListParagraph"/>
        <w:numPr>
          <w:ilvl w:val="0"/>
          <w:numId w:val="7"/>
        </w:numPr>
        <w:jc w:val="both"/>
      </w:pPr>
      <w:r>
        <w:t xml:space="preserve">Assess groundwater-dependence of trees in the zone of predicted groundwater drawdown, especially </w:t>
      </w:r>
      <w:r w:rsidR="747369BE">
        <w:t>where subsidence will also occur</w:t>
      </w:r>
      <w:r w:rsidR="747369BE" w:rsidRPr="00677280">
        <w:t xml:space="preserve">. Quantify </w:t>
      </w:r>
      <w:r w:rsidR="33184EF0" w:rsidRPr="00677280">
        <w:t>t</w:t>
      </w:r>
      <w:r w:rsidR="747369BE" w:rsidRPr="00677280">
        <w:t>he use</w:t>
      </w:r>
      <w:r w:rsidR="15761A47" w:rsidRPr="00677280">
        <w:t xml:space="preserve"> by arboreal fauna (e.g. Koala, Squirrel Glider</w:t>
      </w:r>
      <w:r w:rsidR="002B704E" w:rsidRPr="00677280">
        <w:t xml:space="preserve"> (</w:t>
      </w:r>
      <w:r w:rsidR="002B704E" w:rsidRPr="00677280">
        <w:rPr>
          <w:i/>
          <w:iCs/>
        </w:rPr>
        <w:t xml:space="preserve">Petaurus </w:t>
      </w:r>
      <w:proofErr w:type="spellStart"/>
      <w:r w:rsidR="002B704E" w:rsidRPr="00677280">
        <w:rPr>
          <w:i/>
          <w:iCs/>
        </w:rPr>
        <w:t>norfolcensis</w:t>
      </w:r>
      <w:proofErr w:type="spellEnd"/>
      <w:r w:rsidR="002B704E" w:rsidRPr="00677280">
        <w:t>)</w:t>
      </w:r>
      <w:r w:rsidR="15761A47" w:rsidRPr="00677280">
        <w:t>)</w:t>
      </w:r>
      <w:r w:rsidR="747369BE" w:rsidRPr="00677280">
        <w:t xml:space="preserve"> of</w:t>
      </w:r>
      <w:r w:rsidR="747369BE">
        <w:t xml:space="preserve"> groundwater-dependent trees and those </w:t>
      </w:r>
      <w:r w:rsidR="0C31E5B0">
        <w:t>likely to be impacted by subsidence so that adequate mitigation measures can be developed.</w:t>
      </w:r>
    </w:p>
    <w:p w14:paraId="2D101E9A" w14:textId="6D8064BE" w:rsidR="53BBE0F1" w:rsidRDefault="53BBE0F1" w:rsidP="4E78671B">
      <w:pPr>
        <w:pStyle w:val="ListParagraph"/>
        <w:numPr>
          <w:ilvl w:val="0"/>
          <w:numId w:val="7"/>
        </w:numPr>
        <w:jc w:val="both"/>
        <w:rPr>
          <w:rFonts w:eastAsia="Arial"/>
        </w:rPr>
      </w:pPr>
      <w:r>
        <w:t>Collec</w:t>
      </w:r>
      <w:r w:rsidR="5A227755">
        <w:t>t</w:t>
      </w:r>
      <w:r>
        <w:t xml:space="preserve"> detailed information on the ecohydrology of the three springs, including discharge and recharge r</w:t>
      </w:r>
      <w:r w:rsidRPr="00233A5A">
        <w:t xml:space="preserve">ates, water quality and species diversity to inform risk assessments </w:t>
      </w:r>
      <w:r w:rsidR="597EF59F" w:rsidRPr="00233A5A">
        <w:t>and mitigation strategies</w:t>
      </w:r>
      <w:r w:rsidR="00A71F0D">
        <w:t>.</w:t>
      </w:r>
    </w:p>
    <w:p w14:paraId="09422841" w14:textId="69B123EB" w:rsidR="00BF21A7" w:rsidRPr="00870970" w:rsidRDefault="03DE97A4" w:rsidP="00870970">
      <w:pPr>
        <w:pStyle w:val="ListParagraph"/>
        <w:numPr>
          <w:ilvl w:val="0"/>
          <w:numId w:val="7"/>
        </w:numPr>
        <w:jc w:val="both"/>
      </w:pPr>
      <w:r w:rsidRPr="00233A5A">
        <w:t>Sample styg</w:t>
      </w:r>
      <w:r w:rsidR="4B920FBC">
        <w:t>o</w:t>
      </w:r>
      <w:r w:rsidRPr="00233A5A">
        <w:t xml:space="preserve">fauna </w:t>
      </w:r>
      <w:r>
        <w:t>in areas of predicted drawdown as well as unimpacted reference sites to</w:t>
      </w:r>
      <w:r w:rsidR="44BCB0AE">
        <w:t xml:space="preserve"> </w:t>
      </w:r>
      <w:r w:rsidR="3ABDC818">
        <w:t>assess</w:t>
      </w:r>
      <w:r w:rsidR="62F904CA">
        <w:t xml:space="preserve"> the likely impacts of isolating </w:t>
      </w:r>
      <w:proofErr w:type="spellStart"/>
      <w:r w:rsidR="62F904CA">
        <w:t>stygofaunal</w:t>
      </w:r>
      <w:proofErr w:type="spellEnd"/>
      <w:r w:rsidR="62F904CA">
        <w:t xml:space="preserve"> habitat from the Namoi River alluvium</w:t>
      </w:r>
      <w:r w:rsidR="00FB2450">
        <w:t>.</w:t>
      </w:r>
    </w:p>
    <w:p w14:paraId="16832C26" w14:textId="77777777" w:rsidR="00291857" w:rsidRPr="00BF21A7" w:rsidRDefault="00291857" w:rsidP="00291857">
      <w:pPr>
        <w:rPr>
          <w:b/>
        </w:rPr>
      </w:pPr>
      <w:r w:rsidRPr="00BF21A7">
        <w:rPr>
          <w:b/>
        </w:rPr>
        <w:t>Context</w:t>
      </w:r>
    </w:p>
    <w:p w14:paraId="3A290CF6" w14:textId="322838CD" w:rsidR="00435572" w:rsidRDefault="00720CC1" w:rsidP="004E31E3">
      <w:r w:rsidRPr="00920E5A">
        <w:t>The Narrabri Mine (</w:t>
      </w:r>
      <w:r w:rsidR="00CB560B" w:rsidRPr="00920E5A">
        <w:rPr>
          <w:rFonts w:ascii="ArialMT" w:eastAsia="Calibri" w:hAnsi="ArialMT" w:cs="ArialMT"/>
          <w:lang w:eastAsia="en-AU"/>
        </w:rPr>
        <w:t>EPBC 2019/</w:t>
      </w:r>
      <w:r w:rsidR="00CB560B" w:rsidRPr="00CB560B">
        <w:rPr>
          <w:rFonts w:ascii="ArialMT" w:eastAsia="Calibri" w:hAnsi="ArialMT" w:cs="ArialMT"/>
          <w:lang w:eastAsia="en-AU"/>
        </w:rPr>
        <w:t>8427</w:t>
      </w:r>
      <w:r w:rsidRPr="00920E5A">
        <w:t xml:space="preserve">) is an existing underground coal mining operation located in the Gunnedah </w:t>
      </w:r>
      <w:r w:rsidR="00A239C2" w:rsidRPr="00920E5A">
        <w:t xml:space="preserve">Basin </w:t>
      </w:r>
      <w:r w:rsidRPr="00920E5A">
        <w:t xml:space="preserve">Coalfield, approximately 25 km south-east of Narrabri and approximately 60 km north-west of Gunnedah, NSW. The proposed project will expand the existing operation, targeting the </w:t>
      </w:r>
      <w:proofErr w:type="spellStart"/>
      <w:r w:rsidRPr="00920E5A">
        <w:t>Hoskissons</w:t>
      </w:r>
      <w:proofErr w:type="spellEnd"/>
      <w:r w:rsidRPr="00920E5A">
        <w:t xml:space="preserve"> Seam. </w:t>
      </w:r>
      <w:r w:rsidR="004E31E3">
        <w:t xml:space="preserve">Mining has occurred at the Narrabri Underground Mine since 2010. The project proposes to extend the existing mine in a southerly direction to access an additional 82 Mt </w:t>
      </w:r>
      <w:r w:rsidR="5AF70A10">
        <w:t xml:space="preserve">of </w:t>
      </w:r>
      <w:r w:rsidR="004E31E3">
        <w:t xml:space="preserve">run-of-mine coal until 2044. The project will use existing coal handling, processing and transportation facilities. </w:t>
      </w:r>
    </w:p>
    <w:p w14:paraId="16424D36" w14:textId="6C2C92AB" w:rsidR="00CB560B" w:rsidRPr="00545173" w:rsidRDefault="0054373B" w:rsidP="004E31E3">
      <w:r>
        <w:rPr>
          <w:color w:val="000000"/>
        </w:rPr>
        <w:t>The project lies in the Namoi Water Management Area, a region with one of the highest levels of groundwater extraction in the Murray-Darling Basin (</w:t>
      </w:r>
      <w:r w:rsidR="00BD7BD5">
        <w:rPr>
          <w:color w:val="000000"/>
        </w:rPr>
        <w:t>DPI</w:t>
      </w:r>
      <w:r>
        <w:rPr>
          <w:color w:val="000000"/>
        </w:rPr>
        <w:t xml:space="preserve">, 2017). Surface water resources in the area include the Namoi River and several of its (mostly ephemeral) tributaries that form part of </w:t>
      </w:r>
      <w:r>
        <w:rPr>
          <w:i/>
          <w:iCs/>
          <w:color w:val="000000"/>
        </w:rPr>
        <w:t>The Lowland Darling River aquatic ecological community</w:t>
      </w:r>
      <w:r>
        <w:rPr>
          <w:color w:val="000000"/>
        </w:rPr>
        <w:t>, listed as an endangered ecological community (NSW DPI</w:t>
      </w:r>
      <w:r w:rsidR="00303844">
        <w:rPr>
          <w:color w:val="000000"/>
        </w:rPr>
        <w:t>,</w:t>
      </w:r>
      <w:r>
        <w:rPr>
          <w:color w:val="000000"/>
        </w:rPr>
        <w:t xml:space="preserve"> 2007). The project area and its predicted zone of drawdown also contain groundwater-dependent ecosystems (GDEs) such as springs and terrestrial vegetation, some of which are classified as 'high priority' GDEs.</w:t>
      </w:r>
    </w:p>
    <w:p w14:paraId="05F2BB16" w14:textId="603EDA50" w:rsidR="00262FBB" w:rsidRDefault="004E31E3" w:rsidP="007F64A6">
      <w:pPr>
        <w:spacing w:after="0" w:line="240" w:lineRule="auto"/>
      </w:pPr>
      <w:r>
        <w:t xml:space="preserve">The project </w:t>
      </w:r>
      <w:r w:rsidR="00A239C2">
        <w:t xml:space="preserve">will </w:t>
      </w:r>
      <w:r>
        <w:t xml:space="preserve">undermine tributaries of Kurrajong and </w:t>
      </w:r>
      <w:proofErr w:type="spellStart"/>
      <w:r>
        <w:t>Tulla</w:t>
      </w:r>
      <w:proofErr w:type="spellEnd"/>
      <w:r w:rsidR="00CB560B">
        <w:t xml:space="preserve"> Mullen</w:t>
      </w:r>
      <w:r>
        <w:t xml:space="preserve"> </w:t>
      </w:r>
      <w:r w:rsidR="00CB560B">
        <w:t>C</w:t>
      </w:r>
      <w:r>
        <w:t>reeks, as well as the eastern bo</w:t>
      </w:r>
      <w:r w:rsidR="00702045">
        <w:t>rder</w:t>
      </w:r>
      <w:r>
        <w:t xml:space="preserve"> of the Pilliga State Forest.</w:t>
      </w:r>
    </w:p>
    <w:p w14:paraId="1F1A59F1" w14:textId="1CAC30D5" w:rsidR="00947E7D" w:rsidRDefault="00D84735" w:rsidP="00947E7D">
      <w:pPr>
        <w:spacing w:after="0" w:line="240" w:lineRule="auto"/>
      </w:pPr>
      <w:r>
        <w:br/>
      </w:r>
      <w:r w:rsidR="00766009" w:rsidRPr="00233A5A">
        <w:rPr>
          <w:u w:val="single"/>
        </w:rPr>
        <w:t>Response to questions</w:t>
      </w:r>
    </w:p>
    <w:p w14:paraId="14DA0F28" w14:textId="77777777" w:rsidR="00947E7D" w:rsidRPr="00BF21A7" w:rsidRDefault="00947E7D" w:rsidP="007F64A6">
      <w:pPr>
        <w:spacing w:after="0" w:line="240" w:lineRule="auto"/>
      </w:pPr>
    </w:p>
    <w:p w14:paraId="57BB59F0" w14:textId="562D892C" w:rsidR="00766009" w:rsidRDefault="007203C3" w:rsidP="00947E7D">
      <w:pPr>
        <w:spacing w:after="0" w:line="240" w:lineRule="auto"/>
      </w:pPr>
      <w:r>
        <w:t xml:space="preserve">The </w:t>
      </w:r>
      <w:r w:rsidR="00CF562A">
        <w:t>IESC</w:t>
      </w:r>
      <w:r>
        <w:t xml:space="preserve">’s advice in response to the </w:t>
      </w:r>
      <w:r w:rsidR="00E57CD8">
        <w:t xml:space="preserve">requesting </w:t>
      </w:r>
      <w:r w:rsidR="00D441B2">
        <w:t>agencies’</w:t>
      </w:r>
      <w:r>
        <w:t xml:space="preserve"> specific questions is provided below.</w:t>
      </w:r>
      <w:r w:rsidR="003A5883">
        <w:t xml:space="preserve"> </w:t>
      </w:r>
      <w:bookmarkStart w:id="0" w:name="_Hlk56680682"/>
    </w:p>
    <w:p w14:paraId="16B4022C" w14:textId="77777777" w:rsidR="00947E7D" w:rsidRPr="007F64A6" w:rsidRDefault="00947E7D" w:rsidP="00CD14C7">
      <w:pPr>
        <w:spacing w:after="0" w:line="240" w:lineRule="auto"/>
      </w:pPr>
    </w:p>
    <w:p w14:paraId="3C221BA1" w14:textId="6055D43B" w:rsidR="002808D4" w:rsidRPr="002808D4" w:rsidRDefault="002808D4" w:rsidP="001F1738">
      <w:pPr>
        <w:pStyle w:val="ListParagraph"/>
        <w:numPr>
          <w:ilvl w:val="0"/>
          <w:numId w:val="8"/>
        </w:numPr>
      </w:pPr>
      <w:r>
        <w:t>Overall</w:t>
      </w:r>
      <w:r w:rsidR="04CF0ADF">
        <w:t>,</w:t>
      </w:r>
      <w:r>
        <w:t xml:space="preserve"> the IESC considers that there is still a </w:t>
      </w:r>
      <w:r w:rsidRPr="00404615">
        <w:t>material risk of</w:t>
      </w:r>
      <w:r w:rsidR="005F4B09" w:rsidRPr="00404615">
        <w:t xml:space="preserve"> </w:t>
      </w:r>
      <w:r w:rsidRPr="00404615">
        <w:t>impacts</w:t>
      </w:r>
      <w:r>
        <w:t xml:space="preserve"> on water resources given the current intensive use of groundwater in the region, the predicted extent of subsidence and groundwater drawdown by the pr</w:t>
      </w:r>
      <w:r w:rsidR="005258F2">
        <w:t>oject</w:t>
      </w:r>
      <w:r>
        <w:t>, and the proposed development’s proximity to significant water resources such as</w:t>
      </w:r>
      <w:r w:rsidR="00DD0DBD">
        <w:t xml:space="preserve"> the Namoi River and its alluvium,</w:t>
      </w:r>
      <w:r>
        <w:t xml:space="preserve"> springs, </w:t>
      </w:r>
      <w:r w:rsidR="48750D5D">
        <w:t>other GDEs</w:t>
      </w:r>
      <w:r w:rsidR="00DD0DBD">
        <w:t xml:space="preserve"> </w:t>
      </w:r>
      <w:r>
        <w:t xml:space="preserve">and the state-listed </w:t>
      </w:r>
      <w:r w:rsidRPr="3298BA36">
        <w:rPr>
          <w:i/>
          <w:iCs/>
        </w:rPr>
        <w:t>Lowland Darling River Aquatic</w:t>
      </w:r>
      <w:r w:rsidR="005F4B09">
        <w:rPr>
          <w:i/>
          <w:iCs/>
        </w:rPr>
        <w:t xml:space="preserve"> Ecological</w:t>
      </w:r>
      <w:r w:rsidRPr="3298BA36">
        <w:rPr>
          <w:i/>
          <w:iCs/>
        </w:rPr>
        <w:t xml:space="preserve"> Community</w:t>
      </w:r>
      <w:r>
        <w:t xml:space="preserve"> (NSW DPI, 2007). Many of these potential impacts were discussed in the IESC’s previous advice (IESC</w:t>
      </w:r>
      <w:r w:rsidR="0098564C">
        <w:t>,</w:t>
      </w:r>
      <w:r>
        <w:t xml:space="preserve"> 2019</w:t>
      </w:r>
      <w:r w:rsidR="005258F2">
        <w:t>) and are still not adequately addressed.</w:t>
      </w:r>
      <w:r>
        <w:t xml:space="preserve"> </w:t>
      </w:r>
    </w:p>
    <w:p w14:paraId="7C56FFB0" w14:textId="5277A7C1" w:rsidR="00277831" w:rsidRDefault="007203C3" w:rsidP="00277831">
      <w:pPr>
        <w:pStyle w:val="Question"/>
        <w:shd w:val="clear" w:color="auto" w:fill="E7E6E6"/>
        <w:spacing w:after="0"/>
      </w:pPr>
      <w:r>
        <w:t xml:space="preserve">Question 1: </w:t>
      </w:r>
      <w:r w:rsidR="00277831">
        <w:t>To what extent can decision makers have confidence in the predictions of impacts on</w:t>
      </w:r>
      <w:r w:rsidR="009E5BEC">
        <w:t xml:space="preserve"> </w:t>
      </w:r>
      <w:r w:rsidR="00277831">
        <w:t xml:space="preserve">groundwater resources provided in the </w:t>
      </w:r>
      <w:r w:rsidR="00552E89">
        <w:t>Environmental Impact Statement (</w:t>
      </w:r>
      <w:r w:rsidR="00277831">
        <w:t>EIS</w:t>
      </w:r>
      <w:r w:rsidR="00552E89">
        <w:t>)</w:t>
      </w:r>
      <w:r w:rsidR="00277831">
        <w:t>, groundwater inflows, drawdowns in aquifers and</w:t>
      </w:r>
      <w:r w:rsidR="00DD6421">
        <w:t xml:space="preserve"> </w:t>
      </w:r>
      <w:r w:rsidR="00277831">
        <w:t>potential impacts on private bores and groundwater dependent ecosystems?</w:t>
      </w:r>
    </w:p>
    <w:p w14:paraId="67C08146" w14:textId="77777777" w:rsidR="00F9304D" w:rsidRPr="00BF21A7" w:rsidRDefault="00F9304D" w:rsidP="00F9304D">
      <w:pPr>
        <w:pStyle w:val="Question"/>
        <w:shd w:val="clear" w:color="auto" w:fill="E7E6E6"/>
        <w:spacing w:after="0"/>
      </w:pPr>
    </w:p>
    <w:p w14:paraId="5F2C44C0" w14:textId="77777777" w:rsidR="00F9304D" w:rsidRPr="00BF21A7" w:rsidRDefault="00F9304D" w:rsidP="00F9304D">
      <w:pPr>
        <w:pStyle w:val="Question"/>
        <w:shd w:val="clear" w:color="auto" w:fill="E7E6E6"/>
        <w:spacing w:after="0"/>
      </w:pPr>
      <w:r>
        <w:t>And</w:t>
      </w:r>
    </w:p>
    <w:p w14:paraId="40567049" w14:textId="77777777" w:rsidR="00F9304D" w:rsidRDefault="00F9304D" w:rsidP="00F9304D">
      <w:pPr>
        <w:pStyle w:val="Question"/>
        <w:shd w:val="clear" w:color="auto" w:fill="E7E6E6"/>
        <w:spacing w:after="0"/>
      </w:pPr>
    </w:p>
    <w:p w14:paraId="4F1E87FF" w14:textId="77777777" w:rsidR="00F9304D" w:rsidRDefault="00F9304D" w:rsidP="00F9304D">
      <w:pPr>
        <w:pStyle w:val="Question"/>
        <w:shd w:val="clear" w:color="auto" w:fill="E7E6E6"/>
        <w:spacing w:after="0"/>
      </w:pPr>
      <w:r>
        <w:t>Question 2:</w:t>
      </w:r>
      <w:r w:rsidRPr="41AAE43B">
        <w:rPr>
          <w:rFonts w:ascii="ArialMT" w:eastAsia="Calibri" w:hAnsi="ArialMT" w:cs="ArialMT"/>
          <w:lang w:eastAsia="en-AU"/>
        </w:rPr>
        <w:t xml:space="preserve"> </w:t>
      </w:r>
      <w:r>
        <w:t>Can the IESC comment on the assumptions made regarding the subsidence effects on the</w:t>
      </w:r>
    </w:p>
    <w:p w14:paraId="7A47E6FA" w14:textId="37B8CC07" w:rsidR="00F9304D" w:rsidRPr="00BF21A7" w:rsidRDefault="00F9304D" w:rsidP="00277831">
      <w:pPr>
        <w:pStyle w:val="Question"/>
        <w:shd w:val="clear" w:color="auto" w:fill="E7E6E6"/>
        <w:spacing w:after="0"/>
      </w:pPr>
      <w:r>
        <w:t>groundwater hydraulic model parameters?</w:t>
      </w:r>
    </w:p>
    <w:bookmarkEnd w:id="0"/>
    <w:p w14:paraId="33298636" w14:textId="77777777" w:rsidR="00D6797A" w:rsidRDefault="00D6797A" w:rsidP="00FE4485">
      <w:pPr>
        <w:rPr>
          <w:u w:val="single"/>
        </w:rPr>
      </w:pPr>
    </w:p>
    <w:p w14:paraId="19C84EF5" w14:textId="7155DDA2" w:rsidR="00277831" w:rsidRDefault="00552E89" w:rsidP="00FE4485">
      <w:pPr>
        <w:rPr>
          <w:u w:val="single"/>
        </w:rPr>
      </w:pPr>
      <w:r w:rsidRPr="41AAE43B">
        <w:rPr>
          <w:u w:val="single"/>
        </w:rPr>
        <w:t>Groundwater</w:t>
      </w:r>
    </w:p>
    <w:p w14:paraId="482176E6" w14:textId="2D279759" w:rsidR="009A6C67" w:rsidRPr="009A6C67" w:rsidRDefault="009A6C67" w:rsidP="41AAE43B">
      <w:pPr>
        <w:pStyle w:val="ListParagraph"/>
        <w:numPr>
          <w:ilvl w:val="0"/>
          <w:numId w:val="8"/>
        </w:numPr>
        <w:adjustRightInd/>
        <w:rPr>
          <w:rFonts w:eastAsia="Arial"/>
          <w:u w:val="single"/>
        </w:rPr>
      </w:pPr>
      <w:r>
        <w:t>A predicted maximum drawdown of the</w:t>
      </w:r>
      <w:r w:rsidR="00233A5A">
        <w:t xml:space="preserve"> </w:t>
      </w:r>
      <w:r>
        <w:t>watertable</w:t>
      </w:r>
      <w:r w:rsidR="00233A5A">
        <w:t xml:space="preserve"> </w:t>
      </w:r>
      <w:r w:rsidR="2444C56D">
        <w:t>&gt;</w:t>
      </w:r>
      <w:r>
        <w:t xml:space="preserve"> 10 m is indicated over a large area to the east and northeast of the proposed longwall panels. A steep gradient in the</w:t>
      </w:r>
      <w:r w:rsidR="00233A5A">
        <w:t xml:space="preserve"> </w:t>
      </w:r>
      <w:r>
        <w:t>watertable</w:t>
      </w:r>
      <w:r w:rsidR="00233A5A">
        <w:t xml:space="preserve"> </w:t>
      </w:r>
      <w:r>
        <w:t>predicted near the Namoi River is apparently related to lithological changes</w:t>
      </w:r>
      <w:r w:rsidR="37DE7850">
        <w:t>;</w:t>
      </w:r>
      <w:r>
        <w:t xml:space="preserve"> however, </w:t>
      </w:r>
      <w:r w:rsidR="00DA3F9D">
        <w:t xml:space="preserve">no basis for the ground-truthing of </w:t>
      </w:r>
      <w:r>
        <w:t>the mapped extent and heterogeneity of these units</w:t>
      </w:r>
      <w:r w:rsidR="00DA3F9D">
        <w:t xml:space="preserve"> has been provided.</w:t>
      </w:r>
      <w:r>
        <w:t xml:space="preserve"> The extent and parameterisation of the hydrogeological units between the proposed longwall panels and the river is uncertain</w:t>
      </w:r>
      <w:r w:rsidR="0FE032AC">
        <w:t xml:space="preserve"> </w:t>
      </w:r>
      <w:proofErr w:type="gramStart"/>
      <w:r w:rsidR="0FE032AC">
        <w:t>and</w:t>
      </w:r>
      <w:r w:rsidR="00233A5A">
        <w:t xml:space="preserve"> </w:t>
      </w:r>
      <w:r>
        <w:t>also</w:t>
      </w:r>
      <w:proofErr w:type="gramEnd"/>
      <w:r>
        <w:t xml:space="preserve"> contributes to the uncertainty in the</w:t>
      </w:r>
      <w:r w:rsidR="00233A5A">
        <w:t xml:space="preserve"> </w:t>
      </w:r>
      <w:r>
        <w:t xml:space="preserve">predicted net reduction in groundwater discharge to the Namoi River. The predicted reduction in groundwater discharge due to the project is </w:t>
      </w:r>
      <w:r w:rsidRPr="00383CAC">
        <w:t>140 ML/year to the Namoi River by 2192 (AGE</w:t>
      </w:r>
      <w:r w:rsidR="00AB0C46">
        <w:t xml:space="preserve"> 2020</w:t>
      </w:r>
      <w:r w:rsidRPr="00383CAC">
        <w:t>, p</w:t>
      </w:r>
      <w:r w:rsidR="00AB0C46">
        <w:t xml:space="preserve">. </w:t>
      </w:r>
      <w:r w:rsidRPr="00383CAC">
        <w:t>113). The</w:t>
      </w:r>
      <w:r w:rsidR="00233A5A">
        <w:t xml:space="preserve"> </w:t>
      </w:r>
      <w:r>
        <w:t>potential</w:t>
      </w:r>
      <w:r w:rsidR="00233A5A">
        <w:t xml:space="preserve"> </w:t>
      </w:r>
      <w:r>
        <w:t>for</w:t>
      </w:r>
      <w:r w:rsidR="00233A5A">
        <w:t xml:space="preserve"> </w:t>
      </w:r>
      <w:r>
        <w:t>long</w:t>
      </w:r>
      <w:r w:rsidR="00C91712">
        <w:t>-</w:t>
      </w:r>
      <w:r>
        <w:t>term drawdown of the watertable in this water-stressed Groundwater Management Area is of</w:t>
      </w:r>
      <w:r w:rsidR="00233A5A">
        <w:t xml:space="preserve"> </w:t>
      </w:r>
      <w:r>
        <w:t>concern</w:t>
      </w:r>
      <w:r w:rsidR="00233A5A">
        <w:t xml:space="preserve"> </w:t>
      </w:r>
      <w:r>
        <w:t>and</w:t>
      </w:r>
      <w:r w:rsidR="00233A5A">
        <w:t xml:space="preserve"> </w:t>
      </w:r>
      <w:r>
        <w:t>warrants</w:t>
      </w:r>
      <w:r w:rsidR="00233A5A">
        <w:t xml:space="preserve"> </w:t>
      </w:r>
      <w:r>
        <w:t>further investigation, modelling and monitoring</w:t>
      </w:r>
      <w:r w:rsidR="00A42D3D">
        <w:t xml:space="preserve"> (</w:t>
      </w:r>
      <w:r w:rsidR="00FA422B" w:rsidRPr="00FA422B">
        <w:t>Paragraph</w:t>
      </w:r>
      <w:r w:rsidR="00FA422B">
        <w:t xml:space="preserve"> 22)</w:t>
      </w:r>
      <w:r>
        <w:t>.</w:t>
      </w:r>
    </w:p>
    <w:p w14:paraId="4A4AA316" w14:textId="7C84C531" w:rsidR="00F9304D" w:rsidRDefault="00F9304D" w:rsidP="00233A5A">
      <w:pPr>
        <w:pStyle w:val="ListParagraph"/>
        <w:numPr>
          <w:ilvl w:val="0"/>
          <w:numId w:val="8"/>
        </w:numPr>
        <w:rPr>
          <w:rFonts w:eastAsia="Arial"/>
        </w:rPr>
      </w:pPr>
      <w:r>
        <w:t xml:space="preserve">In particular, the IESC notes </w:t>
      </w:r>
      <w:proofErr w:type="gramStart"/>
      <w:r>
        <w:t>a number of</w:t>
      </w:r>
      <w:proofErr w:type="gramEnd"/>
      <w:r>
        <w:t xml:space="preserve"> issues with the proponent</w:t>
      </w:r>
      <w:r w:rsidR="00A42D3D">
        <w:t>’</w:t>
      </w:r>
      <w:r>
        <w:t>s assessment of groundwater impacts</w:t>
      </w:r>
      <w:r w:rsidR="001B7307">
        <w:t>.</w:t>
      </w:r>
    </w:p>
    <w:p w14:paraId="28F74DC8" w14:textId="39B1D53C" w:rsidR="00F9304D" w:rsidRPr="00F9304D" w:rsidRDefault="00F9304D" w:rsidP="00F9304D">
      <w:pPr>
        <w:pStyle w:val="ListNumber2"/>
      </w:pPr>
      <w:r>
        <w:t>The groundwater model presented in the Gateway application has been revised, with the proponent undertaking additional work to address many of the issues raised in previous IESC advice.</w:t>
      </w:r>
      <w:r w:rsidRPr="18C37CA0">
        <w:rPr>
          <w:rFonts w:eastAsia="Arial"/>
        </w:rPr>
        <w:t xml:space="preserve"> The groundwater modelling provided by the proponent presents extensive steady-state and transient 3D numerical groundwater models accompanied by a stochastic uncertainty quantification of simulated model outputs (AGE 2020</w:t>
      </w:r>
      <w:r w:rsidR="00BE0F7C">
        <w:rPr>
          <w:rFonts w:eastAsia="Arial"/>
        </w:rPr>
        <w:t>,</w:t>
      </w:r>
      <w:r w:rsidRPr="18C37CA0">
        <w:rPr>
          <w:rFonts w:eastAsia="Arial"/>
        </w:rPr>
        <w:t xml:space="preserve"> App D, p.12), which have undergone independent peer-review. However, the IESC does not consider that all relevant parameter</w:t>
      </w:r>
      <w:r w:rsidR="33E43994" w:rsidRPr="18C37CA0">
        <w:rPr>
          <w:rFonts w:eastAsia="Arial"/>
        </w:rPr>
        <w:t>s</w:t>
      </w:r>
      <w:r w:rsidRPr="18C37CA0">
        <w:rPr>
          <w:rFonts w:eastAsia="Arial"/>
        </w:rPr>
        <w:t xml:space="preserve"> </w:t>
      </w:r>
      <w:r w:rsidR="00A42D3D" w:rsidRPr="18C37CA0">
        <w:rPr>
          <w:rFonts w:eastAsia="Arial"/>
        </w:rPr>
        <w:t xml:space="preserve">(e.g. hydraulic conductivity and </w:t>
      </w:r>
      <w:proofErr w:type="spellStart"/>
      <w:r w:rsidR="00A42D3D" w:rsidRPr="18C37CA0">
        <w:rPr>
          <w:rFonts w:eastAsia="Arial"/>
        </w:rPr>
        <w:t>storativity</w:t>
      </w:r>
      <w:proofErr w:type="spellEnd"/>
      <w:r w:rsidR="00A42D3D" w:rsidRPr="18C37CA0">
        <w:rPr>
          <w:rFonts w:eastAsia="Arial"/>
        </w:rPr>
        <w:t xml:space="preserve">) </w:t>
      </w:r>
      <w:r w:rsidRPr="18C37CA0">
        <w:rPr>
          <w:rFonts w:eastAsia="Arial"/>
        </w:rPr>
        <w:t>and boundary combinations have been considered in the proponent</w:t>
      </w:r>
      <w:r w:rsidR="00A42D3D" w:rsidRPr="18C37CA0">
        <w:rPr>
          <w:rFonts w:eastAsia="Arial"/>
        </w:rPr>
        <w:t>’</w:t>
      </w:r>
      <w:r w:rsidRPr="18C37CA0">
        <w:rPr>
          <w:rFonts w:eastAsia="Arial"/>
        </w:rPr>
        <w:t>s assessment of potential impacts, which may result in an underestimate of potential impacts. Evidence of this potential underestimate is seen in the reported model-to-measurement misfits, where the calculated range of uncertainty of the modelled groundwater levels does not encompass the actual measured values (AGE 2020</w:t>
      </w:r>
      <w:r w:rsidR="00BE0F7C" w:rsidRPr="00A70B7E">
        <w:rPr>
          <w:rFonts w:eastAsia="Arial"/>
        </w:rPr>
        <w:t>,</w:t>
      </w:r>
      <w:r w:rsidRPr="00A70B7E">
        <w:rPr>
          <w:rFonts w:eastAsia="Arial"/>
        </w:rPr>
        <w:t xml:space="preserve"> App D</w:t>
      </w:r>
      <w:r w:rsidR="00A70B7E">
        <w:rPr>
          <w:rFonts w:eastAsia="Arial"/>
        </w:rPr>
        <w:t>,</w:t>
      </w:r>
      <w:r w:rsidRPr="00A70B7E">
        <w:rPr>
          <w:rFonts w:eastAsia="Arial"/>
        </w:rPr>
        <w:t xml:space="preserve"> </w:t>
      </w:r>
      <w:r w:rsidR="00A70B7E" w:rsidRPr="00A70B7E">
        <w:rPr>
          <w:rFonts w:eastAsia="Arial"/>
        </w:rPr>
        <w:t>p.</w:t>
      </w:r>
      <w:r w:rsidR="00AB0C46">
        <w:rPr>
          <w:rFonts w:eastAsia="Arial"/>
        </w:rPr>
        <w:t xml:space="preserve"> </w:t>
      </w:r>
      <w:r w:rsidRPr="00A70B7E">
        <w:rPr>
          <w:rFonts w:eastAsia="Arial"/>
        </w:rPr>
        <w:t>2).</w:t>
      </w:r>
    </w:p>
    <w:p w14:paraId="7A67CA9E" w14:textId="602982A4" w:rsidR="00F9304D" w:rsidRDefault="00F9304D" w:rsidP="00F9304D">
      <w:pPr>
        <w:pStyle w:val="ListNumber2"/>
      </w:pPr>
      <w:r>
        <w:t>The proponent has provided maximum predicted groundwater drawdown maps for each formation. However, these maps only provide drawdown to a 2</w:t>
      </w:r>
      <w:r w:rsidR="00D83764">
        <w:t xml:space="preserve"> </w:t>
      </w:r>
      <w:r>
        <w:t>m contour. Noting the proponent has not adequately sampled GDEs in the area (</w:t>
      </w:r>
      <w:r w:rsidRPr="006D0EA4">
        <w:t>Paragraph</w:t>
      </w:r>
      <w:r w:rsidR="4002E95E" w:rsidRPr="006D0EA4">
        <w:t>s</w:t>
      </w:r>
      <w:r w:rsidRPr="006D0EA4">
        <w:t xml:space="preserve"> </w:t>
      </w:r>
      <w:r w:rsidR="006D0EA4">
        <w:t>5, 7, 14, 15, 16, 17, 30, 31</w:t>
      </w:r>
      <w:r>
        <w:t>), a greater resolution in the presented drawdown predictions is required to better assess the potential impacts of the project</w:t>
      </w:r>
      <w:r w:rsidR="007B5D7F">
        <w:t>.</w:t>
      </w:r>
      <w:r w:rsidR="00C8232C">
        <w:t xml:space="preserve"> </w:t>
      </w:r>
      <w:r w:rsidR="394A0A74">
        <w:t xml:space="preserve">For example, drawdown of 0.5 m may substantially alter spring discharge rates and </w:t>
      </w:r>
      <w:r w:rsidR="5E7E734A">
        <w:t>adversely affect aquatic and semi-aquatic</w:t>
      </w:r>
      <w:r w:rsidR="394A0A74">
        <w:t xml:space="preserve"> </w:t>
      </w:r>
      <w:r w:rsidR="27F52634">
        <w:t xml:space="preserve">communities in the seepage zone. In </w:t>
      </w:r>
      <w:r w:rsidR="3103B91B">
        <w:t xml:space="preserve">alluvial sediments shallower than </w:t>
      </w:r>
      <w:r w:rsidR="27F52634">
        <w:t xml:space="preserve">2 m, </w:t>
      </w:r>
      <w:r w:rsidR="001B7307">
        <w:t xml:space="preserve">a </w:t>
      </w:r>
      <w:r w:rsidR="27F52634">
        <w:t xml:space="preserve">drawdown </w:t>
      </w:r>
      <w:r w:rsidR="1FD98E19" w:rsidRPr="00F43BD6">
        <w:t>&lt; 2 m</w:t>
      </w:r>
      <w:r w:rsidR="1FD98E19">
        <w:t xml:space="preserve"> may alter groundwater flux and reduce </w:t>
      </w:r>
      <w:proofErr w:type="spellStart"/>
      <w:r w:rsidR="1FD98E19">
        <w:t>stygofaunal</w:t>
      </w:r>
      <w:proofErr w:type="spellEnd"/>
      <w:r w:rsidR="1FD98E19">
        <w:t xml:space="preserve"> habitat.</w:t>
      </w:r>
      <w:r w:rsidR="27F52634">
        <w:t xml:space="preserve"> </w:t>
      </w:r>
    </w:p>
    <w:p w14:paraId="21C0A4DC" w14:textId="6C5DCB9A" w:rsidR="00F9304D" w:rsidRDefault="00F9304D" w:rsidP="41AAE43B">
      <w:pPr>
        <w:pStyle w:val="ListNumber2"/>
      </w:pPr>
      <w:r>
        <w:t xml:space="preserve">The IESC notes the approximate heights (4.3 m) and widths (300-400 m) of the longwalls combined with the relatively shallow cover depths of 165-346 m will result in extensive subsidence </w:t>
      </w:r>
      <w:r w:rsidRPr="00677280">
        <w:t>and surface-to-seam cracking across the site. This in turn will result in increased hydraulic connectivity</w:t>
      </w:r>
      <w:r w:rsidR="001B7307" w:rsidRPr="00677280">
        <w:t xml:space="preserve"> and </w:t>
      </w:r>
      <w:r w:rsidRPr="00677280">
        <w:t xml:space="preserve">drainage of impacted aquifers, </w:t>
      </w:r>
      <w:r w:rsidR="001B7307" w:rsidRPr="00677280">
        <w:t>resulting in</w:t>
      </w:r>
      <w:r w:rsidRPr="00677280">
        <w:t xml:space="preserve"> </w:t>
      </w:r>
      <w:r w:rsidR="001E66A6" w:rsidRPr="00677280">
        <w:t xml:space="preserve">permanent </w:t>
      </w:r>
      <w:r w:rsidRPr="00677280">
        <w:t>drawdown impacts</w:t>
      </w:r>
      <w:r w:rsidR="007527B7" w:rsidRPr="00677280">
        <w:t xml:space="preserve">. </w:t>
      </w:r>
      <w:r w:rsidRPr="00677280">
        <w:t>Currently</w:t>
      </w:r>
      <w:r w:rsidR="359FE450" w:rsidRPr="00677280">
        <w:t>,</w:t>
      </w:r>
      <w:r w:rsidRPr="00677280">
        <w:t xml:space="preserve"> there is an inconsistency between the predictions of the</w:t>
      </w:r>
      <w:r>
        <w:t xml:space="preserve"> Subsidence Assessment </w:t>
      </w:r>
      <w:r w:rsidR="00951048">
        <w:t>(DGS</w:t>
      </w:r>
      <w:r w:rsidR="00F87AB0">
        <w:t>,</w:t>
      </w:r>
      <w:r w:rsidR="00951048">
        <w:t xml:space="preserve"> 2020) </w:t>
      </w:r>
      <w:r>
        <w:t>and the conservative assumptions regarding the increases in hydraulic connectivity parameter</w:t>
      </w:r>
      <w:r w:rsidR="00621E10">
        <w:t>s</w:t>
      </w:r>
      <w:r>
        <w:t xml:space="preserve"> resulting from this subsidence. </w:t>
      </w:r>
      <w:r w:rsidR="00183CB1">
        <w:t>Site-specific data should be used to justify the parameter functions applied in the model for hydraulic conductivity and specific storage, particularly around longwall panels.</w:t>
      </w:r>
    </w:p>
    <w:p w14:paraId="288DFC8F" w14:textId="59461DFF" w:rsidR="00233A5A" w:rsidRPr="00677280" w:rsidRDefault="00C8660E" w:rsidP="00FD61EB">
      <w:pPr>
        <w:pStyle w:val="ListParagraph"/>
        <w:numPr>
          <w:ilvl w:val="1"/>
          <w:numId w:val="6"/>
        </w:numPr>
        <w:rPr>
          <w:rFonts w:eastAsia="Arial"/>
        </w:rPr>
      </w:pPr>
      <w:r>
        <w:t xml:space="preserve">Noting some of the rapid depressurisation of groundwater </w:t>
      </w:r>
      <w:r w:rsidR="42320B0E">
        <w:t>re</w:t>
      </w:r>
      <w:r w:rsidR="00B252F4">
        <w:t>s</w:t>
      </w:r>
      <w:r>
        <w:t xml:space="preserve">ources </w:t>
      </w:r>
      <w:r w:rsidR="6A25A948">
        <w:t xml:space="preserve">predicted </w:t>
      </w:r>
      <w:r>
        <w:t xml:space="preserve">in the EIS groundwater assessment, the groundwater model should be </w:t>
      </w:r>
      <w:r w:rsidR="004A2231">
        <w:t>bi</w:t>
      </w:r>
      <w:r w:rsidR="00F43819">
        <w:t>-</w:t>
      </w:r>
      <w:r w:rsidR="004A2231">
        <w:t>annually</w:t>
      </w:r>
      <w:r>
        <w:t xml:space="preserve"> updated as works progress at </w:t>
      </w:r>
      <w:r w:rsidR="1C568767">
        <w:t xml:space="preserve">the </w:t>
      </w:r>
      <w:r>
        <w:t xml:space="preserve">site. More extensive regional monitoring of the Purlawaugh, Napperby and Digby </w:t>
      </w:r>
      <w:r>
        <w:lastRenderedPageBreak/>
        <w:t>Formations along with the G</w:t>
      </w:r>
      <w:r w:rsidR="6198CE8B">
        <w:t>a</w:t>
      </w:r>
      <w:r>
        <w:t xml:space="preserve">rrawilla Volcanics would provide a better indication of </w:t>
      </w:r>
      <w:proofErr w:type="spellStart"/>
      <w:r>
        <w:t>hydrostratigraphic</w:t>
      </w:r>
      <w:proofErr w:type="spellEnd"/>
      <w:r>
        <w:t xml:space="preserve"> unit interaction, and provide </w:t>
      </w:r>
      <w:r w:rsidR="000811E8">
        <w:t xml:space="preserve">the </w:t>
      </w:r>
      <w:r w:rsidR="00B252F4">
        <w:t>evidence</w:t>
      </w:r>
      <w:r w:rsidR="000811E8">
        <w:t xml:space="preserve"> required to </w:t>
      </w:r>
      <w:r w:rsidR="5DBEB446">
        <w:t>expla</w:t>
      </w:r>
      <w:r w:rsidR="00B252F4">
        <w:t>i</w:t>
      </w:r>
      <w:r w:rsidR="5DBEB446">
        <w:t>n</w:t>
      </w:r>
      <w:r>
        <w:t xml:space="preserve"> why the proponent has observed depressurisation in many of these groundwater sources. </w:t>
      </w:r>
      <w:r w:rsidR="001F0432" w:rsidRPr="00F43819">
        <w:t xml:space="preserve">Updating of the model based on further monitoring of groundwater levels in the area above the longwalls would </w:t>
      </w:r>
      <w:r w:rsidR="00F43819" w:rsidRPr="00F43819">
        <w:t>refine</w:t>
      </w:r>
      <w:r w:rsidR="001F0432" w:rsidRPr="00F43819">
        <w:t xml:space="preserve"> the assessment of the impact on regional groundwater fluxes caused by the increasing vertical hydraulic conductivity in </w:t>
      </w:r>
      <w:r w:rsidR="001F0432" w:rsidRPr="00677280">
        <w:t>that area</w:t>
      </w:r>
      <w:r w:rsidR="00F43819" w:rsidRPr="00677280">
        <w:t xml:space="preserve"> (P</w:t>
      </w:r>
      <w:r w:rsidR="00FA422B" w:rsidRPr="00677280">
        <w:t>aragraphs 12, 22</w:t>
      </w:r>
      <w:r w:rsidR="00F43819" w:rsidRPr="00677280">
        <w:t>)</w:t>
      </w:r>
      <w:r w:rsidR="001F0432" w:rsidRPr="00677280">
        <w:t>.</w:t>
      </w:r>
    </w:p>
    <w:p w14:paraId="2729ED3B" w14:textId="66D55714" w:rsidR="00371975" w:rsidRPr="00677280" w:rsidDel="008E6D1D" w:rsidRDefault="28F82AAC" w:rsidP="00FD61EB">
      <w:pPr>
        <w:pStyle w:val="ListParagraph"/>
        <w:numPr>
          <w:ilvl w:val="1"/>
          <w:numId w:val="8"/>
        </w:numPr>
        <w:rPr>
          <w:rFonts w:eastAsia="Arial"/>
        </w:rPr>
      </w:pPr>
      <w:r w:rsidRPr="00677280">
        <w:t>T</w:t>
      </w:r>
      <w:r w:rsidR="00C8660E" w:rsidRPr="00677280">
        <w:t xml:space="preserve">he Groundwater Assessment </w:t>
      </w:r>
      <w:r w:rsidR="006C03BF" w:rsidRPr="00677280">
        <w:t>(AGE</w:t>
      </w:r>
      <w:r w:rsidR="00F87AB0" w:rsidRPr="00677280">
        <w:t>,</w:t>
      </w:r>
      <w:r w:rsidR="006C03BF" w:rsidRPr="00677280">
        <w:t xml:space="preserve"> 2020) </w:t>
      </w:r>
      <w:r w:rsidR="00C8660E" w:rsidRPr="00677280">
        <w:t>in the EIS acknowledges the information gaps regarding surface water and groundwater interactions at creeks and springs present at the project site</w:t>
      </w:r>
      <w:r w:rsidR="00D2009C" w:rsidRPr="00677280">
        <w:t>.</w:t>
      </w:r>
      <w:r w:rsidR="003C4F18" w:rsidRPr="00677280">
        <w:t xml:space="preserve"> AGE </w:t>
      </w:r>
      <w:r w:rsidR="00D2009C" w:rsidRPr="00677280">
        <w:t>(</w:t>
      </w:r>
      <w:r w:rsidR="003C4F18" w:rsidRPr="00677280">
        <w:t>2020, p.</w:t>
      </w:r>
      <w:r w:rsidR="00175F19" w:rsidRPr="00677280">
        <w:t xml:space="preserve"> </w:t>
      </w:r>
      <w:r w:rsidR="003C4F18" w:rsidRPr="00677280">
        <w:t>146)</w:t>
      </w:r>
      <w:r w:rsidR="01AC0275" w:rsidRPr="00677280">
        <w:t xml:space="preserve"> </w:t>
      </w:r>
      <w:r w:rsidR="00C8660E" w:rsidRPr="00677280">
        <w:t>recommend</w:t>
      </w:r>
      <w:r w:rsidR="00F43819" w:rsidRPr="00677280">
        <w:t>s</w:t>
      </w:r>
      <w:r w:rsidR="00C8660E" w:rsidRPr="00677280">
        <w:t xml:space="preserve"> expansion of the monitoring network to include monitoring bores at these sites. The IESC </w:t>
      </w:r>
      <w:r w:rsidR="2DC78D97" w:rsidRPr="00677280">
        <w:t xml:space="preserve">agrees </w:t>
      </w:r>
      <w:r w:rsidR="3919005D" w:rsidRPr="00677280">
        <w:t>that</w:t>
      </w:r>
      <w:r w:rsidR="00C8660E" w:rsidRPr="00677280">
        <w:t xml:space="preserve"> the proponent should install these </w:t>
      </w:r>
      <w:r w:rsidR="504312B5" w:rsidRPr="00677280">
        <w:t xml:space="preserve">suggested </w:t>
      </w:r>
      <w:r w:rsidR="00C8660E" w:rsidRPr="00677280">
        <w:t xml:space="preserve">monitoring bores and incorporate their data into the model and update predictions before </w:t>
      </w:r>
      <w:r w:rsidR="38F13F51" w:rsidRPr="00677280">
        <w:t>this project</w:t>
      </w:r>
      <w:r w:rsidR="4B446D16" w:rsidRPr="00677280">
        <w:t xml:space="preserve"> (Stage 3</w:t>
      </w:r>
      <w:r w:rsidR="38F13F51" w:rsidRPr="00677280">
        <w:t>)</w:t>
      </w:r>
      <w:r w:rsidR="00C8660E" w:rsidRPr="00677280">
        <w:t xml:space="preserve"> progresses</w:t>
      </w:r>
      <w:r w:rsidR="007B5D7F" w:rsidRPr="00677280">
        <w:t xml:space="preserve"> (see </w:t>
      </w:r>
      <w:r w:rsidR="00BC4548" w:rsidRPr="00677280">
        <w:t>Paragraphs</w:t>
      </w:r>
      <w:r w:rsidR="007B5D7F" w:rsidRPr="00677280">
        <w:t xml:space="preserve"> </w:t>
      </w:r>
      <w:r w:rsidR="00BC4548" w:rsidRPr="00677280">
        <w:t>15, 22)</w:t>
      </w:r>
      <w:r w:rsidR="00C8660E" w:rsidRPr="00677280">
        <w:t xml:space="preserve">. </w:t>
      </w:r>
    </w:p>
    <w:p w14:paraId="31F96A9C" w14:textId="29126F96" w:rsidR="00CB17B2" w:rsidRPr="00677280" w:rsidRDefault="00E62E0D" w:rsidP="003E395E">
      <w:pPr>
        <w:pStyle w:val="ListNumber"/>
        <w:numPr>
          <w:ilvl w:val="0"/>
          <w:numId w:val="8"/>
        </w:numPr>
        <w:rPr>
          <w:rFonts w:eastAsia="Arial"/>
        </w:rPr>
      </w:pPr>
      <w:r w:rsidRPr="00677280">
        <w:t>Although the documentation states that there is a current groundwater quality monitoring program, (which includes monthly monitoring of pH an</w:t>
      </w:r>
      <w:r w:rsidR="007B5D7F" w:rsidRPr="00677280">
        <w:t>d</w:t>
      </w:r>
      <w:r w:rsidRPr="00677280">
        <w:t xml:space="preserve"> EC, and annual monitoring of major ions, alkalinity, total P and some metals), no data (apart from salinity) are included in the EIS.</w:t>
      </w:r>
      <w:r w:rsidR="00C8232C" w:rsidRPr="00677280">
        <w:t xml:space="preserve"> </w:t>
      </w:r>
      <w:r w:rsidRPr="00677280">
        <w:t>Additional information on the aquifers monitored and the frequency of monitoring is required, as well as actual data for a wider range of parameters, including the soluble metals identified in the geochemical assessment (</w:t>
      </w:r>
      <w:r w:rsidR="00962025" w:rsidRPr="00677280">
        <w:t xml:space="preserve">antimony, </w:t>
      </w:r>
      <w:r w:rsidR="00424062" w:rsidRPr="00677280">
        <w:t>a</w:t>
      </w:r>
      <w:r w:rsidR="001F47D5" w:rsidRPr="00677280">
        <w:t xml:space="preserve">rsenic, </w:t>
      </w:r>
      <w:r w:rsidR="00424062" w:rsidRPr="00677280">
        <w:t>co</w:t>
      </w:r>
      <w:r w:rsidR="001F47D5" w:rsidRPr="00677280">
        <w:t xml:space="preserve">balt, </w:t>
      </w:r>
      <w:r w:rsidR="00424062" w:rsidRPr="00677280">
        <w:t>molybdenum, selenium).</w:t>
      </w:r>
    </w:p>
    <w:p w14:paraId="48741B33" w14:textId="7B480570" w:rsidR="001611F9" w:rsidRPr="00D8094A" w:rsidRDefault="00D8094A" w:rsidP="00D8094A">
      <w:pPr>
        <w:pStyle w:val="ListNumber2"/>
        <w:numPr>
          <w:ilvl w:val="0"/>
          <w:numId w:val="0"/>
        </w:numPr>
        <w:rPr>
          <w:u w:val="single"/>
        </w:rPr>
      </w:pPr>
      <w:r w:rsidRPr="00D8094A">
        <w:rPr>
          <w:u w:val="single"/>
        </w:rPr>
        <w:t>GDEs</w:t>
      </w:r>
    </w:p>
    <w:p w14:paraId="29A1C717" w14:textId="1D38B4C9" w:rsidR="00D5493E" w:rsidRPr="00677280" w:rsidRDefault="00D5493E" w:rsidP="41AAE43B">
      <w:pPr>
        <w:pStyle w:val="ListParagraph"/>
        <w:numPr>
          <w:ilvl w:val="0"/>
          <w:numId w:val="8"/>
        </w:numPr>
      </w:pPr>
      <w:r>
        <w:t>The IESC is not confident that the proponent has adequately assessed potential impacts on GDEs</w:t>
      </w:r>
      <w:r w:rsidR="00816EB4">
        <w:t>,</w:t>
      </w:r>
      <w:r>
        <w:t xml:space="preserve"> especially springs (</w:t>
      </w:r>
      <w:r w:rsidRPr="00D95505">
        <w:t xml:space="preserve">Paragraph </w:t>
      </w:r>
      <w:r w:rsidR="00D95505" w:rsidRPr="00D95505">
        <w:t>8</w:t>
      </w:r>
      <w:r w:rsidR="00D95505">
        <w:t>, 14</w:t>
      </w:r>
      <w:r>
        <w:t>) and stygofauna (</w:t>
      </w:r>
      <w:r w:rsidRPr="00D95505">
        <w:t xml:space="preserve">Paragraph </w:t>
      </w:r>
      <w:r w:rsidR="00D95505" w:rsidRPr="00D95505">
        <w:t>16</w:t>
      </w:r>
      <w:r w:rsidRPr="00D95505">
        <w:t>).</w:t>
      </w:r>
      <w:r>
        <w:t xml:space="preserve"> For groundwater-dependent vegetation, these impacts may include a combination of groundwater drawdown and disruptions to the root systems (e.g. shearing) caused by </w:t>
      </w:r>
      <w:r w:rsidRPr="0061125D">
        <w:t>subsidence (see Paragraph</w:t>
      </w:r>
      <w:r w:rsidR="0061125D" w:rsidRPr="0061125D">
        <w:t>s</w:t>
      </w:r>
      <w:r w:rsidR="0061125D">
        <w:t xml:space="preserve"> 30, 31)</w:t>
      </w:r>
      <w:r>
        <w:t>. Distressed or dead trees have been recorded in areas of subsidence over completed mining longwalls (Resource Strategies 2020, p.</w:t>
      </w:r>
      <w:r w:rsidR="005E5C0D">
        <w:t xml:space="preserve"> </w:t>
      </w:r>
      <w:r>
        <w:t xml:space="preserve">100). Despite this information, the proponent states that there will </w:t>
      </w:r>
      <w:r w:rsidRPr="00677280">
        <w:t xml:space="preserve">be minimal impacts to the vegetation as changes will happen gradually. Subsidence of up to 3 m and </w:t>
      </w:r>
      <w:r w:rsidR="00D2009C" w:rsidRPr="00677280">
        <w:t xml:space="preserve">the </w:t>
      </w:r>
      <w:r w:rsidRPr="00677280">
        <w:t>formation of cracks larger than 0.5 m are highly likely to significantly disrupt root systems of overlying vegetation. Although risks to GDEs have been assessed, the risk matrix contains conflicting information and should be reviewed. For example, the proponent claims that the risk</w:t>
      </w:r>
      <w:r w:rsidR="00423539" w:rsidRPr="00677280">
        <w:t xml:space="preserve"> to springs and GDEs due to groundwater drawdown </w:t>
      </w:r>
      <w:r w:rsidRPr="00677280">
        <w:t xml:space="preserve">is ‘low’ whilst according to the matrix values of likelihood (rated ‘unlikely’) and consequence (rated ‘catastrophic’), the risk should be classified as ‘high’ (Operational Risk Mentoring 2020, p. 15). </w:t>
      </w:r>
    </w:p>
    <w:p w14:paraId="24C34679" w14:textId="76D97C8C" w:rsidR="007A711C" w:rsidRPr="007A711C" w:rsidRDefault="00D5493E" w:rsidP="007A711C">
      <w:pPr>
        <w:pStyle w:val="ListParagraph"/>
        <w:numPr>
          <w:ilvl w:val="0"/>
          <w:numId w:val="8"/>
        </w:numPr>
        <w:rPr>
          <w:rFonts w:eastAsia="Arial"/>
        </w:rPr>
      </w:pPr>
      <w:r w:rsidRPr="00677280">
        <w:t xml:space="preserve">The effects of drawdown on vegetation are dismissed as ‘minor impacts’ (Resource Strategies 2020, p. 103), despite drawdown in many areas being predicted to be 10-20 m. </w:t>
      </w:r>
      <w:r w:rsidR="007A711C" w:rsidRPr="00677280">
        <w:t>Even i</w:t>
      </w:r>
      <w:r w:rsidRPr="00677280">
        <w:t xml:space="preserve">n areas where the water is only 2 m below ground level before drawdown, this amount of drawdown is likely to severely impact groundwater-dependent vegetation. Such impacts potentially disrupt vegetated corridors and impair or remove vital habitat for native fauna and flora. The claim that mining-induced changes in groundwater level will be gradual and lie within predicted ranges does not preclude the likelihood that </w:t>
      </w:r>
      <w:r w:rsidR="00D2009C" w:rsidRPr="00677280">
        <w:t xml:space="preserve">the rates of drawdown will be greater than the ability of the root systems to maintain contact with the water table. Further, </w:t>
      </w:r>
      <w:r w:rsidRPr="00677280">
        <w:t>when drawdown peaks (estimated as some</w:t>
      </w:r>
      <w:r w:rsidRPr="007A711C">
        <w:t xml:space="preserve"> 150 years post-mining), groundwater levels below many of these terrestrial GDEs may be too low to ameliorate the effects of other stressors such as prolonged drought and dieback.</w:t>
      </w:r>
      <w:r w:rsidR="007A711C" w:rsidRPr="007A711C">
        <w:t xml:space="preserve"> </w:t>
      </w:r>
    </w:p>
    <w:p w14:paraId="461DBAB2" w14:textId="3E09523A" w:rsidR="007A711C" w:rsidRPr="009C0DD3" w:rsidRDefault="007A711C" w:rsidP="007A711C">
      <w:pPr>
        <w:pStyle w:val="ListParagraph"/>
        <w:numPr>
          <w:ilvl w:val="0"/>
          <w:numId w:val="8"/>
        </w:numPr>
        <w:rPr>
          <w:rFonts w:eastAsia="Arial"/>
        </w:rPr>
      </w:pPr>
      <w:r>
        <w:t xml:space="preserve">Confidence concerning the impacts to terrestrial GDEs needs to be increased by obtaining field measurements of groundwater use by vegetation (Doody </w:t>
      </w:r>
      <w:r w:rsidR="00014D95" w:rsidRPr="00014D95">
        <w:t>et al.</w:t>
      </w:r>
      <w:r>
        <w:t xml:space="preserve"> 2019), </w:t>
      </w:r>
      <w:r w:rsidRPr="009C0DD3">
        <w:t>especially for species overlying the longwalls and in areas where the predicted drawdown is &gt; 5-10 m. Facultative GDEs may largely rely on groundwater during periods of prolonged drought when they are under severe stress. Loss of or decline in the condition of this vegetation is likely to impact on arboreal species such as Squirrel Gliders (</w:t>
      </w:r>
      <w:r w:rsidRPr="009C0DD3">
        <w:rPr>
          <w:i/>
          <w:iCs/>
        </w:rPr>
        <w:t xml:space="preserve">Petaurus </w:t>
      </w:r>
      <w:proofErr w:type="spellStart"/>
      <w:r w:rsidRPr="009C0DD3">
        <w:rPr>
          <w:i/>
          <w:iCs/>
        </w:rPr>
        <w:t>norfolcensis</w:t>
      </w:r>
      <w:proofErr w:type="spellEnd"/>
      <w:r w:rsidRPr="009C0DD3">
        <w:t>) and Koalas (</w:t>
      </w:r>
      <w:r w:rsidRPr="009C0DD3">
        <w:rPr>
          <w:i/>
          <w:iCs/>
        </w:rPr>
        <w:t>Phascolarctos cinereus</w:t>
      </w:r>
      <w:r w:rsidRPr="009C0DD3">
        <w:t xml:space="preserve">) that inhabit </w:t>
      </w:r>
      <w:r w:rsidRPr="009C0DD3">
        <w:lastRenderedPageBreak/>
        <w:t>these trees and are listed as Vulnerable under the</w:t>
      </w:r>
      <w:r w:rsidRPr="009C0DD3">
        <w:rPr>
          <w:i/>
          <w:iCs/>
        </w:rPr>
        <w:t xml:space="preserve"> Biodiversity Conservation Act 2016</w:t>
      </w:r>
      <w:r w:rsidRPr="009C0DD3">
        <w:t xml:space="preserve"> (BC) and/or the EPBC Act. </w:t>
      </w:r>
    </w:p>
    <w:p w14:paraId="6C88157A" w14:textId="00DBA2D0" w:rsidR="00D5493E" w:rsidRPr="009C0DD3" w:rsidRDefault="00D5493E" w:rsidP="41AAE43B">
      <w:pPr>
        <w:pStyle w:val="ListParagraph"/>
        <w:numPr>
          <w:ilvl w:val="0"/>
          <w:numId w:val="8"/>
        </w:numPr>
        <w:rPr>
          <w:rFonts w:eastAsia="Arial"/>
        </w:rPr>
      </w:pPr>
      <w:r w:rsidRPr="009C0DD3">
        <w:t xml:space="preserve">Three springs (Mayfield, Hardys and Eather) are identified as GDEs within and near the project area. Few details are provided about them apart from claims that they are all highly modified and that anecdotal evidence indicates spring flows have declined in the last ten years. However, these still qualify as GDEs and are crucial sources of water in a semi-arid environment. Detailed information on the ecohydrology of all three springs is required, including discharge and recharge rates, water quality and assessments of the diversity and condition of aquatic and semi-aquatic species present (Doody </w:t>
      </w:r>
      <w:r w:rsidR="00014D95" w:rsidRPr="00014D95">
        <w:t>et al.</w:t>
      </w:r>
      <w:r w:rsidRPr="009C0DD3">
        <w:t xml:space="preserve"> 2019). This information will enable more accurate assessment of likely impacts of drawdown on these GDEs and their biodiversity.</w:t>
      </w:r>
    </w:p>
    <w:p w14:paraId="4AAD7688" w14:textId="2AA399DE" w:rsidR="002C232A" w:rsidRPr="002C232A" w:rsidRDefault="00307731" w:rsidP="002C232A">
      <w:pPr>
        <w:pStyle w:val="Question"/>
        <w:shd w:val="clear" w:color="auto" w:fill="E7E6E6"/>
        <w:spacing w:after="0"/>
      </w:pPr>
      <w:r>
        <w:t xml:space="preserve">Question 3: Are the arguments to include only the Narrabri Gas Project, and not the open cut coal mines </w:t>
      </w:r>
      <w:r w:rsidR="002C232A" w:rsidRPr="002C232A">
        <w:t>located to south west (</w:t>
      </w:r>
      <w:proofErr w:type="spellStart"/>
      <w:r w:rsidR="002C232A" w:rsidRPr="002C232A">
        <w:t>Maules</w:t>
      </w:r>
      <w:proofErr w:type="spellEnd"/>
      <w:r w:rsidR="002C232A" w:rsidRPr="002C232A">
        <w:t xml:space="preserve">/ Boggabri/ </w:t>
      </w:r>
      <w:proofErr w:type="spellStart"/>
      <w:r w:rsidR="002C232A" w:rsidRPr="002C232A">
        <w:t>Tarrawonga</w:t>
      </w:r>
      <w:proofErr w:type="spellEnd"/>
      <w:r w:rsidR="002C232A" w:rsidRPr="002C232A">
        <w:t>/ Vickery Extension) in the cumulative</w:t>
      </w:r>
    </w:p>
    <w:p w14:paraId="59D758DC" w14:textId="7BA90ED4" w:rsidR="00CF2E7E" w:rsidRDefault="002C232A" w:rsidP="002C232A">
      <w:pPr>
        <w:pStyle w:val="Question"/>
        <w:shd w:val="clear" w:color="auto" w:fill="E7E6E6"/>
        <w:spacing w:after="0"/>
      </w:pPr>
      <w:r w:rsidRPr="002C232A">
        <w:t>impact assessment reasonable, given the distance and geology?</w:t>
      </w:r>
    </w:p>
    <w:p w14:paraId="2EA02F7C" w14:textId="77777777" w:rsidR="00C60765" w:rsidRPr="00C60765" w:rsidRDefault="00C60765" w:rsidP="00C60765">
      <w:pPr>
        <w:pStyle w:val="ListBullet"/>
        <w:ind w:left="511" w:firstLine="0"/>
        <w:rPr>
          <w:rFonts w:eastAsia="Arial"/>
          <w:u w:val="single"/>
          <w:lang w:val="en-AU"/>
        </w:rPr>
      </w:pPr>
    </w:p>
    <w:p w14:paraId="6A31D0B6" w14:textId="4C7DAFAE" w:rsidR="0070161C" w:rsidRDefault="0070161C" w:rsidP="41AAE43B">
      <w:pPr>
        <w:pStyle w:val="ListBullet"/>
        <w:numPr>
          <w:ilvl w:val="0"/>
          <w:numId w:val="8"/>
        </w:numPr>
        <w:rPr>
          <w:rFonts w:eastAsia="Arial"/>
          <w:u w:val="single"/>
          <w:lang w:val="en-AU"/>
        </w:rPr>
      </w:pPr>
      <w:r>
        <w:t>The IESC notes</w:t>
      </w:r>
      <w:r w:rsidR="25AAEF06">
        <w:t xml:space="preserve"> that</w:t>
      </w:r>
      <w:r>
        <w:t xml:space="preserve"> the proponent has incorporated impacts associated with the Narrabri Gas Project, using Santos’ ‘base</w:t>
      </w:r>
      <w:r w:rsidR="007C4E8C">
        <w:t xml:space="preserve"> </w:t>
      </w:r>
      <w:r>
        <w:t xml:space="preserve">case’ scenario, into the cumulative impact predictions of the groundwater modelling. The IESC considers </w:t>
      </w:r>
      <w:r w:rsidR="524B9AFB">
        <w:t xml:space="preserve">that </w:t>
      </w:r>
      <w:r>
        <w:t>this</w:t>
      </w:r>
      <w:r w:rsidR="50A6D51D">
        <w:t xml:space="preserve"> is</w:t>
      </w:r>
      <w:r>
        <w:t xml:space="preserve"> an acceptable approach to assessing</w:t>
      </w:r>
      <w:r w:rsidR="1A72E5F1">
        <w:t xml:space="preserve"> potential</w:t>
      </w:r>
      <w:r>
        <w:t xml:space="preserve"> cumulative groundwater impacts at the site</w:t>
      </w:r>
      <w:r w:rsidR="008257DE">
        <w:t xml:space="preserve">, noting the comments in </w:t>
      </w:r>
      <w:r w:rsidR="005D5788">
        <w:t>P</w:t>
      </w:r>
      <w:r w:rsidR="008257DE">
        <w:t>aragraph 3</w:t>
      </w:r>
      <w:r w:rsidR="005D5788">
        <w:t>b.</w:t>
      </w:r>
    </w:p>
    <w:p w14:paraId="1420CBC2" w14:textId="6D4EBD05" w:rsidR="0070161C" w:rsidRDefault="0070161C" w:rsidP="00BE7FAD">
      <w:pPr>
        <w:pStyle w:val="ListParagraph"/>
        <w:numPr>
          <w:ilvl w:val="0"/>
          <w:numId w:val="8"/>
        </w:numPr>
      </w:pPr>
      <w:r>
        <w:t>Considering the significant distance</w:t>
      </w:r>
      <w:r w:rsidR="73B4B8CB">
        <w:t>s (ca.</w:t>
      </w:r>
      <w:r w:rsidR="005D5788">
        <w:t xml:space="preserve"> </w:t>
      </w:r>
      <w:r w:rsidR="73B4B8CB">
        <w:t>30-50</w:t>
      </w:r>
      <w:r w:rsidR="00385910">
        <w:t xml:space="preserve"> </w:t>
      </w:r>
      <w:r w:rsidR="73B4B8CB">
        <w:t>km)</w:t>
      </w:r>
      <w:r>
        <w:t xml:space="preserve"> to </w:t>
      </w:r>
      <w:r w:rsidR="51159936">
        <w:t>the nearest</w:t>
      </w:r>
      <w:r>
        <w:t xml:space="preserve"> open cut coal mines</w:t>
      </w:r>
      <w:r w:rsidR="00C8232C">
        <w:t xml:space="preserve"> </w:t>
      </w:r>
      <w:r>
        <w:t>in the area, and the justification provided for selecting groundwater model boundaries, it is reasonable for the proponent to exclude the potential</w:t>
      </w:r>
      <w:r w:rsidR="009C0DD3">
        <w:t xml:space="preserve"> cumulative</w:t>
      </w:r>
      <w:r>
        <w:t xml:space="preserve"> impact</w:t>
      </w:r>
      <w:r w:rsidR="2E6454BE">
        <w:t>s</w:t>
      </w:r>
      <w:r>
        <w:t xml:space="preserve"> of mines located to the south</w:t>
      </w:r>
      <w:r w:rsidR="64E00A7B">
        <w:t>-</w:t>
      </w:r>
      <w:r>
        <w:t>west of the project area</w:t>
      </w:r>
      <w:r w:rsidR="009C0DD3">
        <w:t xml:space="preserve">. </w:t>
      </w:r>
      <w:r>
        <w:t xml:space="preserve">Additionally, the geological characteristics of the Boggabri Ridge separating the Mulley sub-basin from the </w:t>
      </w:r>
      <w:proofErr w:type="spellStart"/>
      <w:r>
        <w:t>Maules</w:t>
      </w:r>
      <w:proofErr w:type="spellEnd"/>
      <w:r>
        <w:t xml:space="preserve"> Creek sub-basin justify not including </w:t>
      </w:r>
      <w:r w:rsidR="0FE23ED4">
        <w:t xml:space="preserve">these </w:t>
      </w:r>
      <w:r>
        <w:t xml:space="preserve">other open cut mines in the cumulative impact assessment. </w:t>
      </w:r>
    </w:p>
    <w:p w14:paraId="1D461606" w14:textId="77777777"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bookmarkStart w:id="1" w:name="_Hlk56690136"/>
      <w:r w:rsidRPr="006F1262">
        <w:t>Question 4: Noting that brine re-injection into the underground goaf area is permitted for the approved</w:t>
      </w:r>
    </w:p>
    <w:p w14:paraId="24C7AFB6" w14:textId="13B72185"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t>Narrabri Mine, are the assumptions and assessment of brine re-injection on long term groundwater quality reasonable</w:t>
      </w:r>
      <w:r w:rsidR="0038338D">
        <w:t>?</w:t>
      </w:r>
    </w:p>
    <w:bookmarkEnd w:id="1"/>
    <w:p w14:paraId="3E856E0B" w14:textId="77777777" w:rsidR="00C60765" w:rsidRDefault="00C60765" w:rsidP="00C60765">
      <w:pPr>
        <w:pStyle w:val="ListParagraph"/>
        <w:numPr>
          <w:ilvl w:val="0"/>
          <w:numId w:val="0"/>
        </w:numPr>
        <w:ind w:left="511"/>
      </w:pPr>
    </w:p>
    <w:p w14:paraId="0896F0FC" w14:textId="2544F05B" w:rsidR="0038338D" w:rsidRDefault="00E62E0D" w:rsidP="00E62E0D">
      <w:pPr>
        <w:pStyle w:val="ListParagraph"/>
        <w:numPr>
          <w:ilvl w:val="0"/>
          <w:numId w:val="8"/>
        </w:numPr>
      </w:pPr>
      <w:r>
        <w:t xml:space="preserve">The proponent has </w:t>
      </w:r>
      <w:r w:rsidR="1899CB92">
        <w:t>not</w:t>
      </w:r>
      <w:r>
        <w:t xml:space="preserve"> comment</w:t>
      </w:r>
      <w:r w:rsidR="5542FBC1">
        <w:t>ed</w:t>
      </w:r>
      <w:r>
        <w:t xml:space="preserve"> on the likely </w:t>
      </w:r>
      <w:r w:rsidR="003E7D1B">
        <w:t xml:space="preserve">composition of brine and its </w:t>
      </w:r>
      <w:r w:rsidR="00606B78">
        <w:t xml:space="preserve">potential </w:t>
      </w:r>
      <w:r>
        <w:t xml:space="preserve">impacts </w:t>
      </w:r>
      <w:r w:rsidR="003E7D1B">
        <w:t>on groundwater quality when</w:t>
      </w:r>
      <w:r>
        <w:t xml:space="preserve"> re-inject</w:t>
      </w:r>
      <w:r w:rsidR="003E7D1B">
        <w:t>ed</w:t>
      </w:r>
      <w:r>
        <w:t>. No information on the current groundwater quality in the various aquifers, apart from salinity, has been provided by the proponent</w:t>
      </w:r>
      <w:r w:rsidR="5BDD73A7">
        <w:t xml:space="preserve"> preventing</w:t>
      </w:r>
      <w:r>
        <w:t xml:space="preserve"> the IESC</w:t>
      </w:r>
      <w:r w:rsidR="3BD823EB">
        <w:t xml:space="preserve"> from</w:t>
      </w:r>
      <w:r>
        <w:t xml:space="preserve"> assess</w:t>
      </w:r>
      <w:r w:rsidR="03A4FFF6">
        <w:t>ing</w:t>
      </w:r>
      <w:r>
        <w:t xml:space="preserve"> the likely future impacts of brine reinjection on groundwater quality. </w:t>
      </w:r>
      <w:r w:rsidR="00885ECC">
        <w:t>Assumptions and assessment of brine re-injection on long-term groundwater quality require further justification.</w:t>
      </w:r>
    </w:p>
    <w:p w14:paraId="5C8E96D2" w14:textId="41DBFF5E" w:rsidR="00FC005B" w:rsidRDefault="00FC005B" w:rsidP="41AAE43B">
      <w:pPr>
        <w:pStyle w:val="ListParagraph"/>
        <w:numPr>
          <w:ilvl w:val="0"/>
          <w:numId w:val="8"/>
        </w:numPr>
      </w:pPr>
      <w:r>
        <w:t>Long-term impacts of brine re-injection require further justification which consider the recovery of groundwater levels</w:t>
      </w:r>
      <w:r w:rsidR="000609EB">
        <w:t xml:space="preserve"> </w:t>
      </w:r>
      <w:r>
        <w:t>a</w:t>
      </w:r>
      <w:r w:rsidR="000609EB">
        <w:t>nd change in groundwater</w:t>
      </w:r>
      <w:r>
        <w:t xml:space="preserve"> fl</w:t>
      </w:r>
      <w:r w:rsidR="000609EB">
        <w:t>ux</w:t>
      </w:r>
      <w:r>
        <w:t xml:space="preserve">. The extensive fracturing caused by subsidence provides conduits for brine to </w:t>
      </w:r>
      <w:r w:rsidR="000609EB">
        <w:t>migrate widely</w:t>
      </w:r>
      <w:r>
        <w:t>, including lateral extension contamination, potentially impacting local and adjacent GDEs, water bore resources and local aquifers.</w:t>
      </w:r>
      <w:r w:rsidR="000609EB">
        <w:t xml:space="preserve"> </w:t>
      </w:r>
      <w:r>
        <w:t xml:space="preserve">Despite hydraulic gradients increasing towards the goafs (i.e. the groundwater flow gradients will act like a sink towards the mine), the increase in hydraulic connectivity above the goafs coupled with the already saline groundwater present in the lower </w:t>
      </w:r>
      <w:proofErr w:type="spellStart"/>
      <w:r>
        <w:t>hydrostratigraphic</w:t>
      </w:r>
      <w:proofErr w:type="spellEnd"/>
      <w:r>
        <w:t xml:space="preserve"> units </w:t>
      </w:r>
      <w:r w:rsidR="00DA10E9">
        <w:t>may</w:t>
      </w:r>
      <w:r>
        <w:t xml:space="preserve"> have impacts on the </w:t>
      </w:r>
      <w:r w:rsidR="00885ECC">
        <w:t>ground</w:t>
      </w:r>
      <w:r>
        <w:t>water quality</w:t>
      </w:r>
      <w:r w:rsidR="00DA10E9">
        <w:t xml:space="preserve"> long-term</w:t>
      </w:r>
      <w:r>
        <w:t xml:space="preserve">. These impacts will see an increase in the EC of water above the goafs. Preferential flow pathways </w:t>
      </w:r>
      <w:r w:rsidR="002D1280">
        <w:t>may</w:t>
      </w:r>
      <w:r>
        <w:t xml:space="preserve"> cause the more saline groundwater to be transported to</w:t>
      </w:r>
      <w:r w:rsidR="00C4428C">
        <w:t xml:space="preserve"> </w:t>
      </w:r>
      <w:r>
        <w:t>the Pilliga Sandstone and Namoi River Alluvium present within or near the project area. The proponent should monitor hydraulic interactions above the current goafs present at the mine and trial the injection of harmless tracer-fluids into these goafs to model the flow pathways in the system above the goafs.</w:t>
      </w:r>
    </w:p>
    <w:p w14:paraId="5A51E3BD" w14:textId="3063071F" w:rsidR="00FC06E6" w:rsidRPr="00F27649" w:rsidRDefault="0038338D" w:rsidP="000A6128">
      <w:pPr>
        <w:pStyle w:val="ListParagraph"/>
        <w:numPr>
          <w:ilvl w:val="0"/>
          <w:numId w:val="8"/>
        </w:numPr>
      </w:pPr>
      <w:r>
        <w:lastRenderedPageBreak/>
        <w:t>The proponent has not assessed the likely impacts of brine re-injection on GDEs, especially in combination with the effects of drawdown and altered groundwater flux. Given the need to more fully assess GDEs and, in some cases, their level of groundwater dependence (</w:t>
      </w:r>
      <w:r w:rsidRPr="00B30C77">
        <w:t xml:space="preserve">Paragraphs </w:t>
      </w:r>
      <w:r w:rsidR="00B30C77" w:rsidRPr="00B30C77">
        <w:t>15</w:t>
      </w:r>
      <w:r>
        <w:t xml:space="preserve">), the potential impacts of altered groundwater quality as a result of brine injection </w:t>
      </w:r>
      <w:r w:rsidR="03FEDFC6">
        <w:t>are</w:t>
      </w:r>
      <w:r>
        <w:t xml:space="preserve"> needed.</w:t>
      </w:r>
    </w:p>
    <w:p w14:paraId="54C21F5A" w14:textId="4DC384A3"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bookmarkStart w:id="2" w:name="_Hlk56690181"/>
      <w:r>
        <w:t>Question 5: Have the surface and groundwater impacts of the Project on the local and regional aquatic</w:t>
      </w:r>
    </w:p>
    <w:p w14:paraId="3639915E" w14:textId="77777777"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rsidRPr="006F1262">
        <w:t>ecological values (aquatic biota and riparian habitat) and groundwater dependent</w:t>
      </w:r>
    </w:p>
    <w:p w14:paraId="598A9C89" w14:textId="77777777" w:rsidR="006F1262" w:rsidRPr="004E761B"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rsidRPr="006F1262">
        <w:t>ecosystems (</w:t>
      </w:r>
      <w:r w:rsidRPr="004E761B">
        <w:t>including groundwater dependent vegetation and stygofauna) been adequately</w:t>
      </w:r>
    </w:p>
    <w:p w14:paraId="2B5388D0" w14:textId="35A4285C" w:rsidR="006F1262" w:rsidRPr="00BC7FA7"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t>described and assessed?</w:t>
      </w:r>
    </w:p>
    <w:bookmarkEnd w:id="2"/>
    <w:p w14:paraId="7DA497F0" w14:textId="4B2926C0" w:rsidR="006F1262" w:rsidRPr="004E761B" w:rsidRDefault="006F1262" w:rsidP="0097206B">
      <w:pPr>
        <w:pStyle w:val="ListNumber"/>
        <w:ind w:left="0" w:firstLine="0"/>
        <w:rPr>
          <w:u w:val="single"/>
        </w:rPr>
      </w:pPr>
    </w:p>
    <w:p w14:paraId="2EE247C4" w14:textId="523BEE95" w:rsidR="00C51DDD" w:rsidRPr="00C51DDD" w:rsidRDefault="00C51DDD" w:rsidP="41AAE43B">
      <w:pPr>
        <w:pStyle w:val="ListParagraph"/>
        <w:numPr>
          <w:ilvl w:val="0"/>
          <w:numId w:val="8"/>
        </w:numPr>
        <w:rPr>
          <w:rFonts w:eastAsia="Arial"/>
        </w:rPr>
      </w:pPr>
      <w:r>
        <w:t>The terrestrial vegetation and fauna of the project site have been thoroughly surveyed by the proponent over multiple years. Desktop and survey data indicate the presence of biodiverse communities that include several species listed by the BC and/or EPBC Acts as Vulnerable (e.g. Large-eared Pied Bat</w:t>
      </w:r>
      <w:r w:rsidR="00946AFD">
        <w:t xml:space="preserve"> (</w:t>
      </w:r>
      <w:proofErr w:type="spellStart"/>
      <w:r w:rsidR="00946AFD" w:rsidRPr="00946AFD">
        <w:rPr>
          <w:i/>
          <w:iCs/>
        </w:rPr>
        <w:t>Chalinolobus</w:t>
      </w:r>
      <w:proofErr w:type="spellEnd"/>
      <w:r w:rsidR="00946AFD" w:rsidRPr="00946AFD">
        <w:rPr>
          <w:i/>
          <w:iCs/>
        </w:rPr>
        <w:t xml:space="preserve"> </w:t>
      </w:r>
      <w:proofErr w:type="spellStart"/>
      <w:r w:rsidR="00946AFD" w:rsidRPr="00946AFD">
        <w:rPr>
          <w:i/>
          <w:iCs/>
        </w:rPr>
        <w:t>dwyeri</w:t>
      </w:r>
      <w:proofErr w:type="spellEnd"/>
      <w:r w:rsidR="00946AFD">
        <w:t>)</w:t>
      </w:r>
      <w:r>
        <w:t>, Koala, Squirrel Glider, Pilliga Mouse (</w:t>
      </w:r>
      <w:proofErr w:type="spellStart"/>
      <w:r w:rsidRPr="003E395E">
        <w:rPr>
          <w:i/>
          <w:iCs/>
        </w:rPr>
        <w:t>Pseudomys</w:t>
      </w:r>
      <w:proofErr w:type="spellEnd"/>
      <w:r w:rsidRPr="003E395E">
        <w:rPr>
          <w:i/>
          <w:iCs/>
        </w:rPr>
        <w:t xml:space="preserve"> </w:t>
      </w:r>
      <w:proofErr w:type="spellStart"/>
      <w:r w:rsidRPr="003E395E">
        <w:rPr>
          <w:i/>
          <w:iCs/>
        </w:rPr>
        <w:t>pilligaensis</w:t>
      </w:r>
      <w:proofErr w:type="spellEnd"/>
      <w:r>
        <w:t xml:space="preserve">), </w:t>
      </w:r>
      <w:proofErr w:type="spellStart"/>
      <w:r>
        <w:t>Corben’s</w:t>
      </w:r>
      <w:proofErr w:type="spellEnd"/>
      <w:r>
        <w:t xml:space="preserve"> Long-eared Bat (</w:t>
      </w:r>
      <w:proofErr w:type="spellStart"/>
      <w:r w:rsidRPr="003E395E">
        <w:rPr>
          <w:i/>
          <w:iCs/>
        </w:rPr>
        <w:t>Nyctophilus</w:t>
      </w:r>
      <w:proofErr w:type="spellEnd"/>
      <w:r w:rsidRPr="003E395E">
        <w:rPr>
          <w:i/>
          <w:iCs/>
        </w:rPr>
        <w:t xml:space="preserve"> </w:t>
      </w:r>
      <w:proofErr w:type="spellStart"/>
      <w:r w:rsidRPr="003E395E">
        <w:rPr>
          <w:i/>
          <w:iCs/>
        </w:rPr>
        <w:t>corbeni</w:t>
      </w:r>
      <w:proofErr w:type="spellEnd"/>
      <w:r>
        <w:t xml:space="preserve">)). Many of the faunal species are likely to rely on surface water when it is available as well as using riparian and other vegetation for habitat and food. The proponent does not provide detailed assessments of how potential habitat alterations by the project might directly or indirectly affect each of these species during and after mining. Some of the vegetation is likely to be groundwater-dependent and may be adversely affected by drawdown (and possibly brine injection, see </w:t>
      </w:r>
      <w:r w:rsidRPr="00B30C77">
        <w:t xml:space="preserve">Paragraph </w:t>
      </w:r>
      <w:r w:rsidR="00B30C77" w:rsidRPr="00B30C77">
        <w:t>11,</w:t>
      </w:r>
      <w:r w:rsidRPr="00B30C77">
        <w:t>13</w:t>
      </w:r>
      <w:r>
        <w:t>) although the extent of the vegetation’s dependence on groundwater in the project area is unknown (</w:t>
      </w:r>
      <w:r w:rsidRPr="00100FF3">
        <w:t xml:space="preserve">Paragraph </w:t>
      </w:r>
      <w:r w:rsidR="00100FF3" w:rsidRPr="00100FF3">
        <w:t>7</w:t>
      </w:r>
      <w:r w:rsidR="00100FF3">
        <w:t>, 15</w:t>
      </w:r>
      <w:r>
        <w:t xml:space="preserve">). Although springs within and near the project area have been altered, they still have local and regional aquatic values that have not been adequately described and assessed by the </w:t>
      </w:r>
      <w:r w:rsidRPr="00D95505">
        <w:t xml:space="preserve">proponent (Paragraph </w:t>
      </w:r>
      <w:r w:rsidR="00D95505" w:rsidRPr="00D95505">
        <w:t>8</w:t>
      </w:r>
      <w:r w:rsidRPr="00D95505">
        <w:t>).</w:t>
      </w:r>
      <w:r>
        <w:t xml:space="preserve"> Similarly, stygofauna (an obligate GDE) in the zone of predicted drawdown have not been surveyed and are assumed to be unlikely to occur despite other literature describing stygofauna collected along the Namoi River and its tributaries </w:t>
      </w:r>
      <w:r w:rsidRPr="0061125D">
        <w:t>(</w:t>
      </w:r>
      <w:r w:rsidR="0061125D" w:rsidRPr="0061125D">
        <w:t xml:space="preserve">see </w:t>
      </w:r>
      <w:r w:rsidRPr="0061125D">
        <w:t xml:space="preserve">Paragraph </w:t>
      </w:r>
      <w:r w:rsidR="0061125D" w:rsidRPr="0061125D">
        <w:t>16</w:t>
      </w:r>
      <w:r w:rsidR="0061125D">
        <w:t>)</w:t>
      </w:r>
      <w:r>
        <w:t>.</w:t>
      </w:r>
      <w:r w:rsidR="00C8232C">
        <w:t xml:space="preserve"> </w:t>
      </w:r>
      <w:r>
        <w:t>Watercourses draining the project area are ephemeral and their flow regimes, to which local fauna and vegetation are adapted, are likely to be altered by subsidence that changes patterns of runoff and causes ponding.</w:t>
      </w:r>
      <w:r w:rsidR="00C8232C">
        <w:t xml:space="preserve"> </w:t>
      </w:r>
      <w:r>
        <w:t xml:space="preserve">However, the potential effects of these changes in stream flow regimes on aquatic biota and riparian zone vegetation have not been adequately described and assessed </w:t>
      </w:r>
      <w:r w:rsidRPr="00233A06">
        <w:t>(</w:t>
      </w:r>
      <w:r w:rsidR="00233A06" w:rsidRPr="00233A06">
        <w:t xml:space="preserve">see </w:t>
      </w:r>
      <w:r w:rsidRPr="00233A06">
        <w:t xml:space="preserve">Paragraph </w:t>
      </w:r>
      <w:r w:rsidR="00233A06" w:rsidRPr="00233A06">
        <w:t>17)</w:t>
      </w:r>
      <w:r w:rsidRPr="00233A06">
        <w:t>.</w:t>
      </w:r>
      <w:r w:rsidR="00C8232C">
        <w:t xml:space="preserve"> </w:t>
      </w:r>
    </w:p>
    <w:p w14:paraId="14E49C01" w14:textId="0B036AF4" w:rsidR="00C51DDD" w:rsidRPr="001C6CB9" w:rsidRDefault="00C51DDD" w:rsidP="00C51DDD">
      <w:pPr>
        <w:pStyle w:val="ListParagraph"/>
        <w:numPr>
          <w:ilvl w:val="0"/>
          <w:numId w:val="8"/>
        </w:numPr>
      </w:pPr>
      <w:r>
        <w:t>Although the proponent has done an extensive desktop survey of potential GDEs, few of these have been verified by ground-truthing (</w:t>
      </w:r>
      <w:r w:rsidR="00C01A72">
        <w:t>AGE</w:t>
      </w:r>
      <w:r>
        <w:t xml:space="preserve"> 2020, App. B, p. 142).</w:t>
      </w:r>
      <w:r w:rsidR="00C8232C">
        <w:t xml:space="preserve"> </w:t>
      </w:r>
      <w:r>
        <w:t>‘High priority’ terrestrial GDEs in</w:t>
      </w:r>
      <w:r w:rsidR="0086491D">
        <w:t>,</w:t>
      </w:r>
      <w:r>
        <w:t xml:space="preserve"> and near</w:t>
      </w:r>
      <w:r w:rsidR="0086491D">
        <w:t>,</w:t>
      </w:r>
      <w:r>
        <w:t xml:space="preserve"> the project area </w:t>
      </w:r>
      <w:proofErr w:type="gramStart"/>
      <w:r>
        <w:t>have</w:t>
      </w:r>
      <w:proofErr w:type="gramEnd"/>
      <w:r>
        <w:t xml:space="preserve"> also been identified based on satellite image analysis with limited ground-truthing (</w:t>
      </w:r>
      <w:r w:rsidR="00C01A72">
        <w:t>AGE</w:t>
      </w:r>
      <w:r>
        <w:t xml:space="preserve"> 2020, App. B, p. 122).</w:t>
      </w:r>
      <w:r w:rsidR="00C8232C">
        <w:t xml:space="preserve"> </w:t>
      </w:r>
      <w:r>
        <w:t xml:space="preserve">Some of these potential GDEs occur in areas where drawdown is predicted but these assessments are severely hampered by the paucity of data on groundwater dynamics near these GDEs and uncertainty about the degree of groundwater-dependence of the vegetation. It is recommended that monitoring bores be installed near patches of ‘high priority’ GDEs in areas where drawdown is predicted so that changes in groundwater levels can be monitored before, during and after mining. Further, the proponent should assess the level of groundwater-dependence (Doody </w:t>
      </w:r>
      <w:r w:rsidR="00014D95" w:rsidRPr="00014D95">
        <w:t>et al.</w:t>
      </w:r>
      <w:r>
        <w:t xml:space="preserve"> 2019) to confirm that these are indeed GDEs and, if so, the proponent should explain the likely effects of drawdown (and possibly brine injection, see </w:t>
      </w:r>
      <w:r w:rsidRPr="006D0EA4">
        <w:t>Paragraph 13)</w:t>
      </w:r>
      <w:r>
        <w:t xml:space="preserve"> on their condition, recruitment and persistence.</w:t>
      </w:r>
      <w:r w:rsidR="00C8232C">
        <w:t xml:space="preserve"> </w:t>
      </w:r>
      <w:r>
        <w:t>This is especially relevant for those GDEs where drawdown is predicted to exceed thresholds defined by the Aquifer Interference Policy (</w:t>
      </w:r>
      <w:r w:rsidR="00534FB0">
        <w:t>AGE</w:t>
      </w:r>
      <w:r>
        <w:t xml:space="preserve"> 2020, App. B, Table 7.6, p. 124-125). However, potential impacts of drawdown on </w:t>
      </w:r>
      <w:r w:rsidRPr="4E78671B">
        <w:rPr>
          <w:u w:val="single"/>
        </w:rPr>
        <w:t>all</w:t>
      </w:r>
      <w:r>
        <w:t xml:space="preserve"> GDEs (not just ‘high priority’ ones) should be assessed by the proponent because they are all defined as Matters of National Environmental Significance (MNES) under the ‘water trigger’ and have ecological values in this semi-arid landscape, especially where they provide habitat, food or both for EPBC Act-listed species.</w:t>
      </w:r>
      <w:r w:rsidR="00C8232C">
        <w:t xml:space="preserve"> </w:t>
      </w:r>
      <w:r>
        <w:t xml:space="preserve">These GDEs include those along watercourses and on alluvial flats where drawdown is predicted. </w:t>
      </w:r>
    </w:p>
    <w:p w14:paraId="13ADBE57" w14:textId="0501A4BD" w:rsidR="00C51DDD" w:rsidRPr="001C6CB9" w:rsidRDefault="00C51DDD" w:rsidP="00C51DDD">
      <w:pPr>
        <w:pStyle w:val="ListParagraph"/>
        <w:numPr>
          <w:ilvl w:val="0"/>
          <w:numId w:val="8"/>
        </w:numPr>
      </w:pPr>
      <w:r>
        <w:lastRenderedPageBreak/>
        <w:t>The proponent asserts that stygofauna are unlikely to occur along Kurrajong Creek or other watercourses within the project area because there is no mapped alluvium along these creeks which are also highly ephemeral and either entirely or usually disconnected from the Namoi Alluvium (</w:t>
      </w:r>
      <w:r w:rsidR="00A23306">
        <w:t>AGE</w:t>
      </w:r>
      <w:r>
        <w:t xml:space="preserve"> 2020, App. B, p. 77). However, it is acknowledged that stygofauna might occur in the alluvium of </w:t>
      </w:r>
      <w:proofErr w:type="spellStart"/>
      <w:r>
        <w:t>Tulla</w:t>
      </w:r>
      <w:proofErr w:type="spellEnd"/>
      <w:r>
        <w:t xml:space="preserve"> Mullen Creek and the adjacent Namoi River. Furthermore, stygofauna have been collected from the alluvium of the Namoi River (Korbel</w:t>
      </w:r>
      <w:r w:rsidR="00014D95" w:rsidRPr="00014D95">
        <w:t xml:space="preserve"> et al.</w:t>
      </w:r>
      <w:r>
        <w:t xml:space="preserve"> 2017) and several sites along </w:t>
      </w:r>
      <w:r w:rsidR="3AEDCBA4">
        <w:t xml:space="preserve">nearby </w:t>
      </w:r>
      <w:proofErr w:type="spellStart"/>
      <w:r>
        <w:t>Maules</w:t>
      </w:r>
      <w:proofErr w:type="spellEnd"/>
      <w:r>
        <w:t xml:space="preserve"> Creek (Andersen </w:t>
      </w:r>
      <w:r w:rsidR="00014D95" w:rsidRPr="00014D95">
        <w:t>et al.</w:t>
      </w:r>
      <w:r>
        <w:t xml:space="preserve"> 2016). The IESC recommends that the proponent test their assumptions about the occurrence of stygofauna by sampling bores along creeks traversing the project area, in the vicinity of the springs that occur in the headwaters of Kurrajong (Mayfield) and </w:t>
      </w:r>
      <w:proofErr w:type="spellStart"/>
      <w:r>
        <w:t>Tulla</w:t>
      </w:r>
      <w:proofErr w:type="spellEnd"/>
      <w:r>
        <w:t xml:space="preserve"> Mullen (</w:t>
      </w:r>
      <w:proofErr w:type="spellStart"/>
      <w:r>
        <w:t>Hardys</w:t>
      </w:r>
      <w:proofErr w:type="spellEnd"/>
      <w:r>
        <w:t xml:space="preserve"> and Eather) creeks, and in the alluvium of the lower </w:t>
      </w:r>
      <w:proofErr w:type="spellStart"/>
      <w:r>
        <w:t>Tulla</w:t>
      </w:r>
      <w:proofErr w:type="spellEnd"/>
      <w:r>
        <w:t xml:space="preserve"> Mullen Creek where drawdown is predicted (</w:t>
      </w:r>
      <w:r w:rsidR="00B44942" w:rsidRPr="00B44942">
        <w:t xml:space="preserve">AGE 2020, App. B, </w:t>
      </w:r>
      <w:r>
        <w:t xml:space="preserve">Fig. 7.24, </w:t>
      </w:r>
      <w:r w:rsidR="00B44942" w:rsidRPr="00B44942">
        <w:t>p. 12</w:t>
      </w:r>
      <w:r w:rsidR="00B44942">
        <w:t>8</w:t>
      </w:r>
      <w:r>
        <w:t xml:space="preserve">). If stygofauna are </w:t>
      </w:r>
      <w:r w:rsidR="07AAD1D6">
        <w:t>foun</w:t>
      </w:r>
      <w:r>
        <w:t xml:space="preserve">d, the proponent should assess the likely impacts of the predicted drawdown, especially where groundwater habitats may be isolated from the Namoi Alluvium and other potential sources of colonists. Potential impacts of brine injection on stygofauna </w:t>
      </w:r>
      <w:r w:rsidRPr="00D76ABD">
        <w:t>(Paragraph 1</w:t>
      </w:r>
      <w:r w:rsidR="00D76ABD" w:rsidRPr="00D76ABD">
        <w:t xml:space="preserve">3) </w:t>
      </w:r>
      <w:r>
        <w:t>should also be assessed.</w:t>
      </w:r>
    </w:p>
    <w:p w14:paraId="3A9178FC" w14:textId="2B19895B" w:rsidR="00C1775A" w:rsidRPr="00C643B4" w:rsidRDefault="00C51DDD" w:rsidP="00FF279D">
      <w:pPr>
        <w:pStyle w:val="ListParagraph"/>
        <w:numPr>
          <w:ilvl w:val="0"/>
          <w:numId w:val="8"/>
        </w:numPr>
      </w:pPr>
      <w:r>
        <w:t>Although the creeks draining the project area are ephemeral, they still have significant ecological values (</w:t>
      </w:r>
      <w:proofErr w:type="spellStart"/>
      <w:r>
        <w:t>Datry</w:t>
      </w:r>
      <w:proofErr w:type="spellEnd"/>
      <w:r w:rsidR="00014D95" w:rsidRPr="00014D95">
        <w:t xml:space="preserve"> et al.</w:t>
      </w:r>
      <w:r>
        <w:t xml:space="preserve"> 2017), are MNES under the ‘water trigger’, and comprise part of </w:t>
      </w:r>
      <w:r w:rsidRPr="4E78671B">
        <w:rPr>
          <w:i/>
          <w:iCs/>
        </w:rPr>
        <w:t>The Lowland Darling River aquatic ecological community</w:t>
      </w:r>
      <w:r>
        <w:t xml:space="preserve"> which is listed as an endangered ecological community (NSW DPI</w:t>
      </w:r>
      <w:r w:rsidR="00123855">
        <w:t>,</w:t>
      </w:r>
      <w:r>
        <w:t xml:space="preserve"> 2007). Their flow regimes, including ecologically important flow components </w:t>
      </w:r>
      <w:r w:rsidR="00452BE0">
        <w:t>(</w:t>
      </w:r>
      <w:r>
        <w:t xml:space="preserve">such as low-flow spells and </w:t>
      </w:r>
      <w:r w:rsidR="00452BE0">
        <w:t xml:space="preserve">number of </w:t>
      </w:r>
      <w:r>
        <w:t>zero-flow days</w:t>
      </w:r>
      <w:r w:rsidR="00452BE0">
        <w:t>)</w:t>
      </w:r>
      <w:r>
        <w:t>, are likely to be substantially altered by subsidence-induced changes to catchment topography and runoff, th</w:t>
      </w:r>
      <w:r w:rsidR="00452BE0">
        <w:t>e</w:t>
      </w:r>
      <w:r>
        <w:t xml:space="preserve"> instream profile (including areas of ponding) and areas where streambed cracking may occur. The proponent does not provide adequate detail of the likely impacts of these changes in flow regimes and their components upon aquatic or semi-aquatic biota and riparian zone vegetation of the undermined creeks. The listing of </w:t>
      </w:r>
      <w:r w:rsidR="007F7D81" w:rsidRPr="007F7D81">
        <w:rPr>
          <w:i/>
          <w:iCs/>
        </w:rPr>
        <w:t>T</w:t>
      </w:r>
      <w:r w:rsidRPr="007F7D81">
        <w:rPr>
          <w:i/>
          <w:iCs/>
        </w:rPr>
        <w:t xml:space="preserve">he </w:t>
      </w:r>
      <w:r w:rsidR="007F7D81" w:rsidRPr="007F7D81">
        <w:rPr>
          <w:i/>
          <w:iCs/>
        </w:rPr>
        <w:t>L</w:t>
      </w:r>
      <w:r w:rsidRPr="007F7D81">
        <w:rPr>
          <w:i/>
          <w:iCs/>
        </w:rPr>
        <w:t>owland Darling River aquatic ecological community</w:t>
      </w:r>
      <w:r>
        <w:t xml:space="preserve"> has given all native fish and other aquatic animal life within its boundaries the status of endangered species (NSW DPI 2007, p. 2) and therefore this aspect deserves detailed attention. There should also be an assessment of the collective downstream effects on the flow regime caused by the altered stream flows of Kurrajong Creek and the tributaries of </w:t>
      </w:r>
      <w:proofErr w:type="spellStart"/>
      <w:r>
        <w:t>Tulla</w:t>
      </w:r>
      <w:proofErr w:type="spellEnd"/>
      <w:r>
        <w:t xml:space="preserve"> Mullen Creek that will be undermined. </w:t>
      </w:r>
      <w:bookmarkStart w:id="3" w:name="_Hlk57906028"/>
      <w:bookmarkEnd w:id="3"/>
    </w:p>
    <w:p w14:paraId="5C94314A" w14:textId="71B3B318"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bookmarkStart w:id="4" w:name="_Hlk56690263"/>
      <w:r w:rsidRPr="006F1262">
        <w:t xml:space="preserve">Question </w:t>
      </w:r>
      <w:r>
        <w:t>6</w:t>
      </w:r>
      <w:r w:rsidRPr="006F1262">
        <w:t>: To what extent can decision makers have confidence in the predictions of potential impacts</w:t>
      </w:r>
    </w:p>
    <w:p w14:paraId="3C33BB40" w14:textId="77777777"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t xml:space="preserve">on surface water resources provided in the EIS, including </w:t>
      </w:r>
      <w:proofErr w:type="gramStart"/>
      <w:r>
        <w:t>in regard to</w:t>
      </w:r>
      <w:proofErr w:type="gramEnd"/>
      <w:r>
        <w:t xml:space="preserve"> subsidence impacts on</w:t>
      </w:r>
    </w:p>
    <w:p w14:paraId="27A35826" w14:textId="3D4A4519"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t>surface water features, hydrology and water quality, discharges of treated water to the</w:t>
      </w:r>
    </w:p>
    <w:p w14:paraId="7DDEA358" w14:textId="407971BC" w:rsid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rPr>
          <w:color w:val="FF0000"/>
        </w:rPr>
      </w:pPr>
      <w:r w:rsidRPr="006F1262">
        <w:t>Namoi River and discharges from sediment dams from the mine infrastructure area?</w:t>
      </w:r>
    </w:p>
    <w:bookmarkEnd w:id="4"/>
    <w:p w14:paraId="44DF97BB" w14:textId="77777777" w:rsidR="006F3C41" w:rsidRPr="006F3C41" w:rsidRDefault="006F3C41" w:rsidP="41AAE43B"/>
    <w:p w14:paraId="42BA0E81" w14:textId="217524ED" w:rsidR="006F3C41" w:rsidRDefault="004303ED" w:rsidP="41AAE43B">
      <w:pPr>
        <w:pStyle w:val="ListParagraph"/>
        <w:numPr>
          <w:ilvl w:val="0"/>
          <w:numId w:val="6"/>
        </w:numPr>
      </w:pPr>
      <w:bookmarkStart w:id="5" w:name="_Hlk58340552"/>
      <w:r>
        <w:t xml:space="preserve">There is a </w:t>
      </w:r>
      <w:r w:rsidR="006F3C41" w:rsidRPr="003E395E">
        <w:t xml:space="preserve">low level of </w:t>
      </w:r>
      <w:r w:rsidR="006F3C41">
        <w:t xml:space="preserve">confidence </w:t>
      </w:r>
      <w:r>
        <w:t>in</w:t>
      </w:r>
      <w:r w:rsidR="006F3C41">
        <w:t xml:space="preserve"> predictions of potential impacts to surface water resources, especially undermined tributaries of </w:t>
      </w:r>
      <w:proofErr w:type="spellStart"/>
      <w:r w:rsidR="006F3C41">
        <w:t>Tulla</w:t>
      </w:r>
      <w:proofErr w:type="spellEnd"/>
      <w:r w:rsidR="006F3C41">
        <w:t xml:space="preserve"> Mullen and Kurrajong creeks, as no explicit account has been given to subsidence </w:t>
      </w:r>
      <w:r w:rsidR="006F3C41" w:rsidRPr="00816CD0">
        <w:t>and mining-induced fracturing.</w:t>
      </w:r>
    </w:p>
    <w:p w14:paraId="76CB3D95" w14:textId="11D6E8CC" w:rsidR="006F3C41" w:rsidRDefault="006F3C41" w:rsidP="18C37CA0">
      <w:pPr>
        <w:pStyle w:val="ListParagraph"/>
        <w:numPr>
          <w:ilvl w:val="0"/>
          <w:numId w:val="23"/>
        </w:numPr>
        <w:rPr>
          <w:rFonts w:eastAsia="Arial"/>
        </w:rPr>
      </w:pPr>
      <w:r>
        <w:t xml:space="preserve">The proposed operations at the site will likely result in substantial cracking and subsidence above all </w:t>
      </w:r>
      <w:r w:rsidRPr="00677280">
        <w:t>goafs</w:t>
      </w:r>
      <w:r w:rsidR="0086491D" w:rsidRPr="00677280">
        <w:t xml:space="preserve"> including to the surface (Paragraph 3c)</w:t>
      </w:r>
      <w:r w:rsidRPr="00677280">
        <w:t>. As far as the IESC can discern, the likely impacts of subsidence and cracking have not been adequately outlined</w:t>
      </w:r>
      <w:r>
        <w:t xml:space="preserve"> in the surface water assessment of the site. The proponent should demonstrate consideration of the impacts of substantial fracturing on rates of recharge and reliability of baseflow of the ephemeral tributaries</w:t>
      </w:r>
      <w:r w:rsidRPr="00816CD0">
        <w:t xml:space="preserve">, and on the potential for increased losses from </w:t>
      </w:r>
      <w:r w:rsidR="48F02951" w:rsidRPr="00816CD0">
        <w:t>the 40 farm dams that are potentially impacted by subsidence</w:t>
      </w:r>
      <w:r w:rsidRPr="00816CD0">
        <w:t xml:space="preserve">. </w:t>
      </w:r>
      <w:r>
        <w:t xml:space="preserve">Furthermore, modelling of erosion to tributaries along fractures between LW101 and LW111 will assist in determining potential impacts to other tributaries in the area. </w:t>
      </w:r>
    </w:p>
    <w:p w14:paraId="295CE216" w14:textId="77777777" w:rsidR="001B7939" w:rsidRDefault="006F3C41" w:rsidP="001B7939">
      <w:pPr>
        <w:pStyle w:val="ListParagraph"/>
        <w:numPr>
          <w:ilvl w:val="0"/>
          <w:numId w:val="23"/>
        </w:numPr>
      </w:pPr>
      <w:r>
        <w:t xml:space="preserve">The proponent </w:t>
      </w:r>
      <w:r w:rsidR="004303ED">
        <w:t>states</w:t>
      </w:r>
      <w:r>
        <w:t xml:space="preserve"> </w:t>
      </w:r>
      <w:r w:rsidR="00627E2B">
        <w:t xml:space="preserve">that </w:t>
      </w:r>
      <w:r>
        <w:t xml:space="preserve">additional surface depressions (ponding) </w:t>
      </w:r>
      <w:r w:rsidR="00627E2B">
        <w:t>are</w:t>
      </w:r>
      <w:r>
        <w:t xml:space="preserve"> not expected to impact on the low and medium flows or flow regime of the watercourses as the watercourses are highly ephemeral with no baseflow observed under existing conditions. </w:t>
      </w:r>
      <w:r w:rsidR="2C0DAC74">
        <w:t>A</w:t>
      </w:r>
      <w:r>
        <w:t xml:space="preserve">lthough the waterways within </w:t>
      </w:r>
      <w:r>
        <w:lastRenderedPageBreak/>
        <w:t xml:space="preserve">the project area are ephemeral, surface water modelling informed by baseline stream gauging is still required to assess water loss from surface waters due to groundwater drawdown and from cracking and ponding, </w:t>
      </w:r>
      <w:r w:rsidRPr="00582E63">
        <w:t>and potential changes in runoff generation processes due to increased surface depressions,</w:t>
      </w:r>
      <w:r>
        <w:t xml:space="preserve"> under a range of climatic scenarios.</w:t>
      </w:r>
    </w:p>
    <w:p w14:paraId="694AD383" w14:textId="77FB67EA" w:rsidR="00E8748D" w:rsidRPr="00677280" w:rsidRDefault="73370DD6" w:rsidP="001B7939">
      <w:pPr>
        <w:pStyle w:val="ListParagraph"/>
        <w:numPr>
          <w:ilvl w:val="0"/>
          <w:numId w:val="6"/>
        </w:numPr>
      </w:pPr>
      <w:r w:rsidRPr="001B7939">
        <w:rPr>
          <w:rFonts w:eastAsia="Calibri"/>
        </w:rPr>
        <w:t xml:space="preserve">The assessment of potential impacts on surface water flows was undertaken assuming that the future climate </w:t>
      </w:r>
      <w:r w:rsidR="672F3AD6" w:rsidRPr="001B7939">
        <w:rPr>
          <w:rFonts w:eastAsia="Calibri"/>
        </w:rPr>
        <w:t>will be</w:t>
      </w:r>
      <w:r w:rsidRPr="001B7939">
        <w:rPr>
          <w:rFonts w:eastAsia="Calibri"/>
        </w:rPr>
        <w:t xml:space="preserve"> the same as current, an approach which was justified on the basis that climate change impacts are projected to be minimal over the </w:t>
      </w:r>
      <w:r w:rsidR="79A93C29" w:rsidRPr="001B7939">
        <w:rPr>
          <w:rFonts w:eastAsia="Calibri"/>
        </w:rPr>
        <w:t>p</w:t>
      </w:r>
      <w:r w:rsidRPr="001B7939">
        <w:rPr>
          <w:rFonts w:eastAsia="Calibri"/>
        </w:rPr>
        <w:t>roject</w:t>
      </w:r>
      <w:r w:rsidR="5DA7865C" w:rsidRPr="001B7939">
        <w:rPr>
          <w:rFonts w:eastAsia="Calibri"/>
        </w:rPr>
        <w:t>’s</w:t>
      </w:r>
      <w:r w:rsidRPr="001B7939">
        <w:rPr>
          <w:rFonts w:eastAsia="Calibri"/>
        </w:rPr>
        <w:t xml:space="preserve"> life (i.e. to 2044). However, climate change impacts beyond the life of the </w:t>
      </w:r>
      <w:r w:rsidR="73A99779" w:rsidRPr="001B7939">
        <w:rPr>
          <w:rFonts w:eastAsia="Calibri"/>
        </w:rPr>
        <w:t>p</w:t>
      </w:r>
      <w:r w:rsidRPr="001B7939">
        <w:rPr>
          <w:rFonts w:eastAsia="Calibri"/>
        </w:rPr>
        <w:t xml:space="preserve">roject were not considered as the available climate </w:t>
      </w:r>
      <w:r w:rsidRPr="00677280">
        <w:rPr>
          <w:rFonts w:eastAsia="Calibri"/>
        </w:rPr>
        <w:t>projections were deemed inconsistent (</w:t>
      </w:r>
      <w:r w:rsidR="44443EAF" w:rsidRPr="00677280">
        <w:rPr>
          <w:rFonts w:eastAsia="Calibri"/>
        </w:rPr>
        <w:t>WRM 2020</w:t>
      </w:r>
      <w:r w:rsidR="00E8748D" w:rsidRPr="00677280">
        <w:rPr>
          <w:rFonts w:eastAsia="Calibri"/>
        </w:rPr>
        <w:t>,</w:t>
      </w:r>
      <w:r w:rsidR="623B9679" w:rsidRPr="00677280">
        <w:rPr>
          <w:rFonts w:eastAsia="Calibri"/>
        </w:rPr>
        <w:t xml:space="preserve"> p</w:t>
      </w:r>
      <w:r w:rsidR="00582E63" w:rsidRPr="00677280">
        <w:rPr>
          <w:rFonts w:eastAsia="Calibri"/>
        </w:rPr>
        <w:t>.</w:t>
      </w:r>
      <w:r w:rsidR="623B9679" w:rsidRPr="00677280">
        <w:rPr>
          <w:rFonts w:eastAsia="Calibri"/>
        </w:rPr>
        <w:t xml:space="preserve"> 89)</w:t>
      </w:r>
      <w:r w:rsidRPr="00677280">
        <w:rPr>
          <w:rFonts w:eastAsia="Calibri"/>
        </w:rPr>
        <w:t xml:space="preserve">. While the assumptions made are </w:t>
      </w:r>
      <w:r w:rsidR="00874C2B" w:rsidRPr="00677280">
        <w:rPr>
          <w:rFonts w:eastAsia="Calibri"/>
        </w:rPr>
        <w:t xml:space="preserve">largely </w:t>
      </w:r>
      <w:r w:rsidRPr="00677280">
        <w:rPr>
          <w:rFonts w:eastAsia="Calibri"/>
        </w:rPr>
        <w:t>appropriate to the assessment of the water management system over the duration of the Project, they do not provide an adequate understanding of the possible range of hydroclimatic conditions in the longer term. Current science (Grose</w:t>
      </w:r>
      <w:r w:rsidR="00014D95" w:rsidRPr="00677280">
        <w:rPr>
          <w:rFonts w:eastAsia="Calibri"/>
        </w:rPr>
        <w:t xml:space="preserve"> et al.</w:t>
      </w:r>
      <w:r w:rsidRPr="00677280">
        <w:rPr>
          <w:rFonts w:eastAsia="Calibri"/>
        </w:rPr>
        <w:t xml:space="preserve"> 2020) indicates likely reductions of 10% to 20% in </w:t>
      </w:r>
      <w:r w:rsidR="001B7939" w:rsidRPr="00677280">
        <w:rPr>
          <w:rFonts w:eastAsia="Calibri"/>
        </w:rPr>
        <w:t xml:space="preserve">the </w:t>
      </w:r>
      <w:r w:rsidRPr="00677280">
        <w:rPr>
          <w:rFonts w:eastAsia="Calibri"/>
        </w:rPr>
        <w:t xml:space="preserve">austral winter and spring by 2090, and it is reasonable to expect that the low flow regime in the Namoi River will be materially different in </w:t>
      </w:r>
      <w:r w:rsidR="48EECAA0" w:rsidRPr="00677280">
        <w:rPr>
          <w:rFonts w:eastAsia="Calibri"/>
        </w:rPr>
        <w:t xml:space="preserve">the year </w:t>
      </w:r>
      <w:r w:rsidRPr="00677280">
        <w:rPr>
          <w:rFonts w:eastAsia="Calibri"/>
        </w:rPr>
        <w:t>2240, which is when the peak baseflow reductions in the Namoi R</w:t>
      </w:r>
      <w:r w:rsidR="00250AFE" w:rsidRPr="00677280">
        <w:rPr>
          <w:rFonts w:eastAsia="Calibri"/>
        </w:rPr>
        <w:t>iver</w:t>
      </w:r>
      <w:r w:rsidRPr="00677280">
        <w:rPr>
          <w:rFonts w:eastAsia="Calibri"/>
        </w:rPr>
        <w:t xml:space="preserve"> are expected to occur.</w:t>
      </w:r>
      <w:r w:rsidR="2F62AA2A" w:rsidRPr="00677280">
        <w:rPr>
          <w:rFonts w:eastAsia="Calibri"/>
        </w:rPr>
        <w:t xml:space="preserve"> Such assessments should consider a range of projected changes based on the distribution of </w:t>
      </w:r>
      <w:r w:rsidR="6E078F5B" w:rsidRPr="00677280">
        <w:rPr>
          <w:rFonts w:eastAsia="Calibri"/>
        </w:rPr>
        <w:t xml:space="preserve">climate model results </w:t>
      </w:r>
      <w:r w:rsidR="2490DC72" w:rsidRPr="00677280">
        <w:rPr>
          <w:rFonts w:eastAsia="Calibri"/>
        </w:rPr>
        <w:t xml:space="preserve">as </w:t>
      </w:r>
      <w:r w:rsidR="27BD0B17" w:rsidRPr="00677280">
        <w:rPr>
          <w:rFonts w:eastAsia="Calibri"/>
        </w:rPr>
        <w:t xml:space="preserve">their </w:t>
      </w:r>
      <w:r w:rsidR="2490DC72" w:rsidRPr="00677280">
        <w:rPr>
          <w:rFonts w:eastAsia="Calibri"/>
        </w:rPr>
        <w:t>impacts</w:t>
      </w:r>
      <w:r w:rsidR="593DB183" w:rsidRPr="00677280">
        <w:rPr>
          <w:rFonts w:eastAsia="Calibri"/>
        </w:rPr>
        <w:t xml:space="preserve"> on streamflow regime </w:t>
      </w:r>
      <w:r w:rsidR="00582E63" w:rsidRPr="00677280">
        <w:rPr>
          <w:rFonts w:eastAsia="Calibri"/>
        </w:rPr>
        <w:t>are</w:t>
      </w:r>
      <w:r w:rsidR="593DB183" w:rsidRPr="00677280">
        <w:rPr>
          <w:rFonts w:eastAsia="Calibri"/>
        </w:rPr>
        <w:t xml:space="preserve"> highly non-linear.</w:t>
      </w:r>
      <w:r w:rsidR="2490DC72" w:rsidRPr="00677280">
        <w:rPr>
          <w:rFonts w:eastAsia="Calibri"/>
        </w:rPr>
        <w:t xml:space="preserve"> </w:t>
      </w:r>
    </w:p>
    <w:p w14:paraId="6C3CD6B8" w14:textId="49D92EEB" w:rsidR="006F3C41" w:rsidRDefault="006F3C41" w:rsidP="6C42ACAA">
      <w:pPr>
        <w:pStyle w:val="ListParagraph"/>
        <w:numPr>
          <w:ilvl w:val="0"/>
          <w:numId w:val="6"/>
        </w:numPr>
        <w:rPr>
          <w:rFonts w:eastAsia="Arial"/>
        </w:rPr>
      </w:pPr>
      <w:r w:rsidRPr="00677280">
        <w:t xml:space="preserve">It is unclear how the mine-affected water will be treated (filtered?) prior to release. While there have been no controlled releases of mine-affected water into the Namoi River during operations </w:t>
      </w:r>
      <w:r w:rsidR="00874C2B" w:rsidRPr="00677280">
        <w:t>to date</w:t>
      </w:r>
      <w:r w:rsidRPr="00677280">
        <w:t>, a number of water quality values, including EC, for “filtered” water exceed</w:t>
      </w:r>
      <w:r w:rsidR="00CC1EDF" w:rsidRPr="00677280">
        <w:t>ed</w:t>
      </w:r>
      <w:r w:rsidRPr="00677280">
        <w:t xml:space="preserve"> the trigger values</w:t>
      </w:r>
      <w:r>
        <w:t xml:space="preserve"> outlined in Table 4.5 of WRM 2020 (p. 43). Only </w:t>
      </w:r>
      <w:proofErr w:type="spellStart"/>
      <w:r>
        <w:t>physico</w:t>
      </w:r>
      <w:proofErr w:type="spellEnd"/>
      <w:r>
        <w:t xml:space="preserve">-chemical parameters have been measured and reported in various on-site water storages, so additional monitoring data on other parameters </w:t>
      </w:r>
      <w:r w:rsidR="00A3223E">
        <w:t>(</w:t>
      </w:r>
      <w:r>
        <w:t xml:space="preserve">e.g. soluble metals identified in the geochemical assessment </w:t>
      </w:r>
      <w:r w:rsidR="00962025">
        <w:t>(antimony, arsenic, cobalt, molybdenum, selenium)</w:t>
      </w:r>
      <w:r w:rsidR="001E5B51">
        <w:t>)</w:t>
      </w:r>
      <w:r>
        <w:t xml:space="preserve"> should be obtained, especially as there may be uncontrolled releases from sediment dams into Kurrajong Creek. </w:t>
      </w:r>
    </w:p>
    <w:p w14:paraId="1D2739A5" w14:textId="3090FCEF" w:rsidR="004C4618" w:rsidRPr="009C7053" w:rsidDel="00903E8E" w:rsidRDefault="006F3C41" w:rsidP="009C7053">
      <w:pPr>
        <w:pStyle w:val="ListParagraph"/>
        <w:numPr>
          <w:ilvl w:val="0"/>
          <w:numId w:val="6"/>
        </w:numPr>
      </w:pPr>
      <w:r>
        <w:t xml:space="preserve">No data are presented in the EIS for other water quality parameters in the receiving waters e.g. metals, except for mention of one sampling event in January 2020, in which dissolved metals concentrations exceeded the Namoi River Water Quality Objectives for iron, chromium, copper and zinc at more than half the monitoring sites. Additional surface water quality monitoring is needed, including a wider suite of parameters to develop more robust site-specific water quality guidelines </w:t>
      </w:r>
      <w:r w:rsidRPr="006F0B28">
        <w:t>(</w:t>
      </w:r>
      <w:bookmarkEnd w:id="5"/>
      <w:r w:rsidR="006F0B28" w:rsidRPr="006F0B28">
        <w:t>Huynh and Hobbs</w:t>
      </w:r>
      <w:r w:rsidR="00B211A3">
        <w:t>,</w:t>
      </w:r>
      <w:r w:rsidR="006F0B28" w:rsidRPr="006F0B28">
        <w:t xml:space="preserve"> 2019</w:t>
      </w:r>
      <w:r w:rsidRPr="006F0B28">
        <w:t>).</w:t>
      </w:r>
    </w:p>
    <w:p w14:paraId="2E985BFF" w14:textId="6F03363E" w:rsidR="007F6755" w:rsidRDefault="007F6755" w:rsidP="00FD61EB">
      <w:pPr>
        <w:pStyle w:val="ListBullet"/>
        <w:ind w:left="0"/>
        <w:rPr>
          <w:i/>
          <w:iCs/>
          <w:lang w:val="en-AU" w:eastAsia="en-AU"/>
        </w:rPr>
      </w:pPr>
    </w:p>
    <w:p w14:paraId="3ECFA151" w14:textId="5DF42C20"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t>Question 7: Does the EIS provide reasonable strategies to effectively avoid, mitigate or minimise the</w:t>
      </w:r>
    </w:p>
    <w:p w14:paraId="3E6C8787" w14:textId="77777777"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rsidRPr="006F1262">
        <w:t>likelihood, extent and significance of impacts, including cumulative impacts to significant</w:t>
      </w:r>
    </w:p>
    <w:p w14:paraId="64981D7B" w14:textId="4425571D" w:rsidR="006F1262" w:rsidRPr="006F1262"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rsidRPr="006F1262">
        <w:t xml:space="preserve">water-related resources? Could </w:t>
      </w:r>
      <w:r w:rsidR="000C764E">
        <w:t>the IESC</w:t>
      </w:r>
      <w:r w:rsidRPr="006F1262">
        <w:t xml:space="preserve"> list additional mitigation, monitoring</w:t>
      </w:r>
      <w:r w:rsidR="00EA3543">
        <w:t xml:space="preserve"> and </w:t>
      </w:r>
    </w:p>
    <w:p w14:paraId="2E1D5300" w14:textId="3AAFF6EA" w:rsidR="00917B27" w:rsidRPr="00BC7FA7" w:rsidRDefault="006F1262" w:rsidP="006F1262">
      <w:pPr>
        <w:pBdr>
          <w:top w:val="single" w:sz="4" w:space="1" w:color="auto"/>
          <w:left w:val="single" w:sz="4" w:space="4" w:color="auto"/>
          <w:bottom w:val="single" w:sz="4" w:space="1" w:color="auto"/>
          <w:right w:val="single" w:sz="4" w:space="4" w:color="auto"/>
        </w:pBdr>
        <w:shd w:val="clear" w:color="auto" w:fill="E7E6E6"/>
        <w:spacing w:after="0"/>
      </w:pPr>
      <w:r w:rsidRPr="006F1262">
        <w:t>management measures</w:t>
      </w:r>
      <w:r w:rsidRPr="00203852">
        <w:t>?</w:t>
      </w:r>
    </w:p>
    <w:p w14:paraId="63C1ED50" w14:textId="62D009B5" w:rsidR="001835A1" w:rsidRDefault="001835A1" w:rsidP="00FE2679">
      <w:pPr>
        <w:pStyle w:val="ListBullet"/>
        <w:ind w:left="0" w:firstLine="0"/>
        <w:rPr>
          <w:u w:val="single"/>
          <w:lang w:val="en-AU"/>
        </w:rPr>
      </w:pPr>
    </w:p>
    <w:p w14:paraId="2CAE3EDF" w14:textId="6EF82712" w:rsidR="001A303C" w:rsidRDefault="00641D71" w:rsidP="41AAE43B">
      <w:pPr>
        <w:pStyle w:val="ListNumber"/>
        <w:numPr>
          <w:ilvl w:val="0"/>
          <w:numId w:val="8"/>
        </w:numPr>
        <w:rPr>
          <w:rFonts w:eastAsia="Arial"/>
        </w:rPr>
      </w:pPr>
      <w:r>
        <w:t>Although t</w:t>
      </w:r>
      <w:r w:rsidR="001A303C">
        <w:t>he proponent</w:t>
      </w:r>
      <w:r>
        <w:t xml:space="preserve"> describes some aspects of monitoring (</w:t>
      </w:r>
      <w:r w:rsidR="001C65E1">
        <w:t>AGE 2020, p. 145-146</w:t>
      </w:r>
      <w:r>
        <w:t xml:space="preserve">), mitigation measures are not presented in detail. </w:t>
      </w:r>
      <w:r w:rsidR="00870216">
        <w:t xml:space="preserve">Additional suggestions to improve the monitoring follow. </w:t>
      </w:r>
    </w:p>
    <w:p w14:paraId="2DE22F78" w14:textId="5274B718" w:rsidR="00643ECB" w:rsidRPr="00643ECB" w:rsidRDefault="00643ECB" w:rsidP="00643ECB">
      <w:pPr>
        <w:pStyle w:val="ListNumber2"/>
        <w:rPr>
          <w:rFonts w:cs="Calibri"/>
        </w:rPr>
      </w:pPr>
      <w:r>
        <w:t>Ground-truthing of regional</w:t>
      </w:r>
      <w:r w:rsidR="00641D71">
        <w:t>-</w:t>
      </w:r>
      <w:r>
        <w:t>scale geolog</w:t>
      </w:r>
      <w:r w:rsidR="00641D71">
        <w:t>ical</w:t>
      </w:r>
      <w:r>
        <w:t xml:space="preserve"> mapping and hydraulic parameterisation near the Namoi River could provide more confidence in the lithological boundary between alluvium and porous rock aquifers that result in a steep gradient in modelled watertable drawdown. </w:t>
      </w:r>
      <w:r w:rsidR="00A17C1A">
        <w:t>To support this mapping and parametrisation, g</w:t>
      </w:r>
      <w:r>
        <w:t xml:space="preserve">eophysical surveys and monitoring bores for in-situ testing of hydraulic parameters </w:t>
      </w:r>
      <w:r w:rsidR="00A17C1A">
        <w:t>will</w:t>
      </w:r>
      <w:r>
        <w:t xml:space="preserve"> provide greater confidence in the extent and magnitude of predicted watertable drawdown within alluvium near the Namoi River. </w:t>
      </w:r>
    </w:p>
    <w:p w14:paraId="17691ADC" w14:textId="5C0D19D9" w:rsidR="0076313A" w:rsidRDefault="006F3C41" w:rsidP="0076313A">
      <w:pPr>
        <w:pStyle w:val="ListNumber2"/>
      </w:pPr>
      <w:r>
        <w:lastRenderedPageBreak/>
        <w:t>Ditton details a number of monitoring and mitigation recommendations which are supported by the IESC (</w:t>
      </w:r>
      <w:r w:rsidR="64C9C984">
        <w:t xml:space="preserve">DGS 2020, </w:t>
      </w:r>
      <w:r w:rsidR="64C9C984" w:rsidRPr="00A509AC">
        <w:t>p.</w:t>
      </w:r>
      <w:r w:rsidRPr="00A509AC">
        <w:t xml:space="preserve"> E7, 27, 34, 59, 78, 82, 96-97, 102</w:t>
      </w:r>
      <w:r>
        <w:t>)</w:t>
      </w:r>
      <w:r w:rsidR="2328A173">
        <w:t xml:space="preserve"> and</w:t>
      </w:r>
      <w:r>
        <w:t xml:space="preserve"> the </w:t>
      </w:r>
      <w:r w:rsidRPr="00677280">
        <w:t xml:space="preserve">IESC considers </w:t>
      </w:r>
      <w:r w:rsidR="00874C2B" w:rsidRPr="00677280">
        <w:t xml:space="preserve">that </w:t>
      </w:r>
      <w:r w:rsidRPr="00677280">
        <w:t>all of th</w:t>
      </w:r>
      <w:r>
        <w:t>ese recommendations must be implemented. The current monitoring program should be updated to reflect these recommendations. Further, the spatial coverage of the groundwater monitoring network should be expanded to where there are currently no monitoring bores to the west and south of the proposed project, as discussed in the previous advice (IESC 2019-102, Paragraphs 3-5).</w:t>
      </w:r>
      <w:r w:rsidR="0023443F">
        <w:t xml:space="preserve"> </w:t>
      </w:r>
    </w:p>
    <w:p w14:paraId="71D11247" w14:textId="03E40E97" w:rsidR="0076313A" w:rsidRPr="0076313A" w:rsidRDefault="00A17C1A" w:rsidP="0076313A">
      <w:pPr>
        <w:pStyle w:val="ListNumber2"/>
      </w:pPr>
      <w:r>
        <w:t>A</w:t>
      </w:r>
      <w:r w:rsidR="0076313A" w:rsidRPr="0076313A">
        <w:t xml:space="preserve">dditional monitoring </w:t>
      </w:r>
      <w:r>
        <w:t xml:space="preserve">with </w:t>
      </w:r>
      <w:r w:rsidR="0076313A" w:rsidRPr="0076313A">
        <w:t>multi-level VWPs above the centreline of the first new longwall panels (</w:t>
      </w:r>
      <w:proofErr w:type="gramStart"/>
      <w:r w:rsidR="0076313A" w:rsidRPr="0076313A">
        <w:t>similar to</w:t>
      </w:r>
      <w:proofErr w:type="gramEnd"/>
      <w:r w:rsidR="0076313A" w:rsidRPr="0076313A">
        <w:t xml:space="preserve"> the VWPs in borehole 57 above LW108)</w:t>
      </w:r>
      <w:r w:rsidR="0076313A">
        <w:t xml:space="preserve"> is required</w:t>
      </w:r>
      <w:r w:rsidR="0076313A" w:rsidRPr="0076313A">
        <w:t>. IESC agrees with the recommendation of the peer reviewer</w:t>
      </w:r>
      <w:r w:rsidR="00C56C0E">
        <w:t xml:space="preserve"> </w:t>
      </w:r>
      <w:r w:rsidR="00C56C0E" w:rsidRPr="00C56C0E">
        <w:t>(Jacobs</w:t>
      </w:r>
      <w:r w:rsidR="00B211A3">
        <w:t>,</w:t>
      </w:r>
      <w:r w:rsidR="00C56C0E" w:rsidRPr="00C56C0E">
        <w:t xml:space="preserve"> 2020)</w:t>
      </w:r>
      <w:r w:rsidR="0076313A" w:rsidRPr="0076313A">
        <w:t xml:space="preserve"> that</w:t>
      </w:r>
      <w:r>
        <w:t xml:space="preserve"> this</w:t>
      </w:r>
      <w:r w:rsidR="0076313A" w:rsidRPr="0076313A">
        <w:t xml:space="preserve"> additional monitoring is essential to improve the local database of subsidence effects and impacts. Site-specific data should be used to justify the parameter functions applied in the groundwater model for hydraulic conductivity and specific storage, particularly above and near longwall panels. </w:t>
      </w:r>
    </w:p>
    <w:p w14:paraId="50504568" w14:textId="011FC14E" w:rsidR="001A303C" w:rsidRPr="00713C05" w:rsidRDefault="001A303C" w:rsidP="001A303C">
      <w:pPr>
        <w:pStyle w:val="ListParagraph"/>
        <w:numPr>
          <w:ilvl w:val="0"/>
          <w:numId w:val="8"/>
        </w:numPr>
      </w:pPr>
      <w:r>
        <w:t xml:space="preserve">While the groundwater quality monitoring plan indicates that pH and EC are monitored monthly, and additional parameters are monitored annually (including major ions, alkalinity, total phosphorus and some metals), none of these data (except salinity) </w:t>
      </w:r>
      <w:r w:rsidR="00874C2B">
        <w:t xml:space="preserve">is </w:t>
      </w:r>
      <w:r>
        <w:t>presented in the EIS. The limited data provided are compared to NEPM guideline values for stock watering, as well as site-specific trigger values. However</w:t>
      </w:r>
      <w:r w:rsidR="027B140C">
        <w:t>,</w:t>
      </w:r>
      <w:r>
        <w:t xml:space="preserve"> these site-specific trigger values are not shown, making it difficult for the IESC to determine if the monitoring or guidelines are appropriate to protect groundwater systems. No monitoring of shallow groundwater (Quaternary Alluvium) is undertaken currently.</w:t>
      </w:r>
    </w:p>
    <w:p w14:paraId="3283809F" w14:textId="6C996F3D" w:rsidR="001A303C" w:rsidRDefault="001A303C" w:rsidP="001A303C">
      <w:pPr>
        <w:pStyle w:val="ListParagraph"/>
        <w:numPr>
          <w:ilvl w:val="0"/>
          <w:numId w:val="8"/>
        </w:numPr>
      </w:pPr>
      <w:r>
        <w:t xml:space="preserve">The proponent still does not appear to have sufficient licences for predicted take from the NSW Gunnedah Oxley Basin water source. Notably, the peak volumes requiring licencing exceed current licensing by 1,089 ML/ year. Prudent management of this water resource would dictate licenses should be obtained before operations commence. </w:t>
      </w:r>
    </w:p>
    <w:p w14:paraId="71303811" w14:textId="371EF4B1" w:rsidR="00FE2679" w:rsidRPr="00A509AC" w:rsidRDefault="00FE2679" w:rsidP="00A509AC">
      <w:pPr>
        <w:ind w:left="142"/>
        <w:rPr>
          <w:rFonts w:eastAsia="Arial"/>
          <w:u w:val="single"/>
        </w:rPr>
      </w:pPr>
      <w:r w:rsidRPr="00A509AC">
        <w:rPr>
          <w:u w:val="single"/>
        </w:rPr>
        <w:t>Surface water</w:t>
      </w:r>
    </w:p>
    <w:p w14:paraId="21CE0FF0" w14:textId="314D3093" w:rsidR="00DD68EA" w:rsidRPr="001C5CE7" w:rsidRDefault="00DD68EA" w:rsidP="00896252">
      <w:pPr>
        <w:pStyle w:val="ListNumber"/>
        <w:numPr>
          <w:ilvl w:val="0"/>
          <w:numId w:val="8"/>
        </w:numPr>
      </w:pPr>
      <w:r>
        <w:t xml:space="preserve">There is little to no confidence in the predictions of the lack of baseflow in the ephemeral tributaries as no modelling or monitoring has been completed or planned to be completed. </w:t>
      </w:r>
    </w:p>
    <w:p w14:paraId="79462A8C" w14:textId="4534167A" w:rsidR="00DD68EA" w:rsidRPr="001C5CE7" w:rsidRDefault="00DD68EA" w:rsidP="00896252">
      <w:pPr>
        <w:pStyle w:val="ListParagraph"/>
        <w:numPr>
          <w:ilvl w:val="2"/>
          <w:numId w:val="36"/>
        </w:numPr>
      </w:pPr>
      <w:r>
        <w:t>Clarification is required to determine if streams are predominately gaining or losing to determine their groundwater dependence (</w:t>
      </w:r>
      <w:r w:rsidR="00575B93" w:rsidRPr="00F32726">
        <w:t xml:space="preserve">OWS </w:t>
      </w:r>
      <w:r w:rsidR="008047CA" w:rsidRPr="00F32726">
        <w:t>2020, p. 6</w:t>
      </w:r>
      <w:r w:rsidR="00B71A7D" w:rsidRPr="00F32726">
        <w:t>-7</w:t>
      </w:r>
      <w:r w:rsidR="008047CA" w:rsidRPr="00F32726">
        <w:t>)</w:t>
      </w:r>
      <w:r w:rsidRPr="00F32726">
        <w:t>.</w:t>
      </w:r>
      <w:r>
        <w:t xml:space="preserve"> </w:t>
      </w:r>
    </w:p>
    <w:p w14:paraId="13DB3E30" w14:textId="487FB938" w:rsidR="00DD68EA" w:rsidRPr="001C5CE7" w:rsidRDefault="00DD68EA" w:rsidP="41AAE43B">
      <w:pPr>
        <w:pStyle w:val="ListParagraph"/>
        <w:numPr>
          <w:ilvl w:val="2"/>
          <w:numId w:val="36"/>
        </w:numPr>
      </w:pPr>
      <w:r>
        <w:t xml:space="preserve">The proponent does not consider potential impacts of subsidence on the local waterways of the proposed project, where it might be expected that changes in surface depressions </w:t>
      </w:r>
      <w:r w:rsidR="3F5BA8AD">
        <w:t xml:space="preserve">(and ponding) </w:t>
      </w:r>
      <w:r>
        <w:t>will change the proportion of rainfall that appears as surface runoff. Installing stream gauges was a recommendation from the last IESC Advice (</w:t>
      </w:r>
      <w:r w:rsidRPr="007500EB">
        <w:t>IESC 2019, p. 2),</w:t>
      </w:r>
      <w:r>
        <w:t xml:space="preserve"> and installing gauges (for example, along the mid-reaches of </w:t>
      </w:r>
      <w:r w:rsidR="007F4080">
        <w:t>Kurrajong</w:t>
      </w:r>
      <w:r>
        <w:t xml:space="preserve"> C</w:t>
      </w:r>
      <w:r w:rsidR="00037124">
        <w:t>ree</w:t>
      </w:r>
      <w:r>
        <w:t xml:space="preserve">k, a location on </w:t>
      </w:r>
      <w:proofErr w:type="spellStart"/>
      <w:r>
        <w:t>Tulla</w:t>
      </w:r>
      <w:proofErr w:type="spellEnd"/>
      <w:r>
        <w:t xml:space="preserve"> Mullen</w:t>
      </w:r>
      <w:r w:rsidR="00841A38">
        <w:t xml:space="preserve"> Creek downstream of the project area</w:t>
      </w:r>
      <w:r>
        <w:t>, or at a point below their confluence above the Namoi R</w:t>
      </w:r>
      <w:r w:rsidR="00037124">
        <w:t>i</w:t>
      </w:r>
      <w:r>
        <w:t xml:space="preserve">ver) could be used in combination with existing gauges to assess impacts over time. </w:t>
      </w:r>
    </w:p>
    <w:p w14:paraId="155C021E" w14:textId="02F17A7C" w:rsidR="00DD68EA" w:rsidRDefault="00DD68EA" w:rsidP="41AAE43B">
      <w:pPr>
        <w:pStyle w:val="ListParagraph"/>
        <w:numPr>
          <w:ilvl w:val="0"/>
          <w:numId w:val="8"/>
        </w:numPr>
      </w:pPr>
      <w:r>
        <w:t xml:space="preserve">The proponent’s </w:t>
      </w:r>
      <w:r w:rsidR="00B743D3">
        <w:t xml:space="preserve">mitigation </w:t>
      </w:r>
      <w:r>
        <w:t>strategy to manage the cracks due to subsidence is for them to fill naturally or for the larger cracks to manually fill them in with machinery</w:t>
      </w:r>
      <w:r w:rsidR="00B743D3">
        <w:t>.</w:t>
      </w:r>
      <w:r>
        <w:t xml:space="preserve"> </w:t>
      </w:r>
      <w:r w:rsidR="00B743D3">
        <w:t>D</w:t>
      </w:r>
      <w:r>
        <w:t>ue to the possible magnitude of these cracks</w:t>
      </w:r>
      <w:r w:rsidR="00DC6FDE">
        <w:t>,</w:t>
      </w:r>
      <w:r>
        <w:t xml:space="preserve"> this is an unreasonable and impractical strategy as well as potentially unsafe. The cracks have been previously mentioned in the advice (IESC 2019-102</w:t>
      </w:r>
      <w:r w:rsidR="00EC463C">
        <w:t>,</w:t>
      </w:r>
      <w:r>
        <w:t xml:space="preserve"> Paragraph 10b) and much of this does not appear to have been addressed.</w:t>
      </w:r>
    </w:p>
    <w:p w14:paraId="5CD027D8" w14:textId="5F925D5C" w:rsidR="009A6C67" w:rsidRDefault="009A6C67" w:rsidP="41AAE43B">
      <w:pPr>
        <w:pStyle w:val="ListParagraph"/>
        <w:numPr>
          <w:ilvl w:val="0"/>
          <w:numId w:val="8"/>
        </w:numPr>
        <w:rPr>
          <w:rFonts w:eastAsia="Arial"/>
        </w:rPr>
      </w:pPr>
      <w:r>
        <w:t xml:space="preserve">Background </w:t>
      </w:r>
      <w:proofErr w:type="spellStart"/>
      <w:r>
        <w:t>physico</w:t>
      </w:r>
      <w:proofErr w:type="spellEnd"/>
      <w:r>
        <w:t>-chemical and chemical parameters for the Namoi River (particularly EC values) which may receive controlled releases, as well as Kurrajong Creek which may receive overflows from sediment dams, are required</w:t>
      </w:r>
      <w:r w:rsidR="00BE6466">
        <w:t>.</w:t>
      </w:r>
    </w:p>
    <w:p w14:paraId="1A046B7F" w14:textId="688B1CA2" w:rsidR="00441DCD" w:rsidRPr="00C643B4" w:rsidRDefault="009A6C67" w:rsidP="004C4618">
      <w:pPr>
        <w:pStyle w:val="ListParagraph"/>
        <w:numPr>
          <w:ilvl w:val="0"/>
          <w:numId w:val="8"/>
        </w:numPr>
      </w:pPr>
      <w:r>
        <w:lastRenderedPageBreak/>
        <w:t>No</w:t>
      </w:r>
      <w:r w:rsidR="005F7351">
        <w:t xml:space="preserve"> Trigger Action Response Plan (TARP) for the existing mine </w:t>
      </w:r>
      <w:r w:rsidR="19BC54FB">
        <w:t>was</w:t>
      </w:r>
      <w:r w:rsidR="009A2435">
        <w:t xml:space="preserve"> provided</w:t>
      </w:r>
      <w:r w:rsidR="005F7351">
        <w:t>.</w:t>
      </w:r>
      <w:r w:rsidR="00C8232C">
        <w:t xml:space="preserve"> </w:t>
      </w:r>
      <w:r w:rsidR="00441DCD">
        <w:t>Clarification is required as to whether baseline values for water quality (</w:t>
      </w:r>
      <w:proofErr w:type="spellStart"/>
      <w:r w:rsidR="00441DCD">
        <w:t>physic</w:t>
      </w:r>
      <w:r w:rsidR="0060735A">
        <w:t>o</w:t>
      </w:r>
      <w:proofErr w:type="spellEnd"/>
      <w:r w:rsidR="00C56C0E">
        <w:t>-</w:t>
      </w:r>
      <w:r w:rsidR="00441DCD">
        <w:t>chemical parameters and contaminants) have been established for the existing mine which gained approval in 2011.</w:t>
      </w:r>
    </w:p>
    <w:p w14:paraId="46368018" w14:textId="546ADF27" w:rsidR="00441DCD" w:rsidRPr="00A87320" w:rsidRDefault="00441DCD" w:rsidP="004C4618">
      <w:pPr>
        <w:pStyle w:val="ListParagraph"/>
        <w:numPr>
          <w:ilvl w:val="0"/>
          <w:numId w:val="8"/>
        </w:numPr>
      </w:pPr>
      <w:r>
        <w:t xml:space="preserve">As the </w:t>
      </w:r>
      <w:r w:rsidR="00620A37">
        <w:t xml:space="preserve">IESC </w:t>
      </w:r>
      <w:r>
        <w:t xml:space="preserve">specified in the previous </w:t>
      </w:r>
      <w:r w:rsidR="004766B7">
        <w:t>a</w:t>
      </w:r>
      <w:r>
        <w:t>dvice</w:t>
      </w:r>
      <w:r w:rsidR="004766B7">
        <w:t xml:space="preserve"> (IESC 2019</w:t>
      </w:r>
      <w:r w:rsidR="00B54548">
        <w:t>-102</w:t>
      </w:r>
      <w:r w:rsidR="004766B7">
        <w:t>, Paragraph 17)</w:t>
      </w:r>
      <w:r>
        <w:t xml:space="preserve">, a surface water assessment is needed which: </w:t>
      </w:r>
    </w:p>
    <w:p w14:paraId="537BACA0" w14:textId="441B1B7D" w:rsidR="009A6C67" w:rsidRPr="00A87320" w:rsidRDefault="009A6C67" w:rsidP="00D5493E">
      <w:pPr>
        <w:pStyle w:val="ListNumber2"/>
        <w:numPr>
          <w:ilvl w:val="1"/>
          <w:numId w:val="36"/>
        </w:numPr>
      </w:pPr>
      <w:r>
        <w:t xml:space="preserve">uses appropriate surface water quality data consistent with the ANZG (2018) guidelines for aquatic ecosystem protection to inform impacts and risks; </w:t>
      </w:r>
    </w:p>
    <w:p w14:paraId="33DCE034" w14:textId="5A52FD60" w:rsidR="00441DCD" w:rsidRPr="00A87320" w:rsidRDefault="00441DCD" w:rsidP="00D5493E">
      <w:pPr>
        <w:pStyle w:val="ListNumber2"/>
        <w:numPr>
          <w:ilvl w:val="1"/>
          <w:numId w:val="36"/>
        </w:numPr>
      </w:pPr>
      <w:r>
        <w:t xml:space="preserve">includes baseline and event-based monitoring of water quality parameters over a sufficient </w:t>
      </w:r>
      <w:proofErr w:type="gramStart"/>
      <w:r>
        <w:t>time period</w:t>
      </w:r>
      <w:proofErr w:type="gramEnd"/>
      <w:r>
        <w:t xml:space="preserve"> to enable the derivation of appropriate site-specific water quality guideline values</w:t>
      </w:r>
      <w:r w:rsidR="00C20E24">
        <w:t xml:space="preserve"> (</w:t>
      </w:r>
      <w:r w:rsidR="006F0B28" w:rsidRPr="006F0B28">
        <w:t>Huynh and Hobbs</w:t>
      </w:r>
      <w:r w:rsidR="00B211A3">
        <w:t>,</w:t>
      </w:r>
      <w:r w:rsidR="006F0B28" w:rsidRPr="006F0B28">
        <w:t xml:space="preserve"> 2019</w:t>
      </w:r>
      <w:r w:rsidR="00C20E24">
        <w:t>)</w:t>
      </w:r>
      <w:r>
        <w:t xml:space="preserve">. The parameters monitored, frequency of monitoring and actual monitoring data </w:t>
      </w:r>
      <w:r w:rsidR="009A2435">
        <w:t>should be included</w:t>
      </w:r>
      <w:r>
        <w:t xml:space="preserve">; </w:t>
      </w:r>
    </w:p>
    <w:p w14:paraId="3B91E94E" w14:textId="16C2BCEE" w:rsidR="00441DCD" w:rsidRPr="00A87320" w:rsidRDefault="00441DCD" w:rsidP="00D5493E">
      <w:pPr>
        <w:pStyle w:val="ListNumber2"/>
        <w:numPr>
          <w:ilvl w:val="1"/>
          <w:numId w:val="36"/>
        </w:numPr>
        <w:rPr>
          <w:rFonts w:eastAsia="Arial"/>
        </w:rPr>
      </w:pPr>
      <w:r>
        <w:t xml:space="preserve">uses a risk-based approach to identify key surface waters that might be impacted (e.g. through direct and indirect discharges, subsidence fracturing, ponding or erosion), and considers how the proposal may alter the </w:t>
      </w:r>
      <w:r w:rsidR="007E7F5B">
        <w:t>number</w:t>
      </w:r>
      <w:r>
        <w:t xml:space="preserve"> of low- and zero-flow days and potentially impact on instream biota. The proposed development area is drained by ephemeral streams whose flow regime is likely to be altered by subsidence and, potentially, groundwater drawdown. Altered flow regimes will affect the capacity of these ephemeral streams to provide habitat for aquatic species </w:t>
      </w:r>
      <w:r w:rsidR="618993CF">
        <w:t>(</w:t>
      </w:r>
      <w:r w:rsidR="618993CF" w:rsidRPr="6C42ACAA">
        <w:rPr>
          <w:noProof/>
          <w:lang w:eastAsia="en-AU"/>
        </w:rPr>
        <w:t>WRM 2020, p.</w:t>
      </w:r>
      <w:r w:rsidR="00EC463C">
        <w:rPr>
          <w:noProof/>
          <w:lang w:eastAsia="en-AU"/>
        </w:rPr>
        <w:t xml:space="preserve"> </w:t>
      </w:r>
      <w:r w:rsidR="618993CF" w:rsidRPr="6C42ACAA">
        <w:rPr>
          <w:noProof/>
          <w:lang w:eastAsia="en-AU"/>
        </w:rPr>
        <w:t>9</w:t>
      </w:r>
      <w:r w:rsidR="618993CF">
        <w:t>)</w:t>
      </w:r>
      <w:r>
        <w:t xml:space="preserve"> or support the important ecosystem services provided by these types of surface waters </w:t>
      </w:r>
      <w:r w:rsidR="31A20ABA">
        <w:t>(</w:t>
      </w:r>
      <w:r w:rsidR="31A20ABA" w:rsidRPr="6C42ACAA">
        <w:rPr>
          <w:noProof/>
          <w:lang w:eastAsia="en-AU"/>
        </w:rPr>
        <w:t>WRM 2020, p.</w:t>
      </w:r>
      <w:r w:rsidR="00EC463C">
        <w:rPr>
          <w:noProof/>
          <w:lang w:eastAsia="en-AU"/>
        </w:rPr>
        <w:t xml:space="preserve"> </w:t>
      </w:r>
      <w:r w:rsidR="31A20ABA" w:rsidRPr="6C42ACAA">
        <w:rPr>
          <w:noProof/>
          <w:lang w:eastAsia="en-AU"/>
        </w:rPr>
        <w:t>9)</w:t>
      </w:r>
      <w:r>
        <w:t>;</w:t>
      </w:r>
    </w:p>
    <w:p w14:paraId="6D7763FB" w14:textId="3741FAD6" w:rsidR="00441DCD" w:rsidRPr="00A87320" w:rsidRDefault="00441DCD" w:rsidP="00D5493E">
      <w:pPr>
        <w:pStyle w:val="ListNumber2"/>
        <w:numPr>
          <w:ilvl w:val="1"/>
          <w:numId w:val="36"/>
        </w:numPr>
      </w:pPr>
      <w:r>
        <w:t>identifies the existing (baseline) hydrological regime</w:t>
      </w:r>
      <w:r w:rsidR="17E5BBB2">
        <w:t>s</w:t>
      </w:r>
      <w:r>
        <w:t xml:space="preserve"> of all watercourses</w:t>
      </w:r>
      <w:r w:rsidR="00425F97">
        <w:t>, including into the Namoi</w:t>
      </w:r>
      <w:r>
        <w:t xml:space="preserve"> within the potential zone of hydrological impacts based on selected site-specific monitoring</w:t>
      </w:r>
      <w:r w:rsidR="00CB30B6">
        <w:t>, and how these translate into the flow regime of the creek entering the Namoi</w:t>
      </w:r>
      <w:r w:rsidR="007E7F5B">
        <w:t xml:space="preserve"> River</w:t>
      </w:r>
      <w:r>
        <w:t xml:space="preserve">; </w:t>
      </w:r>
      <w:r w:rsidR="00946AFD">
        <w:t>and</w:t>
      </w:r>
    </w:p>
    <w:p w14:paraId="2F184BCD" w14:textId="1B39C027" w:rsidR="00441DCD" w:rsidRDefault="00441DCD" w:rsidP="41AAE43B">
      <w:pPr>
        <w:pStyle w:val="ListNumber2"/>
        <w:numPr>
          <w:ilvl w:val="1"/>
          <w:numId w:val="36"/>
        </w:numPr>
        <w:rPr>
          <w:rFonts w:eastAsia="Arial"/>
        </w:rPr>
      </w:pPr>
      <w:r>
        <w:t>informs appropriate mitigation strategies (e.g. timing and methods for re-establishing drainage lines to minimise erosion, and actions to be taken when there is a suspected exceedance of a guideline value)</w:t>
      </w:r>
      <w:r w:rsidR="007E7F5B">
        <w:t>.</w:t>
      </w:r>
    </w:p>
    <w:p w14:paraId="708E0FEA" w14:textId="197E38EE" w:rsidR="00D74A26" w:rsidRPr="007E7F5B" w:rsidRDefault="00D74A26" w:rsidP="007E7F5B">
      <w:pPr>
        <w:pStyle w:val="ListNumber2"/>
        <w:numPr>
          <w:ilvl w:val="0"/>
          <w:numId w:val="0"/>
        </w:numPr>
        <w:rPr>
          <w:u w:val="single"/>
          <w:lang w:eastAsia="en-AU"/>
        </w:rPr>
      </w:pPr>
      <w:bookmarkStart w:id="6" w:name="_Hlk57882328"/>
      <w:bookmarkEnd w:id="6"/>
      <w:r w:rsidRPr="007E7F5B">
        <w:rPr>
          <w:u w:val="single"/>
          <w:lang w:eastAsia="en-AU"/>
        </w:rPr>
        <w:t>GDEs</w:t>
      </w:r>
    </w:p>
    <w:p w14:paraId="77DD961B" w14:textId="3B381F55" w:rsidR="00E366A7" w:rsidRDefault="00D74A26" w:rsidP="00E366A7">
      <w:pPr>
        <w:pStyle w:val="ListParagraph"/>
        <w:numPr>
          <w:ilvl w:val="0"/>
          <w:numId w:val="8"/>
        </w:numPr>
      </w:pPr>
      <w:r>
        <w:t xml:space="preserve">The proponent is commended for efforts to redesign the mine’s layout to avoid or minimise subsidence-related impacts on, for example, Bulga Hill which is habitat for the EPBC Act-listed Large-eared Pied Bat although it is noted that other rocky outcrops, also used as habitat, will be undermined. However, avoiding or mitigating drawdown and subsidence-related impacts on watercourses, riparian zone vegetation and GDEs is much more challenging. It is unlikely that any mitigation of subsidence-related effects on streamflow </w:t>
      </w:r>
      <w:r w:rsidRPr="00A11F13">
        <w:t xml:space="preserve">regimes (Paragraph </w:t>
      </w:r>
      <w:r w:rsidR="00A11F13" w:rsidRPr="00A11F13">
        <w:t>17,</w:t>
      </w:r>
      <w:r w:rsidR="00A11F13">
        <w:t xml:space="preserve"> 29d)</w:t>
      </w:r>
      <w:r>
        <w:t xml:space="preserve"> is possible.</w:t>
      </w:r>
      <w:r w:rsidR="00C8232C">
        <w:t xml:space="preserve"> </w:t>
      </w:r>
      <w:r>
        <w:t>The proponent should monitor aquatic values (e.g. aquatic macroinvertebrates, amphibians) of the undermined watercourses before, during and after mining so that predictions about the potential impacts of subsidence can be tested as well as the effectiveness of filling and repairing cracks in the streambed. Similarly, ponding and root shearing may adversely affect some riparian zone vegetation along the undermined watercourses. Monitoring of riparian zone vegetation condition and cover should be done sufficiently often to detect any changes associated with mining and to trigger rehabilitation actions such as replanting.</w:t>
      </w:r>
      <w:r w:rsidR="00C8232C">
        <w:t xml:space="preserve"> </w:t>
      </w:r>
    </w:p>
    <w:p w14:paraId="37872BF3" w14:textId="3683FB8B" w:rsidR="00E366A7" w:rsidRPr="00677280" w:rsidRDefault="00D74A26" w:rsidP="00E366A7">
      <w:pPr>
        <w:pStyle w:val="ListParagraph"/>
        <w:numPr>
          <w:ilvl w:val="0"/>
          <w:numId w:val="8"/>
        </w:numPr>
      </w:pPr>
      <w:r>
        <w:t xml:space="preserve">When the proponent has established the degree of groundwater-dependence of terrestrial GDEs, including those not rated as ‘high </w:t>
      </w:r>
      <w:r w:rsidRPr="006C50D3">
        <w:t>priority’ (Paragraph 1</w:t>
      </w:r>
      <w:r w:rsidR="006C50D3" w:rsidRPr="006C50D3">
        <w:t>5</w:t>
      </w:r>
      <w:r w:rsidR="006C50D3">
        <w:t>)</w:t>
      </w:r>
      <w:r>
        <w:t xml:space="preserve">, monitoring will be required to detect whether drawdown (potentially combined with subsidence) is having an impact. There are few if any feasible mitigation measures to rectify the impacts of groundwater drawdown on GDEs. In some instances, drawdown may coincide with subsidence-related impacts such as root shearing that may impact groundwater-dependent vegetation. Although there is no evidence that vegetation surrounding the existing Narrabri Mine has experienced any groundwater drawdown-related </w:t>
      </w:r>
      <w:r>
        <w:lastRenderedPageBreak/>
        <w:t>impacts (Resource Strategies 2020, p. 118), the extent of this drawdown may not yet have peaked. To get a clearer perspective on how drawdown and subsidence may affect undermined groundwater-dependent vegetation, the proponent could monitor groundwater use by vegetation overlying proposed longwalls (especially in areas where the watertable is &lt;</w:t>
      </w:r>
      <w:r w:rsidR="00946AFD">
        <w:t xml:space="preserve"> </w:t>
      </w:r>
      <w:r>
        <w:t xml:space="preserve">10 m) during and after mining, matching this with </w:t>
      </w:r>
      <w:r w:rsidRPr="00677280">
        <w:t xml:space="preserve">measures of vegetation condition and recruitment. The effectiveness of any mitigation strategies could </w:t>
      </w:r>
      <w:r w:rsidR="00AF3CD8" w:rsidRPr="00677280">
        <w:t xml:space="preserve">then </w:t>
      </w:r>
      <w:r w:rsidRPr="00677280">
        <w:t>be assessed.</w:t>
      </w:r>
    </w:p>
    <w:p w14:paraId="220ABC5B" w14:textId="657625C5" w:rsidR="00276180" w:rsidRPr="00B34F20" w:rsidRDefault="00D74A26" w:rsidP="41AAE43B">
      <w:pPr>
        <w:pStyle w:val="ListParagraph"/>
        <w:numPr>
          <w:ilvl w:val="0"/>
          <w:numId w:val="8"/>
        </w:numPr>
        <w:rPr>
          <w:rFonts w:eastAsia="Arial"/>
        </w:rPr>
      </w:pPr>
      <w:r w:rsidRPr="00677280">
        <w:t>The proponent also needs to ascertain wheth</w:t>
      </w:r>
      <w:r>
        <w:t>er stygofauna occur in the area of predicted drawdown (</w:t>
      </w:r>
      <w:r w:rsidRPr="006C50D3">
        <w:t>Paragraph 1</w:t>
      </w:r>
      <w:r w:rsidR="006C50D3" w:rsidRPr="006C50D3">
        <w:t>6</w:t>
      </w:r>
      <w:r w:rsidR="006C50D3">
        <w:t>)</w:t>
      </w:r>
      <w:r w:rsidRPr="006C50D3">
        <w:t xml:space="preserve"> and</w:t>
      </w:r>
      <w:r>
        <w:t xml:space="preserve">, if so, whether there is a risk that assemblages may be lost or isolated from sources of potential colonists. Although predicted drawdown is &lt; 2 m in much of the alluvium where stygofauna are likely to be found, this limited drawdown in areas where alluvial sediments are only shallow may be enough to isolate </w:t>
      </w:r>
      <w:proofErr w:type="spellStart"/>
      <w:r>
        <w:t>stygofaunal</w:t>
      </w:r>
      <w:proofErr w:type="spellEnd"/>
      <w:r>
        <w:t xml:space="preserve"> assemblages.</w:t>
      </w:r>
      <w:r w:rsidR="00C8232C">
        <w:t xml:space="preserve"> </w:t>
      </w:r>
      <w:r>
        <w:t>There may also be impacts on ecosystem services provided by groundwater microbes that are stranded or killed by drawdown in shallow alluvial sediments. Again, mitigation measures to prevent or ameliorate this drawdown are unlikely to be feasible.</w:t>
      </w:r>
    </w:p>
    <w:tbl>
      <w:tblPr>
        <w:tblpPr w:leftFromText="180" w:rightFromText="180" w:vertAnchor="page" w:horzAnchor="page" w:tblpX="601" w:tblpY="391"/>
        <w:tblW w:w="11293" w:type="dxa"/>
        <w:tblBorders>
          <w:insideH w:val="single" w:sz="4" w:space="0" w:color="auto"/>
        </w:tblBorders>
        <w:tblLayout w:type="fixed"/>
        <w:tblCellMar>
          <w:top w:w="113" w:type="dxa"/>
          <w:bottom w:w="113" w:type="dxa"/>
        </w:tblCellMar>
        <w:tblLook w:val="01E0" w:firstRow="1" w:lastRow="1" w:firstColumn="1" w:lastColumn="1" w:noHBand="0" w:noVBand="0"/>
      </w:tblPr>
      <w:tblGrid>
        <w:gridCol w:w="1650"/>
        <w:gridCol w:w="8982"/>
        <w:gridCol w:w="661"/>
      </w:tblGrid>
      <w:tr w:rsidR="008028A0" w:rsidRPr="00BF21A7" w14:paraId="7FE2B950" w14:textId="77777777" w:rsidTr="008870D6">
        <w:trPr>
          <w:trHeight w:val="19"/>
        </w:trPr>
        <w:tc>
          <w:tcPr>
            <w:tcW w:w="1650" w:type="dxa"/>
            <w:tcBorders>
              <w:top w:val="single" w:sz="4" w:space="0" w:color="auto"/>
              <w:bottom w:val="single" w:sz="4" w:space="0" w:color="auto"/>
            </w:tcBorders>
          </w:tcPr>
          <w:p w14:paraId="13BE10C9" w14:textId="77777777" w:rsidR="008028A0" w:rsidRPr="00BF21A7" w:rsidRDefault="008028A0" w:rsidP="008028A0">
            <w:pPr>
              <w:pStyle w:val="Heading6"/>
            </w:pPr>
            <w:r w:rsidRPr="00BF21A7">
              <w:lastRenderedPageBreak/>
              <w:t>Date of advice</w:t>
            </w:r>
          </w:p>
        </w:tc>
        <w:tc>
          <w:tcPr>
            <w:tcW w:w="8982" w:type="dxa"/>
            <w:tcBorders>
              <w:top w:val="single" w:sz="4" w:space="0" w:color="auto"/>
              <w:bottom w:val="single" w:sz="4" w:space="0" w:color="auto"/>
            </w:tcBorders>
          </w:tcPr>
          <w:p w14:paraId="7D96B320" w14:textId="6B29D406" w:rsidR="008028A0" w:rsidRPr="00BF21A7" w:rsidRDefault="008028A0" w:rsidP="008028A0">
            <w:pPr>
              <w:pStyle w:val="Tabletext"/>
            </w:pPr>
            <w:r w:rsidRPr="004E00D0">
              <w:t>1</w:t>
            </w:r>
            <w:r w:rsidR="004E00D0" w:rsidRPr="004E00D0">
              <w:t>5</w:t>
            </w:r>
            <w:r w:rsidRPr="004E00D0">
              <w:rPr>
                <w:vertAlign w:val="superscript"/>
              </w:rPr>
              <w:t>th</w:t>
            </w:r>
            <w:r w:rsidRPr="004E00D0">
              <w:t xml:space="preserve"> December </w:t>
            </w:r>
          </w:p>
        </w:tc>
        <w:tc>
          <w:tcPr>
            <w:tcW w:w="661" w:type="dxa"/>
            <w:tcBorders>
              <w:top w:val="single" w:sz="4" w:space="0" w:color="auto"/>
              <w:bottom w:val="single" w:sz="4" w:space="0" w:color="auto"/>
            </w:tcBorders>
          </w:tcPr>
          <w:p w14:paraId="1962D71A" w14:textId="77777777" w:rsidR="008028A0" w:rsidRPr="00BF21A7" w:rsidRDefault="008028A0" w:rsidP="008028A0">
            <w:pPr>
              <w:pStyle w:val="Tabletext"/>
              <w:rPr>
                <w:color w:val="FF0000"/>
              </w:rPr>
            </w:pPr>
          </w:p>
        </w:tc>
      </w:tr>
      <w:tr w:rsidR="008028A0" w:rsidRPr="00BF21A7" w14:paraId="035172DA" w14:textId="77777777" w:rsidTr="008870D6">
        <w:trPr>
          <w:trHeight w:val="161"/>
        </w:trPr>
        <w:tc>
          <w:tcPr>
            <w:tcW w:w="1650" w:type="dxa"/>
            <w:tcBorders>
              <w:top w:val="single" w:sz="4" w:space="0" w:color="auto"/>
              <w:bottom w:val="single" w:sz="4" w:space="0" w:color="auto"/>
            </w:tcBorders>
          </w:tcPr>
          <w:p w14:paraId="37EC2D18" w14:textId="77777777" w:rsidR="008028A0" w:rsidRPr="00BF21A7" w:rsidRDefault="008028A0" w:rsidP="008028A0">
            <w:pPr>
              <w:pStyle w:val="Heading6"/>
            </w:pPr>
            <w:r w:rsidRPr="00BF21A7">
              <w:t xml:space="preserve">Source documentation </w:t>
            </w:r>
            <w:r>
              <w:t>provided</w:t>
            </w:r>
            <w:r w:rsidRPr="00BF21A7">
              <w:t xml:space="preserve"> to the IESC </w:t>
            </w:r>
            <w:r>
              <w:t>for</w:t>
            </w:r>
            <w:r w:rsidRPr="00BF21A7">
              <w:t xml:space="preserve"> the formulation of this advice</w:t>
            </w:r>
          </w:p>
        </w:tc>
        <w:tc>
          <w:tcPr>
            <w:tcW w:w="8982" w:type="dxa"/>
            <w:tcBorders>
              <w:top w:val="single" w:sz="4" w:space="0" w:color="auto"/>
              <w:bottom w:val="single" w:sz="4" w:space="0" w:color="auto"/>
            </w:tcBorders>
          </w:tcPr>
          <w:p w14:paraId="7A8AD572" w14:textId="77777777" w:rsidR="008028A0" w:rsidRDefault="008028A0" w:rsidP="008028A0">
            <w:pPr>
              <w:spacing w:after="174" w:line="240" w:lineRule="auto"/>
              <w:ind w:left="626" w:hanging="626"/>
              <w:rPr>
                <w:noProof/>
                <w:lang w:eastAsia="en-AU"/>
              </w:rPr>
            </w:pPr>
            <w:r w:rsidRPr="00406127">
              <w:rPr>
                <w:noProof/>
                <w:lang w:eastAsia="en-AU"/>
              </w:rPr>
              <w:t>AGE 2020. Narrabri Underground Mine Stage 3 Extension Project - Groundwater Assessment, Appendix B of the Environmental Impact Statement, Dated:12 October 2020. Version 6.02.</w:t>
            </w:r>
          </w:p>
          <w:p w14:paraId="0C168CDF" w14:textId="77777777" w:rsidR="008028A0" w:rsidRPr="00406127" w:rsidRDefault="008028A0" w:rsidP="008028A0">
            <w:pPr>
              <w:spacing w:after="174" w:line="240" w:lineRule="auto"/>
              <w:ind w:left="626" w:hanging="626"/>
              <w:rPr>
                <w:noProof/>
                <w:lang w:eastAsia="en-AU"/>
              </w:rPr>
            </w:pPr>
            <w:r w:rsidRPr="00406127">
              <w:rPr>
                <w:noProof/>
                <w:lang w:eastAsia="en-AU"/>
              </w:rPr>
              <w:t>DGS 2020. Mine Subsidence Assessment for the Narrabri Underground Mine Stage 3 Extension Project, Appendix A of the Environmental Impact Statement, Dated 5 July 2020. Document No. NAR-005/2.</w:t>
            </w:r>
          </w:p>
          <w:p w14:paraId="582707E6" w14:textId="77777777" w:rsidR="008028A0" w:rsidRPr="00406127" w:rsidRDefault="008028A0" w:rsidP="008028A0">
            <w:pPr>
              <w:spacing w:after="174" w:line="240" w:lineRule="auto"/>
              <w:ind w:left="626" w:hanging="626"/>
              <w:rPr>
                <w:noProof/>
                <w:lang w:eastAsia="en-AU"/>
              </w:rPr>
            </w:pPr>
            <w:r w:rsidRPr="00406127">
              <w:rPr>
                <w:noProof/>
                <w:lang w:eastAsia="en-AU"/>
              </w:rPr>
              <w:t xml:space="preserve">GEM 2020. Environmental Geochemistry Assessment for the Narrabri Underground Mine stage 3 extension project, Appendix N of the Environmental Impact Statement, Dated August 2020. </w:t>
            </w:r>
          </w:p>
          <w:p w14:paraId="36D17E34" w14:textId="037C526D" w:rsidR="00FC2B42" w:rsidRDefault="00FC2B42" w:rsidP="00FC2B42">
            <w:pPr>
              <w:spacing w:after="174" w:line="240" w:lineRule="auto"/>
              <w:ind w:left="626" w:hanging="626"/>
              <w:rPr>
                <w:noProof/>
                <w:lang w:eastAsia="en-AU"/>
              </w:rPr>
            </w:pPr>
            <w:r w:rsidRPr="00406127">
              <w:rPr>
                <w:noProof/>
                <w:lang w:eastAsia="en-AU"/>
              </w:rPr>
              <w:t>Hebblewhite</w:t>
            </w:r>
            <w:r>
              <w:rPr>
                <w:noProof/>
                <w:lang w:eastAsia="en-AU"/>
              </w:rPr>
              <w:t xml:space="preserve"> </w:t>
            </w:r>
            <w:r w:rsidR="00B046C2">
              <w:rPr>
                <w:noProof/>
                <w:lang w:eastAsia="en-AU"/>
              </w:rPr>
              <w:t>B.K</w:t>
            </w:r>
            <w:r w:rsidRPr="00406127">
              <w:rPr>
                <w:noProof/>
                <w:lang w:eastAsia="en-AU"/>
              </w:rPr>
              <w:t xml:space="preserve"> 2020. Narrabri Stage 3 Extension Project Subsidence Assessment – Peer Review, Attachment 6 of the Environmental Impact Statement, Dated 12 August 2020.</w:t>
            </w:r>
          </w:p>
          <w:p w14:paraId="6C66E7EE" w14:textId="5CB686A8" w:rsidR="008028A0" w:rsidRPr="00B83DEC" w:rsidRDefault="4EF00F29" w:rsidP="008028A0">
            <w:pPr>
              <w:spacing w:after="174" w:line="240" w:lineRule="auto"/>
              <w:ind w:left="626" w:hanging="626"/>
              <w:rPr>
                <w:noProof/>
                <w:lang w:eastAsia="en-AU"/>
              </w:rPr>
            </w:pPr>
            <w:r w:rsidRPr="0A50B889">
              <w:rPr>
                <w:noProof/>
                <w:lang w:eastAsia="en-AU"/>
              </w:rPr>
              <w:t>Jacobs 2020. Groundwater Assessment Review of Narrabri Underground Mine - Stage 3 Extension Project, Attachment 6 of the Environmental Impact Statement, Dated 13 October 2020. Project No. IS343800</w:t>
            </w:r>
            <w:r w:rsidR="2B8C4C25" w:rsidRPr="0A50B889">
              <w:rPr>
                <w:noProof/>
                <w:lang w:eastAsia="en-AU"/>
              </w:rPr>
              <w:t>.</w:t>
            </w:r>
          </w:p>
          <w:p w14:paraId="42DC8C72" w14:textId="77777777" w:rsidR="008028A0" w:rsidRDefault="008028A0" w:rsidP="008028A0">
            <w:pPr>
              <w:spacing w:after="174" w:line="240" w:lineRule="auto"/>
              <w:ind w:left="626" w:hanging="626"/>
              <w:rPr>
                <w:noProof/>
                <w:lang w:eastAsia="en-AU"/>
              </w:rPr>
            </w:pPr>
            <w:r w:rsidRPr="00B83DEC">
              <w:rPr>
                <w:noProof/>
                <w:lang w:eastAsia="en-AU"/>
              </w:rPr>
              <w:t>Narrabri Coal Operations Pty Ltd (NCOPL) 2020. Narrabri Underground Mine Stage 3 Extention Project, Environmental Impact Statement, Executive Summary. Whitehaven Coal, Australia.</w:t>
            </w:r>
          </w:p>
          <w:p w14:paraId="2204DC57" w14:textId="53771E96" w:rsidR="008028A0" w:rsidRPr="00B83DEC" w:rsidRDefault="4EF00F29" w:rsidP="008028A0">
            <w:pPr>
              <w:spacing w:after="174" w:line="240" w:lineRule="auto"/>
              <w:ind w:left="626" w:hanging="626"/>
              <w:rPr>
                <w:noProof/>
                <w:lang w:eastAsia="en-AU"/>
              </w:rPr>
            </w:pPr>
            <w:r w:rsidRPr="0A50B889">
              <w:rPr>
                <w:noProof/>
                <w:lang w:eastAsia="en-AU"/>
              </w:rPr>
              <w:t>Resource Strategies, 2020. Narrabri Underground Mine Stage 3 Extension Project – Biodiversity Development Assessment Report, Appendix D of the Environmental Impact Statement, Dated: October 2020. Document No. 01054663</w:t>
            </w:r>
            <w:r w:rsidR="02CEE6E8" w:rsidRPr="0A50B889">
              <w:rPr>
                <w:noProof/>
                <w:lang w:eastAsia="en-AU"/>
              </w:rPr>
              <w:t>.</w:t>
            </w:r>
          </w:p>
          <w:p w14:paraId="2F85B0CD" w14:textId="77777777" w:rsidR="008028A0" w:rsidRDefault="008028A0" w:rsidP="008028A0">
            <w:pPr>
              <w:spacing w:after="174" w:line="240" w:lineRule="auto"/>
              <w:ind w:left="626" w:hanging="626"/>
              <w:rPr>
                <w:noProof/>
                <w:lang w:eastAsia="en-AU"/>
              </w:rPr>
            </w:pPr>
            <w:r w:rsidRPr="00406127">
              <w:rPr>
                <w:noProof/>
                <w:lang w:eastAsia="en-AU"/>
              </w:rPr>
              <w:t xml:space="preserve">Whitehaven Coal 2020a. Narrabri Underground Mine Stage 3 Extension Project, Environmental Impact Statement-Executive Summary. </w:t>
            </w:r>
          </w:p>
          <w:p w14:paraId="36DC6EFB" w14:textId="77777777" w:rsidR="008028A0" w:rsidRDefault="008028A0" w:rsidP="008028A0">
            <w:pPr>
              <w:spacing w:after="174" w:line="240" w:lineRule="auto"/>
              <w:ind w:left="626" w:hanging="626"/>
              <w:rPr>
                <w:noProof/>
                <w:lang w:eastAsia="en-AU"/>
              </w:rPr>
            </w:pPr>
            <w:r w:rsidRPr="00406127">
              <w:rPr>
                <w:noProof/>
                <w:lang w:eastAsia="en-AU"/>
              </w:rPr>
              <w:t xml:space="preserve">Whitehaven Coal 2020b. Narrabri Underground Mine Stage 3 Extension Project, Environmental Impact Statement-Project Description, Section 2. </w:t>
            </w:r>
          </w:p>
          <w:p w14:paraId="419A6A1A" w14:textId="4536E119" w:rsidR="008028A0" w:rsidRPr="00B54548" w:rsidRDefault="4EF00F29" w:rsidP="008028A0">
            <w:pPr>
              <w:spacing w:after="174" w:line="240" w:lineRule="auto"/>
              <w:ind w:left="626" w:hanging="626"/>
              <w:rPr>
                <w:noProof/>
                <w:lang w:eastAsia="en-AU"/>
              </w:rPr>
            </w:pPr>
            <w:r w:rsidRPr="0A50B889">
              <w:rPr>
                <w:noProof/>
                <w:lang w:eastAsia="en-AU"/>
              </w:rPr>
              <w:t>WRM 2020. Narrabri Underground Mine Stage 3 Extension Project – Surface Water Assessment, Appendix C of the Environmental Impact Statement, Dated:</w:t>
            </w:r>
            <w:r w:rsidR="00444742">
              <w:rPr>
                <w:noProof/>
                <w:lang w:eastAsia="en-AU"/>
              </w:rPr>
              <w:t xml:space="preserve"> </w:t>
            </w:r>
            <w:r w:rsidRPr="0A50B889">
              <w:rPr>
                <w:noProof/>
                <w:lang w:eastAsia="en-AU"/>
              </w:rPr>
              <w:t>06 October 2020. Version 0189-13-E9</w:t>
            </w:r>
            <w:r w:rsidR="0314C48C" w:rsidRPr="0A50B889">
              <w:rPr>
                <w:noProof/>
                <w:lang w:eastAsia="en-AU"/>
              </w:rPr>
              <w:t>.</w:t>
            </w:r>
          </w:p>
        </w:tc>
        <w:tc>
          <w:tcPr>
            <w:tcW w:w="661" w:type="dxa"/>
            <w:tcBorders>
              <w:top w:val="single" w:sz="4" w:space="0" w:color="auto"/>
              <w:bottom w:val="single" w:sz="4" w:space="0" w:color="auto"/>
            </w:tcBorders>
          </w:tcPr>
          <w:p w14:paraId="5BE535E5" w14:textId="77777777" w:rsidR="008028A0" w:rsidRPr="00BF21A7" w:rsidRDefault="008028A0" w:rsidP="008028A0">
            <w:pPr>
              <w:pStyle w:val="Tabletext"/>
              <w:rPr>
                <w:b/>
                <w:color w:val="FF0000"/>
              </w:rPr>
            </w:pPr>
          </w:p>
        </w:tc>
      </w:tr>
      <w:tr w:rsidR="008028A0" w:rsidRPr="00BF21A7" w14:paraId="59E3AF42" w14:textId="77777777" w:rsidTr="008870D6">
        <w:trPr>
          <w:trHeight w:val="19"/>
        </w:trPr>
        <w:tc>
          <w:tcPr>
            <w:tcW w:w="1650" w:type="dxa"/>
            <w:tcBorders>
              <w:top w:val="single" w:sz="4" w:space="0" w:color="auto"/>
              <w:bottom w:val="single" w:sz="4" w:space="0" w:color="auto"/>
            </w:tcBorders>
          </w:tcPr>
          <w:p w14:paraId="66AFD4CF" w14:textId="77777777" w:rsidR="008028A0" w:rsidRPr="00BF21A7" w:rsidRDefault="008028A0" w:rsidP="008028A0">
            <w:pPr>
              <w:pStyle w:val="Heading6"/>
            </w:pPr>
            <w:r w:rsidRPr="00BF21A7">
              <w:t>References cited within the IESC’s advice</w:t>
            </w:r>
          </w:p>
        </w:tc>
        <w:tc>
          <w:tcPr>
            <w:tcW w:w="8982" w:type="dxa"/>
            <w:tcBorders>
              <w:top w:val="single" w:sz="4" w:space="0" w:color="auto"/>
              <w:bottom w:val="single" w:sz="4" w:space="0" w:color="auto"/>
            </w:tcBorders>
          </w:tcPr>
          <w:p w14:paraId="0283EB36" w14:textId="77777777" w:rsidR="008028A0" w:rsidRDefault="008028A0" w:rsidP="008028A0">
            <w:pPr>
              <w:spacing w:after="174" w:line="240" w:lineRule="auto"/>
              <w:ind w:left="626" w:hanging="626"/>
              <w:rPr>
                <w:noProof/>
                <w:lang w:eastAsia="en-AU"/>
              </w:rPr>
            </w:pPr>
            <w:r w:rsidRPr="00406127">
              <w:rPr>
                <w:noProof/>
                <w:lang w:eastAsia="en-AU"/>
              </w:rPr>
              <w:t>AGE 2020. Narrabri Underground Mine Stage 3 Extension Project - Groundwater Assessment, Appendix B of the Environmental Impact Statement, Dated:12 October 2020. Version 6.02.</w:t>
            </w:r>
          </w:p>
          <w:p w14:paraId="0791EC3C" w14:textId="7D5619CD" w:rsidR="007D6789" w:rsidRDefault="007D6789" w:rsidP="007D6789">
            <w:pPr>
              <w:spacing w:after="174" w:line="240" w:lineRule="auto"/>
              <w:ind w:left="626" w:hanging="626"/>
              <w:rPr>
                <w:noProof/>
                <w:lang w:eastAsia="en-AU"/>
              </w:rPr>
            </w:pPr>
            <w:r w:rsidRPr="00D24891">
              <w:rPr>
                <w:noProof/>
                <w:lang w:eastAsia="en-AU"/>
              </w:rPr>
              <w:t>Andersen M, Barron O, Bond N, Burrows R, Eberhard S, Emelyanova I, Fensham R, Froend R, Kennard M, Marsh N, Pettit N, Rossini R, Rutlidge R, Valdez D, Ward D 2016. Research to inform the assessment of ecohydrological responses to coal seam gas extraction and coal mining. Department of the Environment and Energy,Commonwealth of Australia.</w:t>
            </w:r>
          </w:p>
          <w:p w14:paraId="7AA74E52" w14:textId="389D184D" w:rsidR="002F463F" w:rsidRDefault="002F463F" w:rsidP="002F463F">
            <w:pPr>
              <w:spacing w:after="174" w:line="240" w:lineRule="auto"/>
              <w:ind w:left="626" w:hanging="626"/>
              <w:rPr>
                <w:noProof/>
                <w:lang w:eastAsia="en-AU"/>
              </w:rPr>
            </w:pPr>
            <w:r w:rsidRPr="00A87320">
              <w:rPr>
                <w:noProof/>
                <w:lang w:eastAsia="en-AU"/>
              </w:rPr>
              <w:t>ANZ</w:t>
            </w:r>
            <w:r>
              <w:rPr>
                <w:noProof/>
                <w:lang w:eastAsia="en-AU"/>
              </w:rPr>
              <w:t>G(2018</w:t>
            </w:r>
            <w:r w:rsidRPr="0093162C">
              <w:rPr>
                <w:noProof/>
                <w:lang w:eastAsia="en-AU"/>
              </w:rPr>
              <w:t>)</w:t>
            </w:r>
            <w:r>
              <w:rPr>
                <w:noProof/>
                <w:lang w:eastAsia="en-AU"/>
              </w:rPr>
              <w:t>.</w:t>
            </w:r>
            <w:r w:rsidRPr="0093162C">
              <w:rPr>
                <w:noProof/>
                <w:lang w:eastAsia="en-AU"/>
              </w:rPr>
              <w:t xml:space="preserve"> </w:t>
            </w:r>
            <w:r w:rsidRPr="00F657EC">
              <w:rPr>
                <w:noProof/>
                <w:lang w:eastAsia="en-AU"/>
              </w:rPr>
              <w:t xml:space="preserve">Australian and New Zealand Guidelines for Fresh and Marine Water Quality. Australian and New Zealand Governments and Australian </w:t>
            </w:r>
            <w:r>
              <w:rPr>
                <w:noProof/>
                <w:lang w:eastAsia="en-AU"/>
              </w:rPr>
              <w:t>S</w:t>
            </w:r>
            <w:r w:rsidRPr="00F657EC">
              <w:rPr>
                <w:noProof/>
                <w:lang w:eastAsia="en-AU"/>
              </w:rPr>
              <w:t xml:space="preserve">tate and </w:t>
            </w:r>
            <w:r>
              <w:rPr>
                <w:noProof/>
                <w:lang w:eastAsia="en-AU"/>
              </w:rPr>
              <w:t>T</w:t>
            </w:r>
            <w:r w:rsidRPr="00F657EC">
              <w:rPr>
                <w:noProof/>
                <w:lang w:eastAsia="en-AU"/>
              </w:rPr>
              <w:t xml:space="preserve">erritory </w:t>
            </w:r>
            <w:r>
              <w:rPr>
                <w:noProof/>
                <w:lang w:eastAsia="en-AU"/>
              </w:rPr>
              <w:t>G</w:t>
            </w:r>
            <w:r w:rsidRPr="00F657EC">
              <w:rPr>
                <w:noProof/>
                <w:lang w:eastAsia="en-AU"/>
              </w:rPr>
              <w:t xml:space="preserve">overnments, Canberra ACT, Australia. Available at </w:t>
            </w:r>
            <w:hyperlink r:id="rId11" w:history="1">
              <w:r w:rsidRPr="002F463F">
                <w:rPr>
                  <w:noProof/>
                  <w:lang w:eastAsia="en-AU"/>
                </w:rPr>
                <w:t>www.waterquality.gov.au/anz-guidelines</w:t>
              </w:r>
            </w:hyperlink>
          </w:p>
          <w:p w14:paraId="3BE3C01C" w14:textId="4CC05D18" w:rsidR="008028A0" w:rsidRDefault="007D6789" w:rsidP="008028A0">
            <w:pPr>
              <w:spacing w:after="174" w:line="240" w:lineRule="auto"/>
              <w:ind w:left="626" w:hanging="626"/>
              <w:rPr>
                <w:noProof/>
                <w:lang w:eastAsia="en-AU"/>
              </w:rPr>
            </w:pPr>
            <w:r w:rsidRPr="00D24891">
              <w:rPr>
                <w:noProof/>
                <w:lang w:eastAsia="en-AU"/>
              </w:rPr>
              <w:t xml:space="preserve">Datry T, Bonada N, Boulton AJ 2017. </w:t>
            </w:r>
            <w:r w:rsidRPr="00D24891">
              <w:rPr>
                <w:i/>
                <w:noProof/>
                <w:lang w:eastAsia="en-AU"/>
              </w:rPr>
              <w:t>Intermittent Rivers and Ephemeral Streams: Ecology and Management.</w:t>
            </w:r>
            <w:r w:rsidRPr="00D24891">
              <w:rPr>
                <w:noProof/>
                <w:lang w:eastAsia="en-AU"/>
              </w:rPr>
              <w:t xml:space="preserve"> Elsevier, Amsterdam.</w:t>
            </w:r>
          </w:p>
          <w:p w14:paraId="2B4DB456" w14:textId="77777777" w:rsidR="008028A0" w:rsidRPr="00406127" w:rsidRDefault="008028A0" w:rsidP="008028A0">
            <w:pPr>
              <w:spacing w:after="174" w:line="240" w:lineRule="auto"/>
              <w:ind w:left="626" w:hanging="626"/>
              <w:rPr>
                <w:noProof/>
                <w:lang w:eastAsia="en-AU"/>
              </w:rPr>
            </w:pPr>
            <w:r w:rsidRPr="60F288C1">
              <w:rPr>
                <w:noProof/>
                <w:lang w:eastAsia="en-AU"/>
              </w:rPr>
              <w:t>DGS 2020. Mine Subsidence Assessment for the Narrabri Underground Mine Stage 3 Extension Project, Appendix A of the Environmental Impact Statement, Dated 5 July 2020. Document No. NAR-005/2.</w:t>
            </w:r>
          </w:p>
          <w:p w14:paraId="708DCF48" w14:textId="462E9109" w:rsidR="36408218" w:rsidRDefault="36408218" w:rsidP="0A50B889">
            <w:pPr>
              <w:spacing w:after="174" w:line="240" w:lineRule="auto"/>
              <w:ind w:left="626" w:hanging="626"/>
              <w:rPr>
                <w:noProof/>
                <w:lang w:eastAsia="en-AU"/>
              </w:rPr>
            </w:pPr>
            <w:r w:rsidRPr="0A50B889">
              <w:rPr>
                <w:noProof/>
                <w:lang w:eastAsia="en-AU"/>
              </w:rPr>
              <w:t>Doody TM</w:t>
            </w:r>
            <w:r w:rsidR="3A7D434E" w:rsidRPr="0A50B889">
              <w:rPr>
                <w:noProof/>
                <w:lang w:eastAsia="en-AU"/>
              </w:rPr>
              <w:t>,</w:t>
            </w:r>
            <w:r w:rsidRPr="0A50B889">
              <w:rPr>
                <w:noProof/>
                <w:lang w:eastAsia="en-AU"/>
              </w:rPr>
              <w:t xml:space="preserve"> Hancock PJ</w:t>
            </w:r>
            <w:r w:rsidR="0CA79AF5" w:rsidRPr="0A50B889">
              <w:rPr>
                <w:noProof/>
                <w:lang w:eastAsia="en-AU"/>
              </w:rPr>
              <w:t xml:space="preserve">, </w:t>
            </w:r>
            <w:r w:rsidRPr="0A50B889">
              <w:rPr>
                <w:noProof/>
                <w:lang w:eastAsia="en-AU"/>
              </w:rPr>
              <w:t>Pritchard JL 2019</w:t>
            </w:r>
            <w:r w:rsidR="6B1A8E3A" w:rsidRPr="0A50B889">
              <w:rPr>
                <w:noProof/>
                <w:lang w:eastAsia="en-AU"/>
              </w:rPr>
              <w:t>.</w:t>
            </w:r>
            <w:r w:rsidRPr="0A50B889">
              <w:rPr>
                <w:noProof/>
                <w:lang w:eastAsia="en-AU"/>
              </w:rPr>
              <w:t xml:space="preserve"> </w:t>
            </w:r>
            <w:r w:rsidRPr="00026A8C">
              <w:rPr>
                <w:i/>
                <w:iCs/>
                <w:noProof/>
                <w:lang w:eastAsia="en-AU"/>
              </w:rPr>
              <w:t>Information Guidelines Explanatory Note: Assessing groundwater-dependent ecosystems</w:t>
            </w:r>
            <w:r w:rsidRPr="0A50B889">
              <w:rPr>
                <w:noProof/>
                <w:lang w:eastAsia="en-AU"/>
              </w:rPr>
              <w:t>. Report prepared for the Independent Expert Scientific Committee on Coal Seam Gas and Large Coal Mining Development through the Department of the Environment and Energy, Commonwealth of Australia, Canberra.</w:t>
            </w:r>
            <w:r w:rsidR="609E6C4D" w:rsidRPr="0A50B889">
              <w:rPr>
                <w:noProof/>
                <w:lang w:eastAsia="en-AU"/>
              </w:rPr>
              <w:t xml:space="preserve"> </w:t>
            </w:r>
            <w:hyperlink r:id="rId12" w:history="1">
              <w:r w:rsidR="609E6C4D" w:rsidRPr="0A50B889">
                <w:rPr>
                  <w:rStyle w:val="Hyperlink"/>
                  <w:noProof/>
                  <w:lang w:eastAsia="en-AU"/>
                </w:rPr>
                <w:t>https://iesc.environment.gov.au/system/files/resources/422b5f66-dfba-4e89-adda-</w:t>
              </w:r>
              <w:r w:rsidR="609E6C4D" w:rsidRPr="0A50B889">
                <w:rPr>
                  <w:rStyle w:val="Hyperlink"/>
                  <w:noProof/>
                  <w:lang w:eastAsia="en-AU"/>
                </w:rPr>
                <w:lastRenderedPageBreak/>
                <w:t>b169fe408fe1/files/information-guidelines-explanatory-note-assessing-groundwater-dependent-ecosystems.pdf</w:t>
              </w:r>
            </w:hyperlink>
            <w:r w:rsidR="609E6C4D" w:rsidRPr="0A50B889">
              <w:rPr>
                <w:noProof/>
                <w:lang w:eastAsia="en-AU"/>
              </w:rPr>
              <w:t>.</w:t>
            </w:r>
            <w:r w:rsidR="00C8232C">
              <w:rPr>
                <w:noProof/>
                <w:lang w:eastAsia="en-AU"/>
              </w:rPr>
              <w:t xml:space="preserve"> </w:t>
            </w:r>
            <w:r w:rsidR="609E6C4D" w:rsidRPr="0A50B889">
              <w:rPr>
                <w:noProof/>
                <w:lang w:eastAsia="en-AU"/>
              </w:rPr>
              <w:t>Accessed November 2020.</w:t>
            </w:r>
          </w:p>
          <w:p w14:paraId="2C598851" w14:textId="28A9E726" w:rsidR="00816CD0" w:rsidRPr="00406127" w:rsidRDefault="00816CD0" w:rsidP="008028A0">
            <w:pPr>
              <w:spacing w:after="174" w:line="240" w:lineRule="auto"/>
              <w:ind w:left="626" w:hanging="626"/>
              <w:rPr>
                <w:noProof/>
                <w:lang w:eastAsia="en-AU"/>
              </w:rPr>
            </w:pPr>
            <w:r>
              <w:t xml:space="preserve">Grose M. R, </w:t>
            </w:r>
            <w:proofErr w:type="spellStart"/>
            <w:r>
              <w:t>Narsey</w:t>
            </w:r>
            <w:proofErr w:type="spellEnd"/>
            <w:r>
              <w:t xml:space="preserve"> S, Delage F. P, Dowdy A. J, </w:t>
            </w:r>
            <w:proofErr w:type="spellStart"/>
            <w:r>
              <w:t>Bador</w:t>
            </w:r>
            <w:proofErr w:type="spellEnd"/>
            <w:r>
              <w:t xml:space="preserve"> M, </w:t>
            </w:r>
            <w:proofErr w:type="spellStart"/>
            <w:r>
              <w:t>Boschat</w:t>
            </w:r>
            <w:proofErr w:type="spellEnd"/>
            <w:r>
              <w:t xml:space="preserve"> G,</w:t>
            </w:r>
            <w:r w:rsidR="00303844">
              <w:t xml:space="preserve"> </w:t>
            </w:r>
            <w:r>
              <w:t xml:space="preserve">Power S (2020). Insights </w:t>
            </w:r>
            <w:proofErr w:type="gramStart"/>
            <w:r>
              <w:t>From</w:t>
            </w:r>
            <w:proofErr w:type="gramEnd"/>
            <w:r>
              <w:t xml:space="preserve"> CMIP6 for Australia’s Future Climate. Earth’s Future, 8(5). </w:t>
            </w:r>
          </w:p>
          <w:p w14:paraId="206D2E50" w14:textId="676A36DC" w:rsidR="006F0B28" w:rsidRDefault="006F0B28" w:rsidP="008028A0">
            <w:pPr>
              <w:spacing w:after="174" w:line="240" w:lineRule="auto"/>
              <w:ind w:left="626" w:hanging="626"/>
            </w:pPr>
            <w:r w:rsidRPr="006F0B28">
              <w:t xml:space="preserve">Huynh T and Hobbs D 2019. Deriving site-specific guideline values for </w:t>
            </w:r>
            <w:proofErr w:type="spellStart"/>
            <w:r w:rsidRPr="006F0B28">
              <w:t>physico</w:t>
            </w:r>
            <w:proofErr w:type="spellEnd"/>
            <w:r w:rsidRPr="006F0B28">
              <w:t>-chemical parameters and toxicants. Report prepared for the Independent Expert Scientific Committee on Coal Seam Gas and Large Coal Mining Development through the Department of the Environment and Energy.</w:t>
            </w:r>
          </w:p>
          <w:p w14:paraId="2E5A8F96" w14:textId="4C772E1A" w:rsidR="008028A0" w:rsidRDefault="4EF00F29" w:rsidP="008028A0">
            <w:pPr>
              <w:spacing w:after="174" w:line="240" w:lineRule="auto"/>
              <w:ind w:left="626" w:hanging="626"/>
              <w:rPr>
                <w:noProof/>
                <w:lang w:eastAsia="en-AU"/>
              </w:rPr>
            </w:pPr>
            <w:r w:rsidRPr="0A50B889">
              <w:rPr>
                <w:noProof/>
                <w:lang w:eastAsia="en-AU"/>
              </w:rPr>
              <w:t>IESC 2019. Advice to decision maker on coal ming project. IESC 2019-102. Available [online]: http://spire.environment.gov.au/spire/170614/800/2019-102%20Narrabri%20Underground%20Mine%20Stage%203%20Extension%20Project/FINAL%20Narrabri%20UG%20Mine%20Stage%203%20Extension%20-%20IESC%20Advice.pdf</w:t>
            </w:r>
            <w:r w:rsidR="4C39D98C" w:rsidRPr="0A50B889">
              <w:rPr>
                <w:noProof/>
                <w:lang w:eastAsia="en-AU"/>
              </w:rPr>
              <w:t>.</w:t>
            </w:r>
            <w:r w:rsidRPr="0A50B889">
              <w:rPr>
                <w:noProof/>
                <w:lang w:eastAsia="en-AU"/>
              </w:rPr>
              <w:t xml:space="preserve"> Accessed November 2020</w:t>
            </w:r>
            <w:r w:rsidR="404C05F0" w:rsidRPr="0A50B889">
              <w:rPr>
                <w:noProof/>
                <w:lang w:eastAsia="en-AU"/>
              </w:rPr>
              <w:t>.</w:t>
            </w:r>
          </w:p>
          <w:p w14:paraId="376D67C0" w14:textId="16C8F0A3" w:rsidR="004A2484" w:rsidRDefault="004A2484" w:rsidP="002E78EB">
            <w:pPr>
              <w:spacing w:after="174" w:line="240" w:lineRule="auto"/>
              <w:ind w:left="626" w:hanging="626"/>
              <w:rPr>
                <w:noProof/>
                <w:lang w:eastAsia="en-AU"/>
              </w:rPr>
            </w:pPr>
            <w:r w:rsidRPr="0A50B889">
              <w:rPr>
                <w:noProof/>
                <w:lang w:eastAsia="en-AU"/>
              </w:rPr>
              <w:t>Jacobs 2020. Groundwater Assessment Review of Narrabri Underground Mine - Stage 3 Extension Project, Attachment 6 of the Environmental Impact Statement, Dated 13 October 2020. Project No. IS343800.</w:t>
            </w:r>
          </w:p>
          <w:p w14:paraId="5EB0156A" w14:textId="333D9CCE" w:rsidR="007D6789" w:rsidRPr="00B83DEC" w:rsidRDefault="007D6789" w:rsidP="007D6789">
            <w:pPr>
              <w:spacing w:after="174" w:line="240" w:lineRule="auto"/>
              <w:ind w:left="626" w:hanging="626"/>
              <w:rPr>
                <w:noProof/>
                <w:lang w:eastAsia="en-AU"/>
              </w:rPr>
            </w:pPr>
            <w:r w:rsidRPr="00D24891">
              <w:rPr>
                <w:noProof/>
                <w:lang w:eastAsia="en-AU"/>
              </w:rPr>
              <w:t>Korbel K, Chariton A, Stephenson S, Greenfield P, Hose GC</w:t>
            </w:r>
            <w:r w:rsidR="00C8232C" w:rsidRPr="00D24891">
              <w:rPr>
                <w:noProof/>
                <w:lang w:eastAsia="en-AU"/>
              </w:rPr>
              <w:t xml:space="preserve"> </w:t>
            </w:r>
            <w:r w:rsidRPr="00D24891">
              <w:rPr>
                <w:noProof/>
                <w:lang w:eastAsia="en-AU"/>
              </w:rPr>
              <w:t>2017. Wells provide a distorted view of life in the aquifer: implications for sampling monitoring assessment of groundwater ecosystems. Scientific Reports, 7, Article 40702.</w:t>
            </w:r>
          </w:p>
          <w:p w14:paraId="0A360416" w14:textId="7EAA3ED7" w:rsidR="00143FB6" w:rsidRDefault="00143FB6" w:rsidP="00143FB6">
            <w:pPr>
              <w:spacing w:after="174" w:line="240" w:lineRule="auto"/>
              <w:ind w:left="626" w:hanging="626"/>
              <w:rPr>
                <w:noProof/>
                <w:lang w:eastAsia="en-AU"/>
              </w:rPr>
            </w:pPr>
            <w:bookmarkStart w:id="7" w:name="_Hlk58581049"/>
            <w:r>
              <w:rPr>
                <w:noProof/>
                <w:lang w:eastAsia="en-AU"/>
              </w:rPr>
              <w:t xml:space="preserve">NSW </w:t>
            </w:r>
            <w:r w:rsidRPr="0A50B889">
              <w:rPr>
                <w:noProof/>
                <w:lang w:eastAsia="en-AU"/>
              </w:rPr>
              <w:t>DPI 2007. Lowland Darling River aquatic ecological community. NSW prime facts 173 Available [online];</w:t>
            </w:r>
            <w:r>
              <w:rPr>
                <w:noProof/>
                <w:lang w:eastAsia="en-AU"/>
              </w:rPr>
              <w:t xml:space="preserve"> </w:t>
            </w:r>
            <w:hyperlink r:id="rId13" w:history="1">
              <w:r w:rsidR="00BD7BD5" w:rsidRPr="00274ACE">
                <w:rPr>
                  <w:rStyle w:val="Hyperlink"/>
                  <w:noProof/>
                  <w:lang w:eastAsia="en-AU"/>
                </w:rPr>
                <w:t>https://www.dpi.nsw.gov.au/data/assets/pdffile/0003/634557/Lowland-Darling-River-aquatic-ecological-community.pdf Accessed November 2020</w:t>
              </w:r>
            </w:hyperlink>
            <w:r w:rsidRPr="0A50B889">
              <w:rPr>
                <w:noProof/>
                <w:lang w:eastAsia="en-AU"/>
              </w:rPr>
              <w:t>.</w:t>
            </w:r>
          </w:p>
          <w:bookmarkEnd w:id="7"/>
          <w:p w14:paraId="69596F56" w14:textId="52177624" w:rsidR="00BD7BD5" w:rsidRDefault="00BD7BD5" w:rsidP="00143FB6">
            <w:pPr>
              <w:spacing w:after="174" w:line="240" w:lineRule="auto"/>
              <w:ind w:left="626" w:hanging="626"/>
              <w:rPr>
                <w:noProof/>
                <w:lang w:eastAsia="en-AU"/>
              </w:rPr>
            </w:pPr>
            <w:r>
              <w:rPr>
                <w:noProof/>
                <w:lang w:eastAsia="en-AU"/>
              </w:rPr>
              <w:t>NSW DPI</w:t>
            </w:r>
            <w:r w:rsidRPr="00F42BCE">
              <w:rPr>
                <w:noProof/>
                <w:lang w:eastAsia="en-AU"/>
              </w:rPr>
              <w:t xml:space="preserve"> 2017. Namoi Alluvium Water Resource Plan (GW14), Status and Issues Paper. Available [online]: http://www.water.nsw.gov.au/__data/assets/pdf_file/0020/701732/Status-and-Issues-Paper-Namoi-GW-WRP.pdf accessed </w:t>
            </w:r>
            <w:r>
              <w:rPr>
                <w:noProof/>
                <w:lang w:eastAsia="en-AU"/>
              </w:rPr>
              <w:t>November 2020.</w:t>
            </w:r>
          </w:p>
          <w:p w14:paraId="740BD0F2" w14:textId="76413A43" w:rsidR="00DA5B9E" w:rsidRPr="00DA5B9E" w:rsidRDefault="00DA5B9E" w:rsidP="00DA5B9E">
            <w:pPr>
              <w:spacing w:after="174" w:line="240" w:lineRule="auto"/>
              <w:ind w:left="626" w:hanging="626"/>
              <w:rPr>
                <w:noProof/>
                <w:lang w:eastAsia="en-AU"/>
              </w:rPr>
            </w:pPr>
            <w:r w:rsidRPr="00DA5B9E">
              <w:rPr>
                <w:noProof/>
                <w:lang w:eastAsia="en-AU"/>
              </w:rPr>
              <w:t>Office of Water Science</w:t>
            </w:r>
            <w:r w:rsidR="00575B93">
              <w:rPr>
                <w:noProof/>
                <w:lang w:eastAsia="en-AU"/>
              </w:rPr>
              <w:t xml:space="preserve"> (OWS)</w:t>
            </w:r>
            <w:r w:rsidRPr="00DA5B9E">
              <w:rPr>
                <w:noProof/>
                <w:lang w:eastAsia="en-AU"/>
              </w:rPr>
              <w:t xml:space="preserve"> 2020. Environmental water tracers in environmental impact assessments for coal seam gas and large coal mining</w:t>
            </w:r>
            <w:r>
              <w:rPr>
                <w:noProof/>
                <w:lang w:eastAsia="en-AU"/>
              </w:rPr>
              <w:t xml:space="preserve"> </w:t>
            </w:r>
            <w:r w:rsidRPr="00DA5B9E">
              <w:rPr>
                <w:noProof/>
                <w:lang w:eastAsia="en-AU"/>
              </w:rPr>
              <w:t>developments – factsheet. Prepared by the Office of Water Science for the Independent Expert Scientific Committee on Coal Seam</w:t>
            </w:r>
            <w:r>
              <w:rPr>
                <w:noProof/>
                <w:lang w:eastAsia="en-AU"/>
              </w:rPr>
              <w:t xml:space="preserve"> </w:t>
            </w:r>
            <w:r w:rsidRPr="00DA5B9E">
              <w:rPr>
                <w:noProof/>
                <w:lang w:eastAsia="en-AU"/>
              </w:rPr>
              <w:t xml:space="preserve">Gas and Large Coal Mining Development, Canberra. Available [online]: </w:t>
            </w:r>
            <w:hyperlink r:id="rId14" w:tgtFrame="_blank" w:tooltip="https://www.iesc.environment.gov.au/publications/" w:history="1">
              <w:r w:rsidRPr="00DA5B9E">
                <w:rPr>
                  <w:noProof/>
                  <w:lang w:eastAsia="en-AU"/>
                </w:rPr>
                <w:t>www.iesc.environment.gov.au/publications/</w:t>
              </w:r>
            </w:hyperlink>
            <w:r w:rsidRPr="00DA5B9E">
              <w:rPr>
                <w:noProof/>
                <w:lang w:eastAsia="en-AU"/>
              </w:rPr>
              <w:br/>
              <w:t>environmental-water-tracers.</w:t>
            </w:r>
          </w:p>
          <w:p w14:paraId="0579F233" w14:textId="2852E1D4" w:rsidR="008028A0" w:rsidRPr="00B83DEC" w:rsidRDefault="4EF00F29" w:rsidP="008028A0">
            <w:pPr>
              <w:spacing w:after="174" w:line="240" w:lineRule="auto"/>
              <w:ind w:left="626" w:hanging="626"/>
              <w:rPr>
                <w:noProof/>
                <w:lang w:eastAsia="en-AU"/>
              </w:rPr>
            </w:pPr>
            <w:r w:rsidRPr="0A50B889">
              <w:rPr>
                <w:noProof/>
                <w:lang w:eastAsia="en-AU"/>
              </w:rPr>
              <w:t>Resource Strategies, 2020. Narrabri Underground Mine Stage 3 Extension Project – Biodiversity Development Assessment Report, Appendix D of the Environmental Impact Statement, Dated: October 2020. Document No. 01054663</w:t>
            </w:r>
            <w:r w:rsidR="4A86DC3F" w:rsidRPr="0A50B889">
              <w:rPr>
                <w:noProof/>
                <w:lang w:eastAsia="en-AU"/>
              </w:rPr>
              <w:t>.</w:t>
            </w:r>
          </w:p>
          <w:p w14:paraId="324D53E9" w14:textId="77777777" w:rsidR="008028A0" w:rsidRDefault="008028A0" w:rsidP="008028A0">
            <w:pPr>
              <w:spacing w:after="174" w:line="240" w:lineRule="auto"/>
              <w:ind w:left="626" w:hanging="626"/>
              <w:rPr>
                <w:noProof/>
                <w:lang w:eastAsia="en-AU"/>
              </w:rPr>
            </w:pPr>
            <w:r w:rsidRPr="00406127">
              <w:rPr>
                <w:noProof/>
                <w:lang w:eastAsia="en-AU"/>
              </w:rPr>
              <w:t xml:space="preserve">Whitehaven Coal 2020a. Narrabri Underground Mine Stage 3 Extension Project, Environmental Impact Statement-Executive Summary. </w:t>
            </w:r>
          </w:p>
          <w:p w14:paraId="5B98F320" w14:textId="77777777" w:rsidR="008028A0" w:rsidRPr="00406127" w:rsidRDefault="008028A0" w:rsidP="008028A0">
            <w:pPr>
              <w:spacing w:after="174" w:line="240" w:lineRule="auto"/>
              <w:ind w:left="626" w:hanging="626"/>
              <w:rPr>
                <w:noProof/>
                <w:lang w:eastAsia="en-AU"/>
              </w:rPr>
            </w:pPr>
            <w:r w:rsidRPr="00406127">
              <w:rPr>
                <w:noProof/>
                <w:lang w:eastAsia="en-AU"/>
              </w:rPr>
              <w:t xml:space="preserve">Whitehaven Coal 2020b. Narrabri Underground Mine Stage 3 Extension Project, Environmental Impact Statement-Project Description, Section 2. </w:t>
            </w:r>
          </w:p>
          <w:p w14:paraId="4FBEA9B4" w14:textId="349680F6" w:rsidR="008028A0" w:rsidRPr="00BF21A7" w:rsidRDefault="008028A0" w:rsidP="004C4618">
            <w:pPr>
              <w:pStyle w:val="Tabletext"/>
              <w:spacing w:line="240" w:lineRule="auto"/>
            </w:pPr>
            <w:r w:rsidRPr="00406127">
              <w:rPr>
                <w:noProof/>
                <w:lang w:eastAsia="en-AU"/>
              </w:rPr>
              <w:t>WRM 2020. Narrabri Underground Mine Stage 3 Extension Project – Surface Water Assessment, Appendix C of the Environmental Impact Statement, Dated:06 October 2020. Version 0189-13-E9.</w:t>
            </w:r>
          </w:p>
        </w:tc>
        <w:tc>
          <w:tcPr>
            <w:tcW w:w="661" w:type="dxa"/>
            <w:tcBorders>
              <w:top w:val="single" w:sz="4" w:space="0" w:color="auto"/>
              <w:bottom w:val="single" w:sz="4" w:space="0" w:color="auto"/>
            </w:tcBorders>
          </w:tcPr>
          <w:p w14:paraId="60814291" w14:textId="77777777" w:rsidR="008028A0" w:rsidRPr="00BF21A7" w:rsidRDefault="008028A0" w:rsidP="008028A0">
            <w:pPr>
              <w:pStyle w:val="Tabletext"/>
              <w:spacing w:line="240" w:lineRule="auto"/>
              <w:ind w:left="493" w:hanging="493"/>
            </w:pPr>
          </w:p>
        </w:tc>
      </w:tr>
    </w:tbl>
    <w:p w14:paraId="0B13C245" w14:textId="77777777" w:rsidR="00BD2851" w:rsidRDefault="00BD2851" w:rsidP="4E78671B"/>
    <w:p w14:paraId="66F8804D" w14:textId="77777777" w:rsidR="00BD2851" w:rsidRDefault="00BD2851">
      <w:pPr>
        <w:autoSpaceDE/>
        <w:autoSpaceDN/>
        <w:adjustRightInd/>
        <w:spacing w:after="0" w:line="240" w:lineRule="auto"/>
      </w:pPr>
      <w:r>
        <w:br w:type="page"/>
      </w:r>
    </w:p>
    <w:p w14:paraId="0D3B4192" w14:textId="10109388" w:rsidR="009E33B3" w:rsidRDefault="28AAC569" w:rsidP="4E78671B">
      <w:pPr>
        <w:rPr>
          <w:rFonts w:eastAsia="Arial"/>
          <w:color w:val="666666"/>
          <w:sz w:val="22"/>
          <w:szCs w:val="22"/>
        </w:rPr>
      </w:pPr>
      <w:r w:rsidRPr="00A509AC">
        <w:rPr>
          <w:rFonts w:eastAsia="Arial"/>
          <w:color w:val="666666"/>
          <w:sz w:val="22"/>
          <w:szCs w:val="22"/>
        </w:rPr>
        <w:lastRenderedPageBreak/>
        <w:t>Appendices</w:t>
      </w:r>
    </w:p>
    <w:p w14:paraId="232A350B" w14:textId="6B34680C" w:rsidR="6C42ACAA" w:rsidRDefault="28AAC569" w:rsidP="4E78671B">
      <w:pPr>
        <w:rPr>
          <w:rFonts w:eastAsia="Arial"/>
          <w:color w:val="666666"/>
          <w:sz w:val="22"/>
          <w:szCs w:val="22"/>
        </w:rPr>
      </w:pPr>
      <w:r w:rsidRPr="6C42ACAA">
        <w:rPr>
          <w:rFonts w:eastAsia="Arial"/>
          <w:color w:val="666666"/>
          <w:sz w:val="22"/>
          <w:szCs w:val="22"/>
        </w:rPr>
        <w:t>Appendix A</w:t>
      </w:r>
    </w:p>
    <w:p w14:paraId="229D4C1B" w14:textId="54889217" w:rsidR="009E33B3" w:rsidRDefault="00677280">
      <w:pPr>
        <w:autoSpaceDE/>
        <w:autoSpaceDN/>
        <w:adjustRightInd/>
        <w:spacing w:after="0" w:line="240" w:lineRule="auto"/>
        <w:rPr>
          <w:rFonts w:eastAsia="Arial"/>
          <w:color w:val="666666"/>
          <w:sz w:val="22"/>
          <w:szCs w:val="22"/>
        </w:rPr>
      </w:pPr>
      <w:r>
        <w:rPr>
          <w:noProof/>
        </w:rPr>
        <w:drawing>
          <wp:anchor distT="0" distB="0" distL="114300" distR="114300" simplePos="0" relativeHeight="251658240" behindDoc="0" locked="0" layoutInCell="1" allowOverlap="1" wp14:anchorId="675D67E6" wp14:editId="4536836A">
            <wp:simplePos x="0" y="0"/>
            <wp:positionH relativeFrom="margin">
              <wp:posOffset>-224155</wp:posOffset>
            </wp:positionH>
            <wp:positionV relativeFrom="paragraph">
              <wp:posOffset>1689100</wp:posOffset>
            </wp:positionV>
            <wp:extent cx="7794625" cy="3522345"/>
            <wp:effectExtent l="2540" t="0" r="0" b="0"/>
            <wp:wrapSquare wrapText="bothSides"/>
            <wp:docPr id="1618843459" name="Picture 161884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rot="5400000">
                      <a:off x="0" y="0"/>
                      <a:ext cx="7794625" cy="3522345"/>
                    </a:xfrm>
                    <a:prstGeom prst="rect">
                      <a:avLst/>
                    </a:prstGeom>
                  </pic:spPr>
                </pic:pic>
              </a:graphicData>
            </a:graphic>
            <wp14:sizeRelH relativeFrom="page">
              <wp14:pctWidth>0</wp14:pctWidth>
            </wp14:sizeRelH>
            <wp14:sizeRelV relativeFrom="page">
              <wp14:pctHeight>0</wp14:pctHeight>
            </wp14:sizeRelV>
          </wp:anchor>
        </w:drawing>
      </w:r>
      <w:r w:rsidR="009E33B3">
        <w:rPr>
          <w:rFonts w:eastAsia="Arial"/>
          <w:color w:val="666666"/>
          <w:sz w:val="22"/>
          <w:szCs w:val="22"/>
        </w:rPr>
        <w:br w:type="page"/>
      </w:r>
    </w:p>
    <w:p w14:paraId="02895D0A" w14:textId="7F11631D" w:rsidR="6C42ACAA" w:rsidRDefault="009E33B3" w:rsidP="4E78671B">
      <w:pPr>
        <w:rPr>
          <w:rFonts w:eastAsia="Arial"/>
          <w:color w:val="666666"/>
          <w:sz w:val="22"/>
          <w:szCs w:val="22"/>
        </w:rPr>
      </w:pPr>
      <w:r w:rsidRPr="4E78671B">
        <w:rPr>
          <w:rFonts w:eastAsia="Arial"/>
          <w:color w:val="666666"/>
          <w:sz w:val="22"/>
          <w:szCs w:val="22"/>
        </w:rPr>
        <w:lastRenderedPageBreak/>
        <w:t>Appendix B</w:t>
      </w:r>
    </w:p>
    <w:p w14:paraId="0B9203EC" w14:textId="1FF160C4" w:rsidR="009E33B3" w:rsidRDefault="009E33B3">
      <w:pPr>
        <w:autoSpaceDE/>
        <w:autoSpaceDN/>
        <w:adjustRightInd/>
        <w:spacing w:after="0" w:line="240" w:lineRule="auto"/>
        <w:rPr>
          <w:rFonts w:eastAsia="Arial"/>
          <w:color w:val="666666"/>
          <w:sz w:val="22"/>
          <w:szCs w:val="22"/>
        </w:rPr>
      </w:pPr>
    </w:p>
    <w:p w14:paraId="03719BAA" w14:textId="42211E3E" w:rsidR="6C42ACAA" w:rsidRPr="00FD61EB" w:rsidRDefault="42FF91C9" w:rsidP="4E78671B">
      <w:r>
        <w:rPr>
          <w:noProof/>
        </w:rPr>
        <w:drawing>
          <wp:inline distT="0" distB="0" distL="0" distR="0" wp14:anchorId="6E88AC27" wp14:editId="222C1610">
            <wp:extent cx="6188430" cy="7038974"/>
            <wp:effectExtent l="0" t="0" r="0" b="0"/>
            <wp:docPr id="1813080108" name="Picture 181308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88430" cy="7038974"/>
                    </a:xfrm>
                    <a:prstGeom prst="rect">
                      <a:avLst/>
                    </a:prstGeom>
                  </pic:spPr>
                </pic:pic>
              </a:graphicData>
            </a:graphic>
          </wp:inline>
        </w:drawing>
      </w:r>
    </w:p>
    <w:sectPr w:rsidR="6C42ACAA" w:rsidRPr="00FD61EB" w:rsidSect="00037082">
      <w:type w:val="continuous"/>
      <w:pgSz w:w="11906" w:h="16838"/>
      <w:pgMar w:top="1440" w:right="1274" w:bottom="1440" w:left="1276" w:header="425" w:footer="42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8DB0CA" w14:textId="77777777" w:rsidR="00F43BD6" w:rsidRDefault="00F43BD6" w:rsidP="00D622B9">
      <w:r>
        <w:separator/>
      </w:r>
    </w:p>
  </w:endnote>
  <w:endnote w:type="continuationSeparator" w:id="0">
    <w:p w14:paraId="2074DBCC" w14:textId="77777777" w:rsidR="00F43BD6" w:rsidRDefault="00F43BD6" w:rsidP="00D622B9">
      <w:r>
        <w:continuationSeparator/>
      </w:r>
    </w:p>
  </w:endnote>
  <w:endnote w:type="continuationNotice" w:id="1">
    <w:p w14:paraId="0E42FC40" w14:textId="77777777" w:rsidR="00F43BD6" w:rsidRDefault="00F43B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F8577E" w14:textId="77777777" w:rsidR="00F43BD6" w:rsidRPr="00637239" w:rsidRDefault="00F43BD6" w:rsidP="003B5A88">
    <w:pPr>
      <w:pStyle w:val="Footer"/>
      <w:pBdr>
        <w:top w:val="single" w:sz="12" w:space="0" w:color="auto"/>
      </w:pBdr>
    </w:pPr>
  </w:p>
  <w:p w14:paraId="1F413905" w14:textId="58C0657D" w:rsidR="00F43BD6" w:rsidRPr="00637239" w:rsidRDefault="00D20C4F" w:rsidP="41AAE43B">
    <w:pPr>
      <w:pStyle w:val="Footer"/>
      <w:pBdr>
        <w:top w:val="single" w:sz="12" w:space="0" w:color="auto"/>
      </w:pBdr>
      <w:rPr>
        <w:sz w:val="20"/>
      </w:rPr>
    </w:pPr>
    <w:r w:rsidRPr="006108AE">
      <w:rPr>
        <w:sz w:val="20"/>
      </w:rPr>
      <w:t xml:space="preserve">Narrabri </w:t>
    </w:r>
    <w:r w:rsidR="00D95B5B" w:rsidRPr="006108AE">
      <w:rPr>
        <w:sz w:val="20"/>
      </w:rPr>
      <w:t>Underground Mine Stage 3 Extension Project</w:t>
    </w:r>
    <w:r w:rsidR="00F43BD6" w:rsidRPr="006108AE">
      <w:rPr>
        <w:sz w:val="20"/>
      </w:rPr>
      <w:t xml:space="preserve"> Advice </w:t>
    </w:r>
    <w:r w:rsidR="00F43BD6" w:rsidRPr="00637239">
      <w:rPr>
        <w:color w:val="FF0000"/>
        <w:sz w:val="20"/>
      </w:rPr>
      <w:ptab w:relativeTo="margin" w:alignment="right" w:leader="none"/>
    </w:r>
    <w:r w:rsidR="006108AE" w:rsidRPr="006108AE">
      <w:rPr>
        <w:sz w:val="20"/>
      </w:rPr>
      <w:t>15</w:t>
    </w:r>
    <w:r w:rsidR="00F43BD6" w:rsidRPr="006108AE">
      <w:rPr>
        <w:sz w:val="20"/>
      </w:rPr>
      <w:t xml:space="preserve"> </w:t>
    </w:r>
    <w:r w:rsidR="00F43BD6" w:rsidRPr="41AAE43B">
      <w:rPr>
        <w:color w:val="000000" w:themeColor="text1"/>
        <w:sz w:val="20"/>
      </w:rPr>
      <w:t>December</w:t>
    </w:r>
    <w:r w:rsidR="00F43BD6" w:rsidRPr="41AAE43B">
      <w:rPr>
        <w:sz w:val="20"/>
      </w:rPr>
      <w:t xml:space="preserve"> 2020</w:t>
    </w:r>
  </w:p>
  <w:p w14:paraId="243529CB" w14:textId="77777777" w:rsidR="00F43BD6" w:rsidRPr="00637239" w:rsidRDefault="00F43BD6" w:rsidP="003B5A88">
    <w:pPr>
      <w:pStyle w:val="Footer"/>
      <w:pBdr>
        <w:top w:val="single" w:sz="12" w:space="0" w:color="auto"/>
      </w:pBdr>
      <w:jc w:val="center"/>
      <w:rPr>
        <w:sz w:val="20"/>
      </w:rPr>
    </w:pPr>
    <w:r w:rsidRPr="00637239">
      <w:rPr>
        <w:sz w:val="20"/>
      </w:rPr>
      <w:fldChar w:fldCharType="begin"/>
    </w:r>
    <w:r w:rsidRPr="00637239">
      <w:rPr>
        <w:sz w:val="20"/>
      </w:rPr>
      <w:instrText xml:space="preserve"> PAGE   \* MERGEFORMAT </w:instrText>
    </w:r>
    <w:r w:rsidRPr="00637239">
      <w:rPr>
        <w:sz w:val="20"/>
      </w:rPr>
      <w:fldChar w:fldCharType="separate"/>
    </w:r>
    <w:r>
      <w:rPr>
        <w:noProof/>
        <w:sz w:val="20"/>
      </w:rPr>
      <w:t>3</w:t>
    </w:r>
    <w:r w:rsidRPr="00637239">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D6A9EF" w14:textId="77777777" w:rsidR="00F43BD6" w:rsidRPr="007B11FD" w:rsidRDefault="00F43BD6" w:rsidP="000F240D">
    <w:pPr>
      <w:pStyle w:val="Footer"/>
      <w:pBdr>
        <w:top w:val="single" w:sz="12" w:space="0" w:color="auto"/>
      </w:pBdr>
      <w:ind w:left="-426"/>
    </w:pPr>
  </w:p>
  <w:p w14:paraId="5984B83F" w14:textId="0E8D05E4" w:rsidR="00F43BD6" w:rsidRDefault="00F43BD6" w:rsidP="000F240D">
    <w:pPr>
      <w:pStyle w:val="Footer"/>
      <w:pBdr>
        <w:top w:val="single" w:sz="12" w:space="0" w:color="auto"/>
      </w:pBdr>
      <w:ind w:left="-426"/>
      <w:rPr>
        <w:color w:val="FF0000"/>
        <w:sz w:val="20"/>
      </w:rPr>
    </w:pPr>
    <w:r w:rsidRPr="00D53E1A">
      <w:rPr>
        <w:sz w:val="20"/>
      </w:rPr>
      <w:t xml:space="preserve">Narrabri Underground Mine Stage 3 Extension Project </w:t>
    </w:r>
    <w:r w:rsidRPr="00637239">
      <w:rPr>
        <w:sz w:val="20"/>
      </w:rPr>
      <w:t xml:space="preserve">Advice </w:t>
    </w:r>
    <w:r w:rsidR="00D53E1A">
      <w:rPr>
        <w:sz w:val="20"/>
      </w:rPr>
      <w:tab/>
    </w:r>
    <w:r w:rsidR="00D53E1A" w:rsidRPr="00D53E1A">
      <w:rPr>
        <w:sz w:val="20"/>
      </w:rPr>
      <w:t>15</w:t>
    </w:r>
    <w:r w:rsidRPr="00D53E1A">
      <w:rPr>
        <w:sz w:val="20"/>
      </w:rPr>
      <w:t xml:space="preserve"> December </w:t>
    </w:r>
    <w:r w:rsidRPr="00637239">
      <w:rPr>
        <w:sz w:val="20"/>
      </w:rPr>
      <w:t>20</w:t>
    </w:r>
    <w:r>
      <w:rPr>
        <w:sz w:val="20"/>
      </w:rPr>
      <w:t>20</w:t>
    </w:r>
  </w:p>
  <w:p w14:paraId="1624C0DA" w14:textId="2F1D12A0" w:rsidR="00F43BD6" w:rsidRPr="00637239" w:rsidRDefault="00F43BD6" w:rsidP="000F240D">
    <w:pPr>
      <w:pStyle w:val="Footer"/>
      <w:pBdr>
        <w:top w:val="none" w:sz="0" w:space="0" w:color="auto"/>
      </w:pBdr>
      <w:tabs>
        <w:tab w:val="left" w:pos="2865"/>
      </w:tabs>
      <w:rPr>
        <w:sz w:val="20"/>
      </w:rPr>
    </w:pPr>
    <w:r>
      <w:rPr>
        <w:sz w:val="20"/>
      </w:rPr>
      <w:tab/>
    </w:r>
    <w:r>
      <w:rPr>
        <w:sz w:val="20"/>
      </w:rPr>
      <w:tab/>
    </w:r>
    <w:r w:rsidRPr="00637239">
      <w:rPr>
        <w:sz w:val="20"/>
      </w:rPr>
      <w:fldChar w:fldCharType="begin"/>
    </w:r>
    <w:r w:rsidRPr="00637239">
      <w:rPr>
        <w:sz w:val="20"/>
      </w:rPr>
      <w:instrText xml:space="preserve"> PAGE   \* MERGEFORMAT </w:instrText>
    </w:r>
    <w:r w:rsidRPr="00637239">
      <w:rPr>
        <w:sz w:val="20"/>
      </w:rPr>
      <w:fldChar w:fldCharType="separate"/>
    </w:r>
    <w:r>
      <w:rPr>
        <w:noProof/>
        <w:sz w:val="20"/>
      </w:rPr>
      <w:t>1</w:t>
    </w:r>
    <w:r w:rsidRPr="00637239">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F4996A" w14:textId="77777777" w:rsidR="00F43BD6" w:rsidRDefault="00F43BD6" w:rsidP="00D622B9">
      <w:r>
        <w:separator/>
      </w:r>
    </w:p>
  </w:footnote>
  <w:footnote w:type="continuationSeparator" w:id="0">
    <w:p w14:paraId="07F72105" w14:textId="77777777" w:rsidR="00F43BD6" w:rsidRDefault="00F43BD6" w:rsidP="00D622B9">
      <w:r>
        <w:continuationSeparator/>
      </w:r>
    </w:p>
  </w:footnote>
  <w:footnote w:type="continuationNotice" w:id="1">
    <w:p w14:paraId="40534BDA" w14:textId="77777777" w:rsidR="00F43BD6" w:rsidRDefault="00F43BD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48D8E" w14:textId="77777777" w:rsidR="00F43BD6" w:rsidRDefault="00F43BD6" w:rsidP="00D622B9">
    <w:pPr>
      <w:pStyle w:val="Classification"/>
    </w:pPr>
    <w:r>
      <w:rPr>
        <w:lang w:val="en-US"/>
      </w:rPr>
      <w:t>Error! Unknown document property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C3701" w14:textId="3C9FFB25" w:rsidR="00F43BD6" w:rsidRDefault="00F43BD6" w:rsidP="00264083">
    <w:pPr>
      <w:pStyle w:val="Header"/>
      <w:spacing w:after="0" w:line="240" w:lineRule="auto"/>
    </w:pPr>
    <w:r w:rsidRPr="00076FD2">
      <w:rPr>
        <w:noProof/>
        <w:lang w:eastAsia="en-AU"/>
      </w:rPr>
      <w:drawing>
        <wp:anchor distT="0" distB="0" distL="114300" distR="114300" simplePos="0" relativeHeight="251657216" behindDoc="0" locked="0" layoutInCell="1" allowOverlap="1" wp14:anchorId="6BCC1CF6" wp14:editId="7D6C9370">
          <wp:simplePos x="0" y="0"/>
          <wp:positionH relativeFrom="column">
            <wp:posOffset>-904875</wp:posOffset>
          </wp:positionH>
          <wp:positionV relativeFrom="paragraph">
            <wp:posOffset>-269875</wp:posOffset>
          </wp:positionV>
          <wp:extent cx="7724775" cy="22955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724775" cy="2295525"/>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38A43F74"/>
    <w:lvl w:ilvl="0">
      <w:start w:val="1"/>
      <w:numFmt w:val="decimal"/>
      <w:lvlText w:val="%1."/>
      <w:lvlJc w:val="left"/>
      <w:pPr>
        <w:tabs>
          <w:tab w:val="num" w:pos="926"/>
        </w:tabs>
        <w:ind w:left="926" w:hanging="360"/>
      </w:pPr>
    </w:lvl>
  </w:abstractNum>
  <w:abstractNum w:abstractNumId="1" w15:restartNumberingAfterBreak="0">
    <w:nsid w:val="FFFFFF7F"/>
    <w:multiLevelType w:val="hybridMultilevel"/>
    <w:tmpl w:val="1E760B4A"/>
    <w:lvl w:ilvl="0" w:tplc="7564D7B2">
      <w:start w:val="1"/>
      <w:numFmt w:val="decimal"/>
      <w:lvlText w:val="%1."/>
      <w:lvlJc w:val="left"/>
      <w:pPr>
        <w:tabs>
          <w:tab w:val="num" w:pos="643"/>
        </w:tabs>
        <w:ind w:left="643" w:hanging="360"/>
      </w:pPr>
    </w:lvl>
    <w:lvl w:ilvl="1" w:tplc="4AC28586">
      <w:numFmt w:val="decimal"/>
      <w:lvlText w:val=""/>
      <w:lvlJc w:val="left"/>
    </w:lvl>
    <w:lvl w:ilvl="2" w:tplc="05E81180">
      <w:numFmt w:val="decimal"/>
      <w:lvlText w:val=""/>
      <w:lvlJc w:val="left"/>
    </w:lvl>
    <w:lvl w:ilvl="3" w:tplc="CA605CFE">
      <w:numFmt w:val="decimal"/>
      <w:lvlText w:val=""/>
      <w:lvlJc w:val="left"/>
    </w:lvl>
    <w:lvl w:ilvl="4" w:tplc="04101F86">
      <w:numFmt w:val="decimal"/>
      <w:lvlText w:val=""/>
      <w:lvlJc w:val="left"/>
    </w:lvl>
    <w:lvl w:ilvl="5" w:tplc="DAD84A2E">
      <w:numFmt w:val="decimal"/>
      <w:lvlText w:val=""/>
      <w:lvlJc w:val="left"/>
    </w:lvl>
    <w:lvl w:ilvl="6" w:tplc="4B649620">
      <w:numFmt w:val="decimal"/>
      <w:lvlText w:val=""/>
      <w:lvlJc w:val="left"/>
    </w:lvl>
    <w:lvl w:ilvl="7" w:tplc="CAA21C8A">
      <w:numFmt w:val="decimal"/>
      <w:lvlText w:val=""/>
      <w:lvlJc w:val="left"/>
    </w:lvl>
    <w:lvl w:ilvl="8" w:tplc="2DB84C68">
      <w:numFmt w:val="decimal"/>
      <w:lvlText w:val=""/>
      <w:lvlJc w:val="left"/>
    </w:lvl>
  </w:abstractNum>
  <w:abstractNum w:abstractNumId="2" w15:restartNumberingAfterBreak="0">
    <w:nsid w:val="FFFFFF88"/>
    <w:multiLevelType w:val="hybridMultilevel"/>
    <w:tmpl w:val="6868B40A"/>
    <w:lvl w:ilvl="0" w:tplc="A3B0FED6">
      <w:start w:val="1"/>
      <w:numFmt w:val="decimal"/>
      <w:lvlText w:val="%1."/>
      <w:lvlJc w:val="left"/>
      <w:pPr>
        <w:tabs>
          <w:tab w:val="num" w:pos="360"/>
        </w:tabs>
        <w:ind w:left="360" w:hanging="360"/>
      </w:pPr>
    </w:lvl>
    <w:lvl w:ilvl="1" w:tplc="F5847E84">
      <w:numFmt w:val="decimal"/>
      <w:lvlText w:val=""/>
      <w:lvlJc w:val="left"/>
    </w:lvl>
    <w:lvl w:ilvl="2" w:tplc="0082BC08">
      <w:numFmt w:val="decimal"/>
      <w:lvlText w:val=""/>
      <w:lvlJc w:val="left"/>
    </w:lvl>
    <w:lvl w:ilvl="3" w:tplc="314EF2F6">
      <w:numFmt w:val="decimal"/>
      <w:lvlText w:val=""/>
      <w:lvlJc w:val="left"/>
    </w:lvl>
    <w:lvl w:ilvl="4" w:tplc="6938E57E">
      <w:numFmt w:val="decimal"/>
      <w:lvlText w:val=""/>
      <w:lvlJc w:val="left"/>
    </w:lvl>
    <w:lvl w:ilvl="5" w:tplc="AEE4CE38">
      <w:numFmt w:val="decimal"/>
      <w:lvlText w:val=""/>
      <w:lvlJc w:val="left"/>
    </w:lvl>
    <w:lvl w:ilvl="6" w:tplc="B926984C">
      <w:numFmt w:val="decimal"/>
      <w:lvlText w:val=""/>
      <w:lvlJc w:val="left"/>
    </w:lvl>
    <w:lvl w:ilvl="7" w:tplc="12E439AE">
      <w:numFmt w:val="decimal"/>
      <w:lvlText w:val=""/>
      <w:lvlJc w:val="left"/>
    </w:lvl>
    <w:lvl w:ilvl="8" w:tplc="36E2C9C8">
      <w:numFmt w:val="decimal"/>
      <w:lvlText w:val=""/>
      <w:lvlJc w:val="left"/>
    </w:lvl>
  </w:abstractNum>
  <w:abstractNum w:abstractNumId="3" w15:restartNumberingAfterBreak="0">
    <w:nsid w:val="00032DB9"/>
    <w:multiLevelType w:val="hybridMultilevel"/>
    <w:tmpl w:val="E5E89F92"/>
    <w:styleLink w:val="BulletList"/>
    <w:lvl w:ilvl="0" w:tplc="3BCEA40C">
      <w:start w:val="1"/>
      <w:numFmt w:val="bullet"/>
      <w:lvlText w:val=""/>
      <w:lvlJc w:val="left"/>
      <w:pPr>
        <w:ind w:left="369" w:hanging="369"/>
      </w:pPr>
      <w:rPr>
        <w:rFonts w:ascii="Symbol" w:hAnsi="Symbol" w:hint="default"/>
      </w:rPr>
    </w:lvl>
    <w:lvl w:ilvl="1" w:tplc="CDE6AED2">
      <w:start w:val="1"/>
      <w:numFmt w:val="none"/>
      <w:lvlText w:val="-"/>
      <w:lvlJc w:val="left"/>
      <w:pPr>
        <w:ind w:left="737" w:hanging="368"/>
      </w:pPr>
      <w:rPr>
        <w:rFonts w:hint="default"/>
      </w:rPr>
    </w:lvl>
    <w:lvl w:ilvl="2" w:tplc="1ED8C190">
      <w:start w:val="1"/>
      <w:numFmt w:val="none"/>
      <w:lvlText w:val=":"/>
      <w:lvlJc w:val="left"/>
      <w:pPr>
        <w:ind w:left="1106" w:hanging="369"/>
      </w:pPr>
      <w:rPr>
        <w:rFonts w:hint="default"/>
      </w:rPr>
    </w:lvl>
    <w:lvl w:ilvl="3" w:tplc="6D305F36">
      <w:start w:val="1"/>
      <w:numFmt w:val="none"/>
      <w:lvlText w:val=""/>
      <w:lvlJc w:val="left"/>
      <w:pPr>
        <w:ind w:left="1474" w:hanging="368"/>
      </w:pPr>
      <w:rPr>
        <w:rFonts w:hint="default"/>
        <w:color w:val="auto"/>
      </w:rPr>
    </w:lvl>
    <w:lvl w:ilvl="4" w:tplc="01D80FFC">
      <w:start w:val="1"/>
      <w:numFmt w:val="none"/>
      <w:lvlText w:val=""/>
      <w:lvlJc w:val="left"/>
      <w:pPr>
        <w:ind w:left="1800" w:hanging="360"/>
      </w:pPr>
      <w:rPr>
        <w:rFonts w:hint="default"/>
        <w:color w:val="auto"/>
      </w:rPr>
    </w:lvl>
    <w:lvl w:ilvl="5" w:tplc="B8FC128A">
      <w:start w:val="1"/>
      <w:numFmt w:val="none"/>
      <w:lvlText w:val=""/>
      <w:lvlJc w:val="left"/>
      <w:pPr>
        <w:ind w:left="2160" w:hanging="360"/>
      </w:pPr>
      <w:rPr>
        <w:rFonts w:hint="default"/>
        <w:color w:val="auto"/>
      </w:rPr>
    </w:lvl>
    <w:lvl w:ilvl="6" w:tplc="8AD47680">
      <w:start w:val="1"/>
      <w:numFmt w:val="none"/>
      <w:lvlText w:val=""/>
      <w:lvlJc w:val="left"/>
      <w:pPr>
        <w:ind w:left="2520" w:hanging="360"/>
      </w:pPr>
      <w:rPr>
        <w:rFonts w:hint="default"/>
        <w:color w:val="auto"/>
      </w:rPr>
    </w:lvl>
    <w:lvl w:ilvl="7" w:tplc="6F6CF144">
      <w:start w:val="1"/>
      <w:numFmt w:val="none"/>
      <w:lvlText w:val=""/>
      <w:lvlJc w:val="left"/>
      <w:pPr>
        <w:ind w:left="2880" w:hanging="360"/>
      </w:pPr>
      <w:rPr>
        <w:rFonts w:hint="default"/>
        <w:color w:val="auto"/>
      </w:rPr>
    </w:lvl>
    <w:lvl w:ilvl="8" w:tplc="4DB6D610">
      <w:start w:val="1"/>
      <w:numFmt w:val="none"/>
      <w:lvlText w:val=""/>
      <w:lvlJc w:val="left"/>
      <w:pPr>
        <w:ind w:left="3240" w:hanging="360"/>
      </w:pPr>
      <w:rPr>
        <w:rFonts w:hint="default"/>
        <w:color w:val="auto"/>
      </w:rPr>
    </w:lvl>
  </w:abstractNum>
  <w:abstractNum w:abstractNumId="4" w15:restartNumberingAfterBreak="0">
    <w:nsid w:val="04EB52A3"/>
    <w:multiLevelType w:val="hybridMultilevel"/>
    <w:tmpl w:val="EFF07B5A"/>
    <w:lvl w:ilvl="0" w:tplc="8B0AA29E">
      <w:start w:val="1"/>
      <w:numFmt w:val="bullet"/>
      <w:lvlText w:val=""/>
      <w:lvlJc w:val="left"/>
      <w:pPr>
        <w:ind w:left="720" w:hanging="360"/>
      </w:pPr>
      <w:rPr>
        <w:rFonts w:ascii="Symbol" w:hAnsi="Symbol" w:hint="default"/>
      </w:rPr>
    </w:lvl>
    <w:lvl w:ilvl="1" w:tplc="12C8EE16">
      <w:start w:val="1"/>
      <w:numFmt w:val="bullet"/>
      <w:lvlText w:val="o"/>
      <w:lvlJc w:val="left"/>
      <w:pPr>
        <w:ind w:left="1440" w:hanging="360"/>
      </w:pPr>
      <w:rPr>
        <w:rFonts w:ascii="Courier New" w:hAnsi="Courier New" w:hint="default"/>
      </w:rPr>
    </w:lvl>
    <w:lvl w:ilvl="2" w:tplc="7A603106">
      <w:start w:val="1"/>
      <w:numFmt w:val="bullet"/>
      <w:lvlText w:val=""/>
      <w:lvlJc w:val="left"/>
      <w:pPr>
        <w:ind w:left="2160" w:hanging="360"/>
      </w:pPr>
      <w:rPr>
        <w:rFonts w:ascii="Wingdings" w:hAnsi="Wingdings" w:hint="default"/>
      </w:rPr>
    </w:lvl>
    <w:lvl w:ilvl="3" w:tplc="0354F702">
      <w:start w:val="1"/>
      <w:numFmt w:val="bullet"/>
      <w:lvlText w:val=""/>
      <w:lvlJc w:val="left"/>
      <w:pPr>
        <w:ind w:left="2880" w:hanging="360"/>
      </w:pPr>
      <w:rPr>
        <w:rFonts w:ascii="Symbol" w:hAnsi="Symbol" w:hint="default"/>
      </w:rPr>
    </w:lvl>
    <w:lvl w:ilvl="4" w:tplc="CA7482B8">
      <w:start w:val="1"/>
      <w:numFmt w:val="bullet"/>
      <w:lvlText w:val="o"/>
      <w:lvlJc w:val="left"/>
      <w:pPr>
        <w:ind w:left="3600" w:hanging="360"/>
      </w:pPr>
      <w:rPr>
        <w:rFonts w:ascii="Courier New" w:hAnsi="Courier New" w:hint="default"/>
      </w:rPr>
    </w:lvl>
    <w:lvl w:ilvl="5" w:tplc="2CEA9052">
      <w:start w:val="1"/>
      <w:numFmt w:val="bullet"/>
      <w:lvlText w:val=""/>
      <w:lvlJc w:val="left"/>
      <w:pPr>
        <w:ind w:left="4320" w:hanging="360"/>
      </w:pPr>
      <w:rPr>
        <w:rFonts w:ascii="Wingdings" w:hAnsi="Wingdings" w:hint="default"/>
      </w:rPr>
    </w:lvl>
    <w:lvl w:ilvl="6" w:tplc="2C426494">
      <w:start w:val="1"/>
      <w:numFmt w:val="bullet"/>
      <w:lvlText w:val=""/>
      <w:lvlJc w:val="left"/>
      <w:pPr>
        <w:ind w:left="5040" w:hanging="360"/>
      </w:pPr>
      <w:rPr>
        <w:rFonts w:ascii="Symbol" w:hAnsi="Symbol" w:hint="default"/>
      </w:rPr>
    </w:lvl>
    <w:lvl w:ilvl="7" w:tplc="E078E9CC">
      <w:start w:val="1"/>
      <w:numFmt w:val="bullet"/>
      <w:lvlText w:val="o"/>
      <w:lvlJc w:val="left"/>
      <w:pPr>
        <w:ind w:left="5760" w:hanging="360"/>
      </w:pPr>
      <w:rPr>
        <w:rFonts w:ascii="Courier New" w:hAnsi="Courier New" w:hint="default"/>
      </w:rPr>
    </w:lvl>
    <w:lvl w:ilvl="8" w:tplc="E0EAF0D6">
      <w:start w:val="1"/>
      <w:numFmt w:val="bullet"/>
      <w:lvlText w:val=""/>
      <w:lvlJc w:val="left"/>
      <w:pPr>
        <w:ind w:left="6480" w:hanging="360"/>
      </w:pPr>
      <w:rPr>
        <w:rFonts w:ascii="Wingdings" w:hAnsi="Wingdings" w:hint="default"/>
      </w:rPr>
    </w:lvl>
  </w:abstractNum>
  <w:abstractNum w:abstractNumId="5" w15:restartNumberingAfterBreak="0">
    <w:nsid w:val="0D315613"/>
    <w:multiLevelType w:val="hybridMultilevel"/>
    <w:tmpl w:val="9F6C6AB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8D240F"/>
    <w:multiLevelType w:val="hybridMultilevel"/>
    <w:tmpl w:val="29E0E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A63B4C"/>
    <w:multiLevelType w:val="hybridMultilevel"/>
    <w:tmpl w:val="401E1BDE"/>
    <w:lvl w:ilvl="0" w:tplc="7F36BA3E">
      <w:start w:val="1"/>
      <w:numFmt w:val="bullet"/>
      <w:lvlText w:val=""/>
      <w:lvlJc w:val="left"/>
      <w:pPr>
        <w:ind w:left="720" w:hanging="360"/>
      </w:pPr>
      <w:rPr>
        <w:rFonts w:ascii="Symbol" w:hAnsi="Symbol" w:hint="default"/>
      </w:rPr>
    </w:lvl>
    <w:lvl w:ilvl="1" w:tplc="839EBC04">
      <w:start w:val="1"/>
      <w:numFmt w:val="bullet"/>
      <w:lvlText w:val="o"/>
      <w:lvlJc w:val="left"/>
      <w:pPr>
        <w:ind w:left="1440" w:hanging="360"/>
      </w:pPr>
      <w:rPr>
        <w:rFonts w:ascii="Courier New" w:hAnsi="Courier New" w:hint="default"/>
      </w:rPr>
    </w:lvl>
    <w:lvl w:ilvl="2" w:tplc="80B896D6">
      <w:start w:val="1"/>
      <w:numFmt w:val="bullet"/>
      <w:lvlText w:val=""/>
      <w:lvlJc w:val="left"/>
      <w:pPr>
        <w:ind w:left="2160" w:hanging="360"/>
      </w:pPr>
      <w:rPr>
        <w:rFonts w:ascii="Wingdings" w:hAnsi="Wingdings" w:hint="default"/>
      </w:rPr>
    </w:lvl>
    <w:lvl w:ilvl="3" w:tplc="0E843506">
      <w:start w:val="1"/>
      <w:numFmt w:val="bullet"/>
      <w:lvlText w:val=""/>
      <w:lvlJc w:val="left"/>
      <w:pPr>
        <w:ind w:left="2880" w:hanging="360"/>
      </w:pPr>
      <w:rPr>
        <w:rFonts w:ascii="Symbol" w:hAnsi="Symbol" w:hint="default"/>
      </w:rPr>
    </w:lvl>
    <w:lvl w:ilvl="4" w:tplc="7CF2B224">
      <w:start w:val="1"/>
      <w:numFmt w:val="bullet"/>
      <w:lvlText w:val="o"/>
      <w:lvlJc w:val="left"/>
      <w:pPr>
        <w:ind w:left="3600" w:hanging="360"/>
      </w:pPr>
      <w:rPr>
        <w:rFonts w:ascii="Courier New" w:hAnsi="Courier New" w:hint="default"/>
      </w:rPr>
    </w:lvl>
    <w:lvl w:ilvl="5" w:tplc="C49C39FC">
      <w:start w:val="1"/>
      <w:numFmt w:val="bullet"/>
      <w:lvlText w:val=""/>
      <w:lvlJc w:val="left"/>
      <w:pPr>
        <w:ind w:left="4320" w:hanging="360"/>
      </w:pPr>
      <w:rPr>
        <w:rFonts w:ascii="Wingdings" w:hAnsi="Wingdings" w:hint="default"/>
      </w:rPr>
    </w:lvl>
    <w:lvl w:ilvl="6" w:tplc="E09ECF26">
      <w:start w:val="1"/>
      <w:numFmt w:val="bullet"/>
      <w:lvlText w:val=""/>
      <w:lvlJc w:val="left"/>
      <w:pPr>
        <w:ind w:left="5040" w:hanging="360"/>
      </w:pPr>
      <w:rPr>
        <w:rFonts w:ascii="Symbol" w:hAnsi="Symbol" w:hint="default"/>
      </w:rPr>
    </w:lvl>
    <w:lvl w:ilvl="7" w:tplc="68064AE0">
      <w:start w:val="1"/>
      <w:numFmt w:val="bullet"/>
      <w:lvlText w:val="o"/>
      <w:lvlJc w:val="left"/>
      <w:pPr>
        <w:ind w:left="5760" w:hanging="360"/>
      </w:pPr>
      <w:rPr>
        <w:rFonts w:ascii="Courier New" w:hAnsi="Courier New" w:hint="default"/>
      </w:rPr>
    </w:lvl>
    <w:lvl w:ilvl="8" w:tplc="D03ACB38">
      <w:start w:val="1"/>
      <w:numFmt w:val="bullet"/>
      <w:lvlText w:val=""/>
      <w:lvlJc w:val="left"/>
      <w:pPr>
        <w:ind w:left="6480" w:hanging="360"/>
      </w:pPr>
      <w:rPr>
        <w:rFonts w:ascii="Wingdings" w:hAnsi="Wingdings" w:hint="default"/>
      </w:rPr>
    </w:lvl>
  </w:abstractNum>
  <w:abstractNum w:abstractNumId="8" w15:restartNumberingAfterBreak="0">
    <w:nsid w:val="22427571"/>
    <w:multiLevelType w:val="hybridMultilevel"/>
    <w:tmpl w:val="93D6FD38"/>
    <w:lvl w:ilvl="0" w:tplc="F5E63868">
      <w:start w:val="1"/>
      <w:numFmt w:val="decimal"/>
      <w:lvlText w:val="%1."/>
      <w:lvlJc w:val="left"/>
      <w:pPr>
        <w:tabs>
          <w:tab w:val="num" w:pos="720"/>
        </w:tabs>
        <w:ind w:left="720" w:hanging="720"/>
      </w:pPr>
    </w:lvl>
    <w:lvl w:ilvl="1" w:tplc="5B727FFC">
      <w:start w:val="1"/>
      <w:numFmt w:val="decimal"/>
      <w:lvlText w:val="%2."/>
      <w:lvlJc w:val="left"/>
      <w:pPr>
        <w:tabs>
          <w:tab w:val="num" w:pos="1440"/>
        </w:tabs>
        <w:ind w:left="1440" w:hanging="720"/>
      </w:pPr>
    </w:lvl>
    <w:lvl w:ilvl="2" w:tplc="8F0C3222">
      <w:start w:val="1"/>
      <w:numFmt w:val="decimal"/>
      <w:lvlText w:val="%3."/>
      <w:lvlJc w:val="left"/>
      <w:pPr>
        <w:tabs>
          <w:tab w:val="num" w:pos="2160"/>
        </w:tabs>
        <w:ind w:left="2160" w:hanging="720"/>
      </w:pPr>
    </w:lvl>
    <w:lvl w:ilvl="3" w:tplc="8B84EE8A">
      <w:start w:val="1"/>
      <w:numFmt w:val="decimal"/>
      <w:lvlText w:val="%4."/>
      <w:lvlJc w:val="left"/>
      <w:pPr>
        <w:tabs>
          <w:tab w:val="num" w:pos="2880"/>
        </w:tabs>
        <w:ind w:left="2880" w:hanging="720"/>
      </w:pPr>
    </w:lvl>
    <w:lvl w:ilvl="4" w:tplc="B106B444">
      <w:start w:val="1"/>
      <w:numFmt w:val="decimal"/>
      <w:lvlText w:val="%5."/>
      <w:lvlJc w:val="left"/>
      <w:pPr>
        <w:tabs>
          <w:tab w:val="num" w:pos="3600"/>
        </w:tabs>
        <w:ind w:left="3600" w:hanging="720"/>
      </w:pPr>
    </w:lvl>
    <w:lvl w:ilvl="5" w:tplc="1EC24B0E">
      <w:start w:val="1"/>
      <w:numFmt w:val="decimal"/>
      <w:lvlText w:val="%6."/>
      <w:lvlJc w:val="left"/>
      <w:pPr>
        <w:tabs>
          <w:tab w:val="num" w:pos="4320"/>
        </w:tabs>
        <w:ind w:left="4320" w:hanging="720"/>
      </w:pPr>
    </w:lvl>
    <w:lvl w:ilvl="6" w:tplc="CBAC2CE0">
      <w:start w:val="1"/>
      <w:numFmt w:val="decimal"/>
      <w:lvlText w:val="%7."/>
      <w:lvlJc w:val="left"/>
      <w:pPr>
        <w:tabs>
          <w:tab w:val="num" w:pos="5040"/>
        </w:tabs>
        <w:ind w:left="5040" w:hanging="720"/>
      </w:pPr>
    </w:lvl>
    <w:lvl w:ilvl="7" w:tplc="F1FA92CE">
      <w:start w:val="1"/>
      <w:numFmt w:val="decimal"/>
      <w:lvlText w:val="%8."/>
      <w:lvlJc w:val="left"/>
      <w:pPr>
        <w:tabs>
          <w:tab w:val="num" w:pos="5760"/>
        </w:tabs>
        <w:ind w:left="5760" w:hanging="720"/>
      </w:pPr>
    </w:lvl>
    <w:lvl w:ilvl="8" w:tplc="87983720">
      <w:start w:val="1"/>
      <w:numFmt w:val="decimal"/>
      <w:lvlText w:val="%9."/>
      <w:lvlJc w:val="left"/>
      <w:pPr>
        <w:tabs>
          <w:tab w:val="num" w:pos="6480"/>
        </w:tabs>
        <w:ind w:left="6480" w:hanging="720"/>
      </w:pPr>
    </w:lvl>
  </w:abstractNum>
  <w:abstractNum w:abstractNumId="9" w15:restartNumberingAfterBreak="0">
    <w:nsid w:val="2E7D37CF"/>
    <w:multiLevelType w:val="hybridMultilevel"/>
    <w:tmpl w:val="C8E8E824"/>
    <w:lvl w:ilvl="0" w:tplc="FFFFFFFF">
      <w:start w:val="1"/>
      <w:numFmt w:val="decimal"/>
      <w:lvlText w:val="%1."/>
      <w:lvlJc w:val="left"/>
      <w:pPr>
        <w:ind w:left="511" w:hanging="369"/>
      </w:pPr>
      <w:rPr>
        <w:sz w:val="20"/>
        <w:szCs w:val="20"/>
      </w:rPr>
    </w:lvl>
    <w:lvl w:ilvl="1" w:tplc="551A3796">
      <w:start w:val="1"/>
      <w:numFmt w:val="lowerLetter"/>
      <w:lvlText w:val="%2."/>
      <w:lvlJc w:val="left"/>
      <w:pPr>
        <w:ind w:left="653" w:hanging="369"/>
      </w:pPr>
      <w:rPr>
        <w:i w:val="0"/>
        <w:iCs w:val="0"/>
        <w:sz w:val="20"/>
        <w:szCs w:val="20"/>
      </w:rPr>
    </w:lvl>
    <w:lvl w:ilvl="2" w:tplc="FFFFFFFF">
      <w:start w:val="1"/>
      <w:numFmt w:val="lowerRoman"/>
      <w:lvlText w:val="%3."/>
      <w:lvlJc w:val="left"/>
      <w:pPr>
        <w:ind w:left="1107" w:hanging="369"/>
      </w:pPr>
      <w:rPr>
        <w:sz w:val="20"/>
        <w:szCs w:val="20"/>
      </w:rPr>
    </w:lvl>
    <w:lvl w:ilvl="3" w:tplc="0BC252D2">
      <w:start w:val="1"/>
      <w:numFmt w:val="none"/>
      <w:lvlText w:val="%4"/>
      <w:lvlJc w:val="left"/>
      <w:pPr>
        <w:ind w:left="1476" w:hanging="369"/>
      </w:pPr>
      <w:rPr>
        <w:rFonts w:hint="default"/>
      </w:rPr>
    </w:lvl>
    <w:lvl w:ilvl="4" w:tplc="A8240952">
      <w:start w:val="1"/>
      <w:numFmt w:val="none"/>
      <w:lvlText w:val=""/>
      <w:lvlJc w:val="left"/>
      <w:pPr>
        <w:ind w:left="1845" w:hanging="369"/>
      </w:pPr>
      <w:rPr>
        <w:rFonts w:hint="default"/>
      </w:rPr>
    </w:lvl>
    <w:lvl w:ilvl="5" w:tplc="D0EA1E6C">
      <w:start w:val="1"/>
      <w:numFmt w:val="none"/>
      <w:lvlText w:val=""/>
      <w:lvlJc w:val="left"/>
      <w:pPr>
        <w:ind w:left="2214" w:hanging="369"/>
      </w:pPr>
      <w:rPr>
        <w:rFonts w:hint="default"/>
      </w:rPr>
    </w:lvl>
    <w:lvl w:ilvl="6" w:tplc="779623C2">
      <w:start w:val="1"/>
      <w:numFmt w:val="none"/>
      <w:lvlText w:val=""/>
      <w:lvlJc w:val="left"/>
      <w:pPr>
        <w:ind w:left="2583" w:hanging="369"/>
      </w:pPr>
      <w:rPr>
        <w:rFonts w:hint="default"/>
      </w:rPr>
    </w:lvl>
    <w:lvl w:ilvl="7" w:tplc="47748EA2">
      <w:start w:val="1"/>
      <w:numFmt w:val="none"/>
      <w:lvlText w:val=""/>
      <w:lvlJc w:val="left"/>
      <w:pPr>
        <w:ind w:left="2952" w:hanging="369"/>
      </w:pPr>
      <w:rPr>
        <w:rFonts w:hint="default"/>
      </w:rPr>
    </w:lvl>
    <w:lvl w:ilvl="8" w:tplc="54883EC4">
      <w:start w:val="1"/>
      <w:numFmt w:val="none"/>
      <w:lvlText w:val=""/>
      <w:lvlJc w:val="left"/>
      <w:pPr>
        <w:ind w:left="3321" w:hanging="369"/>
      </w:pPr>
      <w:rPr>
        <w:rFonts w:hint="default"/>
      </w:rPr>
    </w:lvl>
  </w:abstractNum>
  <w:abstractNum w:abstractNumId="10" w15:restartNumberingAfterBreak="0">
    <w:nsid w:val="2EFA6C61"/>
    <w:multiLevelType w:val="hybridMultilevel"/>
    <w:tmpl w:val="E1FC1D76"/>
    <w:lvl w:ilvl="0" w:tplc="FFFFFFFF">
      <w:start w:val="1"/>
      <w:numFmt w:val="decimal"/>
      <w:lvlText w:val="%1."/>
      <w:lvlJc w:val="left"/>
      <w:pPr>
        <w:ind w:left="511" w:hanging="369"/>
      </w:pPr>
      <w:rPr>
        <w:sz w:val="20"/>
        <w:szCs w:val="20"/>
      </w:rPr>
    </w:lvl>
    <w:lvl w:ilvl="1" w:tplc="551A3796">
      <w:start w:val="1"/>
      <w:numFmt w:val="lowerLetter"/>
      <w:lvlText w:val="%2."/>
      <w:lvlJc w:val="left"/>
      <w:pPr>
        <w:ind w:left="653" w:hanging="369"/>
      </w:pPr>
      <w:rPr>
        <w:i w:val="0"/>
        <w:iCs w:val="0"/>
        <w:sz w:val="20"/>
        <w:szCs w:val="20"/>
      </w:rPr>
    </w:lvl>
    <w:lvl w:ilvl="2" w:tplc="86B09732">
      <w:start w:val="1"/>
      <w:numFmt w:val="lowerLetter"/>
      <w:lvlText w:val="%3."/>
      <w:lvlJc w:val="left"/>
      <w:pPr>
        <w:ind w:left="1107" w:hanging="369"/>
      </w:pPr>
      <w:rPr>
        <w:rFonts w:ascii="Arial" w:eastAsia="Times New Roman" w:hAnsi="Arial" w:cs="Arial"/>
        <w:sz w:val="20"/>
        <w:szCs w:val="20"/>
      </w:rPr>
    </w:lvl>
    <w:lvl w:ilvl="3" w:tplc="0BC252D2">
      <w:start w:val="1"/>
      <w:numFmt w:val="none"/>
      <w:lvlText w:val="%4"/>
      <w:lvlJc w:val="left"/>
      <w:pPr>
        <w:ind w:left="1476" w:hanging="369"/>
      </w:pPr>
      <w:rPr>
        <w:rFonts w:hint="default"/>
      </w:rPr>
    </w:lvl>
    <w:lvl w:ilvl="4" w:tplc="A8240952">
      <w:start w:val="1"/>
      <w:numFmt w:val="none"/>
      <w:lvlText w:val=""/>
      <w:lvlJc w:val="left"/>
      <w:pPr>
        <w:ind w:left="1845" w:hanging="369"/>
      </w:pPr>
      <w:rPr>
        <w:rFonts w:hint="default"/>
      </w:rPr>
    </w:lvl>
    <w:lvl w:ilvl="5" w:tplc="D0EA1E6C">
      <w:start w:val="1"/>
      <w:numFmt w:val="none"/>
      <w:lvlText w:val=""/>
      <w:lvlJc w:val="left"/>
      <w:pPr>
        <w:ind w:left="2214" w:hanging="369"/>
      </w:pPr>
      <w:rPr>
        <w:rFonts w:hint="default"/>
      </w:rPr>
    </w:lvl>
    <w:lvl w:ilvl="6" w:tplc="779623C2">
      <w:start w:val="1"/>
      <w:numFmt w:val="none"/>
      <w:lvlText w:val=""/>
      <w:lvlJc w:val="left"/>
      <w:pPr>
        <w:ind w:left="2583" w:hanging="369"/>
      </w:pPr>
      <w:rPr>
        <w:rFonts w:hint="default"/>
      </w:rPr>
    </w:lvl>
    <w:lvl w:ilvl="7" w:tplc="47748EA2">
      <w:start w:val="1"/>
      <w:numFmt w:val="none"/>
      <w:lvlText w:val=""/>
      <w:lvlJc w:val="left"/>
      <w:pPr>
        <w:ind w:left="2952" w:hanging="369"/>
      </w:pPr>
      <w:rPr>
        <w:rFonts w:hint="default"/>
      </w:rPr>
    </w:lvl>
    <w:lvl w:ilvl="8" w:tplc="54883EC4">
      <w:start w:val="1"/>
      <w:numFmt w:val="none"/>
      <w:lvlText w:val=""/>
      <w:lvlJc w:val="left"/>
      <w:pPr>
        <w:ind w:left="3321" w:hanging="369"/>
      </w:pPr>
      <w:rPr>
        <w:rFonts w:hint="default"/>
      </w:rPr>
    </w:lvl>
  </w:abstractNum>
  <w:abstractNum w:abstractNumId="11" w15:restartNumberingAfterBreak="0">
    <w:nsid w:val="3098052F"/>
    <w:multiLevelType w:val="hybridMultilevel"/>
    <w:tmpl w:val="473EA67C"/>
    <w:lvl w:ilvl="0" w:tplc="DDBE776A">
      <w:start w:val="1"/>
      <w:numFmt w:val="decimal"/>
      <w:pStyle w:val="ListParagraph"/>
      <w:lvlText w:val="%1."/>
      <w:lvlJc w:val="left"/>
      <w:pPr>
        <w:ind w:left="369" w:hanging="369"/>
      </w:pPr>
      <w:rPr>
        <w:rFonts w:hint="default"/>
      </w:rPr>
    </w:lvl>
    <w:lvl w:ilvl="1" w:tplc="8C8EBE9E">
      <w:start w:val="1"/>
      <w:numFmt w:val="none"/>
      <w:lvlText w:val="-"/>
      <w:lvlJc w:val="left"/>
      <w:pPr>
        <w:ind w:left="737" w:hanging="368"/>
      </w:pPr>
      <w:rPr>
        <w:rFonts w:hint="default"/>
      </w:rPr>
    </w:lvl>
    <w:lvl w:ilvl="2" w:tplc="3B022CF6">
      <w:start w:val="1"/>
      <w:numFmt w:val="none"/>
      <w:lvlText w:val=":"/>
      <w:lvlJc w:val="left"/>
      <w:pPr>
        <w:ind w:left="1106" w:hanging="369"/>
      </w:pPr>
      <w:rPr>
        <w:rFonts w:hint="default"/>
      </w:rPr>
    </w:lvl>
    <w:lvl w:ilvl="3" w:tplc="209C86D6">
      <w:start w:val="1"/>
      <w:numFmt w:val="none"/>
      <w:lvlText w:val=""/>
      <w:lvlJc w:val="left"/>
      <w:pPr>
        <w:ind w:left="1474" w:hanging="368"/>
      </w:pPr>
      <w:rPr>
        <w:rFonts w:hint="default"/>
      </w:rPr>
    </w:lvl>
    <w:lvl w:ilvl="4" w:tplc="40E031AA">
      <w:start w:val="1"/>
      <w:numFmt w:val="lowerLetter"/>
      <w:lvlText w:val="(%5)"/>
      <w:lvlJc w:val="left"/>
      <w:pPr>
        <w:ind w:left="1800" w:hanging="360"/>
      </w:pPr>
      <w:rPr>
        <w:rFonts w:hint="default"/>
      </w:rPr>
    </w:lvl>
    <w:lvl w:ilvl="5" w:tplc="C61A539C">
      <w:start w:val="1"/>
      <w:numFmt w:val="lowerRoman"/>
      <w:lvlText w:val="(%6)"/>
      <w:lvlJc w:val="left"/>
      <w:pPr>
        <w:ind w:left="2160" w:hanging="360"/>
      </w:pPr>
      <w:rPr>
        <w:rFonts w:hint="default"/>
      </w:rPr>
    </w:lvl>
    <w:lvl w:ilvl="6" w:tplc="1CF4FF18">
      <w:start w:val="1"/>
      <w:numFmt w:val="decimal"/>
      <w:lvlText w:val="%7."/>
      <w:lvlJc w:val="left"/>
      <w:pPr>
        <w:ind w:left="2520" w:hanging="360"/>
      </w:pPr>
      <w:rPr>
        <w:rFonts w:hint="default"/>
      </w:rPr>
    </w:lvl>
    <w:lvl w:ilvl="7" w:tplc="FAAC4A26">
      <w:start w:val="1"/>
      <w:numFmt w:val="lowerLetter"/>
      <w:lvlText w:val="%8."/>
      <w:lvlJc w:val="left"/>
      <w:pPr>
        <w:ind w:left="2880" w:hanging="360"/>
      </w:pPr>
      <w:rPr>
        <w:rFonts w:hint="default"/>
      </w:rPr>
    </w:lvl>
    <w:lvl w:ilvl="8" w:tplc="F5E63754">
      <w:start w:val="1"/>
      <w:numFmt w:val="lowerRoman"/>
      <w:lvlText w:val="%9."/>
      <w:lvlJc w:val="left"/>
      <w:pPr>
        <w:ind w:left="3240" w:hanging="360"/>
      </w:pPr>
      <w:rPr>
        <w:rFonts w:hint="default"/>
      </w:rPr>
    </w:lvl>
  </w:abstractNum>
  <w:abstractNum w:abstractNumId="12" w15:restartNumberingAfterBreak="0">
    <w:nsid w:val="361C7DAA"/>
    <w:multiLevelType w:val="hybridMultilevel"/>
    <w:tmpl w:val="CAA83148"/>
    <w:styleLink w:val="Attach"/>
    <w:lvl w:ilvl="0" w:tplc="4998D502">
      <w:start w:val="1"/>
      <w:numFmt w:val="upperLetter"/>
      <w:lvlText w:val="Attachment %1"/>
      <w:lvlJc w:val="left"/>
      <w:pPr>
        <w:ind w:left="360" w:hanging="360"/>
      </w:pPr>
      <w:rPr>
        <w:rFonts w:hint="default"/>
      </w:rPr>
    </w:lvl>
    <w:lvl w:ilvl="1" w:tplc="406C02F6">
      <w:start w:val="1"/>
      <w:numFmt w:val="lowerLetter"/>
      <w:lvlText w:val="%2)"/>
      <w:lvlJc w:val="left"/>
      <w:pPr>
        <w:ind w:left="720" w:hanging="360"/>
      </w:pPr>
      <w:rPr>
        <w:rFonts w:hint="default"/>
      </w:rPr>
    </w:lvl>
    <w:lvl w:ilvl="2" w:tplc="07CA212E">
      <w:start w:val="1"/>
      <w:numFmt w:val="lowerRoman"/>
      <w:lvlText w:val="%3)"/>
      <w:lvlJc w:val="left"/>
      <w:pPr>
        <w:ind w:left="1080" w:hanging="360"/>
      </w:pPr>
      <w:rPr>
        <w:rFonts w:hint="default"/>
      </w:rPr>
    </w:lvl>
    <w:lvl w:ilvl="3" w:tplc="61402966">
      <w:start w:val="1"/>
      <w:numFmt w:val="decimal"/>
      <w:lvlText w:val="(%4)"/>
      <w:lvlJc w:val="left"/>
      <w:pPr>
        <w:ind w:left="1440" w:hanging="360"/>
      </w:pPr>
      <w:rPr>
        <w:rFonts w:hint="default"/>
      </w:rPr>
    </w:lvl>
    <w:lvl w:ilvl="4" w:tplc="AC5CDE70">
      <w:start w:val="1"/>
      <w:numFmt w:val="lowerLetter"/>
      <w:lvlText w:val="(%5)"/>
      <w:lvlJc w:val="left"/>
      <w:pPr>
        <w:ind w:left="1800" w:hanging="360"/>
      </w:pPr>
      <w:rPr>
        <w:rFonts w:hint="default"/>
      </w:rPr>
    </w:lvl>
    <w:lvl w:ilvl="5" w:tplc="33C8F49E">
      <w:start w:val="1"/>
      <w:numFmt w:val="lowerRoman"/>
      <w:lvlText w:val="(%6)"/>
      <w:lvlJc w:val="left"/>
      <w:pPr>
        <w:ind w:left="2160" w:hanging="360"/>
      </w:pPr>
      <w:rPr>
        <w:rFonts w:hint="default"/>
      </w:rPr>
    </w:lvl>
    <w:lvl w:ilvl="6" w:tplc="E222C5B6">
      <w:start w:val="1"/>
      <w:numFmt w:val="decimal"/>
      <w:lvlText w:val="%7."/>
      <w:lvlJc w:val="left"/>
      <w:pPr>
        <w:ind w:left="2520" w:hanging="360"/>
      </w:pPr>
      <w:rPr>
        <w:rFonts w:hint="default"/>
      </w:rPr>
    </w:lvl>
    <w:lvl w:ilvl="7" w:tplc="4FE099BE">
      <w:start w:val="1"/>
      <w:numFmt w:val="lowerLetter"/>
      <w:lvlText w:val="%8."/>
      <w:lvlJc w:val="left"/>
      <w:pPr>
        <w:ind w:left="2880" w:hanging="360"/>
      </w:pPr>
      <w:rPr>
        <w:rFonts w:hint="default"/>
      </w:rPr>
    </w:lvl>
    <w:lvl w:ilvl="8" w:tplc="7B2A5BD0">
      <w:start w:val="1"/>
      <w:numFmt w:val="lowerRoman"/>
      <w:lvlText w:val="%9."/>
      <w:lvlJc w:val="left"/>
      <w:pPr>
        <w:ind w:left="3240" w:hanging="360"/>
      </w:pPr>
      <w:rPr>
        <w:rFonts w:hint="default"/>
      </w:rPr>
    </w:lvl>
  </w:abstractNum>
  <w:abstractNum w:abstractNumId="13" w15:restartNumberingAfterBreak="0">
    <w:nsid w:val="47AA78CF"/>
    <w:multiLevelType w:val="hybridMultilevel"/>
    <w:tmpl w:val="C8E8E824"/>
    <w:lvl w:ilvl="0" w:tplc="FFFFFFFF">
      <w:start w:val="1"/>
      <w:numFmt w:val="decimal"/>
      <w:lvlText w:val="%1."/>
      <w:lvlJc w:val="left"/>
      <w:pPr>
        <w:ind w:left="511" w:hanging="369"/>
      </w:pPr>
      <w:rPr>
        <w:sz w:val="20"/>
        <w:szCs w:val="20"/>
      </w:rPr>
    </w:lvl>
    <w:lvl w:ilvl="1" w:tplc="551A3796">
      <w:start w:val="1"/>
      <w:numFmt w:val="lowerLetter"/>
      <w:lvlText w:val="%2."/>
      <w:lvlJc w:val="left"/>
      <w:pPr>
        <w:ind w:left="653" w:hanging="369"/>
      </w:pPr>
      <w:rPr>
        <w:i w:val="0"/>
        <w:iCs w:val="0"/>
        <w:sz w:val="20"/>
        <w:szCs w:val="20"/>
      </w:rPr>
    </w:lvl>
    <w:lvl w:ilvl="2" w:tplc="9A448984">
      <w:start w:val="1"/>
      <w:numFmt w:val="lowerRoman"/>
      <w:lvlText w:val="%3."/>
      <w:lvlJc w:val="left"/>
      <w:pPr>
        <w:ind w:left="1107" w:hanging="369"/>
      </w:pPr>
      <w:rPr>
        <w:rFonts w:ascii="Arial" w:hAnsi="Arial" w:cs="Arial" w:hint="default"/>
        <w:sz w:val="20"/>
        <w:szCs w:val="20"/>
      </w:rPr>
    </w:lvl>
    <w:lvl w:ilvl="3" w:tplc="0BC252D2">
      <w:start w:val="1"/>
      <w:numFmt w:val="none"/>
      <w:lvlText w:val="%4"/>
      <w:lvlJc w:val="left"/>
      <w:pPr>
        <w:ind w:left="1476" w:hanging="369"/>
      </w:pPr>
      <w:rPr>
        <w:rFonts w:hint="default"/>
      </w:rPr>
    </w:lvl>
    <w:lvl w:ilvl="4" w:tplc="A8240952">
      <w:start w:val="1"/>
      <w:numFmt w:val="none"/>
      <w:lvlText w:val=""/>
      <w:lvlJc w:val="left"/>
      <w:pPr>
        <w:ind w:left="1845" w:hanging="369"/>
      </w:pPr>
      <w:rPr>
        <w:rFonts w:hint="default"/>
      </w:rPr>
    </w:lvl>
    <w:lvl w:ilvl="5" w:tplc="D0EA1E6C">
      <w:start w:val="1"/>
      <w:numFmt w:val="none"/>
      <w:lvlText w:val=""/>
      <w:lvlJc w:val="left"/>
      <w:pPr>
        <w:ind w:left="2214" w:hanging="369"/>
      </w:pPr>
      <w:rPr>
        <w:rFonts w:hint="default"/>
      </w:rPr>
    </w:lvl>
    <w:lvl w:ilvl="6" w:tplc="779623C2">
      <w:start w:val="1"/>
      <w:numFmt w:val="none"/>
      <w:lvlText w:val=""/>
      <w:lvlJc w:val="left"/>
      <w:pPr>
        <w:ind w:left="2583" w:hanging="369"/>
      </w:pPr>
      <w:rPr>
        <w:rFonts w:hint="default"/>
      </w:rPr>
    </w:lvl>
    <w:lvl w:ilvl="7" w:tplc="47748EA2">
      <w:start w:val="1"/>
      <w:numFmt w:val="none"/>
      <w:lvlText w:val=""/>
      <w:lvlJc w:val="left"/>
      <w:pPr>
        <w:ind w:left="2952" w:hanging="369"/>
      </w:pPr>
      <w:rPr>
        <w:rFonts w:hint="default"/>
      </w:rPr>
    </w:lvl>
    <w:lvl w:ilvl="8" w:tplc="54883EC4">
      <w:start w:val="1"/>
      <w:numFmt w:val="none"/>
      <w:lvlText w:val=""/>
      <w:lvlJc w:val="left"/>
      <w:pPr>
        <w:ind w:left="3321" w:hanging="369"/>
      </w:pPr>
      <w:rPr>
        <w:rFonts w:hint="default"/>
      </w:rPr>
    </w:lvl>
  </w:abstractNum>
  <w:abstractNum w:abstractNumId="14" w15:restartNumberingAfterBreak="0">
    <w:nsid w:val="4A3E742E"/>
    <w:multiLevelType w:val="hybridMultilevel"/>
    <w:tmpl w:val="7BD63B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333342"/>
    <w:multiLevelType w:val="hybridMultilevel"/>
    <w:tmpl w:val="C960085E"/>
    <w:lvl w:ilvl="0" w:tplc="FFFFFFFF">
      <w:start w:val="1"/>
      <w:numFmt w:val="decimal"/>
      <w:lvlText w:val="%1."/>
      <w:lvlJc w:val="left"/>
      <w:pPr>
        <w:ind w:left="511" w:hanging="369"/>
      </w:pPr>
      <w:rPr>
        <w:sz w:val="20"/>
        <w:szCs w:val="20"/>
      </w:rPr>
    </w:lvl>
    <w:lvl w:ilvl="1" w:tplc="551A3796">
      <w:start w:val="1"/>
      <w:numFmt w:val="lowerLetter"/>
      <w:lvlText w:val="%2."/>
      <w:lvlJc w:val="left"/>
      <w:pPr>
        <w:ind w:left="653" w:hanging="369"/>
      </w:pPr>
      <w:rPr>
        <w:i w:val="0"/>
        <w:iCs w:val="0"/>
        <w:sz w:val="20"/>
        <w:szCs w:val="20"/>
      </w:rPr>
    </w:lvl>
    <w:lvl w:ilvl="2" w:tplc="9A448984">
      <w:start w:val="1"/>
      <w:numFmt w:val="lowerRoman"/>
      <w:lvlText w:val="%3."/>
      <w:lvlJc w:val="left"/>
      <w:pPr>
        <w:ind w:left="1107" w:hanging="369"/>
      </w:pPr>
      <w:rPr>
        <w:rFonts w:ascii="Arial" w:hAnsi="Arial" w:cs="Arial" w:hint="default"/>
        <w:sz w:val="20"/>
        <w:szCs w:val="20"/>
      </w:rPr>
    </w:lvl>
    <w:lvl w:ilvl="3" w:tplc="0BC252D2">
      <w:start w:val="1"/>
      <w:numFmt w:val="none"/>
      <w:lvlText w:val="%4"/>
      <w:lvlJc w:val="left"/>
      <w:pPr>
        <w:ind w:left="1476" w:hanging="369"/>
      </w:pPr>
      <w:rPr>
        <w:rFonts w:hint="default"/>
      </w:rPr>
    </w:lvl>
    <w:lvl w:ilvl="4" w:tplc="A8240952">
      <w:start w:val="1"/>
      <w:numFmt w:val="none"/>
      <w:lvlText w:val=""/>
      <w:lvlJc w:val="left"/>
      <w:pPr>
        <w:ind w:left="1845" w:hanging="369"/>
      </w:pPr>
      <w:rPr>
        <w:rFonts w:hint="default"/>
      </w:rPr>
    </w:lvl>
    <w:lvl w:ilvl="5" w:tplc="D0EA1E6C">
      <w:start w:val="1"/>
      <w:numFmt w:val="none"/>
      <w:lvlText w:val=""/>
      <w:lvlJc w:val="left"/>
      <w:pPr>
        <w:ind w:left="2214" w:hanging="369"/>
      </w:pPr>
      <w:rPr>
        <w:rFonts w:hint="default"/>
      </w:rPr>
    </w:lvl>
    <w:lvl w:ilvl="6" w:tplc="779623C2">
      <w:start w:val="1"/>
      <w:numFmt w:val="none"/>
      <w:lvlText w:val=""/>
      <w:lvlJc w:val="left"/>
      <w:pPr>
        <w:ind w:left="2583" w:hanging="369"/>
      </w:pPr>
      <w:rPr>
        <w:rFonts w:hint="default"/>
      </w:rPr>
    </w:lvl>
    <w:lvl w:ilvl="7" w:tplc="47748EA2">
      <w:start w:val="1"/>
      <w:numFmt w:val="none"/>
      <w:lvlText w:val=""/>
      <w:lvlJc w:val="left"/>
      <w:pPr>
        <w:ind w:left="2952" w:hanging="369"/>
      </w:pPr>
      <w:rPr>
        <w:rFonts w:hint="default"/>
      </w:rPr>
    </w:lvl>
    <w:lvl w:ilvl="8" w:tplc="54883EC4">
      <w:start w:val="1"/>
      <w:numFmt w:val="none"/>
      <w:lvlText w:val=""/>
      <w:lvlJc w:val="left"/>
      <w:pPr>
        <w:ind w:left="3321" w:hanging="369"/>
      </w:pPr>
      <w:rPr>
        <w:rFonts w:hint="default"/>
      </w:rPr>
    </w:lvl>
  </w:abstractNum>
  <w:abstractNum w:abstractNumId="16" w15:restartNumberingAfterBreak="0">
    <w:nsid w:val="555A2B88"/>
    <w:multiLevelType w:val="hybridMultilevel"/>
    <w:tmpl w:val="C8E8E824"/>
    <w:lvl w:ilvl="0" w:tplc="FFFFFFFF">
      <w:start w:val="1"/>
      <w:numFmt w:val="decimal"/>
      <w:lvlText w:val="%1."/>
      <w:lvlJc w:val="left"/>
      <w:pPr>
        <w:ind w:left="511" w:hanging="369"/>
      </w:pPr>
      <w:rPr>
        <w:sz w:val="20"/>
        <w:szCs w:val="20"/>
      </w:rPr>
    </w:lvl>
    <w:lvl w:ilvl="1" w:tplc="551A3796">
      <w:start w:val="1"/>
      <w:numFmt w:val="lowerLetter"/>
      <w:lvlText w:val="%2."/>
      <w:lvlJc w:val="left"/>
      <w:pPr>
        <w:ind w:left="653" w:hanging="369"/>
      </w:pPr>
      <w:rPr>
        <w:i w:val="0"/>
        <w:iCs w:val="0"/>
        <w:sz w:val="20"/>
        <w:szCs w:val="20"/>
      </w:rPr>
    </w:lvl>
    <w:lvl w:ilvl="2" w:tplc="9A448984">
      <w:start w:val="1"/>
      <w:numFmt w:val="lowerRoman"/>
      <w:lvlText w:val="%3."/>
      <w:lvlJc w:val="left"/>
      <w:pPr>
        <w:ind w:left="1107" w:hanging="369"/>
      </w:pPr>
      <w:rPr>
        <w:rFonts w:ascii="Arial" w:hAnsi="Arial" w:cs="Arial" w:hint="default"/>
        <w:sz w:val="20"/>
        <w:szCs w:val="20"/>
      </w:rPr>
    </w:lvl>
    <w:lvl w:ilvl="3" w:tplc="0BC252D2">
      <w:start w:val="1"/>
      <w:numFmt w:val="none"/>
      <w:lvlText w:val="%4"/>
      <w:lvlJc w:val="left"/>
      <w:pPr>
        <w:ind w:left="1476" w:hanging="369"/>
      </w:pPr>
      <w:rPr>
        <w:rFonts w:hint="default"/>
      </w:rPr>
    </w:lvl>
    <w:lvl w:ilvl="4" w:tplc="A8240952">
      <w:start w:val="1"/>
      <w:numFmt w:val="none"/>
      <w:lvlText w:val=""/>
      <w:lvlJc w:val="left"/>
      <w:pPr>
        <w:ind w:left="1845" w:hanging="369"/>
      </w:pPr>
      <w:rPr>
        <w:rFonts w:hint="default"/>
      </w:rPr>
    </w:lvl>
    <w:lvl w:ilvl="5" w:tplc="D0EA1E6C">
      <w:start w:val="1"/>
      <w:numFmt w:val="none"/>
      <w:lvlText w:val=""/>
      <w:lvlJc w:val="left"/>
      <w:pPr>
        <w:ind w:left="2214" w:hanging="369"/>
      </w:pPr>
      <w:rPr>
        <w:rFonts w:hint="default"/>
      </w:rPr>
    </w:lvl>
    <w:lvl w:ilvl="6" w:tplc="779623C2">
      <w:start w:val="1"/>
      <w:numFmt w:val="none"/>
      <w:lvlText w:val=""/>
      <w:lvlJc w:val="left"/>
      <w:pPr>
        <w:ind w:left="2583" w:hanging="369"/>
      </w:pPr>
      <w:rPr>
        <w:rFonts w:hint="default"/>
      </w:rPr>
    </w:lvl>
    <w:lvl w:ilvl="7" w:tplc="47748EA2">
      <w:start w:val="1"/>
      <w:numFmt w:val="none"/>
      <w:lvlText w:val=""/>
      <w:lvlJc w:val="left"/>
      <w:pPr>
        <w:ind w:left="2952" w:hanging="369"/>
      </w:pPr>
      <w:rPr>
        <w:rFonts w:hint="default"/>
      </w:rPr>
    </w:lvl>
    <w:lvl w:ilvl="8" w:tplc="54883EC4">
      <w:start w:val="1"/>
      <w:numFmt w:val="none"/>
      <w:lvlText w:val=""/>
      <w:lvlJc w:val="left"/>
      <w:pPr>
        <w:ind w:left="3321" w:hanging="369"/>
      </w:pPr>
      <w:rPr>
        <w:rFonts w:hint="default"/>
      </w:rPr>
    </w:lvl>
  </w:abstractNum>
  <w:abstractNum w:abstractNumId="17" w15:restartNumberingAfterBreak="0">
    <w:nsid w:val="65456429"/>
    <w:multiLevelType w:val="hybridMultilevel"/>
    <w:tmpl w:val="C8E8E824"/>
    <w:lvl w:ilvl="0" w:tplc="FFFFFFFF">
      <w:start w:val="1"/>
      <w:numFmt w:val="decimal"/>
      <w:lvlText w:val="%1."/>
      <w:lvlJc w:val="left"/>
      <w:pPr>
        <w:ind w:left="511" w:hanging="369"/>
      </w:pPr>
      <w:rPr>
        <w:sz w:val="20"/>
        <w:szCs w:val="20"/>
      </w:rPr>
    </w:lvl>
    <w:lvl w:ilvl="1" w:tplc="FFFFFFFF">
      <w:start w:val="1"/>
      <w:numFmt w:val="lowerLetter"/>
      <w:pStyle w:val="ListNumber2"/>
      <w:lvlText w:val="%2."/>
      <w:lvlJc w:val="left"/>
      <w:pPr>
        <w:ind w:left="653" w:hanging="369"/>
      </w:pPr>
      <w:rPr>
        <w:i w:val="0"/>
        <w:iCs w:val="0"/>
        <w:sz w:val="20"/>
        <w:szCs w:val="20"/>
      </w:rPr>
    </w:lvl>
    <w:lvl w:ilvl="2" w:tplc="9A448984">
      <w:start w:val="1"/>
      <w:numFmt w:val="lowerRoman"/>
      <w:pStyle w:val="ListNumber3"/>
      <w:lvlText w:val="%3."/>
      <w:lvlJc w:val="left"/>
      <w:pPr>
        <w:ind w:left="1107" w:hanging="369"/>
      </w:pPr>
      <w:rPr>
        <w:rFonts w:ascii="Arial" w:hAnsi="Arial" w:cs="Arial" w:hint="default"/>
        <w:sz w:val="20"/>
        <w:szCs w:val="20"/>
      </w:rPr>
    </w:lvl>
    <w:lvl w:ilvl="3" w:tplc="0BC252D2">
      <w:start w:val="1"/>
      <w:numFmt w:val="none"/>
      <w:pStyle w:val="ListNumber4"/>
      <w:lvlText w:val="%4"/>
      <w:lvlJc w:val="left"/>
      <w:pPr>
        <w:ind w:left="1476" w:hanging="369"/>
      </w:pPr>
      <w:rPr>
        <w:rFonts w:hint="default"/>
      </w:rPr>
    </w:lvl>
    <w:lvl w:ilvl="4" w:tplc="A8240952">
      <w:start w:val="1"/>
      <w:numFmt w:val="none"/>
      <w:pStyle w:val="ListNumber5"/>
      <w:lvlText w:val=""/>
      <w:lvlJc w:val="left"/>
      <w:pPr>
        <w:ind w:left="1845" w:hanging="369"/>
      </w:pPr>
      <w:rPr>
        <w:rFonts w:hint="default"/>
      </w:rPr>
    </w:lvl>
    <w:lvl w:ilvl="5" w:tplc="D0EA1E6C">
      <w:start w:val="1"/>
      <w:numFmt w:val="none"/>
      <w:lvlText w:val=""/>
      <w:lvlJc w:val="left"/>
      <w:pPr>
        <w:ind w:left="2214" w:hanging="369"/>
      </w:pPr>
      <w:rPr>
        <w:rFonts w:hint="default"/>
      </w:rPr>
    </w:lvl>
    <w:lvl w:ilvl="6" w:tplc="779623C2">
      <w:start w:val="1"/>
      <w:numFmt w:val="none"/>
      <w:lvlText w:val=""/>
      <w:lvlJc w:val="left"/>
      <w:pPr>
        <w:ind w:left="2583" w:hanging="369"/>
      </w:pPr>
      <w:rPr>
        <w:rFonts w:hint="default"/>
      </w:rPr>
    </w:lvl>
    <w:lvl w:ilvl="7" w:tplc="47748EA2">
      <w:start w:val="1"/>
      <w:numFmt w:val="none"/>
      <w:lvlText w:val=""/>
      <w:lvlJc w:val="left"/>
      <w:pPr>
        <w:ind w:left="2952" w:hanging="369"/>
      </w:pPr>
      <w:rPr>
        <w:rFonts w:hint="default"/>
      </w:rPr>
    </w:lvl>
    <w:lvl w:ilvl="8" w:tplc="54883EC4">
      <w:start w:val="1"/>
      <w:numFmt w:val="none"/>
      <w:lvlText w:val=""/>
      <w:lvlJc w:val="left"/>
      <w:pPr>
        <w:ind w:left="3321" w:hanging="369"/>
      </w:pPr>
      <w:rPr>
        <w:rFonts w:hint="default"/>
      </w:rPr>
    </w:lvl>
  </w:abstractNum>
  <w:abstractNum w:abstractNumId="18" w15:restartNumberingAfterBreak="0">
    <w:nsid w:val="723C35E7"/>
    <w:multiLevelType w:val="hybridMultilevel"/>
    <w:tmpl w:val="3BB6420A"/>
    <w:lvl w:ilvl="0" w:tplc="FFFFFFFF">
      <w:start w:val="1"/>
      <w:numFmt w:val="decimal"/>
      <w:lvlText w:val="%1."/>
      <w:lvlJc w:val="left"/>
      <w:pPr>
        <w:ind w:left="511" w:hanging="369"/>
      </w:pPr>
      <w:rPr>
        <w:sz w:val="20"/>
        <w:szCs w:val="20"/>
      </w:rPr>
    </w:lvl>
    <w:lvl w:ilvl="1" w:tplc="551A3796">
      <w:start w:val="1"/>
      <w:numFmt w:val="lowerLetter"/>
      <w:lvlText w:val="%2."/>
      <w:lvlJc w:val="left"/>
      <w:pPr>
        <w:ind w:left="653" w:hanging="369"/>
      </w:pPr>
      <w:rPr>
        <w:i w:val="0"/>
        <w:iCs w:val="0"/>
        <w:sz w:val="20"/>
        <w:szCs w:val="20"/>
      </w:rPr>
    </w:lvl>
    <w:lvl w:ilvl="2" w:tplc="9A448984">
      <w:start w:val="1"/>
      <w:numFmt w:val="lowerRoman"/>
      <w:lvlText w:val="%3."/>
      <w:lvlJc w:val="left"/>
      <w:pPr>
        <w:ind w:left="1107" w:hanging="369"/>
      </w:pPr>
      <w:rPr>
        <w:rFonts w:ascii="Arial" w:hAnsi="Arial" w:cs="Arial" w:hint="default"/>
        <w:sz w:val="20"/>
        <w:szCs w:val="20"/>
      </w:rPr>
    </w:lvl>
    <w:lvl w:ilvl="3" w:tplc="0BC252D2">
      <w:start w:val="1"/>
      <w:numFmt w:val="none"/>
      <w:lvlText w:val="%4"/>
      <w:lvlJc w:val="left"/>
      <w:pPr>
        <w:ind w:left="1476" w:hanging="369"/>
      </w:pPr>
      <w:rPr>
        <w:rFonts w:hint="default"/>
      </w:rPr>
    </w:lvl>
    <w:lvl w:ilvl="4" w:tplc="A8240952">
      <w:start w:val="1"/>
      <w:numFmt w:val="none"/>
      <w:lvlText w:val=""/>
      <w:lvlJc w:val="left"/>
      <w:pPr>
        <w:ind w:left="1845" w:hanging="369"/>
      </w:pPr>
      <w:rPr>
        <w:rFonts w:hint="default"/>
      </w:rPr>
    </w:lvl>
    <w:lvl w:ilvl="5" w:tplc="D0EA1E6C">
      <w:start w:val="1"/>
      <w:numFmt w:val="none"/>
      <w:lvlText w:val=""/>
      <w:lvlJc w:val="left"/>
      <w:pPr>
        <w:ind w:left="2214" w:hanging="369"/>
      </w:pPr>
      <w:rPr>
        <w:rFonts w:hint="default"/>
      </w:rPr>
    </w:lvl>
    <w:lvl w:ilvl="6" w:tplc="779623C2">
      <w:start w:val="1"/>
      <w:numFmt w:val="none"/>
      <w:lvlText w:val=""/>
      <w:lvlJc w:val="left"/>
      <w:pPr>
        <w:ind w:left="2583" w:hanging="369"/>
      </w:pPr>
      <w:rPr>
        <w:rFonts w:hint="default"/>
      </w:rPr>
    </w:lvl>
    <w:lvl w:ilvl="7" w:tplc="47748EA2">
      <w:start w:val="1"/>
      <w:numFmt w:val="none"/>
      <w:lvlText w:val=""/>
      <w:lvlJc w:val="left"/>
      <w:pPr>
        <w:ind w:left="2952" w:hanging="369"/>
      </w:pPr>
      <w:rPr>
        <w:rFonts w:hint="default"/>
      </w:rPr>
    </w:lvl>
    <w:lvl w:ilvl="8" w:tplc="54883EC4">
      <w:start w:val="1"/>
      <w:numFmt w:val="none"/>
      <w:lvlText w:val=""/>
      <w:lvlJc w:val="left"/>
      <w:pPr>
        <w:ind w:left="3321" w:hanging="369"/>
      </w:pPr>
      <w:rPr>
        <w:rFonts w:hint="default"/>
      </w:rPr>
    </w:lvl>
  </w:abstractNum>
  <w:abstractNum w:abstractNumId="19" w15:restartNumberingAfterBreak="0">
    <w:nsid w:val="762964D5"/>
    <w:multiLevelType w:val="hybridMultilevel"/>
    <w:tmpl w:val="E898CC72"/>
    <w:styleLink w:val="KeyPoints"/>
    <w:lvl w:ilvl="0" w:tplc="FF0E87BE">
      <w:start w:val="1"/>
      <w:numFmt w:val="decimal"/>
      <w:lvlText w:val="%1."/>
      <w:lvlJc w:val="left"/>
      <w:pPr>
        <w:ind w:left="369" w:hanging="369"/>
      </w:pPr>
      <w:rPr>
        <w:rFonts w:ascii="Arial" w:hAnsi="Arial" w:hint="default"/>
        <w:sz w:val="22"/>
      </w:rPr>
    </w:lvl>
    <w:lvl w:ilvl="1" w:tplc="174C3AD6">
      <w:start w:val="1"/>
      <w:numFmt w:val="lowerLetter"/>
      <w:lvlText w:val="%2."/>
      <w:lvlJc w:val="left"/>
      <w:pPr>
        <w:ind w:left="738" w:hanging="369"/>
      </w:pPr>
      <w:rPr>
        <w:rFonts w:hint="default"/>
      </w:rPr>
    </w:lvl>
    <w:lvl w:ilvl="2" w:tplc="9860347E">
      <w:start w:val="1"/>
      <w:numFmt w:val="lowerRoman"/>
      <w:lvlText w:val="%3."/>
      <w:lvlJc w:val="left"/>
      <w:pPr>
        <w:ind w:left="1107" w:hanging="369"/>
      </w:pPr>
      <w:rPr>
        <w:rFonts w:hint="default"/>
      </w:rPr>
    </w:lvl>
    <w:lvl w:ilvl="3" w:tplc="0FA47B30">
      <w:start w:val="1"/>
      <w:numFmt w:val="none"/>
      <w:lvlText w:val="%4"/>
      <w:lvlJc w:val="left"/>
      <w:pPr>
        <w:ind w:left="1476" w:hanging="369"/>
      </w:pPr>
      <w:rPr>
        <w:rFonts w:hint="default"/>
      </w:rPr>
    </w:lvl>
    <w:lvl w:ilvl="4" w:tplc="5E8A2B32">
      <w:start w:val="1"/>
      <w:numFmt w:val="none"/>
      <w:lvlText w:val=""/>
      <w:lvlJc w:val="left"/>
      <w:pPr>
        <w:ind w:left="1845" w:hanging="369"/>
      </w:pPr>
      <w:rPr>
        <w:rFonts w:hint="default"/>
      </w:rPr>
    </w:lvl>
    <w:lvl w:ilvl="5" w:tplc="6E007214">
      <w:start w:val="1"/>
      <w:numFmt w:val="none"/>
      <w:lvlText w:val=""/>
      <w:lvlJc w:val="left"/>
      <w:pPr>
        <w:ind w:left="2214" w:hanging="369"/>
      </w:pPr>
      <w:rPr>
        <w:rFonts w:hint="default"/>
      </w:rPr>
    </w:lvl>
    <w:lvl w:ilvl="6" w:tplc="D3BC6EA4">
      <w:start w:val="1"/>
      <w:numFmt w:val="none"/>
      <w:lvlText w:val=""/>
      <w:lvlJc w:val="left"/>
      <w:pPr>
        <w:ind w:left="2583" w:hanging="369"/>
      </w:pPr>
      <w:rPr>
        <w:rFonts w:hint="default"/>
      </w:rPr>
    </w:lvl>
    <w:lvl w:ilvl="7" w:tplc="F858F430">
      <w:start w:val="1"/>
      <w:numFmt w:val="none"/>
      <w:lvlText w:val=""/>
      <w:lvlJc w:val="left"/>
      <w:pPr>
        <w:ind w:left="2952" w:hanging="369"/>
      </w:pPr>
      <w:rPr>
        <w:rFonts w:hint="default"/>
      </w:rPr>
    </w:lvl>
    <w:lvl w:ilvl="8" w:tplc="9684DEEC">
      <w:start w:val="1"/>
      <w:numFmt w:val="none"/>
      <w:lvlText w:val=""/>
      <w:lvlJc w:val="left"/>
      <w:pPr>
        <w:ind w:left="3321" w:hanging="369"/>
      </w:pPr>
      <w:rPr>
        <w:rFonts w:hint="default"/>
      </w:rPr>
    </w:lvl>
  </w:abstractNum>
  <w:abstractNum w:abstractNumId="20" w15:restartNumberingAfterBreak="0">
    <w:nsid w:val="7A456DB6"/>
    <w:multiLevelType w:val="hybridMultilevel"/>
    <w:tmpl w:val="6D0A91D0"/>
    <w:lvl w:ilvl="0" w:tplc="0C090017">
      <w:start w:val="1"/>
      <w:numFmt w:val="lowerLetter"/>
      <w:lvlText w:val="%1)"/>
      <w:lvlJc w:val="left"/>
      <w:pPr>
        <w:ind w:left="1231" w:hanging="360"/>
      </w:pPr>
    </w:lvl>
    <w:lvl w:ilvl="1" w:tplc="0C090019" w:tentative="1">
      <w:start w:val="1"/>
      <w:numFmt w:val="lowerLetter"/>
      <w:lvlText w:val="%2."/>
      <w:lvlJc w:val="left"/>
      <w:pPr>
        <w:ind w:left="1951" w:hanging="360"/>
      </w:pPr>
    </w:lvl>
    <w:lvl w:ilvl="2" w:tplc="0C09001B" w:tentative="1">
      <w:start w:val="1"/>
      <w:numFmt w:val="lowerRoman"/>
      <w:lvlText w:val="%3."/>
      <w:lvlJc w:val="right"/>
      <w:pPr>
        <w:ind w:left="2671" w:hanging="180"/>
      </w:pPr>
    </w:lvl>
    <w:lvl w:ilvl="3" w:tplc="0C09000F" w:tentative="1">
      <w:start w:val="1"/>
      <w:numFmt w:val="decimal"/>
      <w:lvlText w:val="%4."/>
      <w:lvlJc w:val="left"/>
      <w:pPr>
        <w:ind w:left="3391" w:hanging="360"/>
      </w:pPr>
    </w:lvl>
    <w:lvl w:ilvl="4" w:tplc="0C090019" w:tentative="1">
      <w:start w:val="1"/>
      <w:numFmt w:val="lowerLetter"/>
      <w:lvlText w:val="%5."/>
      <w:lvlJc w:val="left"/>
      <w:pPr>
        <w:ind w:left="4111" w:hanging="360"/>
      </w:pPr>
    </w:lvl>
    <w:lvl w:ilvl="5" w:tplc="0C09001B" w:tentative="1">
      <w:start w:val="1"/>
      <w:numFmt w:val="lowerRoman"/>
      <w:lvlText w:val="%6."/>
      <w:lvlJc w:val="right"/>
      <w:pPr>
        <w:ind w:left="4831" w:hanging="180"/>
      </w:pPr>
    </w:lvl>
    <w:lvl w:ilvl="6" w:tplc="0C09000F" w:tentative="1">
      <w:start w:val="1"/>
      <w:numFmt w:val="decimal"/>
      <w:lvlText w:val="%7."/>
      <w:lvlJc w:val="left"/>
      <w:pPr>
        <w:ind w:left="5551" w:hanging="360"/>
      </w:pPr>
    </w:lvl>
    <w:lvl w:ilvl="7" w:tplc="0C090019" w:tentative="1">
      <w:start w:val="1"/>
      <w:numFmt w:val="lowerLetter"/>
      <w:lvlText w:val="%8."/>
      <w:lvlJc w:val="left"/>
      <w:pPr>
        <w:ind w:left="6271" w:hanging="360"/>
      </w:pPr>
    </w:lvl>
    <w:lvl w:ilvl="8" w:tplc="0C09001B" w:tentative="1">
      <w:start w:val="1"/>
      <w:numFmt w:val="lowerRoman"/>
      <w:lvlText w:val="%9."/>
      <w:lvlJc w:val="right"/>
      <w:pPr>
        <w:ind w:left="6991" w:hanging="180"/>
      </w:pPr>
    </w:lvl>
  </w:abstractNum>
  <w:abstractNum w:abstractNumId="21" w15:restartNumberingAfterBreak="0">
    <w:nsid w:val="7B7467E3"/>
    <w:multiLevelType w:val="hybridMultilevel"/>
    <w:tmpl w:val="7BD63B20"/>
    <w:lvl w:ilvl="0" w:tplc="FFFFFFFF">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9"/>
  </w:num>
  <w:num w:numId="3">
    <w:abstractNumId w:val="3"/>
  </w:num>
  <w:num w:numId="4">
    <w:abstractNumId w:val="12"/>
  </w:num>
  <w:num w:numId="5">
    <w:abstractNumId w:val="11"/>
  </w:num>
  <w:num w:numId="6">
    <w:abstractNumId w:val="17"/>
  </w:num>
  <w:num w:numId="7">
    <w:abstractNumId w:val="6"/>
  </w:num>
  <w:num w:numId="8">
    <w:abstractNumId w:val="17"/>
  </w:num>
  <w:num w:numId="9">
    <w:abstractNumId w:val="20"/>
  </w:num>
  <w:num w:numId="10">
    <w:abstractNumId w:val="11"/>
  </w:num>
  <w:num w:numId="11">
    <w:abstractNumId w:val="11"/>
  </w:num>
  <w:num w:numId="12">
    <w:abstractNumId w:val="15"/>
  </w:num>
  <w:num w:numId="13">
    <w:abstractNumId w:val="5"/>
  </w:num>
  <w:num w:numId="14">
    <w:abstractNumId w:val="11"/>
  </w:num>
  <w:num w:numId="15">
    <w:abstractNumId w:val="11"/>
  </w:num>
  <w:num w:numId="16">
    <w:abstractNumId w:val="11"/>
  </w:num>
  <w:num w:numId="17">
    <w:abstractNumId w:val="11"/>
  </w:num>
  <w:num w:numId="18">
    <w:abstractNumId w:val="17"/>
    <w:lvlOverride w:ilvl="0">
      <w:startOverride w:val="1"/>
    </w:lvlOverride>
  </w:num>
  <w:num w:numId="19">
    <w:abstractNumId w:val="17"/>
    <w:lvlOverride w:ilvl="0">
      <w:startOverride w:val="1"/>
    </w:lvlOverride>
  </w:num>
  <w:num w:numId="20">
    <w:abstractNumId w:val="17"/>
    <w:lvlOverride w:ilvl="0">
      <w:startOverride w:val="1"/>
    </w:lvlOverride>
  </w:num>
  <w:num w:numId="21">
    <w:abstractNumId w:val="17"/>
    <w:lvlOverride w:ilvl="0">
      <w:startOverride w:val="1"/>
    </w:lvlOverride>
  </w:num>
  <w:num w:numId="22">
    <w:abstractNumId w:val="17"/>
  </w:num>
  <w:num w:numId="23">
    <w:abstractNumId w:val="21"/>
  </w:num>
  <w:num w:numId="24">
    <w:abstractNumId w:val="11"/>
  </w:num>
  <w:num w:numId="25">
    <w:abstractNumId w:val="11"/>
  </w:num>
  <w:num w:numId="26">
    <w:abstractNumId w:val="18"/>
  </w:num>
  <w:num w:numId="27">
    <w:abstractNumId w:val="2"/>
  </w:num>
  <w:num w:numId="28">
    <w:abstractNumId w:val="14"/>
  </w:num>
  <w:num w:numId="29">
    <w:abstractNumId w:val="8"/>
  </w:num>
  <w:num w:numId="30">
    <w:abstractNumId w:val="1"/>
  </w:num>
  <w:num w:numId="31">
    <w:abstractNumId w:val="0"/>
  </w:num>
  <w:num w:numId="32">
    <w:abstractNumId w:val="16"/>
  </w:num>
  <w:num w:numId="33">
    <w:abstractNumId w:val="17"/>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11"/>
  </w:num>
  <w:num w:numId="38">
    <w:abstractNumId w:val="9"/>
  </w:num>
  <w:num w:numId="39">
    <w:abstractNumId w:val="11"/>
  </w:num>
  <w:num w:numId="40">
    <w:abstractNumId w:val="13"/>
  </w:num>
  <w:num w:numId="41">
    <w:abstractNumId w:val="4"/>
  </w:num>
  <w:num w:numId="42">
    <w:abstractNumId w:val="11"/>
  </w:num>
  <w:num w:numId="43">
    <w:abstractNumId w:val="11"/>
  </w:num>
  <w:num w:numId="44">
    <w:abstractNumId w:val="11"/>
  </w:num>
  <w:num w:numId="45">
    <w:abstractNumId w:val="11"/>
  </w:num>
  <w:num w:numId="46">
    <w:abstractNumId w:val="11"/>
  </w:num>
  <w:num w:numId="47">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z5vrd20mz9trjezvzzvf9fhsxvzatfrr59v&quot;&gt;Ecology EndNote Library New&lt;record-ids&gt;&lt;item&gt;1617&lt;/item&gt;&lt;/record-ids&gt;&lt;/item&gt;&lt;/Libraries&gt;"/>
  </w:docVars>
  <w:rsids>
    <w:rsidRoot w:val="0041275D"/>
    <w:rsid w:val="00000065"/>
    <w:rsid w:val="000020A5"/>
    <w:rsid w:val="00004AEE"/>
    <w:rsid w:val="00005CAA"/>
    <w:rsid w:val="000064F6"/>
    <w:rsid w:val="00010210"/>
    <w:rsid w:val="00011B8C"/>
    <w:rsid w:val="00011F6B"/>
    <w:rsid w:val="00012D66"/>
    <w:rsid w:val="00014D95"/>
    <w:rsid w:val="00015ADA"/>
    <w:rsid w:val="000163E5"/>
    <w:rsid w:val="00020C99"/>
    <w:rsid w:val="0002147B"/>
    <w:rsid w:val="00021EF9"/>
    <w:rsid w:val="00022481"/>
    <w:rsid w:val="000224FF"/>
    <w:rsid w:val="00023CD8"/>
    <w:rsid w:val="000241B5"/>
    <w:rsid w:val="00024FD2"/>
    <w:rsid w:val="00025DE5"/>
    <w:rsid w:val="0002611E"/>
    <w:rsid w:val="00026A8C"/>
    <w:rsid w:val="0002707B"/>
    <w:rsid w:val="00030882"/>
    <w:rsid w:val="00031B32"/>
    <w:rsid w:val="0003266A"/>
    <w:rsid w:val="000346D1"/>
    <w:rsid w:val="00037082"/>
    <w:rsid w:val="00037124"/>
    <w:rsid w:val="0004060E"/>
    <w:rsid w:val="00041911"/>
    <w:rsid w:val="00044714"/>
    <w:rsid w:val="0005148E"/>
    <w:rsid w:val="00052801"/>
    <w:rsid w:val="00052A2A"/>
    <w:rsid w:val="000547F0"/>
    <w:rsid w:val="0005785E"/>
    <w:rsid w:val="00060257"/>
    <w:rsid w:val="0006038B"/>
    <w:rsid w:val="000609CF"/>
    <w:rsid w:val="000609EB"/>
    <w:rsid w:val="00060A12"/>
    <w:rsid w:val="00061791"/>
    <w:rsid w:val="00061A11"/>
    <w:rsid w:val="00062A46"/>
    <w:rsid w:val="00063DA5"/>
    <w:rsid w:val="000673BD"/>
    <w:rsid w:val="00071B83"/>
    <w:rsid w:val="000727CB"/>
    <w:rsid w:val="000746CE"/>
    <w:rsid w:val="0007499E"/>
    <w:rsid w:val="000759E5"/>
    <w:rsid w:val="00075F0F"/>
    <w:rsid w:val="0007601C"/>
    <w:rsid w:val="000764B6"/>
    <w:rsid w:val="000811E8"/>
    <w:rsid w:val="00081609"/>
    <w:rsid w:val="000816D5"/>
    <w:rsid w:val="00082CC0"/>
    <w:rsid w:val="0008426F"/>
    <w:rsid w:val="0008496E"/>
    <w:rsid w:val="00084AC6"/>
    <w:rsid w:val="00085816"/>
    <w:rsid w:val="00091077"/>
    <w:rsid w:val="00091608"/>
    <w:rsid w:val="0009196E"/>
    <w:rsid w:val="00091FE5"/>
    <w:rsid w:val="00092F92"/>
    <w:rsid w:val="0009333C"/>
    <w:rsid w:val="00093E5E"/>
    <w:rsid w:val="00094729"/>
    <w:rsid w:val="0009522B"/>
    <w:rsid w:val="000967D0"/>
    <w:rsid w:val="0009704F"/>
    <w:rsid w:val="000A0F11"/>
    <w:rsid w:val="000A125A"/>
    <w:rsid w:val="000A1627"/>
    <w:rsid w:val="000A228F"/>
    <w:rsid w:val="000A57CD"/>
    <w:rsid w:val="000A6128"/>
    <w:rsid w:val="000B2FF3"/>
    <w:rsid w:val="000B3758"/>
    <w:rsid w:val="000B4860"/>
    <w:rsid w:val="000B49F8"/>
    <w:rsid w:val="000B7681"/>
    <w:rsid w:val="000B7B42"/>
    <w:rsid w:val="000C02B7"/>
    <w:rsid w:val="000C2173"/>
    <w:rsid w:val="000C2814"/>
    <w:rsid w:val="000C3866"/>
    <w:rsid w:val="000C40A1"/>
    <w:rsid w:val="000C451B"/>
    <w:rsid w:val="000C4960"/>
    <w:rsid w:val="000C5342"/>
    <w:rsid w:val="000C6930"/>
    <w:rsid w:val="000C706A"/>
    <w:rsid w:val="000C764E"/>
    <w:rsid w:val="000D2887"/>
    <w:rsid w:val="000D2D8D"/>
    <w:rsid w:val="000D324E"/>
    <w:rsid w:val="000D629A"/>
    <w:rsid w:val="000D6D63"/>
    <w:rsid w:val="000D706B"/>
    <w:rsid w:val="000D77F5"/>
    <w:rsid w:val="000D7810"/>
    <w:rsid w:val="000D78F8"/>
    <w:rsid w:val="000E0081"/>
    <w:rsid w:val="000E05A6"/>
    <w:rsid w:val="000E07CF"/>
    <w:rsid w:val="000E499D"/>
    <w:rsid w:val="000E9567"/>
    <w:rsid w:val="000F0021"/>
    <w:rsid w:val="000F240D"/>
    <w:rsid w:val="000F3A9E"/>
    <w:rsid w:val="000F4C21"/>
    <w:rsid w:val="000F696E"/>
    <w:rsid w:val="000F75CA"/>
    <w:rsid w:val="000F76E5"/>
    <w:rsid w:val="00100BEF"/>
    <w:rsid w:val="00100FF3"/>
    <w:rsid w:val="001024AC"/>
    <w:rsid w:val="001028E4"/>
    <w:rsid w:val="00102D08"/>
    <w:rsid w:val="00102E17"/>
    <w:rsid w:val="0011087D"/>
    <w:rsid w:val="00113694"/>
    <w:rsid w:val="001143B2"/>
    <w:rsid w:val="0011498E"/>
    <w:rsid w:val="00115B2A"/>
    <w:rsid w:val="00116F28"/>
    <w:rsid w:val="00117A45"/>
    <w:rsid w:val="00120966"/>
    <w:rsid w:val="00120D55"/>
    <w:rsid w:val="001224AE"/>
    <w:rsid w:val="00123035"/>
    <w:rsid w:val="00123855"/>
    <w:rsid w:val="0012388C"/>
    <w:rsid w:val="00123E7D"/>
    <w:rsid w:val="00125BD3"/>
    <w:rsid w:val="00126F9E"/>
    <w:rsid w:val="00130DD2"/>
    <w:rsid w:val="00131710"/>
    <w:rsid w:val="001337D4"/>
    <w:rsid w:val="001340EA"/>
    <w:rsid w:val="00136201"/>
    <w:rsid w:val="00141E02"/>
    <w:rsid w:val="0014329A"/>
    <w:rsid w:val="00143CE0"/>
    <w:rsid w:val="00143FB6"/>
    <w:rsid w:val="001476AA"/>
    <w:rsid w:val="00147C12"/>
    <w:rsid w:val="00147E60"/>
    <w:rsid w:val="00147EFC"/>
    <w:rsid w:val="001516BF"/>
    <w:rsid w:val="001527A1"/>
    <w:rsid w:val="001530DC"/>
    <w:rsid w:val="001539AF"/>
    <w:rsid w:val="00154989"/>
    <w:rsid w:val="00154FD8"/>
    <w:rsid w:val="00155A9F"/>
    <w:rsid w:val="001562A6"/>
    <w:rsid w:val="0015684F"/>
    <w:rsid w:val="00160262"/>
    <w:rsid w:val="001611F9"/>
    <w:rsid w:val="0016186F"/>
    <w:rsid w:val="0016281C"/>
    <w:rsid w:val="0016433A"/>
    <w:rsid w:val="00165F23"/>
    <w:rsid w:val="0016674A"/>
    <w:rsid w:val="001668FC"/>
    <w:rsid w:val="0016780A"/>
    <w:rsid w:val="001710A8"/>
    <w:rsid w:val="001713FA"/>
    <w:rsid w:val="001731BE"/>
    <w:rsid w:val="00173A81"/>
    <w:rsid w:val="00173EBF"/>
    <w:rsid w:val="00175F19"/>
    <w:rsid w:val="001765DA"/>
    <w:rsid w:val="00177E75"/>
    <w:rsid w:val="001809C5"/>
    <w:rsid w:val="001835A1"/>
    <w:rsid w:val="00183CB1"/>
    <w:rsid w:val="001842A2"/>
    <w:rsid w:val="00185039"/>
    <w:rsid w:val="00185407"/>
    <w:rsid w:val="00185979"/>
    <w:rsid w:val="00186465"/>
    <w:rsid w:val="00187F17"/>
    <w:rsid w:val="00187FA8"/>
    <w:rsid w:val="0019077E"/>
    <w:rsid w:val="001922D0"/>
    <w:rsid w:val="00192F5E"/>
    <w:rsid w:val="00193895"/>
    <w:rsid w:val="001958F2"/>
    <w:rsid w:val="0019610C"/>
    <w:rsid w:val="00196186"/>
    <w:rsid w:val="00197772"/>
    <w:rsid w:val="001A303C"/>
    <w:rsid w:val="001A51C8"/>
    <w:rsid w:val="001A5558"/>
    <w:rsid w:val="001A7E71"/>
    <w:rsid w:val="001B30E5"/>
    <w:rsid w:val="001B472B"/>
    <w:rsid w:val="001B4CA8"/>
    <w:rsid w:val="001B7307"/>
    <w:rsid w:val="001B74D1"/>
    <w:rsid w:val="001B7939"/>
    <w:rsid w:val="001C1C41"/>
    <w:rsid w:val="001C2A92"/>
    <w:rsid w:val="001C4005"/>
    <w:rsid w:val="001C4D64"/>
    <w:rsid w:val="001C4F3D"/>
    <w:rsid w:val="001C57CA"/>
    <w:rsid w:val="001C65E1"/>
    <w:rsid w:val="001C68BA"/>
    <w:rsid w:val="001C6CB9"/>
    <w:rsid w:val="001C7C23"/>
    <w:rsid w:val="001C7F01"/>
    <w:rsid w:val="001D0CDC"/>
    <w:rsid w:val="001D1D82"/>
    <w:rsid w:val="001E1182"/>
    <w:rsid w:val="001E280D"/>
    <w:rsid w:val="001E2E34"/>
    <w:rsid w:val="001E4E0B"/>
    <w:rsid w:val="001E5887"/>
    <w:rsid w:val="001E5B51"/>
    <w:rsid w:val="001E66A6"/>
    <w:rsid w:val="001E68C1"/>
    <w:rsid w:val="001F0432"/>
    <w:rsid w:val="001F0E8B"/>
    <w:rsid w:val="001F1738"/>
    <w:rsid w:val="001F1F56"/>
    <w:rsid w:val="001F47D5"/>
    <w:rsid w:val="00200209"/>
    <w:rsid w:val="00200944"/>
    <w:rsid w:val="00202387"/>
    <w:rsid w:val="00202C90"/>
    <w:rsid w:val="00203852"/>
    <w:rsid w:val="0020704C"/>
    <w:rsid w:val="00211B0D"/>
    <w:rsid w:val="00213DE8"/>
    <w:rsid w:val="00214705"/>
    <w:rsid w:val="00216118"/>
    <w:rsid w:val="002209AB"/>
    <w:rsid w:val="00220E73"/>
    <w:rsid w:val="00221D18"/>
    <w:rsid w:val="002251E3"/>
    <w:rsid w:val="002262E6"/>
    <w:rsid w:val="00227A95"/>
    <w:rsid w:val="002316BD"/>
    <w:rsid w:val="00233687"/>
    <w:rsid w:val="002336F3"/>
    <w:rsid w:val="00233A06"/>
    <w:rsid w:val="00233A5A"/>
    <w:rsid w:val="0023418F"/>
    <w:rsid w:val="0023443F"/>
    <w:rsid w:val="00235D05"/>
    <w:rsid w:val="00236122"/>
    <w:rsid w:val="002414AA"/>
    <w:rsid w:val="00245F71"/>
    <w:rsid w:val="002462D7"/>
    <w:rsid w:val="002473FC"/>
    <w:rsid w:val="00250685"/>
    <w:rsid w:val="00250AFE"/>
    <w:rsid w:val="002514BC"/>
    <w:rsid w:val="00252E3C"/>
    <w:rsid w:val="00254D74"/>
    <w:rsid w:val="00257678"/>
    <w:rsid w:val="00260906"/>
    <w:rsid w:val="00262198"/>
    <w:rsid w:val="00262FBB"/>
    <w:rsid w:val="00264083"/>
    <w:rsid w:val="00264AF9"/>
    <w:rsid w:val="00265122"/>
    <w:rsid w:val="00265C41"/>
    <w:rsid w:val="002732E8"/>
    <w:rsid w:val="00273FEE"/>
    <w:rsid w:val="00275C1A"/>
    <w:rsid w:val="00276180"/>
    <w:rsid w:val="00277426"/>
    <w:rsid w:val="00277831"/>
    <w:rsid w:val="00277A51"/>
    <w:rsid w:val="002808D4"/>
    <w:rsid w:val="002808F0"/>
    <w:rsid w:val="00285F1B"/>
    <w:rsid w:val="002915DF"/>
    <w:rsid w:val="00291857"/>
    <w:rsid w:val="0029288C"/>
    <w:rsid w:val="00292B81"/>
    <w:rsid w:val="0029322E"/>
    <w:rsid w:val="002935C9"/>
    <w:rsid w:val="00294A0A"/>
    <w:rsid w:val="002951A7"/>
    <w:rsid w:val="00296477"/>
    <w:rsid w:val="002974BC"/>
    <w:rsid w:val="00297BE0"/>
    <w:rsid w:val="002A26C8"/>
    <w:rsid w:val="002A30ED"/>
    <w:rsid w:val="002A3B95"/>
    <w:rsid w:val="002A3F90"/>
    <w:rsid w:val="002A5EC3"/>
    <w:rsid w:val="002A7C5B"/>
    <w:rsid w:val="002B04E0"/>
    <w:rsid w:val="002B18AE"/>
    <w:rsid w:val="002B6472"/>
    <w:rsid w:val="002B675E"/>
    <w:rsid w:val="002B67D3"/>
    <w:rsid w:val="002B704E"/>
    <w:rsid w:val="002C174D"/>
    <w:rsid w:val="002C1C93"/>
    <w:rsid w:val="002C1FFF"/>
    <w:rsid w:val="002C232A"/>
    <w:rsid w:val="002C255E"/>
    <w:rsid w:val="002C3257"/>
    <w:rsid w:val="002C3738"/>
    <w:rsid w:val="002C5066"/>
    <w:rsid w:val="002D1280"/>
    <w:rsid w:val="002D2FFF"/>
    <w:rsid w:val="002D304F"/>
    <w:rsid w:val="002D4AAC"/>
    <w:rsid w:val="002D62F5"/>
    <w:rsid w:val="002D6C33"/>
    <w:rsid w:val="002E1AB0"/>
    <w:rsid w:val="002E323D"/>
    <w:rsid w:val="002E43EF"/>
    <w:rsid w:val="002E78EB"/>
    <w:rsid w:val="002F045A"/>
    <w:rsid w:val="002F463F"/>
    <w:rsid w:val="002F483E"/>
    <w:rsid w:val="002F4EDD"/>
    <w:rsid w:val="002F7AD2"/>
    <w:rsid w:val="0030039D"/>
    <w:rsid w:val="00300715"/>
    <w:rsid w:val="0030248D"/>
    <w:rsid w:val="0030326F"/>
    <w:rsid w:val="00303844"/>
    <w:rsid w:val="0030565C"/>
    <w:rsid w:val="003065F5"/>
    <w:rsid w:val="00307731"/>
    <w:rsid w:val="00310701"/>
    <w:rsid w:val="00311510"/>
    <w:rsid w:val="003138AC"/>
    <w:rsid w:val="00313BEF"/>
    <w:rsid w:val="003153E5"/>
    <w:rsid w:val="00315980"/>
    <w:rsid w:val="00316F7F"/>
    <w:rsid w:val="00320162"/>
    <w:rsid w:val="0032087E"/>
    <w:rsid w:val="003218A7"/>
    <w:rsid w:val="003218E8"/>
    <w:rsid w:val="0032316A"/>
    <w:rsid w:val="0032503F"/>
    <w:rsid w:val="00326A9F"/>
    <w:rsid w:val="00330DCE"/>
    <w:rsid w:val="00331E11"/>
    <w:rsid w:val="00332E36"/>
    <w:rsid w:val="00334761"/>
    <w:rsid w:val="00335C44"/>
    <w:rsid w:val="00336896"/>
    <w:rsid w:val="003372FC"/>
    <w:rsid w:val="00337EBC"/>
    <w:rsid w:val="0034033E"/>
    <w:rsid w:val="00340BBB"/>
    <w:rsid w:val="00341DCD"/>
    <w:rsid w:val="003433A1"/>
    <w:rsid w:val="00343E78"/>
    <w:rsid w:val="00344B3F"/>
    <w:rsid w:val="0034504D"/>
    <w:rsid w:val="0034563E"/>
    <w:rsid w:val="00345F28"/>
    <w:rsid w:val="003504CC"/>
    <w:rsid w:val="003513C9"/>
    <w:rsid w:val="003518D6"/>
    <w:rsid w:val="00353C5D"/>
    <w:rsid w:val="0035460C"/>
    <w:rsid w:val="003556BD"/>
    <w:rsid w:val="00355F4C"/>
    <w:rsid w:val="00356181"/>
    <w:rsid w:val="00361554"/>
    <w:rsid w:val="0036434D"/>
    <w:rsid w:val="00364E6D"/>
    <w:rsid w:val="00365147"/>
    <w:rsid w:val="00366116"/>
    <w:rsid w:val="0036638B"/>
    <w:rsid w:val="003665FB"/>
    <w:rsid w:val="0036660C"/>
    <w:rsid w:val="00366B8C"/>
    <w:rsid w:val="0037016E"/>
    <w:rsid w:val="00370608"/>
    <w:rsid w:val="00370E55"/>
    <w:rsid w:val="00371975"/>
    <w:rsid w:val="00372908"/>
    <w:rsid w:val="003741DD"/>
    <w:rsid w:val="00375456"/>
    <w:rsid w:val="00376457"/>
    <w:rsid w:val="0037694D"/>
    <w:rsid w:val="00377A02"/>
    <w:rsid w:val="00381627"/>
    <w:rsid w:val="00381917"/>
    <w:rsid w:val="00381CC9"/>
    <w:rsid w:val="00382F24"/>
    <w:rsid w:val="00383020"/>
    <w:rsid w:val="0038338D"/>
    <w:rsid w:val="00383750"/>
    <w:rsid w:val="00383CAC"/>
    <w:rsid w:val="00384941"/>
    <w:rsid w:val="00385910"/>
    <w:rsid w:val="00386F85"/>
    <w:rsid w:val="0038727E"/>
    <w:rsid w:val="00391161"/>
    <w:rsid w:val="00392268"/>
    <w:rsid w:val="003926EF"/>
    <w:rsid w:val="00392F80"/>
    <w:rsid w:val="003975FD"/>
    <w:rsid w:val="003A0593"/>
    <w:rsid w:val="003A3A84"/>
    <w:rsid w:val="003A492E"/>
    <w:rsid w:val="003A5883"/>
    <w:rsid w:val="003A7B61"/>
    <w:rsid w:val="003B3CAA"/>
    <w:rsid w:val="003B48A6"/>
    <w:rsid w:val="003B5A88"/>
    <w:rsid w:val="003B60CC"/>
    <w:rsid w:val="003B6AD6"/>
    <w:rsid w:val="003B73AD"/>
    <w:rsid w:val="003B7B54"/>
    <w:rsid w:val="003C0D26"/>
    <w:rsid w:val="003C142C"/>
    <w:rsid w:val="003C1B25"/>
    <w:rsid w:val="003C2078"/>
    <w:rsid w:val="003C2443"/>
    <w:rsid w:val="003C31E0"/>
    <w:rsid w:val="003C3E6C"/>
    <w:rsid w:val="003C4F18"/>
    <w:rsid w:val="003C5DA3"/>
    <w:rsid w:val="003C73E2"/>
    <w:rsid w:val="003C7E3A"/>
    <w:rsid w:val="003C7FB5"/>
    <w:rsid w:val="003D0B17"/>
    <w:rsid w:val="003D15BA"/>
    <w:rsid w:val="003D424B"/>
    <w:rsid w:val="003D4BCD"/>
    <w:rsid w:val="003D7FC4"/>
    <w:rsid w:val="003E01D8"/>
    <w:rsid w:val="003E1A0F"/>
    <w:rsid w:val="003E2100"/>
    <w:rsid w:val="003E2135"/>
    <w:rsid w:val="003E2BDB"/>
    <w:rsid w:val="003E38A6"/>
    <w:rsid w:val="003E395E"/>
    <w:rsid w:val="003E45FA"/>
    <w:rsid w:val="003E5221"/>
    <w:rsid w:val="003E53CA"/>
    <w:rsid w:val="003E5ED5"/>
    <w:rsid w:val="003E79B9"/>
    <w:rsid w:val="003E7D1B"/>
    <w:rsid w:val="003F0CB7"/>
    <w:rsid w:val="003F4867"/>
    <w:rsid w:val="003F6F5B"/>
    <w:rsid w:val="00400F8F"/>
    <w:rsid w:val="00401C4D"/>
    <w:rsid w:val="0040342D"/>
    <w:rsid w:val="00403FB9"/>
    <w:rsid w:val="00404615"/>
    <w:rsid w:val="00405E1C"/>
    <w:rsid w:val="004064A9"/>
    <w:rsid w:val="00407D4F"/>
    <w:rsid w:val="004118D4"/>
    <w:rsid w:val="0041192D"/>
    <w:rsid w:val="0041275D"/>
    <w:rsid w:val="00413EE1"/>
    <w:rsid w:val="00420CF1"/>
    <w:rsid w:val="0042128E"/>
    <w:rsid w:val="00423539"/>
    <w:rsid w:val="00424062"/>
    <w:rsid w:val="0042465A"/>
    <w:rsid w:val="00425F97"/>
    <w:rsid w:val="00426849"/>
    <w:rsid w:val="00427075"/>
    <w:rsid w:val="004303ED"/>
    <w:rsid w:val="00430E00"/>
    <w:rsid w:val="00431B15"/>
    <w:rsid w:val="00432B60"/>
    <w:rsid w:val="004333E6"/>
    <w:rsid w:val="00433DC4"/>
    <w:rsid w:val="00435572"/>
    <w:rsid w:val="00440698"/>
    <w:rsid w:val="00441DCD"/>
    <w:rsid w:val="004429CE"/>
    <w:rsid w:val="00444742"/>
    <w:rsid w:val="00445507"/>
    <w:rsid w:val="00446FD9"/>
    <w:rsid w:val="00447432"/>
    <w:rsid w:val="004474AD"/>
    <w:rsid w:val="00450600"/>
    <w:rsid w:val="004517E7"/>
    <w:rsid w:val="00452BE0"/>
    <w:rsid w:val="00453594"/>
    <w:rsid w:val="004540E2"/>
    <w:rsid w:val="00454120"/>
    <w:rsid w:val="00454454"/>
    <w:rsid w:val="00457ACC"/>
    <w:rsid w:val="00457F4D"/>
    <w:rsid w:val="0046011D"/>
    <w:rsid w:val="00464C51"/>
    <w:rsid w:val="00467896"/>
    <w:rsid w:val="00467924"/>
    <w:rsid w:val="004712A5"/>
    <w:rsid w:val="0047266F"/>
    <w:rsid w:val="00473134"/>
    <w:rsid w:val="004756EB"/>
    <w:rsid w:val="00475D0B"/>
    <w:rsid w:val="004766B7"/>
    <w:rsid w:val="00476C19"/>
    <w:rsid w:val="00476D6B"/>
    <w:rsid w:val="0048018F"/>
    <w:rsid w:val="004804DC"/>
    <w:rsid w:val="004804F8"/>
    <w:rsid w:val="004861E6"/>
    <w:rsid w:val="0049013A"/>
    <w:rsid w:val="00490F17"/>
    <w:rsid w:val="00492C16"/>
    <w:rsid w:val="0049319E"/>
    <w:rsid w:val="004A0678"/>
    <w:rsid w:val="004A203D"/>
    <w:rsid w:val="004A2231"/>
    <w:rsid w:val="004A2484"/>
    <w:rsid w:val="004A24E6"/>
    <w:rsid w:val="004A48A3"/>
    <w:rsid w:val="004A563D"/>
    <w:rsid w:val="004B0D92"/>
    <w:rsid w:val="004B0DB7"/>
    <w:rsid w:val="004B0EC0"/>
    <w:rsid w:val="004B0EEA"/>
    <w:rsid w:val="004B32B2"/>
    <w:rsid w:val="004B360B"/>
    <w:rsid w:val="004B4D4F"/>
    <w:rsid w:val="004B5A51"/>
    <w:rsid w:val="004B66F1"/>
    <w:rsid w:val="004C3B7B"/>
    <w:rsid w:val="004C3EA0"/>
    <w:rsid w:val="004C4618"/>
    <w:rsid w:val="004C5F80"/>
    <w:rsid w:val="004C7A11"/>
    <w:rsid w:val="004C7CF1"/>
    <w:rsid w:val="004D0EE4"/>
    <w:rsid w:val="004D327F"/>
    <w:rsid w:val="004D3721"/>
    <w:rsid w:val="004D46F2"/>
    <w:rsid w:val="004D5743"/>
    <w:rsid w:val="004D5FD5"/>
    <w:rsid w:val="004D6FDF"/>
    <w:rsid w:val="004D7043"/>
    <w:rsid w:val="004D74CD"/>
    <w:rsid w:val="004D77B0"/>
    <w:rsid w:val="004D7D7C"/>
    <w:rsid w:val="004E00D0"/>
    <w:rsid w:val="004E1921"/>
    <w:rsid w:val="004E26D2"/>
    <w:rsid w:val="004E2728"/>
    <w:rsid w:val="004E31E3"/>
    <w:rsid w:val="004E41F6"/>
    <w:rsid w:val="004E4FA1"/>
    <w:rsid w:val="004E5354"/>
    <w:rsid w:val="004E761B"/>
    <w:rsid w:val="004E7F5C"/>
    <w:rsid w:val="004F23EB"/>
    <w:rsid w:val="004F32CC"/>
    <w:rsid w:val="004F3D69"/>
    <w:rsid w:val="004F5BA3"/>
    <w:rsid w:val="004F7169"/>
    <w:rsid w:val="00500D66"/>
    <w:rsid w:val="005036A6"/>
    <w:rsid w:val="00504471"/>
    <w:rsid w:val="00504E42"/>
    <w:rsid w:val="00511A0A"/>
    <w:rsid w:val="00511E3E"/>
    <w:rsid w:val="005120E7"/>
    <w:rsid w:val="005122A5"/>
    <w:rsid w:val="00512C43"/>
    <w:rsid w:val="00514C8E"/>
    <w:rsid w:val="005163D4"/>
    <w:rsid w:val="00517F35"/>
    <w:rsid w:val="00523A57"/>
    <w:rsid w:val="00523ED3"/>
    <w:rsid w:val="00525488"/>
    <w:rsid w:val="005258F2"/>
    <w:rsid w:val="005308B8"/>
    <w:rsid w:val="00531DBF"/>
    <w:rsid w:val="00532124"/>
    <w:rsid w:val="00532972"/>
    <w:rsid w:val="005337FC"/>
    <w:rsid w:val="00534FB0"/>
    <w:rsid w:val="00536B50"/>
    <w:rsid w:val="005416C1"/>
    <w:rsid w:val="0054373B"/>
    <w:rsid w:val="00543820"/>
    <w:rsid w:val="00545173"/>
    <w:rsid w:val="00545759"/>
    <w:rsid w:val="00545BE0"/>
    <w:rsid w:val="005472AA"/>
    <w:rsid w:val="00551499"/>
    <w:rsid w:val="00552BF1"/>
    <w:rsid w:val="00552CCD"/>
    <w:rsid w:val="00552E89"/>
    <w:rsid w:val="005546D3"/>
    <w:rsid w:val="00554C6A"/>
    <w:rsid w:val="00555EEA"/>
    <w:rsid w:val="005560D8"/>
    <w:rsid w:val="00560741"/>
    <w:rsid w:val="00561141"/>
    <w:rsid w:val="00562E85"/>
    <w:rsid w:val="0056332F"/>
    <w:rsid w:val="00567C91"/>
    <w:rsid w:val="00571392"/>
    <w:rsid w:val="00571790"/>
    <w:rsid w:val="00575B93"/>
    <w:rsid w:val="005763F8"/>
    <w:rsid w:val="00576CD5"/>
    <w:rsid w:val="00577CEE"/>
    <w:rsid w:val="00581C39"/>
    <w:rsid w:val="00582E63"/>
    <w:rsid w:val="005834A4"/>
    <w:rsid w:val="00584F6B"/>
    <w:rsid w:val="005852FC"/>
    <w:rsid w:val="00585B36"/>
    <w:rsid w:val="00587DDF"/>
    <w:rsid w:val="005903B6"/>
    <w:rsid w:val="005905FA"/>
    <w:rsid w:val="00591162"/>
    <w:rsid w:val="00591BF2"/>
    <w:rsid w:val="00592B20"/>
    <w:rsid w:val="00592F31"/>
    <w:rsid w:val="00593D21"/>
    <w:rsid w:val="00594C37"/>
    <w:rsid w:val="00596314"/>
    <w:rsid w:val="00596CF1"/>
    <w:rsid w:val="005A0247"/>
    <w:rsid w:val="005A126E"/>
    <w:rsid w:val="005A1614"/>
    <w:rsid w:val="005A1E04"/>
    <w:rsid w:val="005A257A"/>
    <w:rsid w:val="005A2B73"/>
    <w:rsid w:val="005A452F"/>
    <w:rsid w:val="005A703F"/>
    <w:rsid w:val="005B0855"/>
    <w:rsid w:val="005B140D"/>
    <w:rsid w:val="005B2977"/>
    <w:rsid w:val="005B2E57"/>
    <w:rsid w:val="005C08CC"/>
    <w:rsid w:val="005C1FEA"/>
    <w:rsid w:val="005C3495"/>
    <w:rsid w:val="005C35AE"/>
    <w:rsid w:val="005C3785"/>
    <w:rsid w:val="005C4876"/>
    <w:rsid w:val="005D0FAC"/>
    <w:rsid w:val="005D3633"/>
    <w:rsid w:val="005D5788"/>
    <w:rsid w:val="005E09E1"/>
    <w:rsid w:val="005E0E10"/>
    <w:rsid w:val="005E13EA"/>
    <w:rsid w:val="005E15E0"/>
    <w:rsid w:val="005E1C79"/>
    <w:rsid w:val="005E2D8A"/>
    <w:rsid w:val="005E3889"/>
    <w:rsid w:val="005E3DFC"/>
    <w:rsid w:val="005E5918"/>
    <w:rsid w:val="005E5C0D"/>
    <w:rsid w:val="005E60AF"/>
    <w:rsid w:val="005E7B4E"/>
    <w:rsid w:val="005F04FD"/>
    <w:rsid w:val="005F0CF8"/>
    <w:rsid w:val="005F1DEA"/>
    <w:rsid w:val="005F4932"/>
    <w:rsid w:val="005F4B09"/>
    <w:rsid w:val="005F7351"/>
    <w:rsid w:val="00602FCB"/>
    <w:rsid w:val="00603327"/>
    <w:rsid w:val="00605E65"/>
    <w:rsid w:val="00605F57"/>
    <w:rsid w:val="0060694A"/>
    <w:rsid w:val="00606B78"/>
    <w:rsid w:val="0060735A"/>
    <w:rsid w:val="00607FC9"/>
    <w:rsid w:val="0061049B"/>
    <w:rsid w:val="006108AE"/>
    <w:rsid w:val="00610955"/>
    <w:rsid w:val="0061125D"/>
    <w:rsid w:val="00612EF5"/>
    <w:rsid w:val="0061399C"/>
    <w:rsid w:val="00613EE4"/>
    <w:rsid w:val="0061490C"/>
    <w:rsid w:val="00616861"/>
    <w:rsid w:val="00620A37"/>
    <w:rsid w:val="00621AB0"/>
    <w:rsid w:val="00621E10"/>
    <w:rsid w:val="00622B29"/>
    <w:rsid w:val="00622FE1"/>
    <w:rsid w:val="0062521C"/>
    <w:rsid w:val="00625838"/>
    <w:rsid w:val="00627E2B"/>
    <w:rsid w:val="006302FB"/>
    <w:rsid w:val="00630A2B"/>
    <w:rsid w:val="00630BA2"/>
    <w:rsid w:val="0063283F"/>
    <w:rsid w:val="00632DC7"/>
    <w:rsid w:val="00633896"/>
    <w:rsid w:val="00635553"/>
    <w:rsid w:val="00635655"/>
    <w:rsid w:val="006357FB"/>
    <w:rsid w:val="00635850"/>
    <w:rsid w:val="00636991"/>
    <w:rsid w:val="00637239"/>
    <w:rsid w:val="006406FC"/>
    <w:rsid w:val="006417F5"/>
    <w:rsid w:val="00641D71"/>
    <w:rsid w:val="00643E3B"/>
    <w:rsid w:val="00643ECB"/>
    <w:rsid w:val="0064407B"/>
    <w:rsid w:val="006453B7"/>
    <w:rsid w:val="00645EBE"/>
    <w:rsid w:val="00646122"/>
    <w:rsid w:val="00646458"/>
    <w:rsid w:val="0064724F"/>
    <w:rsid w:val="00652023"/>
    <w:rsid w:val="00652C18"/>
    <w:rsid w:val="00653E16"/>
    <w:rsid w:val="00657220"/>
    <w:rsid w:val="006579E4"/>
    <w:rsid w:val="0066104B"/>
    <w:rsid w:val="00661419"/>
    <w:rsid w:val="00662172"/>
    <w:rsid w:val="00664261"/>
    <w:rsid w:val="006655EE"/>
    <w:rsid w:val="00665C5F"/>
    <w:rsid w:val="00667C10"/>
    <w:rsid w:val="00667EF4"/>
    <w:rsid w:val="006725F9"/>
    <w:rsid w:val="00672B85"/>
    <w:rsid w:val="00673B97"/>
    <w:rsid w:val="0067444C"/>
    <w:rsid w:val="00674E59"/>
    <w:rsid w:val="00675ECB"/>
    <w:rsid w:val="00676FCA"/>
    <w:rsid w:val="00677177"/>
    <w:rsid w:val="00677280"/>
    <w:rsid w:val="0068056B"/>
    <w:rsid w:val="00683913"/>
    <w:rsid w:val="00683CB8"/>
    <w:rsid w:val="006843C2"/>
    <w:rsid w:val="006844BF"/>
    <w:rsid w:val="00684DC2"/>
    <w:rsid w:val="00685E35"/>
    <w:rsid w:val="0068612E"/>
    <w:rsid w:val="006861AA"/>
    <w:rsid w:val="00686C65"/>
    <w:rsid w:val="00687858"/>
    <w:rsid w:val="00687C92"/>
    <w:rsid w:val="00687DE6"/>
    <w:rsid w:val="006903B7"/>
    <w:rsid w:val="00691040"/>
    <w:rsid w:val="00692AB0"/>
    <w:rsid w:val="00692CF9"/>
    <w:rsid w:val="00694B19"/>
    <w:rsid w:val="00694F9E"/>
    <w:rsid w:val="0069534E"/>
    <w:rsid w:val="00696365"/>
    <w:rsid w:val="006964EF"/>
    <w:rsid w:val="0069669C"/>
    <w:rsid w:val="00697F40"/>
    <w:rsid w:val="006A01A3"/>
    <w:rsid w:val="006A1200"/>
    <w:rsid w:val="006A2281"/>
    <w:rsid w:val="006A2C5A"/>
    <w:rsid w:val="006A3131"/>
    <w:rsid w:val="006A4F4E"/>
    <w:rsid w:val="006A68FC"/>
    <w:rsid w:val="006A754A"/>
    <w:rsid w:val="006B14DB"/>
    <w:rsid w:val="006B21C4"/>
    <w:rsid w:val="006B77AF"/>
    <w:rsid w:val="006C00AD"/>
    <w:rsid w:val="006C03BF"/>
    <w:rsid w:val="006C458F"/>
    <w:rsid w:val="006C4A1A"/>
    <w:rsid w:val="006C4DA7"/>
    <w:rsid w:val="006C50D3"/>
    <w:rsid w:val="006C6544"/>
    <w:rsid w:val="006C7DAD"/>
    <w:rsid w:val="006D0393"/>
    <w:rsid w:val="006D0EA4"/>
    <w:rsid w:val="006D1636"/>
    <w:rsid w:val="006D1A83"/>
    <w:rsid w:val="006D1AA2"/>
    <w:rsid w:val="006D2E5C"/>
    <w:rsid w:val="006D4E83"/>
    <w:rsid w:val="006D5D1E"/>
    <w:rsid w:val="006D780B"/>
    <w:rsid w:val="006E1CFE"/>
    <w:rsid w:val="006E1FCD"/>
    <w:rsid w:val="006E2AA5"/>
    <w:rsid w:val="006E31A2"/>
    <w:rsid w:val="006E32B3"/>
    <w:rsid w:val="006E478A"/>
    <w:rsid w:val="006E5154"/>
    <w:rsid w:val="006E6D10"/>
    <w:rsid w:val="006E7B43"/>
    <w:rsid w:val="006F0273"/>
    <w:rsid w:val="006F0B28"/>
    <w:rsid w:val="006F10C4"/>
    <w:rsid w:val="006F10C9"/>
    <w:rsid w:val="006F1262"/>
    <w:rsid w:val="006F1803"/>
    <w:rsid w:val="006F3C41"/>
    <w:rsid w:val="006F40E9"/>
    <w:rsid w:val="006F5603"/>
    <w:rsid w:val="00701400"/>
    <w:rsid w:val="0070161C"/>
    <w:rsid w:val="00701E93"/>
    <w:rsid w:val="00702045"/>
    <w:rsid w:val="007037CF"/>
    <w:rsid w:val="00703BB8"/>
    <w:rsid w:val="00704B37"/>
    <w:rsid w:val="00706018"/>
    <w:rsid w:val="007115DB"/>
    <w:rsid w:val="00712A8B"/>
    <w:rsid w:val="0071309D"/>
    <w:rsid w:val="00713C05"/>
    <w:rsid w:val="007145CC"/>
    <w:rsid w:val="00714B40"/>
    <w:rsid w:val="0071645C"/>
    <w:rsid w:val="00716583"/>
    <w:rsid w:val="007167C0"/>
    <w:rsid w:val="007203C3"/>
    <w:rsid w:val="00720481"/>
    <w:rsid w:val="00720CC1"/>
    <w:rsid w:val="0072148A"/>
    <w:rsid w:val="00721642"/>
    <w:rsid w:val="00721BC7"/>
    <w:rsid w:val="00724943"/>
    <w:rsid w:val="0072510B"/>
    <w:rsid w:val="00726A74"/>
    <w:rsid w:val="0072764F"/>
    <w:rsid w:val="00727C18"/>
    <w:rsid w:val="00727E2F"/>
    <w:rsid w:val="007304C1"/>
    <w:rsid w:val="00733193"/>
    <w:rsid w:val="00737CBA"/>
    <w:rsid w:val="007431C5"/>
    <w:rsid w:val="007436B4"/>
    <w:rsid w:val="00743723"/>
    <w:rsid w:val="00745514"/>
    <w:rsid w:val="00745AB6"/>
    <w:rsid w:val="0074739C"/>
    <w:rsid w:val="007500EB"/>
    <w:rsid w:val="007511C9"/>
    <w:rsid w:val="007527B7"/>
    <w:rsid w:val="00752FF8"/>
    <w:rsid w:val="00754C17"/>
    <w:rsid w:val="0075732A"/>
    <w:rsid w:val="00760262"/>
    <w:rsid w:val="007621A6"/>
    <w:rsid w:val="00762292"/>
    <w:rsid w:val="0076292D"/>
    <w:rsid w:val="0076310C"/>
    <w:rsid w:val="0076313A"/>
    <w:rsid w:val="0076525D"/>
    <w:rsid w:val="00766009"/>
    <w:rsid w:val="0076744F"/>
    <w:rsid w:val="00767BCE"/>
    <w:rsid w:val="00767EFC"/>
    <w:rsid w:val="007707DE"/>
    <w:rsid w:val="00770B5D"/>
    <w:rsid w:val="0077209C"/>
    <w:rsid w:val="0077445A"/>
    <w:rsid w:val="007745E6"/>
    <w:rsid w:val="007752F1"/>
    <w:rsid w:val="0077595A"/>
    <w:rsid w:val="00776768"/>
    <w:rsid w:val="00781646"/>
    <w:rsid w:val="00782D61"/>
    <w:rsid w:val="00783533"/>
    <w:rsid w:val="00784E40"/>
    <w:rsid w:val="00784EC3"/>
    <w:rsid w:val="00785ECA"/>
    <w:rsid w:val="00787D99"/>
    <w:rsid w:val="00791024"/>
    <w:rsid w:val="007921C6"/>
    <w:rsid w:val="00794818"/>
    <w:rsid w:val="00794A2B"/>
    <w:rsid w:val="00794B19"/>
    <w:rsid w:val="00795A5C"/>
    <w:rsid w:val="007A2573"/>
    <w:rsid w:val="007A3B9C"/>
    <w:rsid w:val="007A711C"/>
    <w:rsid w:val="007B047A"/>
    <w:rsid w:val="007B106C"/>
    <w:rsid w:val="007B11FD"/>
    <w:rsid w:val="007B1A4E"/>
    <w:rsid w:val="007B3D05"/>
    <w:rsid w:val="007B4FFF"/>
    <w:rsid w:val="007B5503"/>
    <w:rsid w:val="007B5D7F"/>
    <w:rsid w:val="007B66F5"/>
    <w:rsid w:val="007B730A"/>
    <w:rsid w:val="007B7C56"/>
    <w:rsid w:val="007C0ED6"/>
    <w:rsid w:val="007C111E"/>
    <w:rsid w:val="007C1635"/>
    <w:rsid w:val="007C219D"/>
    <w:rsid w:val="007C4E8C"/>
    <w:rsid w:val="007C5840"/>
    <w:rsid w:val="007C58C3"/>
    <w:rsid w:val="007C6BB3"/>
    <w:rsid w:val="007C7BB6"/>
    <w:rsid w:val="007D028F"/>
    <w:rsid w:val="007D14B4"/>
    <w:rsid w:val="007D25F1"/>
    <w:rsid w:val="007D3AD7"/>
    <w:rsid w:val="007D5AFF"/>
    <w:rsid w:val="007D6789"/>
    <w:rsid w:val="007D7740"/>
    <w:rsid w:val="007D7B73"/>
    <w:rsid w:val="007D7F41"/>
    <w:rsid w:val="007E09CC"/>
    <w:rsid w:val="007E0F27"/>
    <w:rsid w:val="007E24F6"/>
    <w:rsid w:val="007E4374"/>
    <w:rsid w:val="007E7F5B"/>
    <w:rsid w:val="007F0C90"/>
    <w:rsid w:val="007F1143"/>
    <w:rsid w:val="007F2D6A"/>
    <w:rsid w:val="007F3A4E"/>
    <w:rsid w:val="007F4080"/>
    <w:rsid w:val="007F47C4"/>
    <w:rsid w:val="007F5940"/>
    <w:rsid w:val="007F64A6"/>
    <w:rsid w:val="007F6755"/>
    <w:rsid w:val="007F7D81"/>
    <w:rsid w:val="00800F64"/>
    <w:rsid w:val="00801FB7"/>
    <w:rsid w:val="00802868"/>
    <w:rsid w:val="008028A0"/>
    <w:rsid w:val="00802F0B"/>
    <w:rsid w:val="008047CA"/>
    <w:rsid w:val="00804922"/>
    <w:rsid w:val="008056AC"/>
    <w:rsid w:val="00805E45"/>
    <w:rsid w:val="00810A67"/>
    <w:rsid w:val="00812877"/>
    <w:rsid w:val="0081315B"/>
    <w:rsid w:val="00815C9D"/>
    <w:rsid w:val="00816CD0"/>
    <w:rsid w:val="00816EB4"/>
    <w:rsid w:val="008257DE"/>
    <w:rsid w:val="00830B42"/>
    <w:rsid w:val="00833CF7"/>
    <w:rsid w:val="008356F0"/>
    <w:rsid w:val="00837B01"/>
    <w:rsid w:val="00837E6B"/>
    <w:rsid w:val="00841A38"/>
    <w:rsid w:val="00841A75"/>
    <w:rsid w:val="00841CCD"/>
    <w:rsid w:val="00842200"/>
    <w:rsid w:val="00843160"/>
    <w:rsid w:val="00844E18"/>
    <w:rsid w:val="008452B3"/>
    <w:rsid w:val="00845601"/>
    <w:rsid w:val="00846CCD"/>
    <w:rsid w:val="00851309"/>
    <w:rsid w:val="008524B9"/>
    <w:rsid w:val="00852F4F"/>
    <w:rsid w:val="00853678"/>
    <w:rsid w:val="0085416F"/>
    <w:rsid w:val="00855C5C"/>
    <w:rsid w:val="00861F91"/>
    <w:rsid w:val="0086231B"/>
    <w:rsid w:val="0086233C"/>
    <w:rsid w:val="0086491D"/>
    <w:rsid w:val="00865CFA"/>
    <w:rsid w:val="00866A30"/>
    <w:rsid w:val="00870216"/>
    <w:rsid w:val="00870970"/>
    <w:rsid w:val="00870FA1"/>
    <w:rsid w:val="008715B3"/>
    <w:rsid w:val="00871698"/>
    <w:rsid w:val="00872B00"/>
    <w:rsid w:val="0087371A"/>
    <w:rsid w:val="00873AC8"/>
    <w:rsid w:val="00874C2B"/>
    <w:rsid w:val="008751A0"/>
    <w:rsid w:val="0087590F"/>
    <w:rsid w:val="008801F6"/>
    <w:rsid w:val="00881FD8"/>
    <w:rsid w:val="00883CE7"/>
    <w:rsid w:val="00885ECC"/>
    <w:rsid w:val="008870D6"/>
    <w:rsid w:val="00887963"/>
    <w:rsid w:val="008938F7"/>
    <w:rsid w:val="0089417D"/>
    <w:rsid w:val="00896252"/>
    <w:rsid w:val="0089627B"/>
    <w:rsid w:val="008967A9"/>
    <w:rsid w:val="008A0BED"/>
    <w:rsid w:val="008A187F"/>
    <w:rsid w:val="008A26BA"/>
    <w:rsid w:val="008A2C2F"/>
    <w:rsid w:val="008A3C96"/>
    <w:rsid w:val="008A3FEB"/>
    <w:rsid w:val="008A5148"/>
    <w:rsid w:val="008A5AF4"/>
    <w:rsid w:val="008B048C"/>
    <w:rsid w:val="008B0BBA"/>
    <w:rsid w:val="008B1627"/>
    <w:rsid w:val="008B27EB"/>
    <w:rsid w:val="008B4019"/>
    <w:rsid w:val="008B505F"/>
    <w:rsid w:val="008B5E3B"/>
    <w:rsid w:val="008B65C9"/>
    <w:rsid w:val="008C00AD"/>
    <w:rsid w:val="008C0940"/>
    <w:rsid w:val="008C2D4A"/>
    <w:rsid w:val="008C5FE3"/>
    <w:rsid w:val="008C6A05"/>
    <w:rsid w:val="008C76DB"/>
    <w:rsid w:val="008C7DBB"/>
    <w:rsid w:val="008D131A"/>
    <w:rsid w:val="008D2467"/>
    <w:rsid w:val="008D3900"/>
    <w:rsid w:val="008D6E1D"/>
    <w:rsid w:val="008D6EDB"/>
    <w:rsid w:val="008E0670"/>
    <w:rsid w:val="008E2A93"/>
    <w:rsid w:val="008E2ABD"/>
    <w:rsid w:val="008E36FE"/>
    <w:rsid w:val="008E42F1"/>
    <w:rsid w:val="008E6D1D"/>
    <w:rsid w:val="008F0C92"/>
    <w:rsid w:val="008F39B4"/>
    <w:rsid w:val="008F4162"/>
    <w:rsid w:val="008F6B7F"/>
    <w:rsid w:val="00900926"/>
    <w:rsid w:val="009022C7"/>
    <w:rsid w:val="00903E02"/>
    <w:rsid w:val="00903E8E"/>
    <w:rsid w:val="009075A5"/>
    <w:rsid w:val="009110D5"/>
    <w:rsid w:val="009115CF"/>
    <w:rsid w:val="00913175"/>
    <w:rsid w:val="00913457"/>
    <w:rsid w:val="00916520"/>
    <w:rsid w:val="00916BEC"/>
    <w:rsid w:val="00916C68"/>
    <w:rsid w:val="00916EDB"/>
    <w:rsid w:val="00917B27"/>
    <w:rsid w:val="00917D72"/>
    <w:rsid w:val="00920861"/>
    <w:rsid w:val="00920E5A"/>
    <w:rsid w:val="00922B13"/>
    <w:rsid w:val="00922B77"/>
    <w:rsid w:val="00923728"/>
    <w:rsid w:val="009242EF"/>
    <w:rsid w:val="009244C8"/>
    <w:rsid w:val="00924AB9"/>
    <w:rsid w:val="0092615F"/>
    <w:rsid w:val="0092678D"/>
    <w:rsid w:val="00927C6F"/>
    <w:rsid w:val="00932291"/>
    <w:rsid w:val="009322F9"/>
    <w:rsid w:val="009325E6"/>
    <w:rsid w:val="00932C44"/>
    <w:rsid w:val="009339C8"/>
    <w:rsid w:val="00933B1B"/>
    <w:rsid w:val="0093408E"/>
    <w:rsid w:val="0093493E"/>
    <w:rsid w:val="009361F8"/>
    <w:rsid w:val="0094014D"/>
    <w:rsid w:val="00940467"/>
    <w:rsid w:val="00942973"/>
    <w:rsid w:val="00942FE9"/>
    <w:rsid w:val="00944B07"/>
    <w:rsid w:val="009450A0"/>
    <w:rsid w:val="00945A37"/>
    <w:rsid w:val="00946AFD"/>
    <w:rsid w:val="00947507"/>
    <w:rsid w:val="00947E7D"/>
    <w:rsid w:val="00950001"/>
    <w:rsid w:val="009505E1"/>
    <w:rsid w:val="00951048"/>
    <w:rsid w:val="00952692"/>
    <w:rsid w:val="00952D11"/>
    <w:rsid w:val="00952DDF"/>
    <w:rsid w:val="00952EC4"/>
    <w:rsid w:val="00954A3A"/>
    <w:rsid w:val="00955F13"/>
    <w:rsid w:val="00956FA3"/>
    <w:rsid w:val="00957685"/>
    <w:rsid w:val="00957E3F"/>
    <w:rsid w:val="00962025"/>
    <w:rsid w:val="00966368"/>
    <w:rsid w:val="0097206B"/>
    <w:rsid w:val="00972423"/>
    <w:rsid w:val="00974D67"/>
    <w:rsid w:val="0097609E"/>
    <w:rsid w:val="009765E2"/>
    <w:rsid w:val="00977DE9"/>
    <w:rsid w:val="009803FB"/>
    <w:rsid w:val="009812D4"/>
    <w:rsid w:val="00982653"/>
    <w:rsid w:val="00983A75"/>
    <w:rsid w:val="0098410C"/>
    <w:rsid w:val="00985620"/>
    <w:rsid w:val="0098564C"/>
    <w:rsid w:val="00986BDA"/>
    <w:rsid w:val="009873F4"/>
    <w:rsid w:val="009879C2"/>
    <w:rsid w:val="0099143F"/>
    <w:rsid w:val="00991997"/>
    <w:rsid w:val="00991A2F"/>
    <w:rsid w:val="009920D8"/>
    <w:rsid w:val="00993176"/>
    <w:rsid w:val="00994483"/>
    <w:rsid w:val="0099470F"/>
    <w:rsid w:val="00995F8B"/>
    <w:rsid w:val="00996C93"/>
    <w:rsid w:val="00997E0E"/>
    <w:rsid w:val="009A058F"/>
    <w:rsid w:val="009A2435"/>
    <w:rsid w:val="009A2955"/>
    <w:rsid w:val="009A2B22"/>
    <w:rsid w:val="009A371F"/>
    <w:rsid w:val="009A4869"/>
    <w:rsid w:val="009A6521"/>
    <w:rsid w:val="009A6C67"/>
    <w:rsid w:val="009B37A6"/>
    <w:rsid w:val="009B38BE"/>
    <w:rsid w:val="009B3BF4"/>
    <w:rsid w:val="009B4556"/>
    <w:rsid w:val="009B47E2"/>
    <w:rsid w:val="009B682F"/>
    <w:rsid w:val="009C03BF"/>
    <w:rsid w:val="009C0C89"/>
    <w:rsid w:val="009C0DD3"/>
    <w:rsid w:val="009C3D0F"/>
    <w:rsid w:val="009C49E1"/>
    <w:rsid w:val="009C4FFD"/>
    <w:rsid w:val="009C532A"/>
    <w:rsid w:val="009C5863"/>
    <w:rsid w:val="009C5D35"/>
    <w:rsid w:val="009C6367"/>
    <w:rsid w:val="009C6A98"/>
    <w:rsid w:val="009C7053"/>
    <w:rsid w:val="009D09DD"/>
    <w:rsid w:val="009D0DCA"/>
    <w:rsid w:val="009D30E6"/>
    <w:rsid w:val="009D336D"/>
    <w:rsid w:val="009D6232"/>
    <w:rsid w:val="009D62E2"/>
    <w:rsid w:val="009D7257"/>
    <w:rsid w:val="009D7E1A"/>
    <w:rsid w:val="009E1B19"/>
    <w:rsid w:val="009E1D6D"/>
    <w:rsid w:val="009E29DF"/>
    <w:rsid w:val="009E33B3"/>
    <w:rsid w:val="009E4E4E"/>
    <w:rsid w:val="009E5BEC"/>
    <w:rsid w:val="009E5D67"/>
    <w:rsid w:val="009E67BE"/>
    <w:rsid w:val="009E79B6"/>
    <w:rsid w:val="009E7F55"/>
    <w:rsid w:val="009ED4A9"/>
    <w:rsid w:val="009F1D4A"/>
    <w:rsid w:val="009F35E2"/>
    <w:rsid w:val="009F438B"/>
    <w:rsid w:val="009F471F"/>
    <w:rsid w:val="009F47C0"/>
    <w:rsid w:val="009F65F9"/>
    <w:rsid w:val="009F68BA"/>
    <w:rsid w:val="009F7575"/>
    <w:rsid w:val="00A01263"/>
    <w:rsid w:val="00A02883"/>
    <w:rsid w:val="00A03684"/>
    <w:rsid w:val="00A06277"/>
    <w:rsid w:val="00A06325"/>
    <w:rsid w:val="00A06AE3"/>
    <w:rsid w:val="00A079DC"/>
    <w:rsid w:val="00A1037A"/>
    <w:rsid w:val="00A1042B"/>
    <w:rsid w:val="00A10BAB"/>
    <w:rsid w:val="00A111C2"/>
    <w:rsid w:val="00A11F13"/>
    <w:rsid w:val="00A14B4C"/>
    <w:rsid w:val="00A17245"/>
    <w:rsid w:val="00A1795F"/>
    <w:rsid w:val="00A17B03"/>
    <w:rsid w:val="00A17C1A"/>
    <w:rsid w:val="00A17C39"/>
    <w:rsid w:val="00A20BCB"/>
    <w:rsid w:val="00A21440"/>
    <w:rsid w:val="00A222FC"/>
    <w:rsid w:val="00A23306"/>
    <w:rsid w:val="00A238AA"/>
    <w:rsid w:val="00A239C2"/>
    <w:rsid w:val="00A279BA"/>
    <w:rsid w:val="00A3223E"/>
    <w:rsid w:val="00A338E7"/>
    <w:rsid w:val="00A35CAA"/>
    <w:rsid w:val="00A36758"/>
    <w:rsid w:val="00A36E7F"/>
    <w:rsid w:val="00A37330"/>
    <w:rsid w:val="00A37CB1"/>
    <w:rsid w:val="00A41E65"/>
    <w:rsid w:val="00A426F9"/>
    <w:rsid w:val="00A42D3D"/>
    <w:rsid w:val="00A43517"/>
    <w:rsid w:val="00A43E0A"/>
    <w:rsid w:val="00A46247"/>
    <w:rsid w:val="00A47F07"/>
    <w:rsid w:val="00A509AC"/>
    <w:rsid w:val="00A50BD5"/>
    <w:rsid w:val="00A510EE"/>
    <w:rsid w:val="00A52CE9"/>
    <w:rsid w:val="00A530C7"/>
    <w:rsid w:val="00A5367A"/>
    <w:rsid w:val="00A558E4"/>
    <w:rsid w:val="00A55F5B"/>
    <w:rsid w:val="00A60185"/>
    <w:rsid w:val="00A60B0C"/>
    <w:rsid w:val="00A611EE"/>
    <w:rsid w:val="00A622EC"/>
    <w:rsid w:val="00A6274A"/>
    <w:rsid w:val="00A638EE"/>
    <w:rsid w:val="00A661EA"/>
    <w:rsid w:val="00A66263"/>
    <w:rsid w:val="00A6775C"/>
    <w:rsid w:val="00A70A6C"/>
    <w:rsid w:val="00A70B7E"/>
    <w:rsid w:val="00A71F0D"/>
    <w:rsid w:val="00A727B4"/>
    <w:rsid w:val="00A728B7"/>
    <w:rsid w:val="00A73397"/>
    <w:rsid w:val="00A75C0F"/>
    <w:rsid w:val="00A75C29"/>
    <w:rsid w:val="00A765FC"/>
    <w:rsid w:val="00A76811"/>
    <w:rsid w:val="00A779B0"/>
    <w:rsid w:val="00A830E5"/>
    <w:rsid w:val="00A83DF5"/>
    <w:rsid w:val="00A84BF3"/>
    <w:rsid w:val="00A86B79"/>
    <w:rsid w:val="00A87135"/>
    <w:rsid w:val="00A903A9"/>
    <w:rsid w:val="00A92A6F"/>
    <w:rsid w:val="00A92F6C"/>
    <w:rsid w:val="00A93280"/>
    <w:rsid w:val="00A93C73"/>
    <w:rsid w:val="00A951EA"/>
    <w:rsid w:val="00A961A6"/>
    <w:rsid w:val="00A973E1"/>
    <w:rsid w:val="00A9751A"/>
    <w:rsid w:val="00A97F71"/>
    <w:rsid w:val="00AA0BD0"/>
    <w:rsid w:val="00AA1C65"/>
    <w:rsid w:val="00AA22CE"/>
    <w:rsid w:val="00AA2548"/>
    <w:rsid w:val="00AA2872"/>
    <w:rsid w:val="00AA2C06"/>
    <w:rsid w:val="00AA3B6E"/>
    <w:rsid w:val="00AA407C"/>
    <w:rsid w:val="00AA58C4"/>
    <w:rsid w:val="00AA5D0E"/>
    <w:rsid w:val="00AA634E"/>
    <w:rsid w:val="00AB0C46"/>
    <w:rsid w:val="00AB11C8"/>
    <w:rsid w:val="00AB1FD6"/>
    <w:rsid w:val="00AB2248"/>
    <w:rsid w:val="00AB2460"/>
    <w:rsid w:val="00AB34D5"/>
    <w:rsid w:val="00AB3B2F"/>
    <w:rsid w:val="00AB4005"/>
    <w:rsid w:val="00AB44E3"/>
    <w:rsid w:val="00AB54AF"/>
    <w:rsid w:val="00AB59A5"/>
    <w:rsid w:val="00AC08A8"/>
    <w:rsid w:val="00AC41BD"/>
    <w:rsid w:val="00AC43BF"/>
    <w:rsid w:val="00AC618C"/>
    <w:rsid w:val="00AC7B31"/>
    <w:rsid w:val="00AD02A7"/>
    <w:rsid w:val="00AD20F6"/>
    <w:rsid w:val="00AD2451"/>
    <w:rsid w:val="00AD56C8"/>
    <w:rsid w:val="00AD58F2"/>
    <w:rsid w:val="00AD6E6F"/>
    <w:rsid w:val="00AE0085"/>
    <w:rsid w:val="00AE0676"/>
    <w:rsid w:val="00AE28CB"/>
    <w:rsid w:val="00AE5528"/>
    <w:rsid w:val="00AE5712"/>
    <w:rsid w:val="00AF134B"/>
    <w:rsid w:val="00AF3CD8"/>
    <w:rsid w:val="00AF4948"/>
    <w:rsid w:val="00AF5EA3"/>
    <w:rsid w:val="00AF6573"/>
    <w:rsid w:val="00AF65FE"/>
    <w:rsid w:val="00AF6C54"/>
    <w:rsid w:val="00AF7690"/>
    <w:rsid w:val="00B00273"/>
    <w:rsid w:val="00B00B7E"/>
    <w:rsid w:val="00B00C80"/>
    <w:rsid w:val="00B0205C"/>
    <w:rsid w:val="00B046C2"/>
    <w:rsid w:val="00B0512A"/>
    <w:rsid w:val="00B0529F"/>
    <w:rsid w:val="00B05D52"/>
    <w:rsid w:val="00B064F8"/>
    <w:rsid w:val="00B0733C"/>
    <w:rsid w:val="00B07DD7"/>
    <w:rsid w:val="00B13226"/>
    <w:rsid w:val="00B13398"/>
    <w:rsid w:val="00B1418B"/>
    <w:rsid w:val="00B14473"/>
    <w:rsid w:val="00B151A0"/>
    <w:rsid w:val="00B1520C"/>
    <w:rsid w:val="00B1560E"/>
    <w:rsid w:val="00B15940"/>
    <w:rsid w:val="00B17433"/>
    <w:rsid w:val="00B20EA5"/>
    <w:rsid w:val="00B20F84"/>
    <w:rsid w:val="00B21195"/>
    <w:rsid w:val="00B211A3"/>
    <w:rsid w:val="00B22B3D"/>
    <w:rsid w:val="00B22B57"/>
    <w:rsid w:val="00B24B22"/>
    <w:rsid w:val="00B252F4"/>
    <w:rsid w:val="00B25310"/>
    <w:rsid w:val="00B30C77"/>
    <w:rsid w:val="00B32EAC"/>
    <w:rsid w:val="00B32F8F"/>
    <w:rsid w:val="00B345E3"/>
    <w:rsid w:val="00B34F20"/>
    <w:rsid w:val="00B35620"/>
    <w:rsid w:val="00B35725"/>
    <w:rsid w:val="00B35B73"/>
    <w:rsid w:val="00B35DB5"/>
    <w:rsid w:val="00B371A8"/>
    <w:rsid w:val="00B404C5"/>
    <w:rsid w:val="00B41E1E"/>
    <w:rsid w:val="00B42C1C"/>
    <w:rsid w:val="00B431CF"/>
    <w:rsid w:val="00B43578"/>
    <w:rsid w:val="00B44942"/>
    <w:rsid w:val="00B45410"/>
    <w:rsid w:val="00B4690F"/>
    <w:rsid w:val="00B475DE"/>
    <w:rsid w:val="00B47C42"/>
    <w:rsid w:val="00B510B1"/>
    <w:rsid w:val="00B54548"/>
    <w:rsid w:val="00B54DE9"/>
    <w:rsid w:val="00B553EC"/>
    <w:rsid w:val="00B557F1"/>
    <w:rsid w:val="00B55870"/>
    <w:rsid w:val="00B559E7"/>
    <w:rsid w:val="00B60059"/>
    <w:rsid w:val="00B635BF"/>
    <w:rsid w:val="00B65BF0"/>
    <w:rsid w:val="00B71761"/>
    <w:rsid w:val="00B71A7D"/>
    <w:rsid w:val="00B743D3"/>
    <w:rsid w:val="00B77732"/>
    <w:rsid w:val="00B80D6D"/>
    <w:rsid w:val="00B82F31"/>
    <w:rsid w:val="00B83F7C"/>
    <w:rsid w:val="00B8730F"/>
    <w:rsid w:val="00B9046A"/>
    <w:rsid w:val="00B9154F"/>
    <w:rsid w:val="00B93DD0"/>
    <w:rsid w:val="00B96F4D"/>
    <w:rsid w:val="00B97732"/>
    <w:rsid w:val="00BA0365"/>
    <w:rsid w:val="00BA0563"/>
    <w:rsid w:val="00BA0849"/>
    <w:rsid w:val="00BA2ABF"/>
    <w:rsid w:val="00BA56D7"/>
    <w:rsid w:val="00BA63EA"/>
    <w:rsid w:val="00BA65A8"/>
    <w:rsid w:val="00BA6A97"/>
    <w:rsid w:val="00BA6D19"/>
    <w:rsid w:val="00BA7461"/>
    <w:rsid w:val="00BA7DA9"/>
    <w:rsid w:val="00BB2B10"/>
    <w:rsid w:val="00BB499D"/>
    <w:rsid w:val="00BB6FA9"/>
    <w:rsid w:val="00BC02BF"/>
    <w:rsid w:val="00BC0C88"/>
    <w:rsid w:val="00BC2CA3"/>
    <w:rsid w:val="00BC4215"/>
    <w:rsid w:val="00BC4548"/>
    <w:rsid w:val="00BC7BB3"/>
    <w:rsid w:val="00BC7FA7"/>
    <w:rsid w:val="00BD0396"/>
    <w:rsid w:val="00BD1A6F"/>
    <w:rsid w:val="00BD1C4A"/>
    <w:rsid w:val="00BD2851"/>
    <w:rsid w:val="00BD34E2"/>
    <w:rsid w:val="00BD4932"/>
    <w:rsid w:val="00BD4E08"/>
    <w:rsid w:val="00BD5B71"/>
    <w:rsid w:val="00BD63B2"/>
    <w:rsid w:val="00BD7B65"/>
    <w:rsid w:val="00BD7BD5"/>
    <w:rsid w:val="00BE0F7C"/>
    <w:rsid w:val="00BE1E83"/>
    <w:rsid w:val="00BE2E2B"/>
    <w:rsid w:val="00BE3530"/>
    <w:rsid w:val="00BE5E70"/>
    <w:rsid w:val="00BE6466"/>
    <w:rsid w:val="00BE6D3C"/>
    <w:rsid w:val="00BE7852"/>
    <w:rsid w:val="00BE7FAD"/>
    <w:rsid w:val="00BF21A7"/>
    <w:rsid w:val="00BF6D87"/>
    <w:rsid w:val="00BF784A"/>
    <w:rsid w:val="00BF7CEE"/>
    <w:rsid w:val="00C01A72"/>
    <w:rsid w:val="00C036F9"/>
    <w:rsid w:val="00C03880"/>
    <w:rsid w:val="00C03B25"/>
    <w:rsid w:val="00C065B8"/>
    <w:rsid w:val="00C10A5A"/>
    <w:rsid w:val="00C135CF"/>
    <w:rsid w:val="00C16B21"/>
    <w:rsid w:val="00C1775A"/>
    <w:rsid w:val="00C17D63"/>
    <w:rsid w:val="00C20364"/>
    <w:rsid w:val="00C20E24"/>
    <w:rsid w:val="00C20EB1"/>
    <w:rsid w:val="00C2162A"/>
    <w:rsid w:val="00C24FFE"/>
    <w:rsid w:val="00C25CC5"/>
    <w:rsid w:val="00C2683F"/>
    <w:rsid w:val="00C27C6C"/>
    <w:rsid w:val="00C30D5F"/>
    <w:rsid w:val="00C3184D"/>
    <w:rsid w:val="00C31D97"/>
    <w:rsid w:val="00C35344"/>
    <w:rsid w:val="00C36C2D"/>
    <w:rsid w:val="00C37525"/>
    <w:rsid w:val="00C40A49"/>
    <w:rsid w:val="00C43084"/>
    <w:rsid w:val="00C439BC"/>
    <w:rsid w:val="00C440F6"/>
    <w:rsid w:val="00C4428C"/>
    <w:rsid w:val="00C444EB"/>
    <w:rsid w:val="00C44896"/>
    <w:rsid w:val="00C44E38"/>
    <w:rsid w:val="00C4696E"/>
    <w:rsid w:val="00C4714E"/>
    <w:rsid w:val="00C47C12"/>
    <w:rsid w:val="00C50941"/>
    <w:rsid w:val="00C51DDD"/>
    <w:rsid w:val="00C52C0D"/>
    <w:rsid w:val="00C54D4B"/>
    <w:rsid w:val="00C5504F"/>
    <w:rsid w:val="00C55991"/>
    <w:rsid w:val="00C559F7"/>
    <w:rsid w:val="00C56C0E"/>
    <w:rsid w:val="00C570EC"/>
    <w:rsid w:val="00C57F1B"/>
    <w:rsid w:val="00C60765"/>
    <w:rsid w:val="00C60A1A"/>
    <w:rsid w:val="00C61D09"/>
    <w:rsid w:val="00C63376"/>
    <w:rsid w:val="00C643B4"/>
    <w:rsid w:val="00C65790"/>
    <w:rsid w:val="00C66CB4"/>
    <w:rsid w:val="00C715DD"/>
    <w:rsid w:val="00C74C48"/>
    <w:rsid w:val="00C74F97"/>
    <w:rsid w:val="00C76A08"/>
    <w:rsid w:val="00C803D7"/>
    <w:rsid w:val="00C80B6F"/>
    <w:rsid w:val="00C81BA9"/>
    <w:rsid w:val="00C8232C"/>
    <w:rsid w:val="00C8276E"/>
    <w:rsid w:val="00C83008"/>
    <w:rsid w:val="00C83AD1"/>
    <w:rsid w:val="00C842AC"/>
    <w:rsid w:val="00C85B7B"/>
    <w:rsid w:val="00C85D73"/>
    <w:rsid w:val="00C8660E"/>
    <w:rsid w:val="00C87F7F"/>
    <w:rsid w:val="00C87FB2"/>
    <w:rsid w:val="00C91712"/>
    <w:rsid w:val="00C92AD5"/>
    <w:rsid w:val="00C93152"/>
    <w:rsid w:val="00C93AF7"/>
    <w:rsid w:val="00C93FD9"/>
    <w:rsid w:val="00C950C2"/>
    <w:rsid w:val="00C96688"/>
    <w:rsid w:val="00C97EC4"/>
    <w:rsid w:val="00CA0723"/>
    <w:rsid w:val="00CA1E68"/>
    <w:rsid w:val="00CA318E"/>
    <w:rsid w:val="00CA3F92"/>
    <w:rsid w:val="00CA4542"/>
    <w:rsid w:val="00CB05A6"/>
    <w:rsid w:val="00CB1690"/>
    <w:rsid w:val="00CB17B2"/>
    <w:rsid w:val="00CB30B6"/>
    <w:rsid w:val="00CB560B"/>
    <w:rsid w:val="00CB6D76"/>
    <w:rsid w:val="00CC1EDF"/>
    <w:rsid w:val="00CC27E7"/>
    <w:rsid w:val="00CC282B"/>
    <w:rsid w:val="00CC2B33"/>
    <w:rsid w:val="00CC4365"/>
    <w:rsid w:val="00CD11B0"/>
    <w:rsid w:val="00CD14C7"/>
    <w:rsid w:val="00CD275A"/>
    <w:rsid w:val="00CD5E0E"/>
    <w:rsid w:val="00CD7E84"/>
    <w:rsid w:val="00CE0E66"/>
    <w:rsid w:val="00CE2FF9"/>
    <w:rsid w:val="00CE71C2"/>
    <w:rsid w:val="00CE745E"/>
    <w:rsid w:val="00CF0054"/>
    <w:rsid w:val="00CF2242"/>
    <w:rsid w:val="00CF24BC"/>
    <w:rsid w:val="00CF2E7E"/>
    <w:rsid w:val="00CF42D5"/>
    <w:rsid w:val="00CF42EA"/>
    <w:rsid w:val="00CF4EDA"/>
    <w:rsid w:val="00CF562A"/>
    <w:rsid w:val="00CF5929"/>
    <w:rsid w:val="00CF66BF"/>
    <w:rsid w:val="00D00281"/>
    <w:rsid w:val="00D00335"/>
    <w:rsid w:val="00D0134D"/>
    <w:rsid w:val="00D01E11"/>
    <w:rsid w:val="00D021CB"/>
    <w:rsid w:val="00D10C4C"/>
    <w:rsid w:val="00D10F1A"/>
    <w:rsid w:val="00D116F8"/>
    <w:rsid w:val="00D13B45"/>
    <w:rsid w:val="00D14D2D"/>
    <w:rsid w:val="00D15280"/>
    <w:rsid w:val="00D17596"/>
    <w:rsid w:val="00D2009C"/>
    <w:rsid w:val="00D20C4F"/>
    <w:rsid w:val="00D21B5B"/>
    <w:rsid w:val="00D2241F"/>
    <w:rsid w:val="00D22640"/>
    <w:rsid w:val="00D22698"/>
    <w:rsid w:val="00D24891"/>
    <w:rsid w:val="00D24C87"/>
    <w:rsid w:val="00D24E15"/>
    <w:rsid w:val="00D25D09"/>
    <w:rsid w:val="00D26D3A"/>
    <w:rsid w:val="00D2717D"/>
    <w:rsid w:val="00D312F5"/>
    <w:rsid w:val="00D33742"/>
    <w:rsid w:val="00D344F3"/>
    <w:rsid w:val="00D35228"/>
    <w:rsid w:val="00D35242"/>
    <w:rsid w:val="00D37FC3"/>
    <w:rsid w:val="00D41DA7"/>
    <w:rsid w:val="00D41F11"/>
    <w:rsid w:val="00D427AE"/>
    <w:rsid w:val="00D441B2"/>
    <w:rsid w:val="00D445AA"/>
    <w:rsid w:val="00D45553"/>
    <w:rsid w:val="00D45C91"/>
    <w:rsid w:val="00D45EE3"/>
    <w:rsid w:val="00D479E5"/>
    <w:rsid w:val="00D50618"/>
    <w:rsid w:val="00D509E9"/>
    <w:rsid w:val="00D51446"/>
    <w:rsid w:val="00D51C01"/>
    <w:rsid w:val="00D52C1B"/>
    <w:rsid w:val="00D53B1C"/>
    <w:rsid w:val="00D53E1A"/>
    <w:rsid w:val="00D540C1"/>
    <w:rsid w:val="00D5493E"/>
    <w:rsid w:val="00D54D1B"/>
    <w:rsid w:val="00D5704E"/>
    <w:rsid w:val="00D61714"/>
    <w:rsid w:val="00D61C03"/>
    <w:rsid w:val="00D620BE"/>
    <w:rsid w:val="00D622B9"/>
    <w:rsid w:val="00D63135"/>
    <w:rsid w:val="00D652C8"/>
    <w:rsid w:val="00D656FF"/>
    <w:rsid w:val="00D66996"/>
    <w:rsid w:val="00D6797A"/>
    <w:rsid w:val="00D67B77"/>
    <w:rsid w:val="00D712CD"/>
    <w:rsid w:val="00D73238"/>
    <w:rsid w:val="00D74A26"/>
    <w:rsid w:val="00D74FCA"/>
    <w:rsid w:val="00D76ABD"/>
    <w:rsid w:val="00D77B78"/>
    <w:rsid w:val="00D8094A"/>
    <w:rsid w:val="00D82448"/>
    <w:rsid w:val="00D829B1"/>
    <w:rsid w:val="00D83615"/>
    <w:rsid w:val="00D83764"/>
    <w:rsid w:val="00D83AAD"/>
    <w:rsid w:val="00D84735"/>
    <w:rsid w:val="00D84C5E"/>
    <w:rsid w:val="00D9019C"/>
    <w:rsid w:val="00D913BA"/>
    <w:rsid w:val="00D9293C"/>
    <w:rsid w:val="00D95505"/>
    <w:rsid w:val="00D95600"/>
    <w:rsid w:val="00D95B5B"/>
    <w:rsid w:val="00D95EB2"/>
    <w:rsid w:val="00D96D50"/>
    <w:rsid w:val="00D97037"/>
    <w:rsid w:val="00DA10E9"/>
    <w:rsid w:val="00DA1B12"/>
    <w:rsid w:val="00DA3F9D"/>
    <w:rsid w:val="00DA46CA"/>
    <w:rsid w:val="00DA4799"/>
    <w:rsid w:val="00DA4F90"/>
    <w:rsid w:val="00DA4FE7"/>
    <w:rsid w:val="00DA5303"/>
    <w:rsid w:val="00DA54C9"/>
    <w:rsid w:val="00DA5B9E"/>
    <w:rsid w:val="00DA6739"/>
    <w:rsid w:val="00DA6CAE"/>
    <w:rsid w:val="00DA73AE"/>
    <w:rsid w:val="00DA76D9"/>
    <w:rsid w:val="00DB09F6"/>
    <w:rsid w:val="00DB0FFE"/>
    <w:rsid w:val="00DB1A9E"/>
    <w:rsid w:val="00DB3046"/>
    <w:rsid w:val="00DB31D6"/>
    <w:rsid w:val="00DB3296"/>
    <w:rsid w:val="00DB4005"/>
    <w:rsid w:val="00DB44AD"/>
    <w:rsid w:val="00DB44E2"/>
    <w:rsid w:val="00DB5DD7"/>
    <w:rsid w:val="00DB61F1"/>
    <w:rsid w:val="00DC325B"/>
    <w:rsid w:val="00DC3473"/>
    <w:rsid w:val="00DC34EB"/>
    <w:rsid w:val="00DC4E2E"/>
    <w:rsid w:val="00DC5D7F"/>
    <w:rsid w:val="00DC61A7"/>
    <w:rsid w:val="00DC6FDE"/>
    <w:rsid w:val="00DC745C"/>
    <w:rsid w:val="00DC78C0"/>
    <w:rsid w:val="00DD0DBD"/>
    <w:rsid w:val="00DD2051"/>
    <w:rsid w:val="00DD34EA"/>
    <w:rsid w:val="00DD4A13"/>
    <w:rsid w:val="00DD6421"/>
    <w:rsid w:val="00DD68EA"/>
    <w:rsid w:val="00DD7213"/>
    <w:rsid w:val="00DD7E62"/>
    <w:rsid w:val="00DE2C10"/>
    <w:rsid w:val="00DE344C"/>
    <w:rsid w:val="00DE3B43"/>
    <w:rsid w:val="00DE423A"/>
    <w:rsid w:val="00DE478D"/>
    <w:rsid w:val="00DE4A48"/>
    <w:rsid w:val="00DF082D"/>
    <w:rsid w:val="00DF0871"/>
    <w:rsid w:val="00DF14C9"/>
    <w:rsid w:val="00DF1E5B"/>
    <w:rsid w:val="00DF2275"/>
    <w:rsid w:val="00DF2CC8"/>
    <w:rsid w:val="00DF3F5E"/>
    <w:rsid w:val="00DF5461"/>
    <w:rsid w:val="00DF5653"/>
    <w:rsid w:val="00DF6400"/>
    <w:rsid w:val="00DF6D33"/>
    <w:rsid w:val="00E0596E"/>
    <w:rsid w:val="00E06CFE"/>
    <w:rsid w:val="00E06F66"/>
    <w:rsid w:val="00E112B2"/>
    <w:rsid w:val="00E11D82"/>
    <w:rsid w:val="00E138E3"/>
    <w:rsid w:val="00E1720A"/>
    <w:rsid w:val="00E17380"/>
    <w:rsid w:val="00E2111A"/>
    <w:rsid w:val="00E2151E"/>
    <w:rsid w:val="00E21678"/>
    <w:rsid w:val="00E26E23"/>
    <w:rsid w:val="00E270CE"/>
    <w:rsid w:val="00E27A6B"/>
    <w:rsid w:val="00E311BF"/>
    <w:rsid w:val="00E312B0"/>
    <w:rsid w:val="00E31C7C"/>
    <w:rsid w:val="00E32439"/>
    <w:rsid w:val="00E32B6B"/>
    <w:rsid w:val="00E344AA"/>
    <w:rsid w:val="00E3526B"/>
    <w:rsid w:val="00E356E5"/>
    <w:rsid w:val="00E35827"/>
    <w:rsid w:val="00E35A11"/>
    <w:rsid w:val="00E366A7"/>
    <w:rsid w:val="00E36F81"/>
    <w:rsid w:val="00E378A8"/>
    <w:rsid w:val="00E4079C"/>
    <w:rsid w:val="00E40B9B"/>
    <w:rsid w:val="00E4218D"/>
    <w:rsid w:val="00E451A1"/>
    <w:rsid w:val="00E45765"/>
    <w:rsid w:val="00E46798"/>
    <w:rsid w:val="00E5098C"/>
    <w:rsid w:val="00E51F51"/>
    <w:rsid w:val="00E5378D"/>
    <w:rsid w:val="00E54ECD"/>
    <w:rsid w:val="00E557D8"/>
    <w:rsid w:val="00E55AF5"/>
    <w:rsid w:val="00E56DE4"/>
    <w:rsid w:val="00E574EF"/>
    <w:rsid w:val="00E57556"/>
    <w:rsid w:val="00E57CD8"/>
    <w:rsid w:val="00E57E07"/>
    <w:rsid w:val="00E60213"/>
    <w:rsid w:val="00E60489"/>
    <w:rsid w:val="00E6201E"/>
    <w:rsid w:val="00E62E0D"/>
    <w:rsid w:val="00E62F04"/>
    <w:rsid w:val="00E661B2"/>
    <w:rsid w:val="00E67C0E"/>
    <w:rsid w:val="00E708A3"/>
    <w:rsid w:val="00E73977"/>
    <w:rsid w:val="00E74A5C"/>
    <w:rsid w:val="00E74B4A"/>
    <w:rsid w:val="00E74D29"/>
    <w:rsid w:val="00E75F65"/>
    <w:rsid w:val="00E77E7C"/>
    <w:rsid w:val="00E806FF"/>
    <w:rsid w:val="00E80775"/>
    <w:rsid w:val="00E80D89"/>
    <w:rsid w:val="00E81480"/>
    <w:rsid w:val="00E83C74"/>
    <w:rsid w:val="00E83CEE"/>
    <w:rsid w:val="00E847BF"/>
    <w:rsid w:val="00E8748D"/>
    <w:rsid w:val="00E91269"/>
    <w:rsid w:val="00E91F18"/>
    <w:rsid w:val="00E9226D"/>
    <w:rsid w:val="00E95697"/>
    <w:rsid w:val="00E96424"/>
    <w:rsid w:val="00E978E6"/>
    <w:rsid w:val="00E97C93"/>
    <w:rsid w:val="00EA137D"/>
    <w:rsid w:val="00EA2A91"/>
    <w:rsid w:val="00EA3543"/>
    <w:rsid w:val="00EA416C"/>
    <w:rsid w:val="00EA5941"/>
    <w:rsid w:val="00EB0865"/>
    <w:rsid w:val="00EB0D05"/>
    <w:rsid w:val="00EB10B6"/>
    <w:rsid w:val="00EB3AFD"/>
    <w:rsid w:val="00EB5DDF"/>
    <w:rsid w:val="00EB60CE"/>
    <w:rsid w:val="00EB786E"/>
    <w:rsid w:val="00EB7D53"/>
    <w:rsid w:val="00EC1250"/>
    <w:rsid w:val="00EC1EF8"/>
    <w:rsid w:val="00EC2A49"/>
    <w:rsid w:val="00EC37F0"/>
    <w:rsid w:val="00EC3B48"/>
    <w:rsid w:val="00EC463C"/>
    <w:rsid w:val="00EC596B"/>
    <w:rsid w:val="00EC6B0C"/>
    <w:rsid w:val="00EC709B"/>
    <w:rsid w:val="00EC7FA9"/>
    <w:rsid w:val="00ED2403"/>
    <w:rsid w:val="00ED5A09"/>
    <w:rsid w:val="00ED5EEB"/>
    <w:rsid w:val="00ED6904"/>
    <w:rsid w:val="00ED7292"/>
    <w:rsid w:val="00ED733C"/>
    <w:rsid w:val="00EE13C5"/>
    <w:rsid w:val="00EE3146"/>
    <w:rsid w:val="00EE7341"/>
    <w:rsid w:val="00EE7C32"/>
    <w:rsid w:val="00EF02A0"/>
    <w:rsid w:val="00EF0C23"/>
    <w:rsid w:val="00EF21AC"/>
    <w:rsid w:val="00EF50BB"/>
    <w:rsid w:val="00EF5270"/>
    <w:rsid w:val="00EF6622"/>
    <w:rsid w:val="00EF693A"/>
    <w:rsid w:val="00EF71E4"/>
    <w:rsid w:val="00F00192"/>
    <w:rsid w:val="00F006A2"/>
    <w:rsid w:val="00F01DF6"/>
    <w:rsid w:val="00F027A3"/>
    <w:rsid w:val="00F027B8"/>
    <w:rsid w:val="00F0340D"/>
    <w:rsid w:val="00F035F2"/>
    <w:rsid w:val="00F0565D"/>
    <w:rsid w:val="00F059A6"/>
    <w:rsid w:val="00F104F6"/>
    <w:rsid w:val="00F108E5"/>
    <w:rsid w:val="00F111BC"/>
    <w:rsid w:val="00F12D48"/>
    <w:rsid w:val="00F12EF9"/>
    <w:rsid w:val="00F14A04"/>
    <w:rsid w:val="00F1564B"/>
    <w:rsid w:val="00F169EC"/>
    <w:rsid w:val="00F21F8E"/>
    <w:rsid w:val="00F23756"/>
    <w:rsid w:val="00F2464C"/>
    <w:rsid w:val="00F2523A"/>
    <w:rsid w:val="00F25FFA"/>
    <w:rsid w:val="00F27649"/>
    <w:rsid w:val="00F279A1"/>
    <w:rsid w:val="00F30F08"/>
    <w:rsid w:val="00F310D2"/>
    <w:rsid w:val="00F31E11"/>
    <w:rsid w:val="00F32726"/>
    <w:rsid w:val="00F346BC"/>
    <w:rsid w:val="00F36BC7"/>
    <w:rsid w:val="00F36F3D"/>
    <w:rsid w:val="00F378FD"/>
    <w:rsid w:val="00F37C48"/>
    <w:rsid w:val="00F424D7"/>
    <w:rsid w:val="00F43819"/>
    <w:rsid w:val="00F43BD6"/>
    <w:rsid w:val="00F43EE3"/>
    <w:rsid w:val="00F443A4"/>
    <w:rsid w:val="00F477BD"/>
    <w:rsid w:val="00F50333"/>
    <w:rsid w:val="00F5035D"/>
    <w:rsid w:val="00F518C6"/>
    <w:rsid w:val="00F5242D"/>
    <w:rsid w:val="00F53491"/>
    <w:rsid w:val="00F54656"/>
    <w:rsid w:val="00F55386"/>
    <w:rsid w:val="00F55C73"/>
    <w:rsid w:val="00F55CC5"/>
    <w:rsid w:val="00F56411"/>
    <w:rsid w:val="00F57ADD"/>
    <w:rsid w:val="00F57E4D"/>
    <w:rsid w:val="00F60181"/>
    <w:rsid w:val="00F60C12"/>
    <w:rsid w:val="00F60D48"/>
    <w:rsid w:val="00F62581"/>
    <w:rsid w:val="00F64E8F"/>
    <w:rsid w:val="00F65448"/>
    <w:rsid w:val="00F657D7"/>
    <w:rsid w:val="00F65A1C"/>
    <w:rsid w:val="00F66F50"/>
    <w:rsid w:val="00F71F3E"/>
    <w:rsid w:val="00F743E9"/>
    <w:rsid w:val="00F7612F"/>
    <w:rsid w:val="00F7628B"/>
    <w:rsid w:val="00F76C15"/>
    <w:rsid w:val="00F77432"/>
    <w:rsid w:val="00F81162"/>
    <w:rsid w:val="00F818AC"/>
    <w:rsid w:val="00F81B4E"/>
    <w:rsid w:val="00F81B91"/>
    <w:rsid w:val="00F81DA8"/>
    <w:rsid w:val="00F82FF8"/>
    <w:rsid w:val="00F8330D"/>
    <w:rsid w:val="00F84305"/>
    <w:rsid w:val="00F8485C"/>
    <w:rsid w:val="00F87149"/>
    <w:rsid w:val="00F87A7D"/>
    <w:rsid w:val="00F87AB0"/>
    <w:rsid w:val="00F87FFE"/>
    <w:rsid w:val="00F9138D"/>
    <w:rsid w:val="00F9227C"/>
    <w:rsid w:val="00F9304D"/>
    <w:rsid w:val="00F94C45"/>
    <w:rsid w:val="00F94F3A"/>
    <w:rsid w:val="00F954C9"/>
    <w:rsid w:val="00F97E99"/>
    <w:rsid w:val="00FA134E"/>
    <w:rsid w:val="00FA422B"/>
    <w:rsid w:val="00FA46C9"/>
    <w:rsid w:val="00FA4CF0"/>
    <w:rsid w:val="00FA61AA"/>
    <w:rsid w:val="00FA696E"/>
    <w:rsid w:val="00FA69A4"/>
    <w:rsid w:val="00FA6D0B"/>
    <w:rsid w:val="00FB0142"/>
    <w:rsid w:val="00FB1279"/>
    <w:rsid w:val="00FB1495"/>
    <w:rsid w:val="00FB1FA6"/>
    <w:rsid w:val="00FB2450"/>
    <w:rsid w:val="00FB447B"/>
    <w:rsid w:val="00FB4594"/>
    <w:rsid w:val="00FB5CF6"/>
    <w:rsid w:val="00FB5EC2"/>
    <w:rsid w:val="00FB7844"/>
    <w:rsid w:val="00FC005B"/>
    <w:rsid w:val="00FC06E6"/>
    <w:rsid w:val="00FC1F97"/>
    <w:rsid w:val="00FC20F8"/>
    <w:rsid w:val="00FC2B42"/>
    <w:rsid w:val="00FC5074"/>
    <w:rsid w:val="00FC75E7"/>
    <w:rsid w:val="00FD1694"/>
    <w:rsid w:val="00FD2134"/>
    <w:rsid w:val="00FD2548"/>
    <w:rsid w:val="00FD443D"/>
    <w:rsid w:val="00FD4E64"/>
    <w:rsid w:val="00FD61EB"/>
    <w:rsid w:val="00FD7636"/>
    <w:rsid w:val="00FD7893"/>
    <w:rsid w:val="00FDA466"/>
    <w:rsid w:val="00FE0F80"/>
    <w:rsid w:val="00FE17D9"/>
    <w:rsid w:val="00FE1927"/>
    <w:rsid w:val="00FE2679"/>
    <w:rsid w:val="00FE3229"/>
    <w:rsid w:val="00FE4205"/>
    <w:rsid w:val="00FE4485"/>
    <w:rsid w:val="00FE59C9"/>
    <w:rsid w:val="00FE74C3"/>
    <w:rsid w:val="00FF0781"/>
    <w:rsid w:val="00FF133B"/>
    <w:rsid w:val="00FF215C"/>
    <w:rsid w:val="00FF279D"/>
    <w:rsid w:val="00FF49E8"/>
    <w:rsid w:val="00FF672F"/>
    <w:rsid w:val="00FF709D"/>
    <w:rsid w:val="01057758"/>
    <w:rsid w:val="011476DF"/>
    <w:rsid w:val="012246A4"/>
    <w:rsid w:val="01468903"/>
    <w:rsid w:val="0176A5F7"/>
    <w:rsid w:val="0178878F"/>
    <w:rsid w:val="01A5C693"/>
    <w:rsid w:val="01ABBFF9"/>
    <w:rsid w:val="01AC0275"/>
    <w:rsid w:val="01B34608"/>
    <w:rsid w:val="01B3F802"/>
    <w:rsid w:val="01C8209A"/>
    <w:rsid w:val="01CA95EB"/>
    <w:rsid w:val="021B963B"/>
    <w:rsid w:val="02443C52"/>
    <w:rsid w:val="027B140C"/>
    <w:rsid w:val="02CEE6E8"/>
    <w:rsid w:val="0314C48C"/>
    <w:rsid w:val="03499795"/>
    <w:rsid w:val="0394289D"/>
    <w:rsid w:val="03A086A9"/>
    <w:rsid w:val="03A4FFF6"/>
    <w:rsid w:val="03B76FE7"/>
    <w:rsid w:val="03CD468A"/>
    <w:rsid w:val="03DD2DB8"/>
    <w:rsid w:val="03DE97A4"/>
    <w:rsid w:val="03F2903E"/>
    <w:rsid w:val="03FEDFC6"/>
    <w:rsid w:val="03FF9CEB"/>
    <w:rsid w:val="042AC101"/>
    <w:rsid w:val="044654F8"/>
    <w:rsid w:val="0459E766"/>
    <w:rsid w:val="04633BB2"/>
    <w:rsid w:val="048071C4"/>
    <w:rsid w:val="04AA13F6"/>
    <w:rsid w:val="04AAE214"/>
    <w:rsid w:val="04B9BBC7"/>
    <w:rsid w:val="04CF0ADF"/>
    <w:rsid w:val="05451CAF"/>
    <w:rsid w:val="05510945"/>
    <w:rsid w:val="056DC616"/>
    <w:rsid w:val="057DDFEA"/>
    <w:rsid w:val="05C58160"/>
    <w:rsid w:val="05DC4DB2"/>
    <w:rsid w:val="061A257D"/>
    <w:rsid w:val="0629EDE7"/>
    <w:rsid w:val="062E7DBA"/>
    <w:rsid w:val="0635FAD2"/>
    <w:rsid w:val="066F2DF4"/>
    <w:rsid w:val="068599F2"/>
    <w:rsid w:val="068E96C9"/>
    <w:rsid w:val="069B91BD"/>
    <w:rsid w:val="06C7197E"/>
    <w:rsid w:val="0709ADAD"/>
    <w:rsid w:val="0719B04B"/>
    <w:rsid w:val="071F4A3A"/>
    <w:rsid w:val="0763DB82"/>
    <w:rsid w:val="07807414"/>
    <w:rsid w:val="07AAD1D6"/>
    <w:rsid w:val="07BD8FD4"/>
    <w:rsid w:val="07C3FCD8"/>
    <w:rsid w:val="07E1F846"/>
    <w:rsid w:val="07E65AE2"/>
    <w:rsid w:val="082AD39F"/>
    <w:rsid w:val="0840DBC2"/>
    <w:rsid w:val="0859338D"/>
    <w:rsid w:val="0868A7FC"/>
    <w:rsid w:val="086A1C8E"/>
    <w:rsid w:val="0890C5AA"/>
    <w:rsid w:val="08BA8AE8"/>
    <w:rsid w:val="08E62A72"/>
    <w:rsid w:val="0925A6EB"/>
    <w:rsid w:val="092D5889"/>
    <w:rsid w:val="09657BA0"/>
    <w:rsid w:val="09B02DF9"/>
    <w:rsid w:val="09DF1941"/>
    <w:rsid w:val="0A14D23A"/>
    <w:rsid w:val="0A36737C"/>
    <w:rsid w:val="0A37C520"/>
    <w:rsid w:val="0A3DDC72"/>
    <w:rsid w:val="0A40152A"/>
    <w:rsid w:val="0A50B889"/>
    <w:rsid w:val="0A57850E"/>
    <w:rsid w:val="0A8726AF"/>
    <w:rsid w:val="0A9D4221"/>
    <w:rsid w:val="0AB0008D"/>
    <w:rsid w:val="0ABB5925"/>
    <w:rsid w:val="0AC9D216"/>
    <w:rsid w:val="0AE21096"/>
    <w:rsid w:val="0B136234"/>
    <w:rsid w:val="0B4E77AE"/>
    <w:rsid w:val="0B5384D1"/>
    <w:rsid w:val="0B6A7511"/>
    <w:rsid w:val="0B7AC465"/>
    <w:rsid w:val="0B8657D5"/>
    <w:rsid w:val="0B8F0CA9"/>
    <w:rsid w:val="0BB9887A"/>
    <w:rsid w:val="0BD39581"/>
    <w:rsid w:val="0BED909C"/>
    <w:rsid w:val="0C0AF7AE"/>
    <w:rsid w:val="0C31E5B0"/>
    <w:rsid w:val="0C64F94B"/>
    <w:rsid w:val="0C865CAF"/>
    <w:rsid w:val="0C93C6D2"/>
    <w:rsid w:val="0CA79AF5"/>
    <w:rsid w:val="0CA9024B"/>
    <w:rsid w:val="0CBF6AEE"/>
    <w:rsid w:val="0CDC2978"/>
    <w:rsid w:val="0CF6BAE4"/>
    <w:rsid w:val="0D3C4EFD"/>
    <w:rsid w:val="0D468679"/>
    <w:rsid w:val="0D6F65E2"/>
    <w:rsid w:val="0D83874F"/>
    <w:rsid w:val="0DAEFD29"/>
    <w:rsid w:val="0DB3CDB8"/>
    <w:rsid w:val="0DBA2280"/>
    <w:rsid w:val="0DCDAE23"/>
    <w:rsid w:val="0DDCB2AF"/>
    <w:rsid w:val="0DDD8051"/>
    <w:rsid w:val="0E009EA8"/>
    <w:rsid w:val="0E20AAAE"/>
    <w:rsid w:val="0E2B694E"/>
    <w:rsid w:val="0E333E5C"/>
    <w:rsid w:val="0E3D51C8"/>
    <w:rsid w:val="0E3E47B6"/>
    <w:rsid w:val="0E4341F8"/>
    <w:rsid w:val="0E527BFF"/>
    <w:rsid w:val="0E95BE5E"/>
    <w:rsid w:val="0EABB6A0"/>
    <w:rsid w:val="0EE52850"/>
    <w:rsid w:val="0EEFC876"/>
    <w:rsid w:val="0EF0BC42"/>
    <w:rsid w:val="0EF15DF5"/>
    <w:rsid w:val="0EF6B038"/>
    <w:rsid w:val="0F0F4A98"/>
    <w:rsid w:val="0F18EEB5"/>
    <w:rsid w:val="0F1D02D6"/>
    <w:rsid w:val="0F383EEF"/>
    <w:rsid w:val="0F45C4B6"/>
    <w:rsid w:val="0F8FB31B"/>
    <w:rsid w:val="0F9C65FF"/>
    <w:rsid w:val="0FBDFD71"/>
    <w:rsid w:val="0FC31C0A"/>
    <w:rsid w:val="0FE032AC"/>
    <w:rsid w:val="0FE23ED4"/>
    <w:rsid w:val="0FED61EA"/>
    <w:rsid w:val="101FD2B7"/>
    <w:rsid w:val="10535BFE"/>
    <w:rsid w:val="10561A1D"/>
    <w:rsid w:val="10583913"/>
    <w:rsid w:val="1061B072"/>
    <w:rsid w:val="10716170"/>
    <w:rsid w:val="1076419B"/>
    <w:rsid w:val="108A4B12"/>
    <w:rsid w:val="108F0D4D"/>
    <w:rsid w:val="108F60CB"/>
    <w:rsid w:val="10935FAA"/>
    <w:rsid w:val="10B4BF16"/>
    <w:rsid w:val="10B9F2A2"/>
    <w:rsid w:val="10C09291"/>
    <w:rsid w:val="10D9BAEE"/>
    <w:rsid w:val="1108E154"/>
    <w:rsid w:val="111E7F0C"/>
    <w:rsid w:val="113AC0D8"/>
    <w:rsid w:val="11743369"/>
    <w:rsid w:val="117EE399"/>
    <w:rsid w:val="1183C368"/>
    <w:rsid w:val="11A09483"/>
    <w:rsid w:val="11C9E805"/>
    <w:rsid w:val="1220751C"/>
    <w:rsid w:val="1222BE52"/>
    <w:rsid w:val="122D3955"/>
    <w:rsid w:val="124D90C5"/>
    <w:rsid w:val="127E242E"/>
    <w:rsid w:val="12AD4823"/>
    <w:rsid w:val="12BA4F6D"/>
    <w:rsid w:val="12C794AA"/>
    <w:rsid w:val="130C972E"/>
    <w:rsid w:val="1352ADD1"/>
    <w:rsid w:val="1367EB6C"/>
    <w:rsid w:val="13A98C8A"/>
    <w:rsid w:val="13BD68DA"/>
    <w:rsid w:val="13C833B5"/>
    <w:rsid w:val="13D5360F"/>
    <w:rsid w:val="13E96126"/>
    <w:rsid w:val="14099931"/>
    <w:rsid w:val="141397D2"/>
    <w:rsid w:val="141A88A7"/>
    <w:rsid w:val="14340593"/>
    <w:rsid w:val="14398D14"/>
    <w:rsid w:val="145080E4"/>
    <w:rsid w:val="1467C9D3"/>
    <w:rsid w:val="14846BF7"/>
    <w:rsid w:val="14C49A66"/>
    <w:rsid w:val="14D83545"/>
    <w:rsid w:val="14F58A78"/>
    <w:rsid w:val="151C19F5"/>
    <w:rsid w:val="15453145"/>
    <w:rsid w:val="15562055"/>
    <w:rsid w:val="1573BC36"/>
    <w:rsid w:val="15761A47"/>
    <w:rsid w:val="157694F0"/>
    <w:rsid w:val="158F4EC8"/>
    <w:rsid w:val="159E9B7C"/>
    <w:rsid w:val="15B87D65"/>
    <w:rsid w:val="164E9E0D"/>
    <w:rsid w:val="1656E7AB"/>
    <w:rsid w:val="1666303A"/>
    <w:rsid w:val="167AC3F9"/>
    <w:rsid w:val="167C7CEC"/>
    <w:rsid w:val="1688BAFC"/>
    <w:rsid w:val="168AE5AF"/>
    <w:rsid w:val="170311D0"/>
    <w:rsid w:val="1722BF59"/>
    <w:rsid w:val="1747557E"/>
    <w:rsid w:val="177598A9"/>
    <w:rsid w:val="178B3CED"/>
    <w:rsid w:val="1793CDC3"/>
    <w:rsid w:val="17A5E13B"/>
    <w:rsid w:val="17AEE650"/>
    <w:rsid w:val="17C802F8"/>
    <w:rsid w:val="17E5BBB2"/>
    <w:rsid w:val="17FD7278"/>
    <w:rsid w:val="183E7BA9"/>
    <w:rsid w:val="184C0EB4"/>
    <w:rsid w:val="18551A8E"/>
    <w:rsid w:val="186CC663"/>
    <w:rsid w:val="188A1B96"/>
    <w:rsid w:val="1899CB92"/>
    <w:rsid w:val="18A268B3"/>
    <w:rsid w:val="18A7CDCF"/>
    <w:rsid w:val="18B4BB38"/>
    <w:rsid w:val="18C37CA0"/>
    <w:rsid w:val="18EA7FE1"/>
    <w:rsid w:val="18FBAB74"/>
    <w:rsid w:val="1921494B"/>
    <w:rsid w:val="192261CD"/>
    <w:rsid w:val="195EA47D"/>
    <w:rsid w:val="197B5442"/>
    <w:rsid w:val="19BC54FB"/>
    <w:rsid w:val="19CD030E"/>
    <w:rsid w:val="19DA15DB"/>
    <w:rsid w:val="19F0AA2F"/>
    <w:rsid w:val="1A11B9CA"/>
    <w:rsid w:val="1A403E3D"/>
    <w:rsid w:val="1A506527"/>
    <w:rsid w:val="1A72E5F1"/>
    <w:rsid w:val="1B279ED6"/>
    <w:rsid w:val="1B341D10"/>
    <w:rsid w:val="1B47B75C"/>
    <w:rsid w:val="1B6679F7"/>
    <w:rsid w:val="1BB143E5"/>
    <w:rsid w:val="1BBE5A0E"/>
    <w:rsid w:val="1BC71F97"/>
    <w:rsid w:val="1BCD53C7"/>
    <w:rsid w:val="1BD090EE"/>
    <w:rsid w:val="1C102835"/>
    <w:rsid w:val="1C568767"/>
    <w:rsid w:val="1C5B3084"/>
    <w:rsid w:val="1C640F0B"/>
    <w:rsid w:val="1C75E32F"/>
    <w:rsid w:val="1C8D9174"/>
    <w:rsid w:val="1C91CFE6"/>
    <w:rsid w:val="1CA62B70"/>
    <w:rsid w:val="1CAA0CB1"/>
    <w:rsid w:val="1D024A58"/>
    <w:rsid w:val="1D2EEF4C"/>
    <w:rsid w:val="1D328C79"/>
    <w:rsid w:val="1D6D681C"/>
    <w:rsid w:val="1D9A5B06"/>
    <w:rsid w:val="1D9B440B"/>
    <w:rsid w:val="1DAB6824"/>
    <w:rsid w:val="1DAED7AA"/>
    <w:rsid w:val="1DBA3397"/>
    <w:rsid w:val="1DE9E2E0"/>
    <w:rsid w:val="1E1ABCFD"/>
    <w:rsid w:val="1E37C2A8"/>
    <w:rsid w:val="1E3F0109"/>
    <w:rsid w:val="1E403D65"/>
    <w:rsid w:val="1E447064"/>
    <w:rsid w:val="1E5BB016"/>
    <w:rsid w:val="1E64297E"/>
    <w:rsid w:val="1E9FE8BD"/>
    <w:rsid w:val="1EEA2995"/>
    <w:rsid w:val="1F04F20F"/>
    <w:rsid w:val="1F07B573"/>
    <w:rsid w:val="1F221CF6"/>
    <w:rsid w:val="1F5B7846"/>
    <w:rsid w:val="1F6DCF23"/>
    <w:rsid w:val="1F73B3AC"/>
    <w:rsid w:val="1FD98E19"/>
    <w:rsid w:val="2001E6B0"/>
    <w:rsid w:val="205566F2"/>
    <w:rsid w:val="2066604B"/>
    <w:rsid w:val="2094523B"/>
    <w:rsid w:val="21066039"/>
    <w:rsid w:val="2177DE27"/>
    <w:rsid w:val="21B05021"/>
    <w:rsid w:val="21B150F1"/>
    <w:rsid w:val="21D27CC6"/>
    <w:rsid w:val="22018E6A"/>
    <w:rsid w:val="220230AC"/>
    <w:rsid w:val="220320AF"/>
    <w:rsid w:val="221B5909"/>
    <w:rsid w:val="22209207"/>
    <w:rsid w:val="2230229C"/>
    <w:rsid w:val="224608A6"/>
    <w:rsid w:val="22F05D7E"/>
    <w:rsid w:val="22FA8726"/>
    <w:rsid w:val="2305DDB7"/>
    <w:rsid w:val="230B9872"/>
    <w:rsid w:val="2328A173"/>
    <w:rsid w:val="232B8604"/>
    <w:rsid w:val="234D2152"/>
    <w:rsid w:val="23732CAC"/>
    <w:rsid w:val="2396B148"/>
    <w:rsid w:val="239E010D"/>
    <w:rsid w:val="23D48C49"/>
    <w:rsid w:val="23DB2696"/>
    <w:rsid w:val="23E65C93"/>
    <w:rsid w:val="23EA5A07"/>
    <w:rsid w:val="2444C56D"/>
    <w:rsid w:val="24464BA1"/>
    <w:rsid w:val="244B4E24"/>
    <w:rsid w:val="2490DC72"/>
    <w:rsid w:val="24A1CE84"/>
    <w:rsid w:val="24CEBAA1"/>
    <w:rsid w:val="2567C35E"/>
    <w:rsid w:val="25689D1B"/>
    <w:rsid w:val="256E43BA"/>
    <w:rsid w:val="2573EB2A"/>
    <w:rsid w:val="2597084B"/>
    <w:rsid w:val="25AAEF06"/>
    <w:rsid w:val="25C8F3A5"/>
    <w:rsid w:val="25EB7B50"/>
    <w:rsid w:val="2605129A"/>
    <w:rsid w:val="2661BF32"/>
    <w:rsid w:val="2675681F"/>
    <w:rsid w:val="26AF3CAF"/>
    <w:rsid w:val="26B20DBE"/>
    <w:rsid w:val="26B5C1E0"/>
    <w:rsid w:val="26DD9E61"/>
    <w:rsid w:val="2746CA72"/>
    <w:rsid w:val="27570B94"/>
    <w:rsid w:val="2768CF06"/>
    <w:rsid w:val="276A92AA"/>
    <w:rsid w:val="276C4CAB"/>
    <w:rsid w:val="2775A1BD"/>
    <w:rsid w:val="2775A379"/>
    <w:rsid w:val="27932AD0"/>
    <w:rsid w:val="27BD0B17"/>
    <w:rsid w:val="27BFFEE8"/>
    <w:rsid w:val="27D94EDA"/>
    <w:rsid w:val="27F52634"/>
    <w:rsid w:val="28120E3E"/>
    <w:rsid w:val="284253B1"/>
    <w:rsid w:val="2867A1B1"/>
    <w:rsid w:val="289A2348"/>
    <w:rsid w:val="28AAC569"/>
    <w:rsid w:val="28C9C789"/>
    <w:rsid w:val="28F82AAC"/>
    <w:rsid w:val="290678B5"/>
    <w:rsid w:val="29219D0C"/>
    <w:rsid w:val="29776196"/>
    <w:rsid w:val="2989F660"/>
    <w:rsid w:val="299E34DA"/>
    <w:rsid w:val="29A4501F"/>
    <w:rsid w:val="29A844B5"/>
    <w:rsid w:val="29E0FB9D"/>
    <w:rsid w:val="29F3E189"/>
    <w:rsid w:val="29FA7423"/>
    <w:rsid w:val="2AA48BAB"/>
    <w:rsid w:val="2AC43A8E"/>
    <w:rsid w:val="2B26ADF3"/>
    <w:rsid w:val="2B4BE1D9"/>
    <w:rsid w:val="2B583337"/>
    <w:rsid w:val="2B894497"/>
    <w:rsid w:val="2B8C4C25"/>
    <w:rsid w:val="2B8C7EFD"/>
    <w:rsid w:val="2B9EB774"/>
    <w:rsid w:val="2BAB7D62"/>
    <w:rsid w:val="2BD70592"/>
    <w:rsid w:val="2C082E2B"/>
    <w:rsid w:val="2C0DAC74"/>
    <w:rsid w:val="2C1BEBF4"/>
    <w:rsid w:val="2C34CFE2"/>
    <w:rsid w:val="2C8232EF"/>
    <w:rsid w:val="2C8A8CE1"/>
    <w:rsid w:val="2CB4DD88"/>
    <w:rsid w:val="2CDD3F6A"/>
    <w:rsid w:val="2D0F8F25"/>
    <w:rsid w:val="2D2CE97C"/>
    <w:rsid w:val="2D31C6C0"/>
    <w:rsid w:val="2D3BA50E"/>
    <w:rsid w:val="2D839C23"/>
    <w:rsid w:val="2D8D5F16"/>
    <w:rsid w:val="2DA86391"/>
    <w:rsid w:val="2DC312BC"/>
    <w:rsid w:val="2DC78D97"/>
    <w:rsid w:val="2DCC88BA"/>
    <w:rsid w:val="2E54A4D9"/>
    <w:rsid w:val="2E600C26"/>
    <w:rsid w:val="2E60D4EF"/>
    <w:rsid w:val="2E6454BE"/>
    <w:rsid w:val="2EA22B5E"/>
    <w:rsid w:val="2EA75562"/>
    <w:rsid w:val="2EBE8BC0"/>
    <w:rsid w:val="2EC312EC"/>
    <w:rsid w:val="2ED8A408"/>
    <w:rsid w:val="2EED0839"/>
    <w:rsid w:val="2F547A76"/>
    <w:rsid w:val="2F58F74A"/>
    <w:rsid w:val="2F62AA2A"/>
    <w:rsid w:val="2F72EE04"/>
    <w:rsid w:val="2F81FE18"/>
    <w:rsid w:val="2F877063"/>
    <w:rsid w:val="2FCF5F7E"/>
    <w:rsid w:val="2FE4A687"/>
    <w:rsid w:val="2FFBDC87"/>
    <w:rsid w:val="308261B1"/>
    <w:rsid w:val="3083A3E1"/>
    <w:rsid w:val="3088D89A"/>
    <w:rsid w:val="30A08141"/>
    <w:rsid w:val="30A6A594"/>
    <w:rsid w:val="30AC75B1"/>
    <w:rsid w:val="30C2E61F"/>
    <w:rsid w:val="30E63EB3"/>
    <w:rsid w:val="3103B91B"/>
    <w:rsid w:val="310F6630"/>
    <w:rsid w:val="317C4CA9"/>
    <w:rsid w:val="318418D9"/>
    <w:rsid w:val="31A20ABA"/>
    <w:rsid w:val="31B3569A"/>
    <w:rsid w:val="31D05696"/>
    <w:rsid w:val="31F76795"/>
    <w:rsid w:val="321703B7"/>
    <w:rsid w:val="3224A701"/>
    <w:rsid w:val="32825300"/>
    <w:rsid w:val="328DEFFF"/>
    <w:rsid w:val="3298BA36"/>
    <w:rsid w:val="32C592F0"/>
    <w:rsid w:val="32EA603F"/>
    <w:rsid w:val="32FD0270"/>
    <w:rsid w:val="33184EF0"/>
    <w:rsid w:val="3349B92F"/>
    <w:rsid w:val="33B8E9F1"/>
    <w:rsid w:val="33CD7F11"/>
    <w:rsid w:val="33E43994"/>
    <w:rsid w:val="33E83ACC"/>
    <w:rsid w:val="33FC56D2"/>
    <w:rsid w:val="34122159"/>
    <w:rsid w:val="34397E13"/>
    <w:rsid w:val="345C788F"/>
    <w:rsid w:val="3473D4B6"/>
    <w:rsid w:val="34870553"/>
    <w:rsid w:val="34B9DCF4"/>
    <w:rsid w:val="34E8E2DF"/>
    <w:rsid w:val="34EC1608"/>
    <w:rsid w:val="350CDEAA"/>
    <w:rsid w:val="35365950"/>
    <w:rsid w:val="3546B6F3"/>
    <w:rsid w:val="354CB121"/>
    <w:rsid w:val="357227CD"/>
    <w:rsid w:val="358D7EE2"/>
    <w:rsid w:val="35965742"/>
    <w:rsid w:val="3597C28C"/>
    <w:rsid w:val="359FE450"/>
    <w:rsid w:val="35CD034A"/>
    <w:rsid w:val="35D94C83"/>
    <w:rsid w:val="35DB170E"/>
    <w:rsid w:val="36408218"/>
    <w:rsid w:val="3691E4A6"/>
    <w:rsid w:val="36A4630C"/>
    <w:rsid w:val="36B708FC"/>
    <w:rsid w:val="36BF80A9"/>
    <w:rsid w:val="36EAAC2E"/>
    <w:rsid w:val="36EC02BF"/>
    <w:rsid w:val="370B3651"/>
    <w:rsid w:val="37119A43"/>
    <w:rsid w:val="3733F794"/>
    <w:rsid w:val="37452E5A"/>
    <w:rsid w:val="375AA2E3"/>
    <w:rsid w:val="37AD82BA"/>
    <w:rsid w:val="37DE7850"/>
    <w:rsid w:val="37E60B99"/>
    <w:rsid w:val="380B0AD1"/>
    <w:rsid w:val="38110882"/>
    <w:rsid w:val="3886453B"/>
    <w:rsid w:val="388795B7"/>
    <w:rsid w:val="389C4A45"/>
    <w:rsid w:val="389D3F55"/>
    <w:rsid w:val="38CA0F9E"/>
    <w:rsid w:val="38EDBBDB"/>
    <w:rsid w:val="38F13F51"/>
    <w:rsid w:val="3919005D"/>
    <w:rsid w:val="394A0A74"/>
    <w:rsid w:val="39613E83"/>
    <w:rsid w:val="396CCCC0"/>
    <w:rsid w:val="39FAD0D8"/>
    <w:rsid w:val="3A188573"/>
    <w:rsid w:val="3A2C6A60"/>
    <w:rsid w:val="3A38B59B"/>
    <w:rsid w:val="3A3BC281"/>
    <w:rsid w:val="3A3C1188"/>
    <w:rsid w:val="3A7D434E"/>
    <w:rsid w:val="3A83F00B"/>
    <w:rsid w:val="3A8ED41F"/>
    <w:rsid w:val="3A906406"/>
    <w:rsid w:val="3AAA7A50"/>
    <w:rsid w:val="3ABDC818"/>
    <w:rsid w:val="3ADB396A"/>
    <w:rsid w:val="3AEDCBA4"/>
    <w:rsid w:val="3B15CE91"/>
    <w:rsid w:val="3B18B048"/>
    <w:rsid w:val="3B414ACD"/>
    <w:rsid w:val="3B5A95C6"/>
    <w:rsid w:val="3B6BD027"/>
    <w:rsid w:val="3B8A0250"/>
    <w:rsid w:val="3B8E8F0F"/>
    <w:rsid w:val="3B92F1CC"/>
    <w:rsid w:val="3BA04B25"/>
    <w:rsid w:val="3BBBCBAA"/>
    <w:rsid w:val="3BD823EB"/>
    <w:rsid w:val="3BFE4408"/>
    <w:rsid w:val="3C0C1884"/>
    <w:rsid w:val="3C2610F9"/>
    <w:rsid w:val="3C3399AE"/>
    <w:rsid w:val="3C5268B5"/>
    <w:rsid w:val="3C556711"/>
    <w:rsid w:val="3C7ACDFD"/>
    <w:rsid w:val="3CA79B97"/>
    <w:rsid w:val="3CA79C74"/>
    <w:rsid w:val="3CF5126E"/>
    <w:rsid w:val="3CF8EC8B"/>
    <w:rsid w:val="3CFDF6C7"/>
    <w:rsid w:val="3D25FC1B"/>
    <w:rsid w:val="3D28159E"/>
    <w:rsid w:val="3D4A6212"/>
    <w:rsid w:val="3D4BE642"/>
    <w:rsid w:val="3D502635"/>
    <w:rsid w:val="3D842E6B"/>
    <w:rsid w:val="3D88A06B"/>
    <w:rsid w:val="3D9170DE"/>
    <w:rsid w:val="3D9E9106"/>
    <w:rsid w:val="3DE9CC34"/>
    <w:rsid w:val="3DFA3DBD"/>
    <w:rsid w:val="3EA0C56F"/>
    <w:rsid w:val="3EBA947B"/>
    <w:rsid w:val="3EED9939"/>
    <w:rsid w:val="3F39F2A3"/>
    <w:rsid w:val="3F44665A"/>
    <w:rsid w:val="3F5BA8AD"/>
    <w:rsid w:val="3F82AB06"/>
    <w:rsid w:val="3F9EC4F2"/>
    <w:rsid w:val="3FAEB0A7"/>
    <w:rsid w:val="3FBC794B"/>
    <w:rsid w:val="3FFA8489"/>
    <w:rsid w:val="3FFCF459"/>
    <w:rsid w:val="4002E95E"/>
    <w:rsid w:val="4007518A"/>
    <w:rsid w:val="4040F70C"/>
    <w:rsid w:val="404C05F0"/>
    <w:rsid w:val="40617315"/>
    <w:rsid w:val="4061A235"/>
    <w:rsid w:val="408282BB"/>
    <w:rsid w:val="40993AA8"/>
    <w:rsid w:val="40A48172"/>
    <w:rsid w:val="40A8652A"/>
    <w:rsid w:val="40BAC953"/>
    <w:rsid w:val="41212378"/>
    <w:rsid w:val="41248D7E"/>
    <w:rsid w:val="4198C4BA"/>
    <w:rsid w:val="41A321EB"/>
    <w:rsid w:val="41AAE43B"/>
    <w:rsid w:val="41B2D1C1"/>
    <w:rsid w:val="41B3A47F"/>
    <w:rsid w:val="41CCCCDC"/>
    <w:rsid w:val="41F23F29"/>
    <w:rsid w:val="41F5EF25"/>
    <w:rsid w:val="4204021A"/>
    <w:rsid w:val="4207AC74"/>
    <w:rsid w:val="4209025F"/>
    <w:rsid w:val="42219E1F"/>
    <w:rsid w:val="422E09C7"/>
    <w:rsid w:val="42311B7B"/>
    <w:rsid w:val="42320B0E"/>
    <w:rsid w:val="42479484"/>
    <w:rsid w:val="425A74EC"/>
    <w:rsid w:val="42D18EA1"/>
    <w:rsid w:val="42D2A525"/>
    <w:rsid w:val="42E9CA08"/>
    <w:rsid w:val="42FF91C9"/>
    <w:rsid w:val="43013AB1"/>
    <w:rsid w:val="432A58A1"/>
    <w:rsid w:val="4338D3DA"/>
    <w:rsid w:val="43452B2D"/>
    <w:rsid w:val="434D6FB8"/>
    <w:rsid w:val="435CB847"/>
    <w:rsid w:val="4377E300"/>
    <w:rsid w:val="437E9229"/>
    <w:rsid w:val="43C1476E"/>
    <w:rsid w:val="43CA85C7"/>
    <w:rsid w:val="43E98B08"/>
    <w:rsid w:val="44219706"/>
    <w:rsid w:val="4434B52E"/>
    <w:rsid w:val="44443EAF"/>
    <w:rsid w:val="44483001"/>
    <w:rsid w:val="445377C9"/>
    <w:rsid w:val="4475E57B"/>
    <w:rsid w:val="449014CF"/>
    <w:rsid w:val="4492C458"/>
    <w:rsid w:val="44A46FAC"/>
    <w:rsid w:val="44BCB0AE"/>
    <w:rsid w:val="44D3C8DF"/>
    <w:rsid w:val="44DAC2AD"/>
    <w:rsid w:val="4548BAC4"/>
    <w:rsid w:val="4587FD48"/>
    <w:rsid w:val="45AEC23C"/>
    <w:rsid w:val="45CAACA1"/>
    <w:rsid w:val="460A6019"/>
    <w:rsid w:val="4611DE6F"/>
    <w:rsid w:val="463EED75"/>
    <w:rsid w:val="4668338A"/>
    <w:rsid w:val="466896C6"/>
    <w:rsid w:val="4669C60D"/>
    <w:rsid w:val="46F07619"/>
    <w:rsid w:val="47271102"/>
    <w:rsid w:val="475038F3"/>
    <w:rsid w:val="477D7990"/>
    <w:rsid w:val="477FD0C3"/>
    <w:rsid w:val="47CD1615"/>
    <w:rsid w:val="47DC433C"/>
    <w:rsid w:val="4805966E"/>
    <w:rsid w:val="4847FC28"/>
    <w:rsid w:val="486D4BC3"/>
    <w:rsid w:val="48750D5D"/>
    <w:rsid w:val="48EECAA0"/>
    <w:rsid w:val="48F02951"/>
    <w:rsid w:val="48F1168F"/>
    <w:rsid w:val="491664CF"/>
    <w:rsid w:val="491E6FB5"/>
    <w:rsid w:val="492C7EDB"/>
    <w:rsid w:val="4933D02E"/>
    <w:rsid w:val="496E6E53"/>
    <w:rsid w:val="49837C4D"/>
    <w:rsid w:val="49AF76E0"/>
    <w:rsid w:val="49FE7751"/>
    <w:rsid w:val="49FECCC4"/>
    <w:rsid w:val="4A0934C2"/>
    <w:rsid w:val="4A0E34E4"/>
    <w:rsid w:val="4A1275E9"/>
    <w:rsid w:val="4A1C2BE7"/>
    <w:rsid w:val="4A1F1109"/>
    <w:rsid w:val="4A7767E9"/>
    <w:rsid w:val="4A86DC3F"/>
    <w:rsid w:val="4AAA6D15"/>
    <w:rsid w:val="4AFDD359"/>
    <w:rsid w:val="4B207940"/>
    <w:rsid w:val="4B426309"/>
    <w:rsid w:val="4B446D16"/>
    <w:rsid w:val="4B4DE77C"/>
    <w:rsid w:val="4B5937CA"/>
    <w:rsid w:val="4B920FBC"/>
    <w:rsid w:val="4B9DED60"/>
    <w:rsid w:val="4BDD1B5A"/>
    <w:rsid w:val="4BE9D0EB"/>
    <w:rsid w:val="4BFFB3EE"/>
    <w:rsid w:val="4C2F7730"/>
    <w:rsid w:val="4C39D98C"/>
    <w:rsid w:val="4C8197E0"/>
    <w:rsid w:val="4C82A4CF"/>
    <w:rsid w:val="4CDE2F89"/>
    <w:rsid w:val="4D45D5A6"/>
    <w:rsid w:val="4D8D7420"/>
    <w:rsid w:val="4D908971"/>
    <w:rsid w:val="4DA3B80F"/>
    <w:rsid w:val="4DB187D4"/>
    <w:rsid w:val="4DCF002B"/>
    <w:rsid w:val="4DE468E7"/>
    <w:rsid w:val="4DF71434"/>
    <w:rsid w:val="4E1CEC6A"/>
    <w:rsid w:val="4E278E7B"/>
    <w:rsid w:val="4E2DE190"/>
    <w:rsid w:val="4E4169FF"/>
    <w:rsid w:val="4E78671B"/>
    <w:rsid w:val="4E791018"/>
    <w:rsid w:val="4E88254F"/>
    <w:rsid w:val="4EE0C648"/>
    <w:rsid w:val="4EF00F29"/>
    <w:rsid w:val="4EF2822C"/>
    <w:rsid w:val="4F04247A"/>
    <w:rsid w:val="4F4C097D"/>
    <w:rsid w:val="4F715BFA"/>
    <w:rsid w:val="4F97F3CD"/>
    <w:rsid w:val="4FA7F0C8"/>
    <w:rsid w:val="4FDB960D"/>
    <w:rsid w:val="502CA8ED"/>
    <w:rsid w:val="504312B5"/>
    <w:rsid w:val="505D18CB"/>
    <w:rsid w:val="5060B4D0"/>
    <w:rsid w:val="508FE072"/>
    <w:rsid w:val="50A6D51D"/>
    <w:rsid w:val="50DD1F07"/>
    <w:rsid w:val="5102BFAC"/>
    <w:rsid w:val="51159936"/>
    <w:rsid w:val="513FDB66"/>
    <w:rsid w:val="51584A4A"/>
    <w:rsid w:val="5159A52F"/>
    <w:rsid w:val="517DFE5C"/>
    <w:rsid w:val="518FB47B"/>
    <w:rsid w:val="519BC265"/>
    <w:rsid w:val="51A9F642"/>
    <w:rsid w:val="51B24BE7"/>
    <w:rsid w:val="51C542AE"/>
    <w:rsid w:val="51C9BD90"/>
    <w:rsid w:val="51DDD751"/>
    <w:rsid w:val="521CB96D"/>
    <w:rsid w:val="521EE0BE"/>
    <w:rsid w:val="5225AA9C"/>
    <w:rsid w:val="522A22EE"/>
    <w:rsid w:val="524B9AFB"/>
    <w:rsid w:val="52573FD3"/>
    <w:rsid w:val="526BCB1A"/>
    <w:rsid w:val="5278EF68"/>
    <w:rsid w:val="529268E5"/>
    <w:rsid w:val="52BAD137"/>
    <w:rsid w:val="5316F7A4"/>
    <w:rsid w:val="53BBE0F1"/>
    <w:rsid w:val="53C18E25"/>
    <w:rsid w:val="53FF50AC"/>
    <w:rsid w:val="54098F9C"/>
    <w:rsid w:val="540EEF4A"/>
    <w:rsid w:val="540F23BA"/>
    <w:rsid w:val="544562F6"/>
    <w:rsid w:val="545DF6AB"/>
    <w:rsid w:val="54771CDC"/>
    <w:rsid w:val="54970514"/>
    <w:rsid w:val="54B9B642"/>
    <w:rsid w:val="54F1774E"/>
    <w:rsid w:val="54F2CF2F"/>
    <w:rsid w:val="55188724"/>
    <w:rsid w:val="5542FBC1"/>
    <w:rsid w:val="5583AD22"/>
    <w:rsid w:val="559A1D90"/>
    <w:rsid w:val="559AD2FD"/>
    <w:rsid w:val="55FFBE6A"/>
    <w:rsid w:val="560DE52D"/>
    <w:rsid w:val="566D67D2"/>
    <w:rsid w:val="567B0C77"/>
    <w:rsid w:val="56842B0A"/>
    <w:rsid w:val="568B780B"/>
    <w:rsid w:val="56ED693C"/>
    <w:rsid w:val="57126EA3"/>
    <w:rsid w:val="571F0172"/>
    <w:rsid w:val="575CBA14"/>
    <w:rsid w:val="57BA5384"/>
    <w:rsid w:val="57CB3ACC"/>
    <w:rsid w:val="580F5EDC"/>
    <w:rsid w:val="583CF5DA"/>
    <w:rsid w:val="5840F753"/>
    <w:rsid w:val="5845989C"/>
    <w:rsid w:val="5868C8B6"/>
    <w:rsid w:val="5872CF94"/>
    <w:rsid w:val="58E7712A"/>
    <w:rsid w:val="58F4A934"/>
    <w:rsid w:val="592C278D"/>
    <w:rsid w:val="593167CE"/>
    <w:rsid w:val="59337905"/>
    <w:rsid w:val="593BDC84"/>
    <w:rsid w:val="593DB183"/>
    <w:rsid w:val="594A902B"/>
    <w:rsid w:val="597EF59F"/>
    <w:rsid w:val="59A9B93F"/>
    <w:rsid w:val="59AA867C"/>
    <w:rsid w:val="59DCC7B4"/>
    <w:rsid w:val="59E42BC6"/>
    <w:rsid w:val="5A019389"/>
    <w:rsid w:val="5A227755"/>
    <w:rsid w:val="5A2E928C"/>
    <w:rsid w:val="5A4A0F65"/>
    <w:rsid w:val="5A4D893F"/>
    <w:rsid w:val="5A5974C0"/>
    <w:rsid w:val="5A616DB9"/>
    <w:rsid w:val="5A7A8B6E"/>
    <w:rsid w:val="5A97055A"/>
    <w:rsid w:val="5A9B8263"/>
    <w:rsid w:val="5AA54D55"/>
    <w:rsid w:val="5ACCD275"/>
    <w:rsid w:val="5AD897B2"/>
    <w:rsid w:val="5AF70A10"/>
    <w:rsid w:val="5B0FA40E"/>
    <w:rsid w:val="5B3F42CB"/>
    <w:rsid w:val="5B915144"/>
    <w:rsid w:val="5B9B8B72"/>
    <w:rsid w:val="5B9EDB26"/>
    <w:rsid w:val="5BAF02D7"/>
    <w:rsid w:val="5BB11679"/>
    <w:rsid w:val="5BC0DA5F"/>
    <w:rsid w:val="5BCF6291"/>
    <w:rsid w:val="5BDD73A7"/>
    <w:rsid w:val="5BE25D2A"/>
    <w:rsid w:val="5BE691B5"/>
    <w:rsid w:val="5BEF596A"/>
    <w:rsid w:val="5C32D5BB"/>
    <w:rsid w:val="5C46C2E3"/>
    <w:rsid w:val="5CA28DD0"/>
    <w:rsid w:val="5D665759"/>
    <w:rsid w:val="5D9B27FA"/>
    <w:rsid w:val="5DA7865C"/>
    <w:rsid w:val="5DBEB446"/>
    <w:rsid w:val="5DC9C5F1"/>
    <w:rsid w:val="5DEF3F6C"/>
    <w:rsid w:val="5DEFBDC6"/>
    <w:rsid w:val="5DF6B22E"/>
    <w:rsid w:val="5E162E59"/>
    <w:rsid w:val="5E23BBD7"/>
    <w:rsid w:val="5E56E47F"/>
    <w:rsid w:val="5E5F7B4F"/>
    <w:rsid w:val="5E68CF90"/>
    <w:rsid w:val="5E6DC783"/>
    <w:rsid w:val="5E6E9BE7"/>
    <w:rsid w:val="5E7E734A"/>
    <w:rsid w:val="5E84531B"/>
    <w:rsid w:val="5EDA51EF"/>
    <w:rsid w:val="5EEC1309"/>
    <w:rsid w:val="5F102363"/>
    <w:rsid w:val="5F49AC69"/>
    <w:rsid w:val="5F6AFB7A"/>
    <w:rsid w:val="5F75F159"/>
    <w:rsid w:val="5F7C8AA4"/>
    <w:rsid w:val="5F8CC467"/>
    <w:rsid w:val="5F9B3B86"/>
    <w:rsid w:val="5FA3B28B"/>
    <w:rsid w:val="5FDA4010"/>
    <w:rsid w:val="5FDB00B9"/>
    <w:rsid w:val="6017F974"/>
    <w:rsid w:val="60320E1D"/>
    <w:rsid w:val="6086E8D0"/>
    <w:rsid w:val="608AC281"/>
    <w:rsid w:val="6098FB9B"/>
    <w:rsid w:val="609E6C4D"/>
    <w:rsid w:val="60A2249C"/>
    <w:rsid w:val="60A6CC7C"/>
    <w:rsid w:val="60BBC049"/>
    <w:rsid w:val="60D7C40A"/>
    <w:rsid w:val="60F17C58"/>
    <w:rsid w:val="60F262B6"/>
    <w:rsid w:val="60F288C1"/>
    <w:rsid w:val="61110B6B"/>
    <w:rsid w:val="612C4F9E"/>
    <w:rsid w:val="6137DEA5"/>
    <w:rsid w:val="61476459"/>
    <w:rsid w:val="618993CF"/>
    <w:rsid w:val="6198CE8B"/>
    <w:rsid w:val="61D9E176"/>
    <w:rsid w:val="61E705C4"/>
    <w:rsid w:val="61F1BFA0"/>
    <w:rsid w:val="6209B8F7"/>
    <w:rsid w:val="623B9679"/>
    <w:rsid w:val="62454F1C"/>
    <w:rsid w:val="6248B8C6"/>
    <w:rsid w:val="62771BC9"/>
    <w:rsid w:val="629FFAE8"/>
    <w:rsid w:val="62AA0415"/>
    <w:rsid w:val="62BABAB8"/>
    <w:rsid w:val="62BF986F"/>
    <w:rsid w:val="62E25A5E"/>
    <w:rsid w:val="62F790CA"/>
    <w:rsid w:val="62F904CA"/>
    <w:rsid w:val="6328ED0E"/>
    <w:rsid w:val="63349F78"/>
    <w:rsid w:val="6335C1A3"/>
    <w:rsid w:val="6359FF09"/>
    <w:rsid w:val="639EF5AD"/>
    <w:rsid w:val="63A288F8"/>
    <w:rsid w:val="63CE71B0"/>
    <w:rsid w:val="64143390"/>
    <w:rsid w:val="64390775"/>
    <w:rsid w:val="64587E43"/>
    <w:rsid w:val="645D31FE"/>
    <w:rsid w:val="648601A6"/>
    <w:rsid w:val="64B0AF8E"/>
    <w:rsid w:val="64C9C984"/>
    <w:rsid w:val="64CEBCD3"/>
    <w:rsid w:val="64CFDA0C"/>
    <w:rsid w:val="64E00A7B"/>
    <w:rsid w:val="64EED5C7"/>
    <w:rsid w:val="651CE050"/>
    <w:rsid w:val="653ED062"/>
    <w:rsid w:val="6558ECFB"/>
    <w:rsid w:val="655AD89A"/>
    <w:rsid w:val="65683A88"/>
    <w:rsid w:val="6598A8CE"/>
    <w:rsid w:val="65BA6456"/>
    <w:rsid w:val="65CCDB44"/>
    <w:rsid w:val="65D13BFA"/>
    <w:rsid w:val="65D77D60"/>
    <w:rsid w:val="65E2911D"/>
    <w:rsid w:val="6606B2B5"/>
    <w:rsid w:val="661C6252"/>
    <w:rsid w:val="6626B014"/>
    <w:rsid w:val="667952AE"/>
    <w:rsid w:val="66852980"/>
    <w:rsid w:val="6689B2F5"/>
    <w:rsid w:val="6689FEA3"/>
    <w:rsid w:val="6691559E"/>
    <w:rsid w:val="66A3F997"/>
    <w:rsid w:val="66A49032"/>
    <w:rsid w:val="66AF8E9C"/>
    <w:rsid w:val="66B74923"/>
    <w:rsid w:val="66B8B0B1"/>
    <w:rsid w:val="66D73F5B"/>
    <w:rsid w:val="672F3AD6"/>
    <w:rsid w:val="67395128"/>
    <w:rsid w:val="6768ABA5"/>
    <w:rsid w:val="678CA8D1"/>
    <w:rsid w:val="6790B904"/>
    <w:rsid w:val="6797DECE"/>
    <w:rsid w:val="67E47423"/>
    <w:rsid w:val="67FB41A4"/>
    <w:rsid w:val="6808AB93"/>
    <w:rsid w:val="680FD102"/>
    <w:rsid w:val="6815CA51"/>
    <w:rsid w:val="6828EDD5"/>
    <w:rsid w:val="682D702C"/>
    <w:rsid w:val="6832E99F"/>
    <w:rsid w:val="683ADE9C"/>
    <w:rsid w:val="683DF2C0"/>
    <w:rsid w:val="68548112"/>
    <w:rsid w:val="686A3E5D"/>
    <w:rsid w:val="688A7150"/>
    <w:rsid w:val="689FDB4A"/>
    <w:rsid w:val="68AD1FF7"/>
    <w:rsid w:val="68E9851F"/>
    <w:rsid w:val="68F9259A"/>
    <w:rsid w:val="692C071E"/>
    <w:rsid w:val="6966FB0D"/>
    <w:rsid w:val="6985E5CB"/>
    <w:rsid w:val="69D8875E"/>
    <w:rsid w:val="69E55085"/>
    <w:rsid w:val="69EB6D23"/>
    <w:rsid w:val="6A107396"/>
    <w:rsid w:val="6A25A948"/>
    <w:rsid w:val="6A39008D"/>
    <w:rsid w:val="6A61743F"/>
    <w:rsid w:val="6A78EFAA"/>
    <w:rsid w:val="6AA22C1C"/>
    <w:rsid w:val="6AA25EED"/>
    <w:rsid w:val="6AACCC79"/>
    <w:rsid w:val="6AC00350"/>
    <w:rsid w:val="6ACBCEAC"/>
    <w:rsid w:val="6AD5936A"/>
    <w:rsid w:val="6AED3736"/>
    <w:rsid w:val="6B1892B7"/>
    <w:rsid w:val="6B1A8E3A"/>
    <w:rsid w:val="6B24D5FA"/>
    <w:rsid w:val="6B6510EE"/>
    <w:rsid w:val="6B873D84"/>
    <w:rsid w:val="6BADCC46"/>
    <w:rsid w:val="6BBB3D6F"/>
    <w:rsid w:val="6BD77C0C"/>
    <w:rsid w:val="6BDC1A2B"/>
    <w:rsid w:val="6C1D406E"/>
    <w:rsid w:val="6C3E2F4E"/>
    <w:rsid w:val="6C42ACAA"/>
    <w:rsid w:val="6C4C621E"/>
    <w:rsid w:val="6C765090"/>
    <w:rsid w:val="6C7781BF"/>
    <w:rsid w:val="6C7D4512"/>
    <w:rsid w:val="6C8B18DF"/>
    <w:rsid w:val="6C9E9BCF"/>
    <w:rsid w:val="6CC51FD3"/>
    <w:rsid w:val="6CD3DFE1"/>
    <w:rsid w:val="6D2B1931"/>
    <w:rsid w:val="6D3DB1AC"/>
    <w:rsid w:val="6D4E9444"/>
    <w:rsid w:val="6D734C6D"/>
    <w:rsid w:val="6D75C4D8"/>
    <w:rsid w:val="6D7B975F"/>
    <w:rsid w:val="6DD9FFAF"/>
    <w:rsid w:val="6DDA39BC"/>
    <w:rsid w:val="6DEB268D"/>
    <w:rsid w:val="6DEB77EF"/>
    <w:rsid w:val="6DEC31F5"/>
    <w:rsid w:val="6DECB6BC"/>
    <w:rsid w:val="6E04F912"/>
    <w:rsid w:val="6E072052"/>
    <w:rsid w:val="6E078F5B"/>
    <w:rsid w:val="6E1D8229"/>
    <w:rsid w:val="6E21186F"/>
    <w:rsid w:val="6E670F60"/>
    <w:rsid w:val="6E732076"/>
    <w:rsid w:val="6E742240"/>
    <w:rsid w:val="6E951088"/>
    <w:rsid w:val="6ECD999A"/>
    <w:rsid w:val="6ECE6114"/>
    <w:rsid w:val="6ED1A8F8"/>
    <w:rsid w:val="6ED51BE2"/>
    <w:rsid w:val="6EE6B82E"/>
    <w:rsid w:val="6F27A388"/>
    <w:rsid w:val="6F27E59C"/>
    <w:rsid w:val="6F3B8295"/>
    <w:rsid w:val="6F5A952D"/>
    <w:rsid w:val="6F635051"/>
    <w:rsid w:val="6F81FC08"/>
    <w:rsid w:val="6FA2842E"/>
    <w:rsid w:val="6FAC511F"/>
    <w:rsid w:val="6FBC9A78"/>
    <w:rsid w:val="6FDF2FFD"/>
    <w:rsid w:val="6FEDC10E"/>
    <w:rsid w:val="6FF5BE7C"/>
    <w:rsid w:val="700151DC"/>
    <w:rsid w:val="7022643C"/>
    <w:rsid w:val="7023AD0F"/>
    <w:rsid w:val="7044F246"/>
    <w:rsid w:val="7047710E"/>
    <w:rsid w:val="7052EBA7"/>
    <w:rsid w:val="70AA8DE3"/>
    <w:rsid w:val="70CA2C07"/>
    <w:rsid w:val="7102E5A0"/>
    <w:rsid w:val="71043553"/>
    <w:rsid w:val="71076750"/>
    <w:rsid w:val="7125D71B"/>
    <w:rsid w:val="71425DE8"/>
    <w:rsid w:val="717F3667"/>
    <w:rsid w:val="718214F2"/>
    <w:rsid w:val="718D89B2"/>
    <w:rsid w:val="719534B7"/>
    <w:rsid w:val="71B71E29"/>
    <w:rsid w:val="71E40131"/>
    <w:rsid w:val="71EF6A9C"/>
    <w:rsid w:val="72062714"/>
    <w:rsid w:val="72073296"/>
    <w:rsid w:val="721F21C1"/>
    <w:rsid w:val="72412F4B"/>
    <w:rsid w:val="7288F7AA"/>
    <w:rsid w:val="72F52FD1"/>
    <w:rsid w:val="72FF47FD"/>
    <w:rsid w:val="7330F886"/>
    <w:rsid w:val="73370DD6"/>
    <w:rsid w:val="73469199"/>
    <w:rsid w:val="739B9DB5"/>
    <w:rsid w:val="739CB0CB"/>
    <w:rsid w:val="73A920A7"/>
    <w:rsid w:val="73A99779"/>
    <w:rsid w:val="73B4B8CB"/>
    <w:rsid w:val="73E230D1"/>
    <w:rsid w:val="74187C9F"/>
    <w:rsid w:val="747369BE"/>
    <w:rsid w:val="7474685A"/>
    <w:rsid w:val="748D90B7"/>
    <w:rsid w:val="74BF965A"/>
    <w:rsid w:val="74E1C160"/>
    <w:rsid w:val="7564D8D5"/>
    <w:rsid w:val="75C1943F"/>
    <w:rsid w:val="75CF5341"/>
    <w:rsid w:val="76459F2F"/>
    <w:rsid w:val="7656B8A9"/>
    <w:rsid w:val="769CC0E7"/>
    <w:rsid w:val="76BA161A"/>
    <w:rsid w:val="7721AA54"/>
    <w:rsid w:val="777D2655"/>
    <w:rsid w:val="77912957"/>
    <w:rsid w:val="77DB2309"/>
    <w:rsid w:val="77E3AEC9"/>
    <w:rsid w:val="77F4C949"/>
    <w:rsid w:val="7838D537"/>
    <w:rsid w:val="786EEB8A"/>
    <w:rsid w:val="78DAD3CA"/>
    <w:rsid w:val="7917041C"/>
    <w:rsid w:val="791734BE"/>
    <w:rsid w:val="791BB0DC"/>
    <w:rsid w:val="7931E39E"/>
    <w:rsid w:val="7937C406"/>
    <w:rsid w:val="7963BBEC"/>
    <w:rsid w:val="79A54F00"/>
    <w:rsid w:val="79A93C29"/>
    <w:rsid w:val="7A1B2D05"/>
    <w:rsid w:val="7A40949E"/>
    <w:rsid w:val="7A7102E4"/>
    <w:rsid w:val="7A99C248"/>
    <w:rsid w:val="7AA56542"/>
    <w:rsid w:val="7AB21167"/>
    <w:rsid w:val="7AD9A7A6"/>
    <w:rsid w:val="7AFC630D"/>
    <w:rsid w:val="7AFF55AF"/>
    <w:rsid w:val="7B0E8FE6"/>
    <w:rsid w:val="7B20E877"/>
    <w:rsid w:val="7B38480D"/>
    <w:rsid w:val="7B42E74A"/>
    <w:rsid w:val="7B4A023E"/>
    <w:rsid w:val="7B626514"/>
    <w:rsid w:val="7BA8477C"/>
    <w:rsid w:val="7BB6B336"/>
    <w:rsid w:val="7BBA7E73"/>
    <w:rsid w:val="7BBD61EA"/>
    <w:rsid w:val="7C069251"/>
    <w:rsid w:val="7C0CB22B"/>
    <w:rsid w:val="7C1FAF1B"/>
    <w:rsid w:val="7C323261"/>
    <w:rsid w:val="7C6705FE"/>
    <w:rsid w:val="7C7EA66A"/>
    <w:rsid w:val="7C94E18F"/>
    <w:rsid w:val="7C9ED046"/>
    <w:rsid w:val="7CD7616E"/>
    <w:rsid w:val="7CDEC15B"/>
    <w:rsid w:val="7CE0CB0E"/>
    <w:rsid w:val="7CF11190"/>
    <w:rsid w:val="7D094717"/>
    <w:rsid w:val="7D157C1A"/>
    <w:rsid w:val="7D29579E"/>
    <w:rsid w:val="7D47E33A"/>
    <w:rsid w:val="7D5ECAF8"/>
    <w:rsid w:val="7D609B0C"/>
    <w:rsid w:val="7D723B68"/>
    <w:rsid w:val="7DA2CA6A"/>
    <w:rsid w:val="7DC14F9C"/>
    <w:rsid w:val="7DD5FBFC"/>
    <w:rsid w:val="7DF27AEF"/>
    <w:rsid w:val="7E1A76CB"/>
    <w:rsid w:val="7E3403CF"/>
    <w:rsid w:val="7E617CA3"/>
    <w:rsid w:val="7E6D0234"/>
    <w:rsid w:val="7E78C023"/>
    <w:rsid w:val="7E822103"/>
    <w:rsid w:val="7EC29189"/>
    <w:rsid w:val="7F08637F"/>
    <w:rsid w:val="7F190844"/>
    <w:rsid w:val="7F2C2BC7"/>
    <w:rsid w:val="7F31C3C3"/>
    <w:rsid w:val="7F56DBF6"/>
    <w:rsid w:val="7F574FDD"/>
    <w:rsid w:val="7F9A8F19"/>
    <w:rsid w:val="7FDF96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BCD6E8E"/>
  <w15:docId w15:val="{8B382742-627F-4D59-919D-8C0144BBC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262"/>
    <w:pPr>
      <w:autoSpaceDE w:val="0"/>
      <w:autoSpaceDN w:val="0"/>
      <w:adjustRightInd w:val="0"/>
      <w:spacing w:after="200" w:line="276" w:lineRule="auto"/>
    </w:pPr>
    <w:rPr>
      <w:rFonts w:eastAsia="Times New Roman" w:cs="Arial"/>
      <w:lang w:eastAsia="en-US"/>
    </w:rPr>
  </w:style>
  <w:style w:type="paragraph" w:styleId="Heading1">
    <w:name w:val="heading 1"/>
    <w:basedOn w:val="Header"/>
    <w:next w:val="Normal"/>
    <w:link w:val="Heading1Char"/>
    <w:uiPriority w:val="9"/>
    <w:qFormat/>
    <w:rsid w:val="00343E78"/>
    <w:pPr>
      <w:keepNext/>
      <w:jc w:val="center"/>
      <w:outlineLvl w:val="0"/>
    </w:pPr>
    <w:rPr>
      <w:b/>
      <w:sz w:val="24"/>
    </w:rPr>
  </w:style>
  <w:style w:type="paragraph" w:styleId="Heading2">
    <w:name w:val="heading 2"/>
    <w:basedOn w:val="Header"/>
    <w:next w:val="Normal"/>
    <w:link w:val="Heading2Char"/>
    <w:uiPriority w:val="9"/>
    <w:qFormat/>
    <w:rsid w:val="00343E78"/>
    <w:pPr>
      <w:keepNext/>
      <w:keepLines/>
      <w:tabs>
        <w:tab w:val="left" w:pos="2835"/>
      </w:tabs>
      <w:jc w:val="center"/>
      <w:outlineLvl w:val="1"/>
    </w:pPr>
    <w:rPr>
      <w:b/>
      <w:lang w:eastAsia="en-AU"/>
    </w:rPr>
  </w:style>
  <w:style w:type="paragraph" w:styleId="Heading3">
    <w:name w:val="heading 3"/>
    <w:basedOn w:val="tablelabel"/>
    <w:next w:val="Normal"/>
    <w:link w:val="Heading3Char"/>
    <w:uiPriority w:val="9"/>
    <w:qFormat/>
    <w:rsid w:val="00343E78"/>
    <w:pPr>
      <w:keepNext/>
      <w:spacing w:before="200"/>
      <w:outlineLvl w:val="2"/>
    </w:pPr>
    <w:rPr>
      <w:sz w:val="20"/>
    </w:rPr>
  </w:style>
  <w:style w:type="paragraph" w:styleId="Heading4">
    <w:name w:val="heading 4"/>
    <w:basedOn w:val="PlainText"/>
    <w:next w:val="Normal"/>
    <w:link w:val="Heading4Char"/>
    <w:uiPriority w:val="9"/>
    <w:qFormat/>
    <w:rsid w:val="00343E78"/>
    <w:pPr>
      <w:keepNext/>
      <w:outlineLvl w:val="3"/>
    </w:pPr>
    <w:rPr>
      <w:rFonts w:ascii="Arial" w:eastAsia="Times New Roman" w:hAnsi="Arial" w:cs="Arial"/>
      <w:sz w:val="20"/>
      <w:szCs w:val="20"/>
      <w:u w:val="single"/>
    </w:rPr>
  </w:style>
  <w:style w:type="paragraph" w:styleId="Heading5">
    <w:name w:val="heading 5"/>
    <w:basedOn w:val="PlainText"/>
    <w:next w:val="Normal"/>
    <w:link w:val="Heading5Char"/>
    <w:uiPriority w:val="9"/>
    <w:unhideWhenUsed/>
    <w:qFormat/>
    <w:rsid w:val="00343E78"/>
    <w:pPr>
      <w:keepNext/>
      <w:outlineLvl w:val="4"/>
    </w:pPr>
    <w:rPr>
      <w:rFonts w:ascii="Arial" w:eastAsia="Times New Roman" w:hAnsi="Arial" w:cs="Arial"/>
      <w:i/>
      <w:sz w:val="20"/>
      <w:szCs w:val="20"/>
    </w:rPr>
  </w:style>
  <w:style w:type="paragraph" w:styleId="Heading6">
    <w:name w:val="heading 6"/>
    <w:basedOn w:val="tablelabel"/>
    <w:next w:val="Normal"/>
    <w:link w:val="Heading6Char"/>
    <w:uiPriority w:val="9"/>
    <w:unhideWhenUsed/>
    <w:qFormat/>
    <w:rsid w:val="00D622B9"/>
    <w:pPr>
      <w:spacing w:after="0"/>
      <w:outlineLvl w:val="5"/>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qFormat/>
    <w:rsid w:val="00637239"/>
    <w:pPr>
      <w:pBdr>
        <w:top w:val="single" w:sz="4" w:space="1" w:color="auto"/>
      </w:pBdr>
      <w:tabs>
        <w:tab w:val="center" w:pos="4513"/>
        <w:tab w:val="right" w:pos="9026"/>
      </w:tabs>
      <w:spacing w:after="0"/>
    </w:pPr>
    <w:rPr>
      <w:sz w:val="12"/>
    </w:rPr>
  </w:style>
  <w:style w:type="character" w:customStyle="1" w:styleId="FooterChar">
    <w:name w:val="Footer Char"/>
    <w:basedOn w:val="DefaultParagraphFont"/>
    <w:link w:val="Footer"/>
    <w:uiPriority w:val="99"/>
    <w:rsid w:val="00637239"/>
    <w:rPr>
      <w:rFonts w:eastAsia="Times New Roman" w:cs="Arial"/>
      <w:sz w:val="12"/>
      <w:lang w:eastAsia="en-US"/>
    </w:rPr>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2"/>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3"/>
      </w:numPr>
    </w:pPr>
  </w:style>
  <w:style w:type="paragraph" w:customStyle="1" w:styleId="1BulletStyleList">
    <w:name w:val="1. Bullet Style List"/>
    <w:basedOn w:val="Normal"/>
    <w:rsid w:val="00CE71C2"/>
    <w:rPr>
      <w:lang w:eastAsia="en-AU"/>
    </w:rPr>
  </w:style>
  <w:style w:type="character" w:customStyle="1" w:styleId="Heading1Char">
    <w:name w:val="Heading 1 Char"/>
    <w:basedOn w:val="DefaultParagraphFont"/>
    <w:link w:val="Heading1"/>
    <w:uiPriority w:val="9"/>
    <w:rsid w:val="00343E78"/>
    <w:rPr>
      <w:rFonts w:eastAsia="Times New Roman" w:cs="Arial"/>
      <w:b/>
      <w:sz w:val="24"/>
      <w:lang w:eastAsia="en-US"/>
    </w:rPr>
  </w:style>
  <w:style w:type="character" w:customStyle="1" w:styleId="Heading2Char">
    <w:name w:val="Heading 2 Char"/>
    <w:basedOn w:val="DefaultParagraphFont"/>
    <w:link w:val="Heading2"/>
    <w:uiPriority w:val="9"/>
    <w:rsid w:val="00343E78"/>
    <w:rPr>
      <w:rFonts w:eastAsia="Times New Roman" w:cs="Arial"/>
      <w:b/>
    </w:rPr>
  </w:style>
  <w:style w:type="character" w:customStyle="1" w:styleId="Heading3Char">
    <w:name w:val="Heading 3 Char"/>
    <w:basedOn w:val="DefaultParagraphFont"/>
    <w:link w:val="Heading3"/>
    <w:uiPriority w:val="9"/>
    <w:rsid w:val="00343E78"/>
    <w:rPr>
      <w:rFonts w:eastAsia="Times New Roman" w:cs="Arial"/>
      <w:b/>
      <w:lang w:eastAsia="en-US"/>
    </w:rPr>
  </w:style>
  <w:style w:type="character" w:customStyle="1" w:styleId="Heading4Char">
    <w:name w:val="Heading 4 Char"/>
    <w:basedOn w:val="DefaultParagraphFont"/>
    <w:link w:val="Heading4"/>
    <w:uiPriority w:val="9"/>
    <w:rsid w:val="00343E78"/>
    <w:rPr>
      <w:rFonts w:eastAsia="Times New Roman" w:cs="Arial"/>
      <w:u w:val="single"/>
      <w:lang w:eastAsia="en-US"/>
    </w:rPr>
  </w:style>
  <w:style w:type="paragraph" w:styleId="ListBullet">
    <w:name w:val="List Bullet"/>
    <w:basedOn w:val="Normal"/>
    <w:uiPriority w:val="99"/>
    <w:unhideWhenUsed/>
    <w:qFormat/>
    <w:rsid w:val="00D441B2"/>
    <w:pPr>
      <w:ind w:left="720" w:hanging="360"/>
    </w:pPr>
    <w:rPr>
      <w:lang w:val="en-US"/>
    </w:rPr>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style>
  <w:style w:type="paragraph" w:styleId="ListBullet4">
    <w:name w:val="List Bullet 4"/>
    <w:basedOn w:val="Normal"/>
    <w:uiPriority w:val="99"/>
    <w:unhideWhenUsed/>
    <w:rsid w:val="00091608"/>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rsid w:val="00646122"/>
    <w:pPr>
      <w:tabs>
        <w:tab w:val="center" w:pos="4536"/>
        <w:tab w:val="center" w:pos="4819"/>
        <w:tab w:val="right" w:pos="9356"/>
      </w:tabs>
      <w:spacing w:after="240"/>
      <w:jc w:val="center"/>
    </w:pPr>
    <w:rPr>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186465"/>
    <w:pPr>
      <w:ind w:left="511" w:hanging="369"/>
    </w:pPr>
  </w:style>
  <w:style w:type="paragraph" w:styleId="ListNumber2">
    <w:name w:val="List Number 2"/>
    <w:basedOn w:val="Normal"/>
    <w:uiPriority w:val="99"/>
    <w:qFormat/>
    <w:rsid w:val="00186465"/>
    <w:pPr>
      <w:numPr>
        <w:ilvl w:val="1"/>
        <w:numId w:val="6"/>
      </w:numPr>
    </w:pPr>
  </w:style>
  <w:style w:type="paragraph" w:styleId="ListNumber3">
    <w:name w:val="List Number 3"/>
    <w:basedOn w:val="Normal"/>
    <w:uiPriority w:val="99"/>
    <w:qFormat/>
    <w:rsid w:val="009E79B6"/>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D622B9"/>
    <w:pPr>
      <w:spacing w:after="0"/>
    </w:pPr>
  </w:style>
  <w:style w:type="paragraph" w:customStyle="1" w:styleId="tablelabel">
    <w:name w:val="table label"/>
    <w:basedOn w:val="Normal"/>
    <w:rsid w:val="001765DA"/>
    <w:rPr>
      <w:b/>
      <w:sz w:val="16"/>
    </w:rPr>
  </w:style>
  <w:style w:type="paragraph" w:customStyle="1" w:styleId="Default">
    <w:name w:val="Default"/>
    <w:rsid w:val="00737CBA"/>
    <w:pPr>
      <w:autoSpaceDE w:val="0"/>
      <w:autoSpaceDN w:val="0"/>
      <w:adjustRightInd w:val="0"/>
    </w:pPr>
    <w:rPr>
      <w:rFonts w:ascii="Calibri" w:hAnsi="Calibri" w:cs="Calibri"/>
      <w:color w:val="000000"/>
      <w:sz w:val="24"/>
      <w:szCs w:val="24"/>
    </w:rPr>
  </w:style>
  <w:style w:type="character" w:styleId="Hyperlink">
    <w:name w:val="Hyperlink"/>
    <w:basedOn w:val="DefaultParagraphFont"/>
    <w:uiPriority w:val="99"/>
    <w:unhideWhenUsed/>
    <w:rsid w:val="002A5EC3"/>
    <w:rPr>
      <w:color w:val="0000FF" w:themeColor="hyperlink"/>
      <w:u w:val="single"/>
    </w:rPr>
  </w:style>
  <w:style w:type="paragraph" w:styleId="Revision">
    <w:name w:val="Revision"/>
    <w:hidden/>
    <w:uiPriority w:val="99"/>
    <w:semiHidden/>
    <w:rsid w:val="008B1627"/>
    <w:rPr>
      <w:rFonts w:ascii="Times New Roman" w:eastAsia="Times New Roman" w:hAnsi="Times New Roman"/>
      <w:sz w:val="24"/>
      <w:szCs w:val="24"/>
      <w:lang w:eastAsia="en-US"/>
    </w:rPr>
  </w:style>
  <w:style w:type="paragraph" w:styleId="PlainText">
    <w:name w:val="Plain Text"/>
    <w:basedOn w:val="Normal"/>
    <w:link w:val="PlainTextChar"/>
    <w:uiPriority w:val="99"/>
    <w:unhideWhenUsed/>
    <w:rsid w:val="00D00281"/>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D00281"/>
    <w:rPr>
      <w:rFonts w:ascii="Consolas" w:eastAsiaTheme="minorHAnsi" w:hAnsi="Consolas" w:cstheme="minorBidi"/>
      <w:sz w:val="21"/>
      <w:szCs w:val="21"/>
      <w:lang w:eastAsia="en-US"/>
    </w:rPr>
  </w:style>
  <w:style w:type="character" w:customStyle="1" w:styleId="Heading5Char">
    <w:name w:val="Heading 5 Char"/>
    <w:basedOn w:val="DefaultParagraphFont"/>
    <w:link w:val="Heading5"/>
    <w:uiPriority w:val="9"/>
    <w:rsid w:val="00343E78"/>
    <w:rPr>
      <w:rFonts w:eastAsia="Times New Roman" w:cs="Arial"/>
      <w:i/>
      <w:lang w:eastAsia="en-US"/>
    </w:rPr>
  </w:style>
  <w:style w:type="character" w:styleId="CommentReference">
    <w:name w:val="annotation reference"/>
    <w:basedOn w:val="DefaultParagraphFont"/>
    <w:uiPriority w:val="99"/>
    <w:semiHidden/>
    <w:unhideWhenUsed/>
    <w:rsid w:val="003E2135"/>
    <w:rPr>
      <w:sz w:val="16"/>
      <w:szCs w:val="16"/>
    </w:rPr>
  </w:style>
  <w:style w:type="paragraph" w:styleId="CommentText">
    <w:name w:val="annotation text"/>
    <w:basedOn w:val="Normal"/>
    <w:link w:val="CommentTextChar"/>
    <w:uiPriority w:val="99"/>
    <w:unhideWhenUsed/>
    <w:rsid w:val="003E2135"/>
  </w:style>
  <w:style w:type="character" w:customStyle="1" w:styleId="CommentTextChar">
    <w:name w:val="Comment Text Char"/>
    <w:basedOn w:val="DefaultParagraphFont"/>
    <w:link w:val="CommentText"/>
    <w:uiPriority w:val="99"/>
    <w:rsid w:val="003E2135"/>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3E2135"/>
    <w:rPr>
      <w:b/>
      <w:bCs/>
    </w:rPr>
  </w:style>
  <w:style w:type="character" w:customStyle="1" w:styleId="CommentSubjectChar">
    <w:name w:val="Comment Subject Char"/>
    <w:basedOn w:val="CommentTextChar"/>
    <w:link w:val="CommentSubject"/>
    <w:uiPriority w:val="99"/>
    <w:semiHidden/>
    <w:rsid w:val="003E2135"/>
    <w:rPr>
      <w:rFonts w:ascii="Times New Roman" w:eastAsia="Times New Roman" w:hAnsi="Times New Roman"/>
      <w:b/>
      <w:bCs/>
      <w:lang w:eastAsia="en-US"/>
    </w:rPr>
  </w:style>
  <w:style w:type="paragraph" w:customStyle="1" w:styleId="Question">
    <w:name w:val="Question"/>
    <w:basedOn w:val="Normal"/>
    <w:link w:val="QuestionChar"/>
    <w:qFormat/>
    <w:rsid w:val="00186465"/>
    <w:pPr>
      <w:pBdr>
        <w:top w:val="single" w:sz="4" w:space="1" w:color="auto"/>
        <w:left w:val="single" w:sz="4" w:space="4" w:color="auto"/>
        <w:bottom w:val="single" w:sz="4" w:space="1" w:color="auto"/>
        <w:right w:val="single" w:sz="4" w:space="4" w:color="auto"/>
      </w:pBdr>
    </w:pPr>
  </w:style>
  <w:style w:type="character" w:customStyle="1" w:styleId="Heading6Char">
    <w:name w:val="Heading 6 Char"/>
    <w:basedOn w:val="DefaultParagraphFont"/>
    <w:link w:val="Heading6"/>
    <w:uiPriority w:val="9"/>
    <w:rsid w:val="00D622B9"/>
    <w:rPr>
      <w:rFonts w:eastAsia="Times New Roman" w:cs="Arial"/>
      <w:b/>
      <w:lang w:eastAsia="en-US"/>
    </w:rPr>
  </w:style>
  <w:style w:type="character" w:customStyle="1" w:styleId="QuestionChar">
    <w:name w:val="Question Char"/>
    <w:basedOn w:val="DefaultParagraphFont"/>
    <w:link w:val="Question"/>
    <w:rsid w:val="00186465"/>
    <w:rPr>
      <w:rFonts w:eastAsia="Times New Roman" w:cs="Arial"/>
      <w:lang w:eastAsia="en-US"/>
    </w:rPr>
  </w:style>
  <w:style w:type="character" w:styleId="LineNumber">
    <w:name w:val="line number"/>
    <w:basedOn w:val="DefaultParagraphFont"/>
    <w:uiPriority w:val="99"/>
    <w:semiHidden/>
    <w:unhideWhenUsed/>
    <w:rsid w:val="00277A51"/>
  </w:style>
  <w:style w:type="paragraph" w:customStyle="1" w:styleId="NEWNormalTNR12">
    <w:name w:val="NEW Normal TNR 12"/>
    <w:link w:val="NEWNormalTNR12Char"/>
    <w:qFormat/>
    <w:rsid w:val="00CD7E84"/>
    <w:pPr>
      <w:tabs>
        <w:tab w:val="left" w:pos="5670"/>
        <w:tab w:val="right" w:pos="9070"/>
      </w:tabs>
      <w:spacing w:before="240" w:after="240"/>
    </w:pPr>
    <w:rPr>
      <w:rFonts w:ascii="Times New Roman" w:eastAsiaTheme="minorHAnsi" w:hAnsi="Times New Roman"/>
      <w:sz w:val="24"/>
      <w:szCs w:val="22"/>
      <w:lang w:eastAsia="en-US"/>
    </w:rPr>
  </w:style>
  <w:style w:type="character" w:customStyle="1" w:styleId="NEWNormalTNR12Char">
    <w:name w:val="NEW Normal TNR 12 Char"/>
    <w:basedOn w:val="DefaultParagraphFont"/>
    <w:link w:val="NEWNormalTNR12"/>
    <w:rsid w:val="00CD7E84"/>
    <w:rPr>
      <w:rFonts w:ascii="Times New Roman" w:eastAsiaTheme="minorHAnsi" w:hAnsi="Times New Roman"/>
      <w:sz w:val="24"/>
      <w:szCs w:val="22"/>
      <w:lang w:eastAsia="en-US"/>
    </w:rPr>
  </w:style>
  <w:style w:type="character" w:styleId="FollowedHyperlink">
    <w:name w:val="FollowedHyperlink"/>
    <w:basedOn w:val="DefaultParagraphFont"/>
    <w:uiPriority w:val="99"/>
    <w:semiHidden/>
    <w:unhideWhenUsed/>
    <w:rsid w:val="001E2E34"/>
    <w:rPr>
      <w:color w:val="800080" w:themeColor="followedHyperlink"/>
      <w:u w:val="single"/>
    </w:rPr>
  </w:style>
  <w:style w:type="character" w:customStyle="1" w:styleId="normaltextrun">
    <w:name w:val="normaltextrun"/>
    <w:basedOn w:val="DefaultParagraphFont"/>
    <w:rsid w:val="009A6C67"/>
  </w:style>
  <w:style w:type="character" w:customStyle="1" w:styleId="eop">
    <w:name w:val="eop"/>
    <w:basedOn w:val="DefaultParagraphFont"/>
    <w:rsid w:val="009A6C67"/>
  </w:style>
  <w:style w:type="character" w:styleId="UnresolvedMention">
    <w:name w:val="Unresolved Mention"/>
    <w:basedOn w:val="DefaultParagraphFont"/>
    <w:uiPriority w:val="99"/>
    <w:semiHidden/>
    <w:unhideWhenUsed/>
    <w:rsid w:val="00C559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36334">
      <w:bodyDiv w:val="1"/>
      <w:marLeft w:val="0"/>
      <w:marRight w:val="0"/>
      <w:marTop w:val="0"/>
      <w:marBottom w:val="0"/>
      <w:divBdr>
        <w:top w:val="none" w:sz="0" w:space="0" w:color="auto"/>
        <w:left w:val="none" w:sz="0" w:space="0" w:color="auto"/>
        <w:bottom w:val="none" w:sz="0" w:space="0" w:color="auto"/>
        <w:right w:val="none" w:sz="0" w:space="0" w:color="auto"/>
      </w:divBdr>
    </w:div>
    <w:div w:id="65686658">
      <w:bodyDiv w:val="1"/>
      <w:marLeft w:val="0"/>
      <w:marRight w:val="0"/>
      <w:marTop w:val="0"/>
      <w:marBottom w:val="0"/>
      <w:divBdr>
        <w:top w:val="none" w:sz="0" w:space="0" w:color="auto"/>
        <w:left w:val="none" w:sz="0" w:space="0" w:color="auto"/>
        <w:bottom w:val="none" w:sz="0" w:space="0" w:color="auto"/>
        <w:right w:val="none" w:sz="0" w:space="0" w:color="auto"/>
      </w:divBdr>
    </w:div>
    <w:div w:id="69545792">
      <w:bodyDiv w:val="1"/>
      <w:marLeft w:val="0"/>
      <w:marRight w:val="0"/>
      <w:marTop w:val="0"/>
      <w:marBottom w:val="0"/>
      <w:divBdr>
        <w:top w:val="none" w:sz="0" w:space="0" w:color="auto"/>
        <w:left w:val="none" w:sz="0" w:space="0" w:color="auto"/>
        <w:bottom w:val="none" w:sz="0" w:space="0" w:color="auto"/>
        <w:right w:val="none" w:sz="0" w:space="0" w:color="auto"/>
      </w:divBdr>
    </w:div>
    <w:div w:id="229586917">
      <w:bodyDiv w:val="1"/>
      <w:marLeft w:val="0"/>
      <w:marRight w:val="0"/>
      <w:marTop w:val="0"/>
      <w:marBottom w:val="0"/>
      <w:divBdr>
        <w:top w:val="none" w:sz="0" w:space="0" w:color="auto"/>
        <w:left w:val="none" w:sz="0" w:space="0" w:color="auto"/>
        <w:bottom w:val="none" w:sz="0" w:space="0" w:color="auto"/>
        <w:right w:val="none" w:sz="0" w:space="0" w:color="auto"/>
      </w:divBdr>
    </w:div>
    <w:div w:id="261182198">
      <w:bodyDiv w:val="1"/>
      <w:marLeft w:val="0"/>
      <w:marRight w:val="0"/>
      <w:marTop w:val="0"/>
      <w:marBottom w:val="0"/>
      <w:divBdr>
        <w:top w:val="none" w:sz="0" w:space="0" w:color="auto"/>
        <w:left w:val="none" w:sz="0" w:space="0" w:color="auto"/>
        <w:bottom w:val="none" w:sz="0" w:space="0" w:color="auto"/>
        <w:right w:val="none" w:sz="0" w:space="0" w:color="auto"/>
      </w:divBdr>
    </w:div>
    <w:div w:id="301276747">
      <w:bodyDiv w:val="1"/>
      <w:marLeft w:val="0"/>
      <w:marRight w:val="0"/>
      <w:marTop w:val="0"/>
      <w:marBottom w:val="0"/>
      <w:divBdr>
        <w:top w:val="none" w:sz="0" w:space="0" w:color="auto"/>
        <w:left w:val="none" w:sz="0" w:space="0" w:color="auto"/>
        <w:bottom w:val="none" w:sz="0" w:space="0" w:color="auto"/>
        <w:right w:val="none" w:sz="0" w:space="0" w:color="auto"/>
      </w:divBdr>
      <w:divsChild>
        <w:div w:id="1777556263">
          <w:marLeft w:val="0"/>
          <w:marRight w:val="0"/>
          <w:marTop w:val="0"/>
          <w:marBottom w:val="0"/>
          <w:divBdr>
            <w:top w:val="none" w:sz="0" w:space="0" w:color="auto"/>
            <w:left w:val="none" w:sz="0" w:space="0" w:color="auto"/>
            <w:bottom w:val="none" w:sz="0" w:space="0" w:color="auto"/>
            <w:right w:val="none" w:sz="0" w:space="0" w:color="auto"/>
          </w:divBdr>
        </w:div>
      </w:divsChild>
    </w:div>
    <w:div w:id="355085555">
      <w:bodyDiv w:val="1"/>
      <w:marLeft w:val="0"/>
      <w:marRight w:val="0"/>
      <w:marTop w:val="0"/>
      <w:marBottom w:val="0"/>
      <w:divBdr>
        <w:top w:val="none" w:sz="0" w:space="0" w:color="auto"/>
        <w:left w:val="none" w:sz="0" w:space="0" w:color="auto"/>
        <w:bottom w:val="none" w:sz="0" w:space="0" w:color="auto"/>
        <w:right w:val="none" w:sz="0" w:space="0" w:color="auto"/>
      </w:divBdr>
      <w:divsChild>
        <w:div w:id="514732036">
          <w:marLeft w:val="0"/>
          <w:marRight w:val="0"/>
          <w:marTop w:val="0"/>
          <w:marBottom w:val="0"/>
          <w:divBdr>
            <w:top w:val="none" w:sz="0" w:space="0" w:color="auto"/>
            <w:left w:val="none" w:sz="0" w:space="0" w:color="auto"/>
            <w:bottom w:val="none" w:sz="0" w:space="0" w:color="auto"/>
            <w:right w:val="none" w:sz="0" w:space="0" w:color="auto"/>
          </w:divBdr>
        </w:div>
      </w:divsChild>
    </w:div>
    <w:div w:id="398284211">
      <w:bodyDiv w:val="1"/>
      <w:marLeft w:val="0"/>
      <w:marRight w:val="0"/>
      <w:marTop w:val="0"/>
      <w:marBottom w:val="0"/>
      <w:divBdr>
        <w:top w:val="none" w:sz="0" w:space="0" w:color="auto"/>
        <w:left w:val="none" w:sz="0" w:space="0" w:color="auto"/>
        <w:bottom w:val="none" w:sz="0" w:space="0" w:color="auto"/>
        <w:right w:val="none" w:sz="0" w:space="0" w:color="auto"/>
      </w:divBdr>
    </w:div>
    <w:div w:id="402682560">
      <w:bodyDiv w:val="1"/>
      <w:marLeft w:val="0"/>
      <w:marRight w:val="0"/>
      <w:marTop w:val="0"/>
      <w:marBottom w:val="0"/>
      <w:divBdr>
        <w:top w:val="none" w:sz="0" w:space="0" w:color="auto"/>
        <w:left w:val="none" w:sz="0" w:space="0" w:color="auto"/>
        <w:bottom w:val="none" w:sz="0" w:space="0" w:color="auto"/>
        <w:right w:val="none" w:sz="0" w:space="0" w:color="auto"/>
      </w:divBdr>
    </w:div>
    <w:div w:id="454296456">
      <w:bodyDiv w:val="1"/>
      <w:marLeft w:val="0"/>
      <w:marRight w:val="0"/>
      <w:marTop w:val="0"/>
      <w:marBottom w:val="0"/>
      <w:divBdr>
        <w:top w:val="none" w:sz="0" w:space="0" w:color="auto"/>
        <w:left w:val="none" w:sz="0" w:space="0" w:color="auto"/>
        <w:bottom w:val="none" w:sz="0" w:space="0" w:color="auto"/>
        <w:right w:val="none" w:sz="0" w:space="0" w:color="auto"/>
      </w:divBdr>
      <w:divsChild>
        <w:div w:id="259798267">
          <w:marLeft w:val="0"/>
          <w:marRight w:val="0"/>
          <w:marTop w:val="0"/>
          <w:marBottom w:val="0"/>
          <w:divBdr>
            <w:top w:val="none" w:sz="0" w:space="0" w:color="auto"/>
            <w:left w:val="none" w:sz="0" w:space="0" w:color="auto"/>
            <w:bottom w:val="none" w:sz="0" w:space="0" w:color="auto"/>
            <w:right w:val="none" w:sz="0" w:space="0" w:color="auto"/>
          </w:divBdr>
        </w:div>
      </w:divsChild>
    </w:div>
    <w:div w:id="530730706">
      <w:bodyDiv w:val="1"/>
      <w:marLeft w:val="0"/>
      <w:marRight w:val="0"/>
      <w:marTop w:val="0"/>
      <w:marBottom w:val="0"/>
      <w:divBdr>
        <w:top w:val="none" w:sz="0" w:space="0" w:color="auto"/>
        <w:left w:val="none" w:sz="0" w:space="0" w:color="auto"/>
        <w:bottom w:val="none" w:sz="0" w:space="0" w:color="auto"/>
        <w:right w:val="none" w:sz="0" w:space="0" w:color="auto"/>
      </w:divBdr>
    </w:div>
    <w:div w:id="545877528">
      <w:bodyDiv w:val="1"/>
      <w:marLeft w:val="0"/>
      <w:marRight w:val="0"/>
      <w:marTop w:val="0"/>
      <w:marBottom w:val="0"/>
      <w:divBdr>
        <w:top w:val="none" w:sz="0" w:space="0" w:color="auto"/>
        <w:left w:val="none" w:sz="0" w:space="0" w:color="auto"/>
        <w:bottom w:val="none" w:sz="0" w:space="0" w:color="auto"/>
        <w:right w:val="none" w:sz="0" w:space="0" w:color="auto"/>
      </w:divBdr>
      <w:divsChild>
        <w:div w:id="92669937">
          <w:marLeft w:val="0"/>
          <w:marRight w:val="0"/>
          <w:marTop w:val="0"/>
          <w:marBottom w:val="0"/>
          <w:divBdr>
            <w:top w:val="none" w:sz="0" w:space="0" w:color="auto"/>
            <w:left w:val="none" w:sz="0" w:space="0" w:color="auto"/>
            <w:bottom w:val="none" w:sz="0" w:space="0" w:color="auto"/>
            <w:right w:val="none" w:sz="0" w:space="0" w:color="auto"/>
          </w:divBdr>
        </w:div>
      </w:divsChild>
    </w:div>
    <w:div w:id="572618434">
      <w:bodyDiv w:val="1"/>
      <w:marLeft w:val="0"/>
      <w:marRight w:val="0"/>
      <w:marTop w:val="0"/>
      <w:marBottom w:val="0"/>
      <w:divBdr>
        <w:top w:val="none" w:sz="0" w:space="0" w:color="auto"/>
        <w:left w:val="none" w:sz="0" w:space="0" w:color="auto"/>
        <w:bottom w:val="none" w:sz="0" w:space="0" w:color="auto"/>
        <w:right w:val="none" w:sz="0" w:space="0" w:color="auto"/>
      </w:divBdr>
    </w:div>
    <w:div w:id="753431254">
      <w:bodyDiv w:val="1"/>
      <w:marLeft w:val="0"/>
      <w:marRight w:val="0"/>
      <w:marTop w:val="0"/>
      <w:marBottom w:val="0"/>
      <w:divBdr>
        <w:top w:val="none" w:sz="0" w:space="0" w:color="auto"/>
        <w:left w:val="none" w:sz="0" w:space="0" w:color="auto"/>
        <w:bottom w:val="none" w:sz="0" w:space="0" w:color="auto"/>
        <w:right w:val="none" w:sz="0" w:space="0" w:color="auto"/>
      </w:divBdr>
    </w:div>
    <w:div w:id="845561307">
      <w:bodyDiv w:val="1"/>
      <w:marLeft w:val="0"/>
      <w:marRight w:val="0"/>
      <w:marTop w:val="0"/>
      <w:marBottom w:val="0"/>
      <w:divBdr>
        <w:top w:val="none" w:sz="0" w:space="0" w:color="auto"/>
        <w:left w:val="none" w:sz="0" w:space="0" w:color="auto"/>
        <w:bottom w:val="none" w:sz="0" w:space="0" w:color="auto"/>
        <w:right w:val="none" w:sz="0" w:space="0" w:color="auto"/>
      </w:divBdr>
    </w:div>
    <w:div w:id="848451356">
      <w:bodyDiv w:val="1"/>
      <w:marLeft w:val="0"/>
      <w:marRight w:val="0"/>
      <w:marTop w:val="0"/>
      <w:marBottom w:val="0"/>
      <w:divBdr>
        <w:top w:val="none" w:sz="0" w:space="0" w:color="auto"/>
        <w:left w:val="none" w:sz="0" w:space="0" w:color="auto"/>
        <w:bottom w:val="none" w:sz="0" w:space="0" w:color="auto"/>
        <w:right w:val="none" w:sz="0" w:space="0" w:color="auto"/>
      </w:divBdr>
      <w:divsChild>
        <w:div w:id="736784600">
          <w:marLeft w:val="0"/>
          <w:marRight w:val="0"/>
          <w:marTop w:val="0"/>
          <w:marBottom w:val="0"/>
          <w:divBdr>
            <w:top w:val="none" w:sz="0" w:space="0" w:color="auto"/>
            <w:left w:val="none" w:sz="0" w:space="0" w:color="auto"/>
            <w:bottom w:val="none" w:sz="0" w:space="0" w:color="auto"/>
            <w:right w:val="none" w:sz="0" w:space="0" w:color="auto"/>
          </w:divBdr>
        </w:div>
      </w:divsChild>
    </w:div>
    <w:div w:id="900598533">
      <w:bodyDiv w:val="1"/>
      <w:marLeft w:val="0"/>
      <w:marRight w:val="0"/>
      <w:marTop w:val="0"/>
      <w:marBottom w:val="0"/>
      <w:divBdr>
        <w:top w:val="none" w:sz="0" w:space="0" w:color="auto"/>
        <w:left w:val="none" w:sz="0" w:space="0" w:color="auto"/>
        <w:bottom w:val="none" w:sz="0" w:space="0" w:color="auto"/>
        <w:right w:val="none" w:sz="0" w:space="0" w:color="auto"/>
      </w:divBdr>
    </w:div>
    <w:div w:id="916862344">
      <w:bodyDiv w:val="1"/>
      <w:marLeft w:val="0"/>
      <w:marRight w:val="0"/>
      <w:marTop w:val="0"/>
      <w:marBottom w:val="0"/>
      <w:divBdr>
        <w:top w:val="none" w:sz="0" w:space="0" w:color="auto"/>
        <w:left w:val="none" w:sz="0" w:space="0" w:color="auto"/>
        <w:bottom w:val="none" w:sz="0" w:space="0" w:color="auto"/>
        <w:right w:val="none" w:sz="0" w:space="0" w:color="auto"/>
      </w:divBdr>
    </w:div>
    <w:div w:id="948199360">
      <w:bodyDiv w:val="1"/>
      <w:marLeft w:val="0"/>
      <w:marRight w:val="0"/>
      <w:marTop w:val="0"/>
      <w:marBottom w:val="0"/>
      <w:divBdr>
        <w:top w:val="none" w:sz="0" w:space="0" w:color="auto"/>
        <w:left w:val="none" w:sz="0" w:space="0" w:color="auto"/>
        <w:bottom w:val="none" w:sz="0" w:space="0" w:color="auto"/>
        <w:right w:val="none" w:sz="0" w:space="0" w:color="auto"/>
      </w:divBdr>
    </w:div>
    <w:div w:id="986327354">
      <w:bodyDiv w:val="1"/>
      <w:marLeft w:val="0"/>
      <w:marRight w:val="0"/>
      <w:marTop w:val="0"/>
      <w:marBottom w:val="0"/>
      <w:divBdr>
        <w:top w:val="none" w:sz="0" w:space="0" w:color="auto"/>
        <w:left w:val="none" w:sz="0" w:space="0" w:color="auto"/>
        <w:bottom w:val="none" w:sz="0" w:space="0" w:color="auto"/>
        <w:right w:val="none" w:sz="0" w:space="0" w:color="auto"/>
      </w:divBdr>
    </w:div>
    <w:div w:id="1185287608">
      <w:bodyDiv w:val="1"/>
      <w:marLeft w:val="0"/>
      <w:marRight w:val="0"/>
      <w:marTop w:val="0"/>
      <w:marBottom w:val="0"/>
      <w:divBdr>
        <w:top w:val="none" w:sz="0" w:space="0" w:color="auto"/>
        <w:left w:val="none" w:sz="0" w:space="0" w:color="auto"/>
        <w:bottom w:val="none" w:sz="0" w:space="0" w:color="auto"/>
        <w:right w:val="none" w:sz="0" w:space="0" w:color="auto"/>
      </w:divBdr>
    </w:div>
    <w:div w:id="1266688358">
      <w:bodyDiv w:val="1"/>
      <w:marLeft w:val="0"/>
      <w:marRight w:val="0"/>
      <w:marTop w:val="0"/>
      <w:marBottom w:val="0"/>
      <w:divBdr>
        <w:top w:val="none" w:sz="0" w:space="0" w:color="auto"/>
        <w:left w:val="none" w:sz="0" w:space="0" w:color="auto"/>
        <w:bottom w:val="none" w:sz="0" w:space="0" w:color="auto"/>
        <w:right w:val="none" w:sz="0" w:space="0" w:color="auto"/>
      </w:divBdr>
    </w:div>
    <w:div w:id="1362584055">
      <w:bodyDiv w:val="1"/>
      <w:marLeft w:val="0"/>
      <w:marRight w:val="0"/>
      <w:marTop w:val="0"/>
      <w:marBottom w:val="0"/>
      <w:divBdr>
        <w:top w:val="none" w:sz="0" w:space="0" w:color="auto"/>
        <w:left w:val="none" w:sz="0" w:space="0" w:color="auto"/>
        <w:bottom w:val="none" w:sz="0" w:space="0" w:color="auto"/>
        <w:right w:val="none" w:sz="0" w:space="0" w:color="auto"/>
      </w:divBdr>
    </w:div>
    <w:div w:id="1445228673">
      <w:bodyDiv w:val="1"/>
      <w:marLeft w:val="0"/>
      <w:marRight w:val="0"/>
      <w:marTop w:val="0"/>
      <w:marBottom w:val="0"/>
      <w:divBdr>
        <w:top w:val="none" w:sz="0" w:space="0" w:color="auto"/>
        <w:left w:val="none" w:sz="0" w:space="0" w:color="auto"/>
        <w:bottom w:val="none" w:sz="0" w:space="0" w:color="auto"/>
        <w:right w:val="none" w:sz="0" w:space="0" w:color="auto"/>
      </w:divBdr>
    </w:div>
    <w:div w:id="1458523823">
      <w:bodyDiv w:val="1"/>
      <w:marLeft w:val="0"/>
      <w:marRight w:val="0"/>
      <w:marTop w:val="0"/>
      <w:marBottom w:val="0"/>
      <w:divBdr>
        <w:top w:val="none" w:sz="0" w:space="0" w:color="auto"/>
        <w:left w:val="none" w:sz="0" w:space="0" w:color="auto"/>
        <w:bottom w:val="none" w:sz="0" w:space="0" w:color="auto"/>
        <w:right w:val="none" w:sz="0" w:space="0" w:color="auto"/>
      </w:divBdr>
      <w:divsChild>
        <w:div w:id="348919064">
          <w:marLeft w:val="0"/>
          <w:marRight w:val="0"/>
          <w:marTop w:val="0"/>
          <w:marBottom w:val="0"/>
          <w:divBdr>
            <w:top w:val="none" w:sz="0" w:space="0" w:color="auto"/>
            <w:left w:val="none" w:sz="0" w:space="0" w:color="auto"/>
            <w:bottom w:val="none" w:sz="0" w:space="0" w:color="auto"/>
            <w:right w:val="none" w:sz="0" w:space="0" w:color="auto"/>
          </w:divBdr>
        </w:div>
      </w:divsChild>
    </w:div>
    <w:div w:id="1561283396">
      <w:bodyDiv w:val="1"/>
      <w:marLeft w:val="0"/>
      <w:marRight w:val="0"/>
      <w:marTop w:val="0"/>
      <w:marBottom w:val="0"/>
      <w:divBdr>
        <w:top w:val="none" w:sz="0" w:space="0" w:color="auto"/>
        <w:left w:val="none" w:sz="0" w:space="0" w:color="auto"/>
        <w:bottom w:val="none" w:sz="0" w:space="0" w:color="auto"/>
        <w:right w:val="none" w:sz="0" w:space="0" w:color="auto"/>
      </w:divBdr>
    </w:div>
    <w:div w:id="1561361617">
      <w:bodyDiv w:val="1"/>
      <w:marLeft w:val="0"/>
      <w:marRight w:val="0"/>
      <w:marTop w:val="0"/>
      <w:marBottom w:val="0"/>
      <w:divBdr>
        <w:top w:val="none" w:sz="0" w:space="0" w:color="auto"/>
        <w:left w:val="none" w:sz="0" w:space="0" w:color="auto"/>
        <w:bottom w:val="none" w:sz="0" w:space="0" w:color="auto"/>
        <w:right w:val="none" w:sz="0" w:space="0" w:color="auto"/>
      </w:divBdr>
      <w:divsChild>
        <w:div w:id="1527449112">
          <w:marLeft w:val="0"/>
          <w:marRight w:val="0"/>
          <w:marTop w:val="0"/>
          <w:marBottom w:val="0"/>
          <w:divBdr>
            <w:top w:val="none" w:sz="0" w:space="0" w:color="auto"/>
            <w:left w:val="none" w:sz="0" w:space="0" w:color="auto"/>
            <w:bottom w:val="none" w:sz="0" w:space="0" w:color="auto"/>
            <w:right w:val="none" w:sz="0" w:space="0" w:color="auto"/>
          </w:divBdr>
        </w:div>
      </w:divsChild>
    </w:div>
    <w:div w:id="1596936654">
      <w:bodyDiv w:val="1"/>
      <w:marLeft w:val="0"/>
      <w:marRight w:val="0"/>
      <w:marTop w:val="0"/>
      <w:marBottom w:val="0"/>
      <w:divBdr>
        <w:top w:val="none" w:sz="0" w:space="0" w:color="auto"/>
        <w:left w:val="none" w:sz="0" w:space="0" w:color="auto"/>
        <w:bottom w:val="none" w:sz="0" w:space="0" w:color="auto"/>
        <w:right w:val="none" w:sz="0" w:space="0" w:color="auto"/>
      </w:divBdr>
    </w:div>
    <w:div w:id="1675572349">
      <w:bodyDiv w:val="1"/>
      <w:marLeft w:val="0"/>
      <w:marRight w:val="0"/>
      <w:marTop w:val="0"/>
      <w:marBottom w:val="0"/>
      <w:divBdr>
        <w:top w:val="none" w:sz="0" w:space="0" w:color="auto"/>
        <w:left w:val="none" w:sz="0" w:space="0" w:color="auto"/>
        <w:bottom w:val="none" w:sz="0" w:space="0" w:color="auto"/>
        <w:right w:val="none" w:sz="0" w:space="0" w:color="auto"/>
      </w:divBdr>
    </w:div>
    <w:div w:id="1785493190">
      <w:bodyDiv w:val="1"/>
      <w:marLeft w:val="0"/>
      <w:marRight w:val="0"/>
      <w:marTop w:val="0"/>
      <w:marBottom w:val="0"/>
      <w:divBdr>
        <w:top w:val="none" w:sz="0" w:space="0" w:color="auto"/>
        <w:left w:val="none" w:sz="0" w:space="0" w:color="auto"/>
        <w:bottom w:val="none" w:sz="0" w:space="0" w:color="auto"/>
        <w:right w:val="none" w:sz="0" w:space="0" w:color="auto"/>
      </w:divBdr>
    </w:div>
    <w:div w:id="1858422203">
      <w:bodyDiv w:val="1"/>
      <w:marLeft w:val="0"/>
      <w:marRight w:val="0"/>
      <w:marTop w:val="0"/>
      <w:marBottom w:val="0"/>
      <w:divBdr>
        <w:top w:val="none" w:sz="0" w:space="0" w:color="auto"/>
        <w:left w:val="none" w:sz="0" w:space="0" w:color="auto"/>
        <w:bottom w:val="none" w:sz="0" w:space="0" w:color="auto"/>
        <w:right w:val="none" w:sz="0" w:space="0" w:color="auto"/>
      </w:divBdr>
      <w:divsChild>
        <w:div w:id="1677538677">
          <w:marLeft w:val="0"/>
          <w:marRight w:val="0"/>
          <w:marTop w:val="0"/>
          <w:marBottom w:val="0"/>
          <w:divBdr>
            <w:top w:val="none" w:sz="0" w:space="0" w:color="auto"/>
            <w:left w:val="none" w:sz="0" w:space="0" w:color="auto"/>
            <w:bottom w:val="none" w:sz="0" w:space="0" w:color="auto"/>
            <w:right w:val="none" w:sz="0" w:space="0" w:color="auto"/>
          </w:divBdr>
        </w:div>
      </w:divsChild>
    </w:div>
    <w:div w:id="1918398562">
      <w:bodyDiv w:val="1"/>
      <w:marLeft w:val="0"/>
      <w:marRight w:val="0"/>
      <w:marTop w:val="0"/>
      <w:marBottom w:val="0"/>
      <w:divBdr>
        <w:top w:val="none" w:sz="0" w:space="0" w:color="auto"/>
        <w:left w:val="none" w:sz="0" w:space="0" w:color="auto"/>
        <w:bottom w:val="none" w:sz="0" w:space="0" w:color="auto"/>
        <w:right w:val="none" w:sz="0" w:space="0" w:color="auto"/>
      </w:divBdr>
    </w:div>
    <w:div w:id="1990984227">
      <w:bodyDiv w:val="1"/>
      <w:marLeft w:val="0"/>
      <w:marRight w:val="0"/>
      <w:marTop w:val="0"/>
      <w:marBottom w:val="0"/>
      <w:divBdr>
        <w:top w:val="none" w:sz="0" w:space="0" w:color="auto"/>
        <w:left w:val="none" w:sz="0" w:space="0" w:color="auto"/>
        <w:bottom w:val="none" w:sz="0" w:space="0" w:color="auto"/>
        <w:right w:val="none" w:sz="0" w:space="0" w:color="auto"/>
      </w:divBdr>
    </w:div>
    <w:div w:id="2003586897">
      <w:bodyDiv w:val="1"/>
      <w:marLeft w:val="0"/>
      <w:marRight w:val="0"/>
      <w:marTop w:val="0"/>
      <w:marBottom w:val="0"/>
      <w:divBdr>
        <w:top w:val="none" w:sz="0" w:space="0" w:color="auto"/>
        <w:left w:val="none" w:sz="0" w:space="0" w:color="auto"/>
        <w:bottom w:val="none" w:sz="0" w:space="0" w:color="auto"/>
        <w:right w:val="none" w:sz="0" w:space="0" w:color="auto"/>
      </w:divBdr>
      <w:divsChild>
        <w:div w:id="354891679">
          <w:marLeft w:val="0"/>
          <w:marRight w:val="0"/>
          <w:marTop w:val="0"/>
          <w:marBottom w:val="0"/>
          <w:divBdr>
            <w:top w:val="none" w:sz="0" w:space="0" w:color="auto"/>
            <w:left w:val="none" w:sz="0" w:space="0" w:color="auto"/>
            <w:bottom w:val="none" w:sz="0" w:space="0" w:color="auto"/>
            <w:right w:val="none" w:sz="0" w:space="0" w:color="auto"/>
          </w:divBdr>
        </w:div>
      </w:divsChild>
    </w:div>
    <w:div w:id="2068795973">
      <w:bodyDiv w:val="1"/>
      <w:marLeft w:val="0"/>
      <w:marRight w:val="0"/>
      <w:marTop w:val="0"/>
      <w:marBottom w:val="0"/>
      <w:divBdr>
        <w:top w:val="none" w:sz="0" w:space="0" w:color="auto"/>
        <w:left w:val="none" w:sz="0" w:space="0" w:color="auto"/>
        <w:bottom w:val="none" w:sz="0" w:space="0" w:color="auto"/>
        <w:right w:val="none" w:sz="0" w:space="0" w:color="auto"/>
      </w:divBdr>
      <w:divsChild>
        <w:div w:id="3633319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pi.nsw.gov.au/data/assets/pdffile/0003/634557/Lowland-Darling-River-aquatic-ecological-community.pdf%20Accessed%20November%20202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iesc.environment.gov.au/system/files/resources/422b5f66-dfba-4e89-adda-b169fe408fe1/files/information-guidelines-explanatory-note-assessing-groundwater-dependent-ecosystems.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aterquality.gov.au/anz-guidelines"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iesc.environment.gov.au/publ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7331</Words>
  <Characters>41793</Characters>
  <Application>Microsoft Office Word</Application>
  <DocSecurity>4</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to decision maker on coal mining project IESC 2020-119: Narrabri Underground Mine Stage 3 Extension Project (Narrabri Mine Extension) (State Ref No 9882) – Expansion</dc:title>
  <dc:creator>IESC</dc:creator>
  <cp:lastModifiedBy>Bec Durack</cp:lastModifiedBy>
  <cp:revision>2</cp:revision>
  <dcterms:created xsi:type="dcterms:W3CDTF">2020-12-18T05:51:00Z</dcterms:created>
  <dcterms:modified xsi:type="dcterms:W3CDTF">2020-12-18T05:51:00Z</dcterms:modified>
</cp:coreProperties>
</file>