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21BA" w14:textId="77777777" w:rsidR="00714B40" w:rsidRPr="00BF21A7" w:rsidRDefault="00714B40" w:rsidP="00714B40">
      <w:pPr>
        <w:pStyle w:val="Header"/>
        <w:suppressLineNumbers/>
        <w:ind w:hanging="1418"/>
        <w:sectPr w:rsidR="00714B40" w:rsidRPr="00BF21A7" w:rsidSect="00264083">
          <w:headerReference w:type="even" r:id="rId7"/>
          <w:headerReference w:type="default" r:id="rId8"/>
          <w:footerReference w:type="even" r:id="rId9"/>
          <w:footerReference w:type="default" r:id="rId10"/>
          <w:headerReference w:type="first" r:id="rId11"/>
          <w:footerReference w:type="first" r:id="rId12"/>
          <w:pgSz w:w="11906" w:h="16838"/>
          <w:pgMar w:top="142" w:right="1440" w:bottom="1440" w:left="1440" w:header="425" w:footer="425" w:gutter="0"/>
          <w:lnNumType w:countBy="1" w:restart="continuous"/>
          <w:pgNumType w:start="1"/>
          <w:cols w:space="708"/>
          <w:titlePg/>
          <w:docGrid w:linePitch="360"/>
        </w:sectPr>
      </w:pPr>
      <w:bookmarkStart w:id="0" w:name="_GoBack"/>
      <w:bookmarkEnd w:id="0"/>
    </w:p>
    <w:p w14:paraId="710521BB" w14:textId="77777777" w:rsidR="001765DA" w:rsidRPr="00A87320" w:rsidRDefault="00F027B8" w:rsidP="009E7F55">
      <w:pPr>
        <w:pStyle w:val="Heading1"/>
        <w:suppressLineNumbers/>
      </w:pPr>
      <w:r w:rsidRPr="00A87320">
        <w:t>Advi</w:t>
      </w:r>
      <w:r w:rsidR="001765DA" w:rsidRPr="00A87320">
        <w:t>ce to decision maker on coal mining</w:t>
      </w:r>
      <w:r w:rsidR="00E21678" w:rsidRPr="00A87320">
        <w:t xml:space="preserve"> project </w:t>
      </w:r>
    </w:p>
    <w:p w14:paraId="710521BC" w14:textId="77777777" w:rsidR="004861E6" w:rsidRPr="00A87320" w:rsidRDefault="00D10C4C" w:rsidP="009E7F55">
      <w:pPr>
        <w:pStyle w:val="Heading2"/>
        <w:suppressLineNumbers/>
      </w:pPr>
      <w:r w:rsidRPr="00A87320">
        <w:t xml:space="preserve">IESC </w:t>
      </w:r>
      <w:r w:rsidR="00C43084" w:rsidRPr="00A87320">
        <w:t>201</w:t>
      </w:r>
      <w:r w:rsidR="00AA7F13" w:rsidRPr="00A87320">
        <w:t>9</w:t>
      </w:r>
      <w:r w:rsidR="00CC27E7" w:rsidRPr="00A87320">
        <w:t>-</w:t>
      </w:r>
      <w:r w:rsidR="00AA7F13" w:rsidRPr="00A87320">
        <w:t>102</w:t>
      </w:r>
      <w:r w:rsidR="001765DA" w:rsidRPr="00A87320">
        <w:t>:</w:t>
      </w:r>
      <w:r w:rsidR="002974BC" w:rsidRPr="00A87320">
        <w:t xml:space="preserve"> </w:t>
      </w:r>
      <w:r w:rsidR="00AA7F13" w:rsidRPr="00A87320">
        <w:t>Narrabri Underground Mine Stage 3 Extension Project (Narrabri Min</w:t>
      </w:r>
      <w:r w:rsidR="002B4B15" w:rsidRPr="00A87320">
        <w:t>e</w:t>
      </w:r>
      <w:r w:rsidR="00AA7F13" w:rsidRPr="00A87320">
        <w:t xml:space="preserve"> Extension)</w:t>
      </w:r>
      <w:r w:rsidR="00C803D7" w:rsidRPr="00A87320">
        <w:t xml:space="preserve"> </w:t>
      </w:r>
      <w:r w:rsidR="00D83AAD" w:rsidRPr="00A87320">
        <w:t>(</w:t>
      </w:r>
      <w:r w:rsidR="007B047A" w:rsidRPr="00A87320">
        <w:t xml:space="preserve">State </w:t>
      </w:r>
      <w:r w:rsidR="00D83AAD" w:rsidRPr="00A87320">
        <w:t>Ref No</w:t>
      </w:r>
      <w:r w:rsidR="00B9760A" w:rsidRPr="00A87320">
        <w:t xml:space="preserve"> 9882</w:t>
      </w:r>
      <w:r w:rsidR="00D83AAD" w:rsidRPr="00A87320">
        <w:t xml:space="preserve">) </w:t>
      </w:r>
      <w:r w:rsidR="00C803D7" w:rsidRPr="00A87320">
        <w:t>–</w:t>
      </w:r>
      <w:r w:rsidR="00AA7F13" w:rsidRPr="00A87320">
        <w:t xml:space="preserve"> </w:t>
      </w:r>
      <w:r w:rsidR="00C803D7" w:rsidRPr="00A87320">
        <w:t>Expansion</w:t>
      </w:r>
      <w:r w:rsidR="003E2135" w:rsidRPr="00A87320">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A87320" w14:paraId="710521BF" w14:textId="77777777" w:rsidTr="00784E40">
        <w:trPr>
          <w:trHeight w:val="563"/>
        </w:trPr>
        <w:tc>
          <w:tcPr>
            <w:tcW w:w="1810" w:type="dxa"/>
            <w:tcBorders>
              <w:top w:val="single" w:sz="4" w:space="0" w:color="auto"/>
              <w:bottom w:val="single" w:sz="4" w:space="0" w:color="auto"/>
            </w:tcBorders>
          </w:tcPr>
          <w:p w14:paraId="710521BD" w14:textId="77777777" w:rsidR="001765DA" w:rsidRPr="00A87320" w:rsidRDefault="001765DA" w:rsidP="00277A51">
            <w:pPr>
              <w:pStyle w:val="Heading6"/>
              <w:suppressLineNumbers/>
            </w:pPr>
            <w:r w:rsidRPr="00A87320">
              <w:t>Requesting agency</w:t>
            </w:r>
          </w:p>
        </w:tc>
        <w:tc>
          <w:tcPr>
            <w:tcW w:w="7830" w:type="dxa"/>
            <w:tcBorders>
              <w:top w:val="single" w:sz="4" w:space="0" w:color="auto"/>
              <w:bottom w:val="single" w:sz="4" w:space="0" w:color="auto"/>
            </w:tcBorders>
          </w:tcPr>
          <w:p w14:paraId="710521BE" w14:textId="77777777" w:rsidR="003E2BDB" w:rsidRPr="00A87320" w:rsidRDefault="00DE57D9" w:rsidP="00277A51">
            <w:pPr>
              <w:pStyle w:val="Tabletext"/>
              <w:suppressLineNumbers/>
            </w:pPr>
            <w:r w:rsidRPr="00A87320">
              <w:t>Mining and Petroleum Gateway Panel on behalf of the Independent Planning Commission NSW</w:t>
            </w:r>
          </w:p>
        </w:tc>
      </w:tr>
      <w:tr w:rsidR="001765DA" w:rsidRPr="00A87320" w14:paraId="710521C2" w14:textId="77777777" w:rsidTr="00784E40">
        <w:trPr>
          <w:trHeight w:val="19"/>
        </w:trPr>
        <w:tc>
          <w:tcPr>
            <w:tcW w:w="1810" w:type="dxa"/>
            <w:tcBorders>
              <w:top w:val="single" w:sz="4" w:space="0" w:color="auto"/>
              <w:bottom w:val="single" w:sz="4" w:space="0" w:color="auto"/>
            </w:tcBorders>
          </w:tcPr>
          <w:p w14:paraId="710521C0" w14:textId="77777777" w:rsidR="001765DA" w:rsidRPr="00A87320" w:rsidRDefault="001765DA" w:rsidP="00277A51">
            <w:pPr>
              <w:pStyle w:val="Heading6"/>
              <w:suppressLineNumbers/>
            </w:pPr>
            <w:r w:rsidRPr="00A87320">
              <w:t>Date of request</w:t>
            </w:r>
          </w:p>
        </w:tc>
        <w:tc>
          <w:tcPr>
            <w:tcW w:w="7830" w:type="dxa"/>
            <w:tcBorders>
              <w:top w:val="single" w:sz="4" w:space="0" w:color="auto"/>
              <w:bottom w:val="single" w:sz="4" w:space="0" w:color="auto"/>
            </w:tcBorders>
          </w:tcPr>
          <w:p w14:paraId="710521C1" w14:textId="77777777" w:rsidR="001765DA" w:rsidRPr="00A87320" w:rsidRDefault="00AA7F13" w:rsidP="00AA7F13">
            <w:pPr>
              <w:pStyle w:val="Tabletext"/>
              <w:suppressLineNumbers/>
            </w:pPr>
            <w:r w:rsidRPr="00A87320">
              <w:t>15 February</w:t>
            </w:r>
            <w:r w:rsidR="00A10BAB" w:rsidRPr="00A87320">
              <w:t xml:space="preserve"> </w:t>
            </w:r>
            <w:r w:rsidR="00716583" w:rsidRPr="00A87320">
              <w:t>201</w:t>
            </w:r>
            <w:r w:rsidRPr="00A87320">
              <w:t>9</w:t>
            </w:r>
          </w:p>
        </w:tc>
      </w:tr>
      <w:tr w:rsidR="00185039" w:rsidRPr="00A87320" w14:paraId="710521C5" w14:textId="77777777" w:rsidTr="00784E40">
        <w:trPr>
          <w:trHeight w:val="19"/>
        </w:trPr>
        <w:tc>
          <w:tcPr>
            <w:tcW w:w="1810" w:type="dxa"/>
            <w:tcBorders>
              <w:top w:val="single" w:sz="4" w:space="0" w:color="auto"/>
              <w:bottom w:val="single" w:sz="4" w:space="0" w:color="auto"/>
            </w:tcBorders>
          </w:tcPr>
          <w:p w14:paraId="710521C3" w14:textId="77777777" w:rsidR="00185039" w:rsidRPr="00A87320" w:rsidRDefault="00185039" w:rsidP="00277A51">
            <w:pPr>
              <w:pStyle w:val="Heading6"/>
              <w:suppressLineNumbers/>
            </w:pPr>
            <w:r w:rsidRPr="00A87320">
              <w:t>Date request accepted</w:t>
            </w:r>
          </w:p>
        </w:tc>
        <w:tc>
          <w:tcPr>
            <w:tcW w:w="7830" w:type="dxa"/>
            <w:tcBorders>
              <w:top w:val="single" w:sz="4" w:space="0" w:color="auto"/>
              <w:bottom w:val="single" w:sz="4" w:space="0" w:color="auto"/>
            </w:tcBorders>
          </w:tcPr>
          <w:p w14:paraId="710521C4" w14:textId="77777777" w:rsidR="00185039" w:rsidRPr="00A87320" w:rsidRDefault="002B4B15" w:rsidP="002B4B15">
            <w:pPr>
              <w:pStyle w:val="Tabletext"/>
              <w:suppressLineNumbers/>
            </w:pPr>
            <w:r w:rsidRPr="00A87320">
              <w:t>27 February</w:t>
            </w:r>
            <w:r w:rsidR="00185039" w:rsidRPr="00A87320">
              <w:t xml:space="preserve"> 201</w:t>
            </w:r>
            <w:r w:rsidRPr="00A87320">
              <w:t>9</w:t>
            </w:r>
          </w:p>
        </w:tc>
      </w:tr>
      <w:tr w:rsidR="00062A46" w:rsidRPr="00A87320" w14:paraId="710521C8" w14:textId="77777777" w:rsidTr="00784E40">
        <w:trPr>
          <w:trHeight w:val="19"/>
        </w:trPr>
        <w:tc>
          <w:tcPr>
            <w:tcW w:w="1810" w:type="dxa"/>
            <w:tcBorders>
              <w:top w:val="single" w:sz="4" w:space="0" w:color="auto"/>
              <w:bottom w:val="single" w:sz="4" w:space="0" w:color="auto"/>
            </w:tcBorders>
          </w:tcPr>
          <w:p w14:paraId="710521C6" w14:textId="77777777" w:rsidR="00062A46" w:rsidRPr="00A87320" w:rsidRDefault="00062A46" w:rsidP="00277A51">
            <w:pPr>
              <w:pStyle w:val="Heading6"/>
              <w:suppressLineNumbers/>
            </w:pPr>
            <w:r w:rsidRPr="00A87320">
              <w:t xml:space="preserve">Advice stage </w:t>
            </w:r>
          </w:p>
        </w:tc>
        <w:tc>
          <w:tcPr>
            <w:tcW w:w="7830" w:type="dxa"/>
            <w:tcBorders>
              <w:top w:val="single" w:sz="4" w:space="0" w:color="auto"/>
              <w:bottom w:val="single" w:sz="4" w:space="0" w:color="auto"/>
            </w:tcBorders>
          </w:tcPr>
          <w:p w14:paraId="710521C7" w14:textId="77777777" w:rsidR="00062A46" w:rsidRPr="00A87320" w:rsidRDefault="0081315B" w:rsidP="000D56BF">
            <w:pPr>
              <w:pStyle w:val="Tabletext"/>
              <w:suppressLineNumbers/>
              <w:rPr>
                <w:lang w:eastAsia="en-AU"/>
              </w:rPr>
            </w:pPr>
            <w:r w:rsidRPr="00A87320">
              <w:rPr>
                <w:lang w:eastAsia="en-AU"/>
              </w:rPr>
              <w:t xml:space="preserve">Gateway Application </w:t>
            </w:r>
          </w:p>
        </w:tc>
      </w:tr>
    </w:tbl>
    <w:p w14:paraId="710521C9" w14:textId="77777777" w:rsidR="00C60A1A" w:rsidRPr="00A87320"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A87320" w14:paraId="710521CC" w14:textId="77777777" w:rsidTr="00784E40">
        <w:trPr>
          <w:trHeight w:val="2955"/>
        </w:trPr>
        <w:tc>
          <w:tcPr>
            <w:tcW w:w="9640" w:type="dxa"/>
            <w:shd w:val="clear" w:color="auto" w:fill="E7E6E6"/>
          </w:tcPr>
          <w:p w14:paraId="710521CA" w14:textId="77777777" w:rsidR="00C60A1A" w:rsidRPr="00A87320" w:rsidRDefault="00C60A1A" w:rsidP="007567C5">
            <w:pPr>
              <w:pStyle w:val="NEWNormalTNR12"/>
              <w:spacing w:before="120" w:after="120" w:line="276" w:lineRule="auto"/>
              <w:ind w:left="34"/>
              <w:rPr>
                <w:rFonts w:ascii="Arial" w:hAnsi="Arial" w:cs="Arial"/>
                <w:sz w:val="20"/>
                <w:szCs w:val="20"/>
              </w:rPr>
            </w:pPr>
            <w:r w:rsidRPr="00A87320">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710521CB" w14:textId="77777777" w:rsidR="00C60A1A" w:rsidRPr="00A87320" w:rsidRDefault="00C60A1A" w:rsidP="00691977">
            <w:pPr>
              <w:pStyle w:val="NEWNormalTNR12"/>
              <w:spacing w:before="120" w:after="120" w:line="276" w:lineRule="auto"/>
              <w:ind w:left="34"/>
              <w:rPr>
                <w:rFonts w:asciiTheme="minorHAnsi" w:hAnsiTheme="minorHAnsi"/>
                <w:sz w:val="20"/>
                <w:szCs w:val="20"/>
              </w:rPr>
            </w:pPr>
            <w:r w:rsidRPr="00A87320">
              <w:rPr>
                <w:rFonts w:ascii="Arial" w:hAnsi="Arial" w:cs="Arial"/>
                <w:sz w:val="20"/>
                <w:szCs w:val="20"/>
              </w:rPr>
              <w:t xml:space="preserve">The IESC was requested by the </w:t>
            </w:r>
            <w:r w:rsidR="00DE57D9" w:rsidRPr="00A87320">
              <w:rPr>
                <w:rFonts w:ascii="Arial" w:hAnsi="Arial" w:cs="Arial"/>
                <w:sz w:val="20"/>
                <w:szCs w:val="20"/>
              </w:rPr>
              <w:t>NSW</w:t>
            </w:r>
            <w:r w:rsidRPr="00A87320">
              <w:rPr>
                <w:rFonts w:ascii="Arial" w:hAnsi="Arial" w:cs="Arial"/>
                <w:sz w:val="20"/>
                <w:szCs w:val="20"/>
              </w:rPr>
              <w:t xml:space="preserve"> Mining and Petroleum Gateway Panel to provide advice on </w:t>
            </w:r>
            <w:r w:rsidR="002B4B15" w:rsidRPr="00A87320">
              <w:rPr>
                <w:rFonts w:ascii="Arial" w:hAnsi="Arial" w:cs="Arial"/>
                <w:sz w:val="20"/>
                <w:szCs w:val="20"/>
              </w:rPr>
              <w:t xml:space="preserve">Narrabri Coal Operations Pty </w:t>
            </w:r>
            <w:proofErr w:type="spellStart"/>
            <w:r w:rsidR="002B4B15" w:rsidRPr="00A87320">
              <w:rPr>
                <w:rFonts w:ascii="Arial" w:hAnsi="Arial" w:cs="Arial"/>
                <w:sz w:val="20"/>
                <w:szCs w:val="20"/>
              </w:rPr>
              <w:t>Ltd</w:t>
            </w:r>
            <w:r w:rsidR="00691977" w:rsidRPr="00A87320">
              <w:rPr>
                <w:rFonts w:ascii="Arial" w:hAnsi="Arial" w:cs="Arial"/>
                <w:sz w:val="20"/>
                <w:szCs w:val="20"/>
              </w:rPr>
              <w:t>’s</w:t>
            </w:r>
            <w:proofErr w:type="spellEnd"/>
            <w:r w:rsidR="002B4B15" w:rsidRPr="00A87320">
              <w:rPr>
                <w:rFonts w:ascii="Arial" w:hAnsi="Arial" w:cs="Arial"/>
                <w:sz w:val="20"/>
                <w:szCs w:val="20"/>
              </w:rPr>
              <w:t xml:space="preserve"> (NCOPL)</w:t>
            </w:r>
            <w:r w:rsidRPr="00A87320">
              <w:rPr>
                <w:rFonts w:ascii="Arial" w:hAnsi="Arial" w:cs="Arial"/>
                <w:sz w:val="20"/>
                <w:szCs w:val="20"/>
              </w:rPr>
              <w:t xml:space="preserve"> </w:t>
            </w:r>
            <w:r w:rsidR="002B4B15" w:rsidRPr="00A87320">
              <w:rPr>
                <w:rFonts w:ascii="Arial" w:hAnsi="Arial" w:cs="Arial"/>
                <w:sz w:val="20"/>
                <w:szCs w:val="20"/>
              </w:rPr>
              <w:t xml:space="preserve">Narrabri Underground Mine Stage 3 Extension Project </w:t>
            </w:r>
            <w:r w:rsidRPr="00A87320">
              <w:rPr>
                <w:rFonts w:ascii="Arial" w:hAnsi="Arial" w:cs="Arial"/>
                <w:sz w:val="20"/>
                <w:szCs w:val="20"/>
              </w:rPr>
              <w:t xml:space="preserve">in </w:t>
            </w:r>
            <w:r w:rsidR="00DE57D9" w:rsidRPr="00A87320">
              <w:rPr>
                <w:rFonts w:ascii="Arial" w:hAnsi="Arial" w:cs="Arial"/>
                <w:sz w:val="20"/>
                <w:szCs w:val="20"/>
              </w:rPr>
              <w:t>NSW</w:t>
            </w:r>
            <w:r w:rsidRPr="00A87320">
              <w:rPr>
                <w:rFonts w:ascii="Arial" w:hAnsi="Arial" w:cs="Arial"/>
                <w:sz w:val="20"/>
                <w:szCs w:val="20"/>
              </w:rPr>
              <w:t>. This document provides the IESC’s advice in response to the requesting agency’s questions. These questions are directed at matters specific to the project to be considered during the requesting agency’s assessment process. This advice draws upon the available assessment docume</w:t>
            </w:r>
            <w:r w:rsidR="00F424D7" w:rsidRPr="00A87320">
              <w:rPr>
                <w:rFonts w:ascii="Arial" w:hAnsi="Arial" w:cs="Arial"/>
                <w:sz w:val="20"/>
                <w:szCs w:val="20"/>
              </w:rPr>
              <w:t xml:space="preserve">ntation, data and methodologies, </w:t>
            </w:r>
            <w:r w:rsidRPr="00A87320">
              <w:rPr>
                <w:rFonts w:ascii="Arial" w:hAnsi="Arial" w:cs="Arial"/>
                <w:sz w:val="20"/>
                <w:szCs w:val="20"/>
              </w:rPr>
              <w:t>together with the expert deliberations of the IESC</w:t>
            </w:r>
            <w:r w:rsidR="001E2E34" w:rsidRPr="00A87320">
              <w:rPr>
                <w:rFonts w:ascii="Arial" w:hAnsi="Arial" w:cs="Arial"/>
                <w:sz w:val="20"/>
                <w:szCs w:val="20"/>
              </w:rPr>
              <w:t>,</w:t>
            </w:r>
            <w:r w:rsidRPr="00A87320">
              <w:rPr>
                <w:rFonts w:ascii="Arial" w:hAnsi="Arial" w:cs="Arial"/>
                <w:sz w:val="20"/>
                <w:szCs w:val="20"/>
              </w:rPr>
              <w:t xml:space="preserve"> and is assessed against the IESC Information Guidelines (</w:t>
            </w:r>
            <w:r w:rsidR="001E2E34" w:rsidRPr="00A87320">
              <w:rPr>
                <w:rFonts w:ascii="Arial" w:hAnsi="Arial" w:cs="Arial"/>
                <w:sz w:val="20"/>
                <w:szCs w:val="20"/>
              </w:rPr>
              <w:t>IESC, 2018</w:t>
            </w:r>
            <w:r w:rsidRPr="00A87320">
              <w:rPr>
                <w:rFonts w:ascii="Arial" w:hAnsi="Arial" w:cs="Arial"/>
                <w:sz w:val="20"/>
                <w:szCs w:val="20"/>
              </w:rPr>
              <w:t>).</w:t>
            </w:r>
          </w:p>
        </w:tc>
      </w:tr>
    </w:tbl>
    <w:p w14:paraId="710521CD" w14:textId="77777777" w:rsidR="00C60A1A" w:rsidRPr="00A87320" w:rsidRDefault="00C60A1A" w:rsidP="00C60A1A"/>
    <w:p w14:paraId="710521CE" w14:textId="77777777" w:rsidR="00D40DCC" w:rsidRPr="00A87320" w:rsidRDefault="00787D99" w:rsidP="00D622B9">
      <w:pPr>
        <w:pStyle w:val="Heading3"/>
      </w:pPr>
      <w:r w:rsidRPr="00A87320">
        <w:t>Summary</w:t>
      </w:r>
    </w:p>
    <w:p w14:paraId="710521CF" w14:textId="77777777" w:rsidR="00DE57D9" w:rsidRPr="00A87320" w:rsidRDefault="00DE57D9" w:rsidP="00DE57D9">
      <w:r w:rsidRPr="00A87320">
        <w:t xml:space="preserve">The proposed </w:t>
      </w:r>
      <w:r w:rsidR="008B79A5" w:rsidRPr="00A87320">
        <w:t>Narrabri Underground Mine Stage 3 Extension Project (</w:t>
      </w:r>
      <w:r w:rsidR="0009468B" w:rsidRPr="00A87320">
        <w:t>the project</w:t>
      </w:r>
      <w:r w:rsidR="008B79A5" w:rsidRPr="00A87320">
        <w:t>)</w:t>
      </w:r>
      <w:r w:rsidRPr="00A87320">
        <w:t xml:space="preserve"> is a longwall</w:t>
      </w:r>
      <w:r w:rsidR="00817179">
        <w:t xml:space="preserve"> </w:t>
      </w:r>
      <w:r w:rsidRPr="00A87320">
        <w:t xml:space="preserve">mining extension to the existing underground </w:t>
      </w:r>
      <w:r w:rsidR="008B79A5" w:rsidRPr="00A87320">
        <w:t>Narrabri</w:t>
      </w:r>
      <w:r w:rsidRPr="00A87320">
        <w:t xml:space="preserve"> Coal Mine, </w:t>
      </w:r>
      <w:r w:rsidR="008B79A5" w:rsidRPr="00A87320">
        <w:t>located</w:t>
      </w:r>
      <w:r w:rsidRPr="00A87320">
        <w:t xml:space="preserve"> in the </w:t>
      </w:r>
      <w:r w:rsidR="008B79A5" w:rsidRPr="00A87320">
        <w:t>Gunnedah</w:t>
      </w:r>
      <w:r w:rsidRPr="00A87320">
        <w:t xml:space="preserve"> Coalfields of NSW. </w:t>
      </w:r>
      <w:r w:rsidR="008B79A5" w:rsidRPr="00A87320">
        <w:t>The project will increase production from 11</w:t>
      </w:r>
      <w:r w:rsidRPr="00A87320">
        <w:t xml:space="preserve"> million tonnes per annum</w:t>
      </w:r>
      <w:r w:rsidRPr="00A87320" w:rsidDel="51AAFDFA">
        <w:t xml:space="preserve"> </w:t>
      </w:r>
      <w:r w:rsidR="008B79A5" w:rsidRPr="00A87320">
        <w:t>(</w:t>
      </w:r>
      <w:proofErr w:type="spellStart"/>
      <w:r w:rsidR="008B79A5" w:rsidRPr="00A87320">
        <w:t>Mtpa</w:t>
      </w:r>
      <w:proofErr w:type="spellEnd"/>
      <w:r w:rsidR="008B79A5" w:rsidRPr="00A87320">
        <w:t xml:space="preserve">) to up to 13 </w:t>
      </w:r>
      <w:proofErr w:type="spellStart"/>
      <w:r w:rsidR="008B79A5" w:rsidRPr="00A87320">
        <w:t>Mtpa</w:t>
      </w:r>
      <w:proofErr w:type="spellEnd"/>
      <w:r w:rsidR="008B79A5" w:rsidRPr="00A87320">
        <w:t xml:space="preserve"> </w:t>
      </w:r>
      <w:r w:rsidRPr="00A87320">
        <w:t>of run</w:t>
      </w:r>
      <w:r w:rsidR="00691977" w:rsidRPr="00A87320">
        <w:t>-</w:t>
      </w:r>
      <w:r w:rsidRPr="00A87320">
        <w:t>of</w:t>
      </w:r>
      <w:r w:rsidR="00691977" w:rsidRPr="00A87320">
        <w:t>-</w:t>
      </w:r>
      <w:r w:rsidRPr="00A87320">
        <w:t>mine coal</w:t>
      </w:r>
      <w:r w:rsidR="00A30BCD" w:rsidRPr="00A87320">
        <w:t xml:space="preserve"> (</w:t>
      </w:r>
      <w:r w:rsidR="00817179">
        <w:t xml:space="preserve">a </w:t>
      </w:r>
      <w:r w:rsidR="00A30BCD" w:rsidRPr="00A87320">
        <w:t xml:space="preserve">combination of thermal and pulverised coal </w:t>
      </w:r>
      <w:proofErr w:type="spellStart"/>
      <w:r w:rsidR="00A30BCD" w:rsidRPr="00A87320">
        <w:t>injectate</w:t>
      </w:r>
      <w:proofErr w:type="spellEnd"/>
      <w:r w:rsidR="00A30BCD" w:rsidRPr="00A87320">
        <w:t>)</w:t>
      </w:r>
      <w:r w:rsidR="008B79A5" w:rsidRPr="00A87320">
        <w:t>,</w:t>
      </w:r>
      <w:r w:rsidRPr="00A87320">
        <w:t xml:space="preserve"> and </w:t>
      </w:r>
      <w:r w:rsidR="008B79A5" w:rsidRPr="00A87320">
        <w:t>extend the mine life from July 2031</w:t>
      </w:r>
      <w:r w:rsidR="00815742">
        <w:t> </w:t>
      </w:r>
      <w:r w:rsidR="008B79A5" w:rsidRPr="00A87320">
        <w:t>to 2045.</w:t>
      </w:r>
      <w:r w:rsidRPr="00A87320">
        <w:t xml:space="preserve"> The proposal also includes expansion and upgrades of existing surface infrastructure.</w:t>
      </w:r>
    </w:p>
    <w:p w14:paraId="710521D0" w14:textId="77777777" w:rsidR="001E4DF9" w:rsidRPr="00A87320" w:rsidRDefault="00512A7B" w:rsidP="00D40DCC">
      <w:r w:rsidRPr="00A87320">
        <w:t>The p</w:t>
      </w:r>
      <w:r w:rsidR="00D40DCC" w:rsidRPr="00A87320">
        <w:t>roject is located within the Namoi Water Management Area. The region has one of the highest levels of groundwater extraction in the Murray</w:t>
      </w:r>
      <w:r w:rsidR="00691977" w:rsidRPr="00A87320">
        <w:t>-</w:t>
      </w:r>
      <w:r w:rsidR="00D40DCC" w:rsidRPr="00A87320">
        <w:t>Darling Basin (Department of Primary Industries, 2017).</w:t>
      </w:r>
      <w:r w:rsidRPr="00A87320">
        <w:t xml:space="preserve"> </w:t>
      </w:r>
      <w:r w:rsidR="0009468B" w:rsidRPr="00A87320">
        <w:t xml:space="preserve">Surface water resources in the area include the </w:t>
      </w:r>
      <w:r w:rsidR="00D40DCC" w:rsidRPr="00A87320">
        <w:t xml:space="preserve">Namoi River </w:t>
      </w:r>
      <w:r w:rsidR="0009468B" w:rsidRPr="00A87320">
        <w:t>that is located</w:t>
      </w:r>
      <w:r w:rsidR="00D40DCC" w:rsidRPr="00A87320">
        <w:t xml:space="preserve"> approximately 6 km from the </w:t>
      </w:r>
      <w:r w:rsidR="00D40DCC" w:rsidRPr="00A87320">
        <w:lastRenderedPageBreak/>
        <w:t>proposed extension</w:t>
      </w:r>
      <w:r w:rsidR="0009468B" w:rsidRPr="00A87320">
        <w:t>, and the</w:t>
      </w:r>
      <w:r w:rsidR="00D40DCC" w:rsidRPr="00A87320">
        <w:t xml:space="preserve"> ephemeral Kurrajong Creek located within the </w:t>
      </w:r>
      <w:r w:rsidR="00BA098B" w:rsidRPr="00A87320">
        <w:t>proposed development area</w:t>
      </w:r>
      <w:r w:rsidR="00D40DCC" w:rsidRPr="00A87320">
        <w:t>.</w:t>
      </w:r>
      <w:r w:rsidRPr="00A87320">
        <w:t xml:space="preserve"> </w:t>
      </w:r>
      <w:r w:rsidR="00691977" w:rsidRPr="00A87320">
        <w:t>Known g</w:t>
      </w:r>
      <w:r w:rsidR="00594A5D" w:rsidRPr="00A87320">
        <w:t>roundwater-</w:t>
      </w:r>
      <w:r w:rsidR="00D40DCC" w:rsidRPr="00A87320">
        <w:t xml:space="preserve">dependent ecosystems (GDEs) adjacent to or within the project area include Mayfield, </w:t>
      </w:r>
      <w:proofErr w:type="spellStart"/>
      <w:r w:rsidR="00D40DCC" w:rsidRPr="00A87320">
        <w:t>Hardys</w:t>
      </w:r>
      <w:proofErr w:type="spellEnd"/>
      <w:r w:rsidR="00D40DCC" w:rsidRPr="00A87320">
        <w:t xml:space="preserve"> and </w:t>
      </w:r>
      <w:proofErr w:type="spellStart"/>
      <w:r w:rsidR="00D40DCC" w:rsidRPr="00A87320">
        <w:t>Eather</w:t>
      </w:r>
      <w:proofErr w:type="spellEnd"/>
      <w:r w:rsidR="00D40DCC" w:rsidRPr="00A87320">
        <w:t xml:space="preserve"> Springs.</w:t>
      </w:r>
      <w:r w:rsidRPr="00A87320">
        <w:t xml:space="preserve"> </w:t>
      </w:r>
      <w:r w:rsidR="00D40DCC" w:rsidRPr="00A87320">
        <w:t xml:space="preserve">There are </w:t>
      </w:r>
      <w:r w:rsidR="00CD2BAD" w:rsidRPr="00A87320">
        <w:t xml:space="preserve">also </w:t>
      </w:r>
      <w:r w:rsidR="001E4DF9" w:rsidRPr="00A87320">
        <w:t xml:space="preserve">approximately 40 </w:t>
      </w:r>
      <w:r w:rsidR="001F37A7" w:rsidRPr="00A87320">
        <w:t xml:space="preserve">farm </w:t>
      </w:r>
      <w:r w:rsidR="001E4DF9" w:rsidRPr="00A87320">
        <w:t>dams located within the vicinity of the project.</w:t>
      </w:r>
    </w:p>
    <w:p w14:paraId="710521D1" w14:textId="77777777" w:rsidR="00786314" w:rsidRPr="00A87320" w:rsidRDefault="00786314" w:rsidP="00B10D17">
      <w:r w:rsidRPr="00A87320">
        <w:t xml:space="preserve">The limited level of detail </w:t>
      </w:r>
      <w:r w:rsidR="0009468B" w:rsidRPr="00A87320">
        <w:t>required for</w:t>
      </w:r>
      <w:r w:rsidRPr="00A87320">
        <w:t xml:space="preserve"> project documentation at the Gateway </w:t>
      </w:r>
      <w:r w:rsidR="009A02D7" w:rsidRPr="00A87320">
        <w:t xml:space="preserve">Application </w:t>
      </w:r>
      <w:r w:rsidRPr="00A87320">
        <w:t>stage</w:t>
      </w:r>
      <w:r w:rsidR="00304A62" w:rsidRPr="00A87320">
        <w:t xml:space="preserve"> (New South Wales Government, 2013)</w:t>
      </w:r>
      <w:r w:rsidRPr="00A87320">
        <w:t xml:space="preserve"> </w:t>
      </w:r>
      <w:r w:rsidR="00BB0367" w:rsidRPr="00A87320">
        <w:t xml:space="preserve">accordingly limits </w:t>
      </w:r>
      <w:r w:rsidRPr="00A87320">
        <w:t xml:space="preserve">the </w:t>
      </w:r>
      <w:r w:rsidR="00BB0367" w:rsidRPr="00A87320">
        <w:t>scope</w:t>
      </w:r>
      <w:r w:rsidRPr="00A87320">
        <w:t xml:space="preserve"> of the IESC</w:t>
      </w:r>
      <w:r w:rsidR="00691977" w:rsidRPr="00A87320">
        <w:t>’s</w:t>
      </w:r>
      <w:r w:rsidRPr="00A87320">
        <w:t xml:space="preserve"> </w:t>
      </w:r>
      <w:r w:rsidR="00BB0367" w:rsidRPr="00A87320">
        <w:t xml:space="preserve">advice on </w:t>
      </w:r>
      <w:r w:rsidRPr="00A87320">
        <w:t xml:space="preserve">the extent and likelihood of the proposed project’s potential impacts to water resources. Consequently, this advice is only able to provide general </w:t>
      </w:r>
      <w:r w:rsidR="0051115A" w:rsidRPr="00A87320">
        <w:t xml:space="preserve">guidance </w:t>
      </w:r>
      <w:r w:rsidRPr="00A87320">
        <w:t>on the</w:t>
      </w:r>
      <w:r w:rsidR="00CD2BAD" w:rsidRPr="00A87320">
        <w:t xml:space="preserve"> potential </w:t>
      </w:r>
      <w:r w:rsidRPr="00A87320">
        <w:t>impacts</w:t>
      </w:r>
      <w:r w:rsidR="00E95CBD" w:rsidRPr="00A87320">
        <w:t xml:space="preserve">, together with suggestions for additional information required if the proposal proceeds to the </w:t>
      </w:r>
      <w:r w:rsidR="00B10D17" w:rsidRPr="00A87320">
        <w:t>Environmental Impact Statement (</w:t>
      </w:r>
      <w:r w:rsidR="00E95CBD" w:rsidRPr="00A87320">
        <w:t>EIS</w:t>
      </w:r>
      <w:r w:rsidR="00B10D17" w:rsidRPr="00A87320">
        <w:t>)</w:t>
      </w:r>
      <w:r w:rsidR="00E95CBD" w:rsidRPr="00A87320">
        <w:t xml:space="preserve"> stage</w:t>
      </w:r>
      <w:r w:rsidRPr="00A87320">
        <w:t xml:space="preserve">. </w:t>
      </w:r>
    </w:p>
    <w:p w14:paraId="710521D2" w14:textId="77777777" w:rsidR="00EB5E48" w:rsidRPr="00A87320" w:rsidRDefault="00EB5E48" w:rsidP="00EB5E48">
      <w:pPr>
        <w:keepNext/>
      </w:pPr>
      <w:r w:rsidRPr="00A87320">
        <w:rPr>
          <w:u w:val="single"/>
        </w:rPr>
        <w:t>Key potential impacts</w:t>
      </w:r>
      <w:r w:rsidRPr="00A87320">
        <w:t xml:space="preserve"> from this project are:</w:t>
      </w:r>
    </w:p>
    <w:p w14:paraId="710521D3" w14:textId="77777777" w:rsidR="003E1A7F" w:rsidRPr="00A87320" w:rsidRDefault="003E1A7F" w:rsidP="00DC7876">
      <w:pPr>
        <w:pStyle w:val="ListParagraph"/>
        <w:numPr>
          <w:ilvl w:val="0"/>
          <w:numId w:val="10"/>
        </w:numPr>
      </w:pPr>
      <w:r w:rsidRPr="00A87320">
        <w:t>groundwater drawdown</w:t>
      </w:r>
      <w:r w:rsidR="007B761C" w:rsidRPr="00A87320">
        <w:t xml:space="preserve"> that will potentially reduce availability of water </w:t>
      </w:r>
      <w:r w:rsidR="002C24B8" w:rsidRPr="00A87320">
        <w:t>for GDEs</w:t>
      </w:r>
      <w:r w:rsidRPr="00A87320">
        <w:t>,</w:t>
      </w:r>
      <w:r w:rsidR="00241DF3" w:rsidRPr="00A87320">
        <w:t xml:space="preserve"> such as springs, the Upper Namoi Alluvium and other water resources</w:t>
      </w:r>
      <w:r w:rsidRPr="00A87320">
        <w:t xml:space="preserve">; </w:t>
      </w:r>
    </w:p>
    <w:p w14:paraId="710521D4" w14:textId="77777777" w:rsidR="003E1A7F" w:rsidRPr="00A87320" w:rsidRDefault="003E1A7F" w:rsidP="003E1A7F">
      <w:pPr>
        <w:pStyle w:val="ListParagraph"/>
        <w:numPr>
          <w:ilvl w:val="0"/>
          <w:numId w:val="10"/>
        </w:numPr>
      </w:pPr>
      <w:r w:rsidRPr="00A87320">
        <w:t xml:space="preserve">surface water losses </w:t>
      </w:r>
      <w:r w:rsidR="00691977" w:rsidRPr="00A87320">
        <w:t>and altered stream-flow regimes</w:t>
      </w:r>
      <w:r w:rsidR="00BA098B" w:rsidRPr="00A87320">
        <w:t xml:space="preserve"> (e.g. Kurrajong Creek)</w:t>
      </w:r>
      <w:r w:rsidR="00691977" w:rsidRPr="00A87320">
        <w:t xml:space="preserve"> </w:t>
      </w:r>
      <w:r w:rsidRPr="00A87320">
        <w:t xml:space="preserve">through surface fracturing, cracking and ponding </w:t>
      </w:r>
      <w:r w:rsidR="00F96A35" w:rsidRPr="00A87320">
        <w:t>along</w:t>
      </w:r>
      <w:r w:rsidRPr="00A87320">
        <w:t xml:space="preserve"> drainage lines above the proposed longwalls; and</w:t>
      </w:r>
    </w:p>
    <w:p w14:paraId="710521D5" w14:textId="77777777" w:rsidR="003E1A7F" w:rsidRPr="00A87320" w:rsidRDefault="002C24B8" w:rsidP="007C25B0">
      <w:pPr>
        <w:pStyle w:val="ListParagraph"/>
        <w:numPr>
          <w:ilvl w:val="0"/>
          <w:numId w:val="10"/>
        </w:numPr>
        <w:rPr>
          <w:color w:val="FF0000"/>
        </w:rPr>
      </w:pPr>
      <w:proofErr w:type="gramStart"/>
      <w:r w:rsidRPr="00A87320">
        <w:t>cumulative</w:t>
      </w:r>
      <w:proofErr w:type="gramEnd"/>
      <w:r w:rsidRPr="00A87320">
        <w:t xml:space="preserve"> impacts created by the multiple competing demands for water in an already </w:t>
      </w:r>
      <w:r w:rsidR="00BA098B" w:rsidRPr="00A87320">
        <w:t>heavily used</w:t>
      </w:r>
      <w:r w:rsidRPr="00A87320">
        <w:t xml:space="preserve"> system.</w:t>
      </w:r>
    </w:p>
    <w:p w14:paraId="710521D6" w14:textId="77777777" w:rsidR="005B30B9" w:rsidRPr="00A87320" w:rsidRDefault="005B30B9" w:rsidP="005B30B9">
      <w:r w:rsidRPr="00A87320">
        <w:t>The IESC has identified areas in which additional work is required to assess the materiality of impacts, as detailed in this advice. These are summarised below.</w:t>
      </w:r>
    </w:p>
    <w:p w14:paraId="710521D7" w14:textId="77777777" w:rsidR="00455D89" w:rsidRDefault="00F13A52" w:rsidP="00F13A52">
      <w:pPr>
        <w:pStyle w:val="ListParagraph"/>
        <w:numPr>
          <w:ilvl w:val="0"/>
          <w:numId w:val="7"/>
        </w:numPr>
        <w:jc w:val="both"/>
      </w:pPr>
      <w:r w:rsidRPr="00A87320">
        <w:t xml:space="preserve">Further model simulations are needed to examine a greater range of variability in </w:t>
      </w:r>
      <w:r w:rsidR="00410ABC" w:rsidRPr="00A87320">
        <w:t xml:space="preserve">parameters and </w:t>
      </w:r>
      <w:r w:rsidRPr="00A87320">
        <w:t>predictions, including incorporat</w:t>
      </w:r>
      <w:r w:rsidR="00E95CBD" w:rsidRPr="00A87320">
        <w:t>ion of</w:t>
      </w:r>
      <w:r w:rsidRPr="00A87320">
        <w:t xml:space="preserve"> pumping</w:t>
      </w:r>
      <w:r w:rsidR="00042092" w:rsidRPr="00A87320">
        <w:t xml:space="preserve"> from licenced bores</w:t>
      </w:r>
      <w:r w:rsidR="00455D89">
        <w:t>,</w:t>
      </w:r>
      <w:r w:rsidR="00F96A35" w:rsidRPr="00A87320">
        <w:t xml:space="preserve"> </w:t>
      </w:r>
      <w:r w:rsidRPr="00A87320">
        <w:t>refine</w:t>
      </w:r>
      <w:r w:rsidR="00455D89">
        <w:t>ment of</w:t>
      </w:r>
      <w:r w:rsidRPr="00A87320">
        <w:t xml:space="preserve"> boundary conditions and </w:t>
      </w:r>
      <w:r w:rsidR="00BA098B" w:rsidRPr="00A87320">
        <w:t xml:space="preserve">the </w:t>
      </w:r>
      <w:r w:rsidRPr="00A87320">
        <w:t>parameters</w:t>
      </w:r>
      <w:r w:rsidR="00BA098B" w:rsidRPr="00A87320">
        <w:t xml:space="preserve"> controlling recharge and evapotranspiration</w:t>
      </w:r>
      <w:r w:rsidRPr="00A87320">
        <w:t xml:space="preserve">. This information is needed to improve the current understanding of potential </w:t>
      </w:r>
      <w:r w:rsidR="00F96A35" w:rsidRPr="00A87320">
        <w:t xml:space="preserve">extent and </w:t>
      </w:r>
      <w:r w:rsidRPr="00A87320">
        <w:t xml:space="preserve">variability of drawdown impacts that could occur and to further support the proponent’s </w:t>
      </w:r>
      <w:r w:rsidR="00F65BB0" w:rsidRPr="00A87320">
        <w:t>assessment</w:t>
      </w:r>
      <w:r w:rsidRPr="00A87320">
        <w:t xml:space="preserve"> that impacts to both the Upper Namoi Alluvium and the Namoi River will be minimal</w:t>
      </w:r>
      <w:r w:rsidR="00F96A35" w:rsidRPr="00A87320">
        <w:t>, especially</w:t>
      </w:r>
      <w:r w:rsidRPr="00A87320">
        <w:t xml:space="preserve"> given the</w:t>
      </w:r>
      <w:r w:rsidR="00F96A35" w:rsidRPr="00A87320">
        <w:t xml:space="preserve"> </w:t>
      </w:r>
      <w:r w:rsidR="00E95CBD" w:rsidRPr="00A87320">
        <w:t xml:space="preserve">historical and </w:t>
      </w:r>
      <w:r w:rsidR="00F96A35" w:rsidRPr="00A87320">
        <w:t>current</w:t>
      </w:r>
      <w:r w:rsidRPr="00A87320">
        <w:t xml:space="preserve"> intensive use of these water resources.</w:t>
      </w:r>
      <w:r w:rsidR="00BA098B" w:rsidRPr="00A87320">
        <w:t xml:space="preserve"> </w:t>
      </w:r>
    </w:p>
    <w:p w14:paraId="710521D8" w14:textId="77777777" w:rsidR="00F13A52" w:rsidRPr="00A87320" w:rsidRDefault="00BA098B" w:rsidP="00F13A52">
      <w:pPr>
        <w:pStyle w:val="ListParagraph"/>
        <w:numPr>
          <w:ilvl w:val="0"/>
          <w:numId w:val="7"/>
        </w:numPr>
        <w:jc w:val="both"/>
      </w:pPr>
      <w:r w:rsidRPr="00A87320">
        <w:t>The groundwater model should be better integrated with the subsidence model</w:t>
      </w:r>
      <w:r w:rsidR="00455D89">
        <w:t xml:space="preserve"> to provide a</w:t>
      </w:r>
      <w:r w:rsidR="00817179">
        <w:t>n improved</w:t>
      </w:r>
      <w:r w:rsidR="00455D89">
        <w:t xml:space="preserve"> understanding of impacts on surface water and alluvium</w:t>
      </w:r>
      <w:r w:rsidRPr="00A87320">
        <w:t>.</w:t>
      </w:r>
    </w:p>
    <w:p w14:paraId="710521D9" w14:textId="77777777" w:rsidR="00F13A52" w:rsidRPr="00A87320" w:rsidRDefault="00F13A52" w:rsidP="00F13A52">
      <w:pPr>
        <w:pStyle w:val="ListParagraph"/>
        <w:numPr>
          <w:ilvl w:val="0"/>
          <w:numId w:val="7"/>
        </w:numPr>
        <w:jc w:val="both"/>
      </w:pPr>
      <w:r w:rsidRPr="00A87320">
        <w:t xml:space="preserve">Maps are needed that illustrate the distribution of potential </w:t>
      </w:r>
      <w:r w:rsidR="00F65BB0" w:rsidRPr="00A87320">
        <w:t>GDEs</w:t>
      </w:r>
      <w:r w:rsidRPr="00A87320">
        <w:t xml:space="preserve">, particularly </w:t>
      </w:r>
      <w:r w:rsidR="00F96A35" w:rsidRPr="00A87320">
        <w:t xml:space="preserve">alluvial and riparian </w:t>
      </w:r>
      <w:proofErr w:type="spellStart"/>
      <w:r w:rsidR="00F96A35" w:rsidRPr="00A87320">
        <w:t>ones</w:t>
      </w:r>
      <w:proofErr w:type="spellEnd"/>
      <w:r w:rsidRPr="00A87320">
        <w:t xml:space="preserve">, superimposed on contours of estimated depths to the water table (in metres below ground level) both pre-mining and at maximum predicted drawdown. These maps should also show the locations of bores used to estimate the water table depths. These maps are needed to </w:t>
      </w:r>
      <w:r w:rsidR="00E75171" w:rsidRPr="00A87320">
        <w:t>better</w:t>
      </w:r>
      <w:r w:rsidRPr="00A87320">
        <w:t xml:space="preserve"> understand potential impacts to GDEs.</w:t>
      </w:r>
    </w:p>
    <w:p w14:paraId="710521DA" w14:textId="77777777" w:rsidR="00F65BB0" w:rsidRPr="00A87320" w:rsidRDefault="00F65BB0" w:rsidP="00F65BB0">
      <w:pPr>
        <w:pStyle w:val="ListParagraph"/>
        <w:numPr>
          <w:ilvl w:val="0"/>
          <w:numId w:val="7"/>
        </w:numPr>
        <w:jc w:val="both"/>
      </w:pPr>
      <w:r w:rsidRPr="00A87320">
        <w:t xml:space="preserve">Surface water modelling </w:t>
      </w:r>
      <w:r w:rsidR="0039584A" w:rsidRPr="00A87320">
        <w:t xml:space="preserve">informed by baseline stream gauging </w:t>
      </w:r>
      <w:r w:rsidR="00D4055D" w:rsidRPr="00A87320">
        <w:t xml:space="preserve">is required </w:t>
      </w:r>
      <w:r w:rsidR="00BA098B" w:rsidRPr="00A87320">
        <w:t>to assess</w:t>
      </w:r>
      <w:r w:rsidRPr="00A87320">
        <w:t xml:space="preserve"> water loss </w:t>
      </w:r>
      <w:r w:rsidR="0083094F" w:rsidRPr="00A87320">
        <w:t xml:space="preserve">from </w:t>
      </w:r>
      <w:r w:rsidR="007B761C" w:rsidRPr="00A87320">
        <w:t>surface waters</w:t>
      </w:r>
      <w:r w:rsidR="0083094F" w:rsidRPr="00A87320">
        <w:t xml:space="preserve"> due to groundwater drawdown and </w:t>
      </w:r>
      <w:r w:rsidRPr="00A87320">
        <w:t>from cracking and ponding, under a range of climatic scenarios. Additional mitigation measures may be necessary, such as revising the mine layout to reduce subsidence-related strains and stresses experienced at the surface and retiring water licenses to account for the increased loss of surface water through cracking and ponding.</w:t>
      </w:r>
    </w:p>
    <w:p w14:paraId="710521DB" w14:textId="77777777" w:rsidR="00E95CBD" w:rsidRPr="00A87320" w:rsidRDefault="00E95CBD" w:rsidP="00E95CBD">
      <w:pPr>
        <w:pStyle w:val="ListParagraph"/>
        <w:numPr>
          <w:ilvl w:val="0"/>
          <w:numId w:val="7"/>
        </w:numPr>
        <w:jc w:val="both"/>
      </w:pPr>
      <w:r w:rsidRPr="00A87320">
        <w:t>Surface and groundwater quality monitoring</w:t>
      </w:r>
      <w:r w:rsidR="003A0D96" w:rsidRPr="00A87320">
        <w:t xml:space="preserve"> is needed</w:t>
      </w:r>
      <w:r w:rsidRPr="00A87320">
        <w:t>, including</w:t>
      </w:r>
      <w:r w:rsidR="00BA098B" w:rsidRPr="00A87320">
        <w:t xml:space="preserve"> information on</w:t>
      </w:r>
      <w:r w:rsidRPr="00A87320">
        <w:t xml:space="preserve"> parameters measured and frequency of monitoring, on which to base site-specific water quality guidelines.</w:t>
      </w:r>
    </w:p>
    <w:p w14:paraId="710521DC" w14:textId="77777777" w:rsidR="00F13A52" w:rsidRPr="00A87320" w:rsidRDefault="00F13A52" w:rsidP="00F13A52">
      <w:pPr>
        <w:pStyle w:val="ListParagraph"/>
        <w:numPr>
          <w:ilvl w:val="0"/>
          <w:numId w:val="7"/>
        </w:numPr>
        <w:jc w:val="both"/>
      </w:pPr>
      <w:r w:rsidRPr="00A87320">
        <w:t>An appropriate risk analysis (e.g. Serov et al. 2012) of the potential impacts of groundwater drawdown to GDEs is required, along with proposed mitigation strategies.</w:t>
      </w:r>
    </w:p>
    <w:p w14:paraId="710521DD" w14:textId="77777777" w:rsidR="00684F79" w:rsidRPr="00A87320" w:rsidRDefault="00BA098B" w:rsidP="00D61BF8">
      <w:pPr>
        <w:pStyle w:val="ListParagraph"/>
        <w:numPr>
          <w:ilvl w:val="0"/>
          <w:numId w:val="7"/>
        </w:numPr>
        <w:rPr>
          <w:b/>
        </w:rPr>
      </w:pPr>
      <w:r w:rsidRPr="00A87320">
        <w:lastRenderedPageBreak/>
        <w:t xml:space="preserve">A detailed assessment of potential risks to groundwater and surface water ecosystems of the Namoi catchment </w:t>
      </w:r>
      <w:r w:rsidR="00684F79" w:rsidRPr="00A87320">
        <w:t xml:space="preserve">and a cumulative impact assessment </w:t>
      </w:r>
      <w:r w:rsidRPr="00A87320">
        <w:t xml:space="preserve">will be required. </w:t>
      </w:r>
    </w:p>
    <w:p w14:paraId="710521DE" w14:textId="77777777" w:rsidR="00291857" w:rsidRPr="00A87320" w:rsidRDefault="00291857" w:rsidP="00684F79">
      <w:pPr>
        <w:rPr>
          <w:b/>
        </w:rPr>
      </w:pPr>
      <w:r w:rsidRPr="00A87320">
        <w:rPr>
          <w:b/>
        </w:rPr>
        <w:t>Context</w:t>
      </w:r>
    </w:p>
    <w:p w14:paraId="710521DF" w14:textId="77777777" w:rsidR="009D0F23" w:rsidRPr="00A87320" w:rsidRDefault="006A2011" w:rsidP="008348C3">
      <w:r w:rsidRPr="00A87320">
        <w:t xml:space="preserve">The Narrabri Mine (EPBC 2009/5003) is an existing underground coal mining operation </w:t>
      </w:r>
      <w:r w:rsidR="009F22F8" w:rsidRPr="00A87320">
        <w:t xml:space="preserve">located </w:t>
      </w:r>
      <w:r w:rsidRPr="00A87320">
        <w:t>in the Gunnedah Coalfield</w:t>
      </w:r>
      <w:r w:rsidR="005046C1" w:rsidRPr="00A87320">
        <w:t>, approximately 25 km south-east of Narrabri and approximately 60 km north-west of Gunnedah</w:t>
      </w:r>
      <w:r w:rsidR="009F22F8" w:rsidRPr="00A87320">
        <w:t>, NSW</w:t>
      </w:r>
      <w:r w:rsidRPr="00A87320">
        <w:t>.</w:t>
      </w:r>
      <w:r w:rsidR="00183FF8" w:rsidRPr="00A87320">
        <w:t xml:space="preserve"> </w:t>
      </w:r>
      <w:r w:rsidR="009D0F23" w:rsidRPr="00A87320">
        <w:t>The proposed project will expand the existing operation</w:t>
      </w:r>
      <w:r w:rsidR="00AC63B3" w:rsidRPr="00A87320">
        <w:t xml:space="preserve">, </w:t>
      </w:r>
      <w:r w:rsidR="00EA19CC">
        <w:t>targeting</w:t>
      </w:r>
      <w:r w:rsidR="00812660" w:rsidRPr="00A87320">
        <w:t xml:space="preserve"> the </w:t>
      </w:r>
      <w:proofErr w:type="spellStart"/>
      <w:r w:rsidR="00812660" w:rsidRPr="00A87320">
        <w:t>Hoskissons</w:t>
      </w:r>
      <w:proofErr w:type="spellEnd"/>
      <w:r w:rsidR="00812660" w:rsidRPr="00A87320">
        <w:t xml:space="preserve"> Seam. The project will increase</w:t>
      </w:r>
      <w:r w:rsidR="009D0F23" w:rsidRPr="00A87320">
        <w:t xml:space="preserve"> production</w:t>
      </w:r>
      <w:r w:rsidR="00812660" w:rsidRPr="00A87320">
        <w:t xml:space="preserve"> from 11</w:t>
      </w:r>
      <w:r w:rsidR="00566598" w:rsidRPr="00A87320">
        <w:t xml:space="preserve"> </w:t>
      </w:r>
      <w:proofErr w:type="spellStart"/>
      <w:r w:rsidR="00812660" w:rsidRPr="00A87320">
        <w:t>Mtpa</w:t>
      </w:r>
      <w:proofErr w:type="spellEnd"/>
      <w:r w:rsidR="009D0F23" w:rsidRPr="00A87320">
        <w:t xml:space="preserve"> to up to 13</w:t>
      </w:r>
      <w:r w:rsidR="00566598" w:rsidRPr="00A87320">
        <w:t xml:space="preserve"> </w:t>
      </w:r>
      <w:proofErr w:type="spellStart"/>
      <w:r w:rsidR="009D0F23" w:rsidRPr="00A87320">
        <w:t>Mtpa</w:t>
      </w:r>
      <w:proofErr w:type="spellEnd"/>
      <w:r w:rsidR="009D0F23" w:rsidRPr="00A87320">
        <w:t xml:space="preserve"> of run</w:t>
      </w:r>
      <w:r w:rsidR="00F96A35" w:rsidRPr="00A87320">
        <w:t>-</w:t>
      </w:r>
      <w:r w:rsidR="009D0F23" w:rsidRPr="00A87320">
        <w:t>of</w:t>
      </w:r>
      <w:r w:rsidR="00F96A35" w:rsidRPr="00A87320">
        <w:t>-</w:t>
      </w:r>
      <w:r w:rsidR="009D0F23" w:rsidRPr="00A87320">
        <w:t>mine coal</w:t>
      </w:r>
      <w:r w:rsidR="00AC63B3" w:rsidRPr="00A87320">
        <w:t xml:space="preserve">. </w:t>
      </w:r>
    </w:p>
    <w:p w14:paraId="710521E0" w14:textId="77777777" w:rsidR="00F820CE" w:rsidRPr="00A87320" w:rsidRDefault="00F820CE" w:rsidP="00D622B9">
      <w:r w:rsidRPr="00A87320">
        <w:t>The IESC</w:t>
      </w:r>
      <w:r w:rsidR="00BF51A7" w:rsidRPr="00A87320">
        <w:t xml:space="preserve"> recognises that this project is at the Gateway Certificate Application stage</w:t>
      </w:r>
      <w:r w:rsidRPr="00A87320">
        <w:t>. The Gateway process considers how a proposal will impact the agricultural values of the land on which it is to be located</w:t>
      </w:r>
      <w:r w:rsidR="00AF3D66" w:rsidRPr="00A87320">
        <w:t xml:space="preserve">. </w:t>
      </w:r>
      <w:r w:rsidR="00906325" w:rsidRPr="00A87320">
        <w:t>T</w:t>
      </w:r>
      <w:r w:rsidR="00CA6509" w:rsidRPr="00A87320">
        <w:t xml:space="preserve">he proposal must not significantly reduce the agricultural productivity of any </w:t>
      </w:r>
      <w:r w:rsidR="00906325" w:rsidRPr="00A87320">
        <w:t>Biophysical Strategic Agricultural Land (BSAL)</w:t>
      </w:r>
      <w:r w:rsidR="00CA6509" w:rsidRPr="00A87320">
        <w:t xml:space="preserve"> based on considerations of</w:t>
      </w:r>
      <w:r w:rsidR="00906325" w:rsidRPr="00A87320">
        <w:t xml:space="preserve"> the </w:t>
      </w:r>
      <w:r w:rsidR="00594A5D" w:rsidRPr="00A87320">
        <w:t xml:space="preserve">New South Wales Government </w:t>
      </w:r>
      <w:r w:rsidR="00906325" w:rsidRPr="00A87320">
        <w:t>(</w:t>
      </w:r>
      <w:r w:rsidR="00594A5D" w:rsidRPr="00A87320">
        <w:t>2013)</w:t>
      </w:r>
      <w:r w:rsidR="003C6D4E" w:rsidRPr="00A87320">
        <w:t xml:space="preserve"> in the following ways</w:t>
      </w:r>
      <w:r w:rsidRPr="00A87320">
        <w:t>:</w:t>
      </w:r>
    </w:p>
    <w:p w14:paraId="710521E1" w14:textId="77777777" w:rsidR="00CA6509" w:rsidRPr="00A87320" w:rsidRDefault="00CA6509" w:rsidP="008B79A5">
      <w:pPr>
        <w:pStyle w:val="ListNumber3"/>
        <w:numPr>
          <w:ilvl w:val="0"/>
          <w:numId w:val="25"/>
        </w:numPr>
      </w:pPr>
      <w:r w:rsidRPr="00A87320">
        <w:t>any impacts on the land through surface area disturbance and subsidence;</w:t>
      </w:r>
    </w:p>
    <w:p w14:paraId="710521E2" w14:textId="77777777" w:rsidR="00CA6509" w:rsidRPr="00A87320" w:rsidRDefault="00CA6509" w:rsidP="008B79A5">
      <w:pPr>
        <w:pStyle w:val="ListNumber3"/>
        <w:numPr>
          <w:ilvl w:val="0"/>
          <w:numId w:val="25"/>
        </w:numPr>
      </w:pPr>
      <w:r w:rsidRPr="00A87320">
        <w:t>any impacts on soil fertility, effective rooting depth or soil drainage;</w:t>
      </w:r>
    </w:p>
    <w:p w14:paraId="710521E3" w14:textId="77777777" w:rsidR="00CA6509" w:rsidRPr="00A87320" w:rsidRDefault="00CA6509" w:rsidP="008B79A5">
      <w:pPr>
        <w:pStyle w:val="ListNumber3"/>
        <w:numPr>
          <w:ilvl w:val="0"/>
          <w:numId w:val="25"/>
        </w:numPr>
      </w:pPr>
      <w:r w:rsidRPr="00A87320">
        <w:t xml:space="preserve">increases in land surface </w:t>
      </w:r>
      <w:proofErr w:type="spellStart"/>
      <w:r w:rsidRPr="00A87320">
        <w:t>microrelief</w:t>
      </w:r>
      <w:proofErr w:type="spellEnd"/>
      <w:r w:rsidRPr="00A87320">
        <w:t>, soil salinity, rock outcrop, slope and surface rockiness or significant changes to soil pH;</w:t>
      </w:r>
    </w:p>
    <w:p w14:paraId="710521E4" w14:textId="77777777" w:rsidR="00CA6509" w:rsidRPr="00A87320" w:rsidRDefault="00CA6509" w:rsidP="008B79A5">
      <w:pPr>
        <w:pStyle w:val="ListNumber3"/>
        <w:numPr>
          <w:ilvl w:val="0"/>
          <w:numId w:val="25"/>
        </w:numPr>
      </w:pPr>
      <w:r w:rsidRPr="00A87320">
        <w:t xml:space="preserve">any impacts on highly productive groundwater (within the meaning of the </w:t>
      </w:r>
      <w:r w:rsidRPr="00A87320">
        <w:rPr>
          <w:i/>
        </w:rPr>
        <w:t>Aquifer Interference Policy</w:t>
      </w:r>
      <w:r w:rsidRPr="00A87320">
        <w:t>),</w:t>
      </w:r>
    </w:p>
    <w:p w14:paraId="710521E5" w14:textId="77777777" w:rsidR="00CA6509" w:rsidRPr="00A87320" w:rsidRDefault="00CA6509" w:rsidP="008B79A5">
      <w:pPr>
        <w:pStyle w:val="ListNumber3"/>
        <w:numPr>
          <w:ilvl w:val="0"/>
          <w:numId w:val="25"/>
        </w:numPr>
      </w:pPr>
      <w:r w:rsidRPr="00A87320">
        <w:t>any fragmentation of agricultural land uses; and</w:t>
      </w:r>
    </w:p>
    <w:p w14:paraId="710521E6" w14:textId="77777777" w:rsidR="00CA6509" w:rsidRPr="00A87320" w:rsidRDefault="00CA6509" w:rsidP="008B79A5">
      <w:pPr>
        <w:pStyle w:val="ListNumber3"/>
        <w:numPr>
          <w:ilvl w:val="0"/>
          <w:numId w:val="25"/>
        </w:numPr>
      </w:pPr>
      <w:proofErr w:type="gramStart"/>
      <w:r w:rsidRPr="00A87320">
        <w:t>any</w:t>
      </w:r>
      <w:proofErr w:type="gramEnd"/>
      <w:r w:rsidRPr="00A87320">
        <w:t xml:space="preserve"> reduction in the area of </w:t>
      </w:r>
      <w:r w:rsidR="009F22F8" w:rsidRPr="00A87320">
        <w:t>BSAL</w:t>
      </w:r>
      <w:r w:rsidRPr="00A87320">
        <w:t xml:space="preserve">. </w:t>
      </w:r>
    </w:p>
    <w:p w14:paraId="710521E7" w14:textId="77777777" w:rsidR="00A46805" w:rsidRPr="00A87320" w:rsidRDefault="00A46805" w:rsidP="00CA6509">
      <w:r w:rsidRPr="00A87320">
        <w:t>The IESC considers that the proposed project poses limited impacts to BSAL, where approximately 200</w:t>
      </w:r>
      <w:r w:rsidR="00284430" w:rsidRPr="00A87320">
        <w:t> </w:t>
      </w:r>
      <w:r w:rsidRPr="00A87320">
        <w:t xml:space="preserve">ha of Interim Protocol Verified and Potential BSAL have been identified within the application area. Of this, approximately 75 ha </w:t>
      </w:r>
      <w:r w:rsidR="00906325" w:rsidRPr="00A87320">
        <w:t xml:space="preserve">in total </w:t>
      </w:r>
      <w:r w:rsidRPr="00A87320">
        <w:t xml:space="preserve">are located above proposed longwalls within agricultural and forested areas. </w:t>
      </w:r>
    </w:p>
    <w:p w14:paraId="710521E8" w14:textId="77777777" w:rsidR="009F22F8" w:rsidRPr="00A87320" w:rsidRDefault="00E25E9B" w:rsidP="00CA6509">
      <w:r w:rsidRPr="00A87320">
        <w:t xml:space="preserve">Acknowledging the requirements of the </w:t>
      </w:r>
      <w:r w:rsidR="005B250A" w:rsidRPr="00A87320">
        <w:t>NSW Mining and Petroleum Gateway process</w:t>
      </w:r>
      <w:r w:rsidRPr="00A87320">
        <w:t xml:space="preserve"> outlined above</w:t>
      </w:r>
      <w:r w:rsidR="005B250A" w:rsidRPr="00A87320">
        <w:t xml:space="preserve">, it is important to note that the supporting documentation </w:t>
      </w:r>
      <w:r w:rsidRPr="00A87320">
        <w:t xml:space="preserve">is not required to </w:t>
      </w:r>
      <w:r w:rsidR="005B250A" w:rsidRPr="00A87320">
        <w:t xml:space="preserve">focus </w:t>
      </w:r>
      <w:r w:rsidRPr="00A87320">
        <w:t xml:space="preserve">on </w:t>
      </w:r>
      <w:r w:rsidR="009F22F8" w:rsidRPr="00A87320">
        <w:t>matters</w:t>
      </w:r>
      <w:r w:rsidR="005B250A" w:rsidRPr="00A87320">
        <w:t xml:space="preserve"> </w:t>
      </w:r>
      <w:r w:rsidR="009F22F8" w:rsidRPr="00A87320">
        <w:t>that do not directly relate to agricultural productivity (</w:t>
      </w:r>
      <w:r w:rsidR="00906325" w:rsidRPr="00A87320">
        <w:t>e.g.</w:t>
      </w:r>
      <w:r w:rsidR="009F22F8" w:rsidRPr="00A87320">
        <w:t xml:space="preserve"> flora and fauna).</w:t>
      </w:r>
      <w:r w:rsidRPr="00A87320">
        <w:t xml:space="preserve"> All advice below is provided bearing this in mind and in anticipation of a full EIS at later stages of the development if the project proceeds.</w:t>
      </w:r>
    </w:p>
    <w:p w14:paraId="710521E9" w14:textId="77777777" w:rsidR="007203C3" w:rsidRPr="00A87320" w:rsidRDefault="00D84735" w:rsidP="00D622B9">
      <w:pPr>
        <w:pStyle w:val="Heading3"/>
      </w:pPr>
      <w:r w:rsidRPr="00A87320">
        <w:br/>
      </w:r>
      <w:r w:rsidR="00766009" w:rsidRPr="00A87320">
        <w:t>Response to questions</w:t>
      </w:r>
    </w:p>
    <w:p w14:paraId="710521EA" w14:textId="77777777" w:rsidR="007203C3" w:rsidRPr="00A87320" w:rsidRDefault="007203C3" w:rsidP="007203C3">
      <w:pPr>
        <w:pStyle w:val="Default"/>
        <w:spacing w:after="200" w:line="276" w:lineRule="auto"/>
        <w:rPr>
          <w:rFonts w:ascii="Arial" w:eastAsia="Times New Roman" w:hAnsi="Arial" w:cs="Arial"/>
          <w:color w:val="auto"/>
          <w:sz w:val="20"/>
          <w:szCs w:val="20"/>
          <w:lang w:eastAsia="en-US"/>
        </w:rPr>
      </w:pPr>
      <w:r w:rsidRPr="00A87320">
        <w:rPr>
          <w:rFonts w:ascii="Arial" w:eastAsia="Times New Roman" w:hAnsi="Arial" w:cs="Arial"/>
          <w:color w:val="auto"/>
          <w:sz w:val="20"/>
          <w:szCs w:val="20"/>
          <w:lang w:eastAsia="en-US"/>
        </w:rPr>
        <w:t xml:space="preserve">The </w:t>
      </w:r>
      <w:r w:rsidR="00CF562A" w:rsidRPr="00A87320">
        <w:rPr>
          <w:rFonts w:ascii="Arial" w:eastAsia="Times New Roman" w:hAnsi="Arial" w:cs="Arial"/>
          <w:color w:val="auto"/>
          <w:sz w:val="20"/>
          <w:szCs w:val="20"/>
          <w:lang w:eastAsia="en-US"/>
        </w:rPr>
        <w:t>IESC</w:t>
      </w:r>
      <w:r w:rsidRPr="00A87320">
        <w:rPr>
          <w:rFonts w:ascii="Arial" w:eastAsia="Times New Roman" w:hAnsi="Arial" w:cs="Arial"/>
          <w:color w:val="auto"/>
          <w:sz w:val="20"/>
          <w:szCs w:val="20"/>
          <w:lang w:eastAsia="en-US"/>
        </w:rPr>
        <w:t xml:space="preserve">’s advice, in response to the </w:t>
      </w:r>
      <w:r w:rsidR="00E57CD8" w:rsidRPr="00A87320">
        <w:rPr>
          <w:rFonts w:ascii="Arial" w:eastAsia="Times New Roman" w:hAnsi="Arial" w:cs="Arial"/>
          <w:color w:val="auto"/>
          <w:sz w:val="20"/>
          <w:szCs w:val="20"/>
          <w:lang w:eastAsia="en-US"/>
        </w:rPr>
        <w:t>requesting agency</w:t>
      </w:r>
      <w:r w:rsidRPr="00A87320">
        <w:rPr>
          <w:rFonts w:ascii="Arial" w:eastAsia="Times New Roman" w:hAnsi="Arial" w:cs="Arial"/>
          <w:color w:val="auto"/>
          <w:sz w:val="20"/>
          <w:szCs w:val="20"/>
          <w:lang w:eastAsia="en-US"/>
        </w:rPr>
        <w:t>’s specif</w:t>
      </w:r>
      <w:r w:rsidR="00BF51A7" w:rsidRPr="00A87320">
        <w:rPr>
          <w:rFonts w:ascii="Arial" w:eastAsia="Times New Roman" w:hAnsi="Arial" w:cs="Arial"/>
          <w:color w:val="auto"/>
          <w:sz w:val="20"/>
          <w:szCs w:val="20"/>
          <w:lang w:eastAsia="en-US"/>
        </w:rPr>
        <w:t xml:space="preserve">ic questions is provided below. </w:t>
      </w:r>
    </w:p>
    <w:p w14:paraId="710521EB" w14:textId="77777777" w:rsidR="007203C3" w:rsidRPr="00A87320" w:rsidRDefault="007203C3" w:rsidP="00183FF8">
      <w:pPr>
        <w:pStyle w:val="Question"/>
        <w:shd w:val="clear" w:color="auto" w:fill="E7E6E6"/>
        <w:rPr>
          <w:lang w:eastAsia="en-AU"/>
        </w:rPr>
      </w:pPr>
      <w:r w:rsidRPr="00A87320">
        <w:t xml:space="preserve">Question 1: </w:t>
      </w:r>
      <w:r w:rsidR="00183FF8" w:rsidRPr="00A87320">
        <w:t>It would be appreciated if the IESC could advise on the potential likelihood and significance of any impacts of the proposal on water resources</w:t>
      </w:r>
      <w:r w:rsidR="008A0C10" w:rsidRPr="00A87320">
        <w:t>, as well as advise on the appropriateness of the proposed mitigation measures</w:t>
      </w:r>
      <w:r w:rsidR="0095611E" w:rsidRPr="00A87320">
        <w:t>.</w:t>
      </w:r>
    </w:p>
    <w:p w14:paraId="710521EC" w14:textId="77777777" w:rsidR="00756F07" w:rsidRPr="00A87320" w:rsidRDefault="00756F07" w:rsidP="00756F07">
      <w:pPr>
        <w:pStyle w:val="ListParagraph"/>
        <w:numPr>
          <w:ilvl w:val="0"/>
          <w:numId w:val="11"/>
        </w:numPr>
      </w:pPr>
      <w:r w:rsidRPr="00A87320">
        <w:t>The documentation provided to the IESC for this Gateway Certificate Application focuses on BSAL criteria and potential mitigation of impacts on BSAL</w:t>
      </w:r>
      <w:r w:rsidR="00906325" w:rsidRPr="00A87320">
        <w:t>.</w:t>
      </w:r>
      <w:r w:rsidRPr="00A87320">
        <w:t xml:space="preserve"> </w:t>
      </w:r>
      <w:r w:rsidR="00906325" w:rsidRPr="00A87320">
        <w:t>T</w:t>
      </w:r>
      <w:r w:rsidRPr="00A87320">
        <w:t>he likelihood or significance of potential impacts on water resources and their mitigation</w:t>
      </w:r>
      <w:r w:rsidR="00906325" w:rsidRPr="00A87320">
        <w:t xml:space="preserve"> are not considered and t</w:t>
      </w:r>
      <w:r w:rsidRPr="00A87320">
        <w:t xml:space="preserve">his hampers the IESC’s use of the current documentation to address this question except where issues are discussed in response to criteria </w:t>
      </w:r>
      <w:proofErr w:type="spellStart"/>
      <w:r w:rsidRPr="00A87320">
        <w:t>i</w:t>
      </w:r>
      <w:proofErr w:type="spellEnd"/>
      <w:r w:rsidRPr="00A87320">
        <w:t xml:space="preserve"> and </w:t>
      </w:r>
      <w:proofErr w:type="gramStart"/>
      <w:r w:rsidRPr="00A87320">
        <w:t>iv</w:t>
      </w:r>
      <w:proofErr w:type="gramEnd"/>
      <w:r w:rsidRPr="00A87320">
        <w:t xml:space="preserve"> above. Nonetheless, the IESC considers that there is a material risk of impacts on water resources given the current intensive use of groundwater in the region, the predicted extent of subsidence and groundwater drawdown by the proposal, and the </w:t>
      </w:r>
      <w:r w:rsidR="007F4327" w:rsidRPr="00A87320">
        <w:t>proposed development’s proximity</w:t>
      </w:r>
      <w:r w:rsidRPr="00A87320">
        <w:t xml:space="preserve"> </w:t>
      </w:r>
      <w:r w:rsidRPr="00A87320">
        <w:lastRenderedPageBreak/>
        <w:t xml:space="preserve">to significant water resources such as springs, groundwater-dependent vegetation, the Namoi River alluvium and the state-listed </w:t>
      </w:r>
      <w:r w:rsidRPr="00A87320">
        <w:rPr>
          <w:i/>
        </w:rPr>
        <w:t>Lowland Darling River Aquatic Community</w:t>
      </w:r>
      <w:r w:rsidRPr="00A87320">
        <w:t xml:space="preserve"> (NSW DPI, 2007). These potential impacts are discussed below, along with some suggestions for subsequent groundwater and subsidence modelling and baseline assessment.</w:t>
      </w:r>
    </w:p>
    <w:p w14:paraId="710521ED" w14:textId="77777777" w:rsidR="00CB038B" w:rsidRPr="00A87320" w:rsidRDefault="00CB038B" w:rsidP="00CB038B">
      <w:pPr>
        <w:pStyle w:val="ListNumber"/>
        <w:ind w:left="0" w:firstLine="0"/>
        <w:rPr>
          <w:i/>
        </w:rPr>
      </w:pPr>
      <w:proofErr w:type="spellStart"/>
      <w:r w:rsidRPr="00A87320">
        <w:rPr>
          <w:i/>
        </w:rPr>
        <w:t>Groundwater</w:t>
      </w:r>
      <w:r w:rsidR="00A46805" w:rsidRPr="00A87320">
        <w:rPr>
          <w:i/>
        </w:rPr>
        <w:t>s</w:t>
      </w:r>
      <w:proofErr w:type="spellEnd"/>
    </w:p>
    <w:p w14:paraId="710521EE" w14:textId="77777777" w:rsidR="004F0C39" w:rsidRPr="00A87320" w:rsidRDefault="004F0C39" w:rsidP="004F0C39">
      <w:pPr>
        <w:pStyle w:val="ListNumber"/>
        <w:numPr>
          <w:ilvl w:val="0"/>
          <w:numId w:val="11"/>
        </w:numPr>
      </w:pPr>
      <w:r w:rsidRPr="00A87320">
        <w:t xml:space="preserve">The IESC notes </w:t>
      </w:r>
      <w:r w:rsidR="00817179">
        <w:t xml:space="preserve">that </w:t>
      </w:r>
      <w:r w:rsidRPr="00A87320">
        <w:t>the model</w:t>
      </w:r>
      <w:r w:rsidR="008E2AE1" w:rsidRPr="00A87320">
        <w:t>ling</w:t>
      </w:r>
      <w:r w:rsidRPr="00A87320">
        <w:t xml:space="preserve"> provided by the proponent exceeds that required for the Gateway process</w:t>
      </w:r>
      <w:r w:rsidR="003405A9" w:rsidRPr="00A87320">
        <w:t xml:space="preserve"> and </w:t>
      </w:r>
      <w:r w:rsidR="000C7739" w:rsidRPr="00A87320">
        <w:t xml:space="preserve">acknowledges </w:t>
      </w:r>
      <w:r w:rsidR="003405A9" w:rsidRPr="00A87320">
        <w:t xml:space="preserve">the </w:t>
      </w:r>
      <w:r w:rsidR="000C7739" w:rsidRPr="00A87320">
        <w:t>extensive</w:t>
      </w:r>
      <w:r w:rsidR="003405A9" w:rsidRPr="00A87320">
        <w:t xml:space="preserve"> </w:t>
      </w:r>
      <w:r w:rsidR="000C7739" w:rsidRPr="00A87320">
        <w:t xml:space="preserve">model </w:t>
      </w:r>
      <w:r w:rsidR="005259BC" w:rsidRPr="00A87320">
        <w:t>validation</w:t>
      </w:r>
      <w:r w:rsidRPr="00A87320">
        <w:t xml:space="preserve">. </w:t>
      </w:r>
      <w:r w:rsidR="000C7739" w:rsidRPr="00A87320">
        <w:t>However, t</w:t>
      </w:r>
      <w:r w:rsidRPr="00A87320">
        <w:t xml:space="preserve">he IESC also notes that the model will </w:t>
      </w:r>
      <w:r w:rsidR="00817179">
        <w:t xml:space="preserve">need to </w:t>
      </w:r>
      <w:r w:rsidRPr="00A87320">
        <w:t>be further refined and developed to meet the Secretary’s Environmental Assessment Requirements (SEARs) when issued</w:t>
      </w:r>
      <w:r w:rsidR="000C7739" w:rsidRPr="00A87320">
        <w:t>,</w:t>
      </w:r>
      <w:r w:rsidRPr="00A87320">
        <w:t xml:space="preserve"> </w:t>
      </w:r>
      <w:r w:rsidR="00E20426" w:rsidRPr="00A87320">
        <w:t xml:space="preserve">the IESC’s </w:t>
      </w:r>
      <w:r w:rsidRPr="00A87320">
        <w:t>Information Guidelines</w:t>
      </w:r>
      <w:r w:rsidR="000C7739" w:rsidRPr="00A87320">
        <w:t xml:space="preserve">, and further issues covered in </w:t>
      </w:r>
      <w:r w:rsidR="007F4327" w:rsidRPr="00A87320">
        <w:t xml:space="preserve">paragraphs </w:t>
      </w:r>
      <w:r w:rsidR="000C7739" w:rsidRPr="00A87320">
        <w:t xml:space="preserve">3 </w:t>
      </w:r>
      <w:r w:rsidR="00397B5C" w:rsidRPr="00A87320">
        <w:t xml:space="preserve">and 4 </w:t>
      </w:r>
      <w:r w:rsidR="008E2AE1" w:rsidRPr="00A87320">
        <w:t>below</w:t>
      </w:r>
      <w:r w:rsidRPr="00A87320">
        <w:t>. Th</w:t>
      </w:r>
      <w:r w:rsidR="002C1AF5" w:rsidRPr="00A87320">
        <w:t>is</w:t>
      </w:r>
      <w:r w:rsidRPr="00A87320">
        <w:t xml:space="preserve"> further work will include a cumulative impact assessment incorporating the </w:t>
      </w:r>
      <w:r w:rsidR="009A33BC" w:rsidRPr="00A87320">
        <w:t xml:space="preserve">nearby </w:t>
      </w:r>
      <w:r w:rsidRPr="00A87320">
        <w:t>Narrabri Gas Project, additional groundwater level data and the results of core permeability test work, among other updates.</w:t>
      </w:r>
      <w:r w:rsidR="00786314" w:rsidRPr="00A87320">
        <w:t xml:space="preserve"> </w:t>
      </w:r>
      <w:r w:rsidR="005259BC" w:rsidRPr="00A87320">
        <w:t xml:space="preserve">The IESC suggests that these </w:t>
      </w:r>
      <w:r w:rsidR="000C7739" w:rsidRPr="00A87320">
        <w:t xml:space="preserve">should be </w:t>
      </w:r>
      <w:r w:rsidR="005259BC" w:rsidRPr="00A87320">
        <w:t xml:space="preserve">fully </w:t>
      </w:r>
      <w:r w:rsidR="008E2AE1" w:rsidRPr="00A87320">
        <w:t xml:space="preserve">addressed </w:t>
      </w:r>
      <w:r w:rsidR="005259BC" w:rsidRPr="00A87320">
        <w:t>in the proposed EIS.</w:t>
      </w:r>
    </w:p>
    <w:p w14:paraId="710521EF" w14:textId="77777777" w:rsidR="00FC4E6E" w:rsidRPr="00A87320" w:rsidRDefault="00FC4E6E" w:rsidP="00FC4E6E">
      <w:pPr>
        <w:pStyle w:val="ListNumber"/>
        <w:numPr>
          <w:ilvl w:val="0"/>
          <w:numId w:val="11"/>
        </w:numPr>
      </w:pPr>
      <w:r w:rsidRPr="00A87320">
        <w:t>The</w:t>
      </w:r>
      <w:r w:rsidR="00001776" w:rsidRPr="00A87320">
        <w:t xml:space="preserve"> current</w:t>
      </w:r>
      <w:r w:rsidRPr="00A87320">
        <w:t xml:space="preserve"> groundwater model predictions provided by the proponent </w:t>
      </w:r>
      <w:r w:rsidR="00B00393" w:rsidRPr="00A87320">
        <w:t>(</w:t>
      </w:r>
      <w:r w:rsidR="00B00393" w:rsidRPr="00A87320">
        <w:rPr>
          <w:noProof/>
          <w:lang w:eastAsia="en-AU"/>
        </w:rPr>
        <w:t>Hydro Simulations, 2019, p. 51</w:t>
      </w:r>
      <w:r w:rsidR="00B00393" w:rsidRPr="00A87320">
        <w:t xml:space="preserve">) </w:t>
      </w:r>
      <w:r w:rsidRPr="00A87320">
        <w:t xml:space="preserve">indicate that the impacts from the project will largely be within the minimal impact considerations of the </w:t>
      </w:r>
      <w:r w:rsidRPr="00A87320">
        <w:rPr>
          <w:i/>
        </w:rPr>
        <w:t>NSW Aquifer Interference Policy</w:t>
      </w:r>
      <w:r w:rsidRPr="00A87320">
        <w:t>, and will not result in any significant impacts to the highly productive Upper Namoi Alluvium</w:t>
      </w:r>
      <w:r w:rsidR="00B00393" w:rsidRPr="00A87320">
        <w:t xml:space="preserve"> or Great Artesian Basin (GAB)</w:t>
      </w:r>
      <w:r w:rsidRPr="00A87320">
        <w:t xml:space="preserve">. </w:t>
      </w:r>
      <w:r w:rsidR="00AD673C" w:rsidRPr="00A87320">
        <w:t xml:space="preserve">The IESC notes that impact predictions could change when the model is updated as </w:t>
      </w:r>
      <w:r w:rsidR="00B461ED" w:rsidRPr="00A87320">
        <w:t>planned</w:t>
      </w:r>
      <w:r w:rsidR="00FC3629" w:rsidRPr="00A87320">
        <w:t xml:space="preserve">. </w:t>
      </w:r>
      <w:r w:rsidR="009A33BC" w:rsidRPr="00A87320">
        <w:t>C</w:t>
      </w:r>
      <w:r w:rsidRPr="00A87320">
        <w:t>onsideration and discussion of the issues outlined below</w:t>
      </w:r>
      <w:r w:rsidR="00B461ED" w:rsidRPr="00A87320">
        <w:t xml:space="preserve"> </w:t>
      </w:r>
      <w:r w:rsidRPr="00A87320">
        <w:t>would further increase confidence in the groundwater impact assessment</w:t>
      </w:r>
      <w:r w:rsidR="00AD673C" w:rsidRPr="00A87320">
        <w:t xml:space="preserve"> and associated modelling</w:t>
      </w:r>
      <w:r w:rsidRPr="00A87320">
        <w:t>.</w:t>
      </w:r>
    </w:p>
    <w:p w14:paraId="710521F0" w14:textId="77777777" w:rsidR="005E3EEA" w:rsidRPr="00A87320" w:rsidRDefault="00C43644" w:rsidP="005E3EEA">
      <w:pPr>
        <w:pStyle w:val="ListNumber2"/>
        <w:numPr>
          <w:ilvl w:val="1"/>
          <w:numId w:val="11"/>
        </w:numPr>
      </w:pPr>
      <w:r w:rsidRPr="00A87320">
        <w:t>Further</w:t>
      </w:r>
      <w:r w:rsidR="005E3EEA" w:rsidRPr="00A87320">
        <w:t xml:space="preserve"> model refinements should attempt to incorporate pumping</w:t>
      </w:r>
      <w:r w:rsidR="00594A5D" w:rsidRPr="00A87320">
        <w:t xml:space="preserve"> from licenced bores</w:t>
      </w:r>
      <w:r w:rsidR="005E3EEA" w:rsidRPr="00A87320">
        <w:t xml:space="preserve"> as this would provide </w:t>
      </w:r>
      <w:r w:rsidRPr="00A87320">
        <w:t>a more complete understanding of the actual conditions in the groundwater system.</w:t>
      </w:r>
    </w:p>
    <w:p w14:paraId="710521F1" w14:textId="77777777" w:rsidR="00FC3629" w:rsidRPr="00A87320" w:rsidRDefault="00FC3629" w:rsidP="005E3EEA">
      <w:pPr>
        <w:pStyle w:val="ListNumber2"/>
        <w:numPr>
          <w:ilvl w:val="1"/>
          <w:numId w:val="11"/>
        </w:numPr>
      </w:pPr>
      <w:r w:rsidRPr="00A87320">
        <w:t xml:space="preserve">Discussion and justification </w:t>
      </w:r>
      <w:r w:rsidR="0071655A" w:rsidRPr="00A87320">
        <w:t xml:space="preserve">of </w:t>
      </w:r>
      <w:r w:rsidRPr="00A87320">
        <w:t>boundary conditions</w:t>
      </w:r>
      <w:r w:rsidR="00284430" w:rsidRPr="00A87320">
        <w:t>, and their sensitivities,</w:t>
      </w:r>
      <w:r w:rsidRPr="00A87320">
        <w:t xml:space="preserve"> </w:t>
      </w:r>
      <w:r w:rsidR="00284430" w:rsidRPr="00A87320">
        <w:t xml:space="preserve">applied </w:t>
      </w:r>
      <w:r w:rsidRPr="00A87320">
        <w:t xml:space="preserve">in the groundwater model </w:t>
      </w:r>
      <w:r w:rsidR="009A33BC" w:rsidRPr="00A87320">
        <w:t xml:space="preserve">are </w:t>
      </w:r>
      <w:r w:rsidRPr="00A87320">
        <w:t>needed</w:t>
      </w:r>
      <w:r w:rsidR="009A33BC" w:rsidRPr="00A87320">
        <w:t>,</w:t>
      </w:r>
      <w:r w:rsidRPr="00A87320">
        <w:t xml:space="preserve"> including for the large area of ‘no-flow’ in the eastern area of the groundwater model </w:t>
      </w:r>
      <w:r w:rsidR="007D6588" w:rsidRPr="00A87320">
        <w:t>(</w:t>
      </w:r>
      <w:r w:rsidR="007D6588" w:rsidRPr="00A87320">
        <w:rPr>
          <w:noProof/>
          <w:lang w:eastAsia="en-AU"/>
        </w:rPr>
        <w:t>Hydro Simulations, 2019, Figures 13 and 14, pp. 84-85</w:t>
      </w:r>
      <w:r w:rsidR="007D6588" w:rsidRPr="00A87320">
        <w:t xml:space="preserve">) </w:t>
      </w:r>
      <w:r w:rsidRPr="00A87320">
        <w:t>and the general head boundary condition applied in the north</w:t>
      </w:r>
      <w:r w:rsidR="00594A5D" w:rsidRPr="00A87320">
        <w:t>-</w:t>
      </w:r>
      <w:r w:rsidRPr="00A87320">
        <w:t>west of the groundwater model</w:t>
      </w:r>
      <w:r w:rsidR="007D6588" w:rsidRPr="00A87320">
        <w:t xml:space="preserve"> (</w:t>
      </w:r>
      <w:r w:rsidR="007D6588" w:rsidRPr="00A87320">
        <w:rPr>
          <w:noProof/>
          <w:lang w:eastAsia="en-AU"/>
        </w:rPr>
        <w:t>Hydro Simulations, 2019, Figure 13, p. 84</w:t>
      </w:r>
      <w:r w:rsidR="007D6588" w:rsidRPr="00A87320">
        <w:t>)</w:t>
      </w:r>
      <w:r w:rsidRPr="00A87320">
        <w:t>.</w:t>
      </w:r>
    </w:p>
    <w:p w14:paraId="710521F2" w14:textId="77777777" w:rsidR="006C43F4" w:rsidRPr="00A87320" w:rsidRDefault="00E62A23" w:rsidP="00E62A23">
      <w:pPr>
        <w:pStyle w:val="ListNumber2"/>
        <w:numPr>
          <w:ilvl w:val="1"/>
          <w:numId w:val="11"/>
        </w:numPr>
      </w:pPr>
      <w:r w:rsidRPr="00A87320">
        <w:t xml:space="preserve">The implementation of recharge in the model should be clearly explained. Currently, it is unclear whether the recharge applied in </w:t>
      </w:r>
      <w:r w:rsidR="00607A31" w:rsidRPr="00A87320">
        <w:t xml:space="preserve">the </w:t>
      </w:r>
      <w:r w:rsidRPr="00A87320">
        <w:t xml:space="preserve">transient modelling is a fixed </w:t>
      </w:r>
      <w:r w:rsidR="007F4327" w:rsidRPr="00A87320">
        <w:t>rate</w:t>
      </w:r>
      <w:r w:rsidRPr="00A87320">
        <w:t xml:space="preserve"> defined as a</w:t>
      </w:r>
      <w:r w:rsidR="008E2AE1" w:rsidRPr="00A87320">
        <w:t>n arbitrary</w:t>
      </w:r>
      <w:r w:rsidRPr="00A87320">
        <w:t xml:space="preserve"> portion of average annual rainfall or whether the amount varies to </w:t>
      </w:r>
      <w:r w:rsidR="0083094F" w:rsidRPr="00A87320">
        <w:t>accommodate</w:t>
      </w:r>
      <w:r w:rsidRPr="00A87320">
        <w:t xml:space="preserve"> temporal variability in rainfall. When the model is updated</w:t>
      </w:r>
      <w:r w:rsidR="00607A31" w:rsidRPr="00A87320">
        <w:t>,</w:t>
      </w:r>
      <w:r w:rsidRPr="00A87320">
        <w:t xml:space="preserve"> a</w:t>
      </w:r>
      <w:r w:rsidR="0083094F" w:rsidRPr="00A87320">
        <w:t>n</w:t>
      </w:r>
      <w:r w:rsidRPr="00A87320">
        <w:t xml:space="preserve"> </w:t>
      </w:r>
      <w:r w:rsidR="0083094F" w:rsidRPr="00A87320">
        <w:t>appropriate</w:t>
      </w:r>
      <w:r w:rsidR="008E2AE1" w:rsidRPr="00A87320">
        <w:t xml:space="preserve"> time series of</w:t>
      </w:r>
      <w:r w:rsidRPr="00A87320">
        <w:t xml:space="preserve"> rainfall record should be considered to </w:t>
      </w:r>
      <w:r w:rsidR="0083094F" w:rsidRPr="00A87320">
        <w:t>represent</w:t>
      </w:r>
      <w:r w:rsidRPr="00A87320">
        <w:t xml:space="preserve"> the likely variability in recharge rates. </w:t>
      </w:r>
      <w:r w:rsidR="006C43F4" w:rsidRPr="00A87320">
        <w:t>Further, the modelled recharge rate should be justified and validated using independent methods such as chloride mass balance</w:t>
      </w:r>
      <w:r w:rsidR="00E85BEF" w:rsidRPr="00A87320">
        <w:t xml:space="preserve"> and water</w:t>
      </w:r>
      <w:r w:rsidR="007F4327" w:rsidRPr="00A87320">
        <w:t xml:space="preserve"> table </w:t>
      </w:r>
      <w:r w:rsidR="00E85BEF" w:rsidRPr="00A87320">
        <w:t>fluctuation methods</w:t>
      </w:r>
      <w:r w:rsidR="006C43F4" w:rsidRPr="00A87320">
        <w:t>.</w:t>
      </w:r>
    </w:p>
    <w:p w14:paraId="710521F3" w14:textId="77777777" w:rsidR="00E62A23" w:rsidRPr="00A87320" w:rsidRDefault="007F4327" w:rsidP="00E62A23">
      <w:pPr>
        <w:pStyle w:val="ListNumber2"/>
        <w:numPr>
          <w:ilvl w:val="1"/>
          <w:numId w:val="11"/>
        </w:numPr>
      </w:pPr>
      <w:r w:rsidRPr="00A87320">
        <w:rPr>
          <w:lang w:val="en-US"/>
        </w:rPr>
        <w:t>A maximum ET rate of 146 mm/year has been adopted (Hydro Simulations, 2019, p. 32), which appears to be unusually low for the local climate. The defensibility of the ET parameters will need to be further explored in future work, and evaluated in conjunction with recharge parameters in an uncertainty and sensitivity framework</w:t>
      </w:r>
      <w:r w:rsidR="004A127D" w:rsidRPr="00A87320">
        <w:t>.</w:t>
      </w:r>
    </w:p>
    <w:p w14:paraId="710521F4" w14:textId="77777777" w:rsidR="00FC294A" w:rsidRPr="00A87320" w:rsidRDefault="00FC294A" w:rsidP="00E62A23">
      <w:pPr>
        <w:pStyle w:val="ListNumber2"/>
        <w:numPr>
          <w:ilvl w:val="1"/>
          <w:numId w:val="11"/>
        </w:numPr>
      </w:pPr>
      <w:r w:rsidRPr="00A87320">
        <w:t>The specific storage values applied in the current model are noted by the proponent to have been updated</w:t>
      </w:r>
      <w:r w:rsidR="00607A31" w:rsidRPr="00A87320">
        <w:t>,</w:t>
      </w:r>
      <w:r w:rsidRPr="00A87320">
        <w:t xml:space="preserve"> resulting in better model calibration results. </w:t>
      </w:r>
      <w:r w:rsidR="007B761C" w:rsidRPr="00A87320">
        <w:t xml:space="preserve">However, these specific storage values require justification, </w:t>
      </w:r>
      <w:r w:rsidR="00284430" w:rsidRPr="00A87320">
        <w:t xml:space="preserve">including </w:t>
      </w:r>
      <w:r w:rsidR="007B761C" w:rsidRPr="00A87320">
        <w:t xml:space="preserve">why </w:t>
      </w:r>
      <w:r w:rsidR="00284430" w:rsidRPr="00A87320">
        <w:t>values</w:t>
      </w:r>
      <w:r w:rsidR="007B761C" w:rsidRPr="00A87320">
        <w:t xml:space="preserve"> </w:t>
      </w:r>
      <w:r w:rsidR="00284430" w:rsidRPr="00A87320">
        <w:t xml:space="preserve">have </w:t>
      </w:r>
      <w:r w:rsidR="007B761C" w:rsidRPr="00A87320">
        <w:t>increased a</w:t>
      </w:r>
      <w:r w:rsidR="00BA0735" w:rsidRPr="00A87320">
        <w:t xml:space="preserve">nd </w:t>
      </w:r>
      <w:r w:rsidR="007F4327" w:rsidRPr="00A87320">
        <w:t xml:space="preserve">the sensitivity of the model’s </w:t>
      </w:r>
      <w:r w:rsidR="007B761C" w:rsidRPr="00A87320">
        <w:t>transmissivity and recharge values</w:t>
      </w:r>
      <w:r w:rsidR="007F4327" w:rsidRPr="00A87320">
        <w:t xml:space="preserve"> to these changes</w:t>
      </w:r>
      <w:r w:rsidR="00AB104C" w:rsidRPr="00A87320">
        <w:t xml:space="preserve">. </w:t>
      </w:r>
      <w:r w:rsidRPr="00A87320">
        <w:t>Discussion that outlines the revised values from those used previously, the basis for the new values and the implications of these changes on the predicted magnitude and spatial extent of drawdown should be provided in the EIS.</w:t>
      </w:r>
    </w:p>
    <w:p w14:paraId="710521F5" w14:textId="77777777" w:rsidR="0087120B" w:rsidRPr="00A87320" w:rsidRDefault="00157355" w:rsidP="0087120B">
      <w:pPr>
        <w:pStyle w:val="ListNumber2"/>
        <w:numPr>
          <w:ilvl w:val="1"/>
          <w:numId w:val="11"/>
        </w:numPr>
      </w:pPr>
      <w:r w:rsidRPr="00A87320">
        <w:lastRenderedPageBreak/>
        <w:t xml:space="preserve">The influence of faults has not been discussed. </w:t>
      </w:r>
      <w:r w:rsidR="00397B5C" w:rsidRPr="00A87320">
        <w:t xml:space="preserve">The EIS should consider </w:t>
      </w:r>
      <w:r w:rsidR="007B761C" w:rsidRPr="00A87320">
        <w:t xml:space="preserve">the </w:t>
      </w:r>
      <w:r w:rsidR="0087120B" w:rsidRPr="00A87320">
        <w:t>behaviour</w:t>
      </w:r>
      <w:r w:rsidR="00397B5C" w:rsidRPr="00A87320">
        <w:t xml:space="preserve"> of faults, as </w:t>
      </w:r>
      <w:r w:rsidR="0087120B" w:rsidRPr="00A87320">
        <w:t xml:space="preserve">either </w:t>
      </w:r>
      <w:r w:rsidR="00397B5C" w:rsidRPr="00A87320">
        <w:t>barriers</w:t>
      </w:r>
      <w:r w:rsidR="0087120B" w:rsidRPr="00A87320">
        <w:t>,</w:t>
      </w:r>
      <w:r w:rsidR="00397B5C" w:rsidRPr="00A87320">
        <w:t xml:space="preserve"> conduits</w:t>
      </w:r>
      <w:r w:rsidR="0087120B" w:rsidRPr="00A87320">
        <w:t xml:space="preserve"> or both</w:t>
      </w:r>
      <w:r w:rsidR="00397B5C" w:rsidRPr="00A87320">
        <w:t xml:space="preserve">. </w:t>
      </w:r>
      <w:r w:rsidR="0087120B" w:rsidRPr="00A87320">
        <w:t xml:space="preserve">Their potential impacts on the connectivity between groundwater and surface water also need to be considered. </w:t>
      </w:r>
    </w:p>
    <w:p w14:paraId="710521F6" w14:textId="77777777" w:rsidR="00E62A23" w:rsidRPr="00A87320" w:rsidRDefault="00E62A23" w:rsidP="00E62A23">
      <w:pPr>
        <w:pStyle w:val="ListNumber2"/>
        <w:numPr>
          <w:ilvl w:val="1"/>
          <w:numId w:val="11"/>
        </w:numPr>
      </w:pPr>
      <w:r w:rsidRPr="00A87320">
        <w:t xml:space="preserve">The IESC commends the proponent for undertaking some sensitivity and uncertainty analysis at this early project stage. This analysis should be extended further in the EIS given the extensive utilisation </w:t>
      </w:r>
      <w:r w:rsidR="00607A31" w:rsidRPr="00A87320">
        <w:t xml:space="preserve">and importance </w:t>
      </w:r>
      <w:r w:rsidRPr="00A87320">
        <w:t xml:space="preserve">of groundwater in the region. </w:t>
      </w:r>
    </w:p>
    <w:p w14:paraId="710521F7" w14:textId="77777777" w:rsidR="00AD673C" w:rsidRPr="00A87320" w:rsidRDefault="00AD673C" w:rsidP="008C2B75">
      <w:pPr>
        <w:pStyle w:val="ListNumber2"/>
        <w:numPr>
          <w:ilvl w:val="1"/>
          <w:numId w:val="11"/>
        </w:numPr>
      </w:pPr>
      <w:r w:rsidRPr="00A87320">
        <w:t xml:space="preserve">Future modelling should clearly identify </w:t>
      </w:r>
      <w:r w:rsidR="0024664E" w:rsidRPr="00A87320">
        <w:t>whether</w:t>
      </w:r>
      <w:r w:rsidRPr="00A87320">
        <w:t xml:space="preserve"> the proposed project </w:t>
      </w:r>
      <w:r w:rsidR="0024664E" w:rsidRPr="00A87320">
        <w:t>will</w:t>
      </w:r>
      <w:r w:rsidRPr="00A87320">
        <w:t xml:space="preserve"> caus</w:t>
      </w:r>
      <w:r w:rsidR="0087120B" w:rsidRPr="00A87320">
        <w:t>e</w:t>
      </w:r>
      <w:r w:rsidRPr="00A87320">
        <w:t xml:space="preserve"> drawdown in the Namoi Alluvium and</w:t>
      </w:r>
      <w:r w:rsidR="00607A31" w:rsidRPr="00A87320">
        <w:t>, if so,</w:t>
      </w:r>
      <w:r w:rsidRPr="00A87320">
        <w:t xml:space="preserve"> quantify the</w:t>
      </w:r>
      <w:r w:rsidR="00E75171" w:rsidRPr="00A87320">
        <w:t xml:space="preserve"> volumes and timing of inter-aquifer leakage</w:t>
      </w:r>
      <w:r w:rsidR="00237F22" w:rsidRPr="00A87320">
        <w:t xml:space="preserve"> and discuss connectivity or impacts to the GAB</w:t>
      </w:r>
      <w:r w:rsidRPr="00A87320">
        <w:t>.</w:t>
      </w:r>
    </w:p>
    <w:p w14:paraId="710521F8" w14:textId="77777777" w:rsidR="00FC0929" w:rsidRPr="00A87320" w:rsidRDefault="00FC0929" w:rsidP="00FC0929">
      <w:pPr>
        <w:pStyle w:val="ListNumber2"/>
        <w:numPr>
          <w:ilvl w:val="1"/>
          <w:numId w:val="11"/>
        </w:numPr>
      </w:pPr>
      <w:r w:rsidRPr="00A87320">
        <w:t>The saturated extent of the alluvium should be i</w:t>
      </w:r>
      <w:r w:rsidR="00607A31" w:rsidRPr="00A87320">
        <w:t xml:space="preserve">ncluded on </w:t>
      </w:r>
      <w:r w:rsidRPr="00A87320">
        <w:t xml:space="preserve">maps of potential drawdown </w:t>
      </w:r>
      <w:r w:rsidR="00607A31" w:rsidRPr="00A87320">
        <w:t xml:space="preserve">to aid interpretation of potential </w:t>
      </w:r>
      <w:r w:rsidRPr="00A87320">
        <w:t>impacts. Additionally</w:t>
      </w:r>
      <w:r w:rsidR="00607A31" w:rsidRPr="00A87320">
        <w:t>,</w:t>
      </w:r>
      <w:r w:rsidRPr="00A87320">
        <w:t xml:space="preserve"> the extent of drawdown in the </w:t>
      </w:r>
      <w:proofErr w:type="spellStart"/>
      <w:r w:rsidRPr="00A87320">
        <w:t>Pamboola</w:t>
      </w:r>
      <w:proofErr w:type="spellEnd"/>
      <w:r w:rsidRPr="00A87320">
        <w:t xml:space="preserve"> Formation which appears to directly underlie areas of alluvium to the east of the project (based on the </w:t>
      </w:r>
      <w:r w:rsidR="00FC3629" w:rsidRPr="00A87320">
        <w:t>proponent’s</w:t>
      </w:r>
      <w:r w:rsidRPr="00A87320">
        <w:t xml:space="preserve"> conceptual models) should be shown to determine if there is potential for drawdown within that formation to impact the alluvium.</w:t>
      </w:r>
    </w:p>
    <w:p w14:paraId="710521F9" w14:textId="77777777" w:rsidR="00FC0929" w:rsidRPr="00A87320" w:rsidRDefault="00FC0929" w:rsidP="00FC0929">
      <w:pPr>
        <w:pStyle w:val="ListNumber2"/>
        <w:numPr>
          <w:ilvl w:val="1"/>
          <w:numId w:val="11"/>
        </w:numPr>
      </w:pPr>
      <w:r w:rsidRPr="00A87320">
        <w:t xml:space="preserve">All maps of potential drawdown should show the full predicted extent of drawdown in </w:t>
      </w:r>
      <w:r w:rsidR="00E20426" w:rsidRPr="00A87320">
        <w:t xml:space="preserve">each </w:t>
      </w:r>
      <w:r w:rsidRPr="00A87320">
        <w:t>formation.</w:t>
      </w:r>
      <w:r w:rsidR="00C43644" w:rsidRPr="00A87320">
        <w:t xml:space="preserve"> A map of the maximum predicted extent of drawdown should be included</w:t>
      </w:r>
      <w:r w:rsidR="0071655A" w:rsidRPr="00A87320">
        <w:t>,</w:t>
      </w:r>
      <w:r w:rsidR="00C43644" w:rsidRPr="00A87320">
        <w:t xml:space="preserve"> with the </w:t>
      </w:r>
      <w:r w:rsidR="00397B5C" w:rsidRPr="00A87320">
        <w:t xml:space="preserve">expected </w:t>
      </w:r>
      <w:r w:rsidR="00C43644" w:rsidRPr="00A87320">
        <w:t xml:space="preserve">timing of this </w:t>
      </w:r>
      <w:r w:rsidR="009405F0" w:rsidRPr="00A87320">
        <w:t xml:space="preserve">maximum drawdown </w:t>
      </w:r>
      <w:r w:rsidR="00C43644" w:rsidRPr="00A87320">
        <w:t>clearly identified.</w:t>
      </w:r>
    </w:p>
    <w:p w14:paraId="710521FA" w14:textId="77777777" w:rsidR="00544688" w:rsidRPr="00A87320" w:rsidRDefault="00544688" w:rsidP="00FC0929">
      <w:pPr>
        <w:pStyle w:val="ListNumber2"/>
        <w:numPr>
          <w:ilvl w:val="1"/>
          <w:numId w:val="11"/>
        </w:numPr>
      </w:pPr>
      <w:r w:rsidRPr="00A87320">
        <w:t>Groundwater quality data should be provided. Discussion on the potential for</w:t>
      </w:r>
      <w:r w:rsidR="0071655A" w:rsidRPr="00A87320">
        <w:t>,</w:t>
      </w:r>
      <w:r w:rsidRPr="00A87320">
        <w:t xml:space="preserve"> and possible changes to</w:t>
      </w:r>
      <w:r w:rsidR="0071655A" w:rsidRPr="00A87320">
        <w:t>,</w:t>
      </w:r>
      <w:r w:rsidRPr="00A87320">
        <w:t xml:space="preserve"> groundwater quality arising from groundwater interaction with the </w:t>
      </w:r>
      <w:proofErr w:type="spellStart"/>
      <w:r w:rsidRPr="00A87320">
        <w:t>goaf</w:t>
      </w:r>
      <w:proofErr w:type="spellEnd"/>
      <w:r w:rsidRPr="00A87320">
        <w:t xml:space="preserve"> and fract</w:t>
      </w:r>
      <w:r w:rsidR="009405F0" w:rsidRPr="00A87320">
        <w:t>ured strata, or leakage of mine-</w:t>
      </w:r>
      <w:r w:rsidRPr="00A87320">
        <w:t>affected water into aquifers should also be provided.</w:t>
      </w:r>
    </w:p>
    <w:p w14:paraId="710521FB" w14:textId="77777777" w:rsidR="00FC0929" w:rsidRPr="00A87320" w:rsidRDefault="00FC0929" w:rsidP="00FC0929">
      <w:pPr>
        <w:pStyle w:val="ListNumber2"/>
        <w:numPr>
          <w:ilvl w:val="1"/>
          <w:numId w:val="11"/>
        </w:numPr>
      </w:pPr>
      <w:proofErr w:type="spellStart"/>
      <w:r w:rsidRPr="00A87320">
        <w:t>Baseflow</w:t>
      </w:r>
      <w:proofErr w:type="spellEnd"/>
      <w:r w:rsidRPr="00A87320">
        <w:t xml:space="preserve"> changes should be quantified for the reaches identified as RIV21 and RIV23-27 on Figure 13 (</w:t>
      </w:r>
      <w:r w:rsidR="00AF7B0A" w:rsidRPr="00A87320">
        <w:rPr>
          <w:noProof/>
          <w:lang w:eastAsia="en-AU"/>
        </w:rPr>
        <w:t>Hydro Simulations, 2019</w:t>
      </w:r>
      <w:r w:rsidRPr="00A87320">
        <w:t>, p. 84)</w:t>
      </w:r>
      <w:r w:rsidR="005E3EEA" w:rsidRPr="00A87320">
        <w:t xml:space="preserve"> to inform</w:t>
      </w:r>
      <w:r w:rsidRPr="00A87320">
        <w:t xml:space="preserve"> a full </w:t>
      </w:r>
      <w:r w:rsidR="005E3EEA" w:rsidRPr="00A87320">
        <w:t xml:space="preserve">ecological </w:t>
      </w:r>
      <w:r w:rsidR="0083094F" w:rsidRPr="00A87320">
        <w:t xml:space="preserve">and surface water resource </w:t>
      </w:r>
      <w:r w:rsidRPr="00A87320">
        <w:t>assessment of potential changes to these</w:t>
      </w:r>
      <w:r w:rsidR="005E3EEA" w:rsidRPr="00A87320">
        <w:t xml:space="preserve"> creeks.</w:t>
      </w:r>
      <w:r w:rsidRPr="00A87320">
        <w:t xml:space="preserve"> </w:t>
      </w:r>
    </w:p>
    <w:p w14:paraId="710521FC" w14:textId="77777777" w:rsidR="00786314" w:rsidRPr="00A87320" w:rsidRDefault="006B603A" w:rsidP="00544688">
      <w:pPr>
        <w:pStyle w:val="ListNumber2"/>
        <w:numPr>
          <w:ilvl w:val="1"/>
          <w:numId w:val="11"/>
        </w:numPr>
      </w:pPr>
      <w:r w:rsidRPr="00A87320">
        <w:t xml:space="preserve">All </w:t>
      </w:r>
      <w:r w:rsidR="00FC0929" w:rsidRPr="00A87320">
        <w:t xml:space="preserve">GDEs </w:t>
      </w:r>
      <w:r w:rsidR="00397B5C" w:rsidRPr="00A87320">
        <w:t xml:space="preserve">(including groundwater-dependent vegetation) </w:t>
      </w:r>
      <w:r w:rsidR="00FC0929" w:rsidRPr="00A87320">
        <w:t>should be clearly identified on maps of predicted drawdown and drawdown at each GDE quantified</w:t>
      </w:r>
      <w:r w:rsidRPr="00A87320">
        <w:t xml:space="preserve"> with the maps showing the depth to the water table (in metres below ground level)</w:t>
      </w:r>
      <w:r w:rsidR="00FC0929" w:rsidRPr="00A87320">
        <w:t xml:space="preserve"> when modelling is updated. </w:t>
      </w:r>
    </w:p>
    <w:p w14:paraId="710521FD" w14:textId="77777777" w:rsidR="00B461ED" w:rsidRPr="00A87320" w:rsidRDefault="00B461ED" w:rsidP="00544688">
      <w:pPr>
        <w:pStyle w:val="ListNumber2"/>
        <w:numPr>
          <w:ilvl w:val="1"/>
          <w:numId w:val="11"/>
        </w:numPr>
      </w:pPr>
      <w:r w:rsidRPr="00A87320">
        <w:t>Regional and site</w:t>
      </w:r>
      <w:r w:rsidR="00CF4DD7" w:rsidRPr="00A87320">
        <w:t>-</w:t>
      </w:r>
      <w:r w:rsidRPr="00A87320">
        <w:t>specific data and information on surface-groundwater interactions and GDEs should be provided in the EIS.</w:t>
      </w:r>
    </w:p>
    <w:p w14:paraId="710521FE" w14:textId="77777777" w:rsidR="00BD0DA3" w:rsidRPr="00A87320" w:rsidRDefault="00786314" w:rsidP="00544688">
      <w:pPr>
        <w:pStyle w:val="ListNumber"/>
        <w:numPr>
          <w:ilvl w:val="0"/>
          <w:numId w:val="11"/>
        </w:numPr>
      </w:pPr>
      <w:r w:rsidRPr="00A87320">
        <w:t xml:space="preserve">Given the </w:t>
      </w:r>
      <w:r w:rsidR="00544688" w:rsidRPr="00A87320">
        <w:t>preliminary nature of the current modelling and the suggested improvements outlined in paragraph 3</w:t>
      </w:r>
      <w:r w:rsidR="0071655A" w:rsidRPr="00A87320">
        <w:t>,</w:t>
      </w:r>
      <w:r w:rsidRPr="00A87320">
        <w:t xml:space="preserve"> the </w:t>
      </w:r>
      <w:r w:rsidR="004F0C39" w:rsidRPr="00A87320">
        <w:t xml:space="preserve">IESC </w:t>
      </w:r>
      <w:r w:rsidR="00544688" w:rsidRPr="00A87320">
        <w:t>notes</w:t>
      </w:r>
      <w:r w:rsidR="00FC3629" w:rsidRPr="00A87320">
        <w:t xml:space="preserve"> that it is not currently clear </w:t>
      </w:r>
      <w:r w:rsidR="0071655A" w:rsidRPr="00A87320">
        <w:t>if</w:t>
      </w:r>
      <w:r w:rsidR="00FC3629" w:rsidRPr="00A87320">
        <w:t xml:space="preserve"> the</w:t>
      </w:r>
      <w:r w:rsidRPr="00A87320">
        <w:t xml:space="preserve"> project </w:t>
      </w:r>
      <w:r w:rsidR="0071655A" w:rsidRPr="00A87320">
        <w:t>aligns with the</w:t>
      </w:r>
      <w:r w:rsidRPr="00A87320">
        <w:t xml:space="preserve"> </w:t>
      </w:r>
      <w:r w:rsidR="00BD0DA3" w:rsidRPr="00A87320">
        <w:t>Namoi Catchment Action Plan 2010–2020 targets</w:t>
      </w:r>
      <w:r w:rsidR="001C565C" w:rsidRPr="00A87320">
        <w:t xml:space="preserve"> and thresholds</w:t>
      </w:r>
      <w:r w:rsidRPr="00A87320">
        <w:t xml:space="preserve">. </w:t>
      </w:r>
      <w:r w:rsidR="00CF4DD7" w:rsidRPr="00A87320">
        <w:t>These include</w:t>
      </w:r>
      <w:r w:rsidRPr="00A87320">
        <w:t xml:space="preserve"> </w:t>
      </w:r>
      <w:r w:rsidR="001C565C" w:rsidRPr="00A87320">
        <w:t>the target that</w:t>
      </w:r>
      <w:r w:rsidR="00544688" w:rsidRPr="00A87320">
        <w:t xml:space="preserve"> </w:t>
      </w:r>
      <w:r w:rsidR="0071655A" w:rsidRPr="00A87320">
        <w:t>seek</w:t>
      </w:r>
      <w:r w:rsidR="00CF4DD7" w:rsidRPr="00A87320">
        <w:t>s</w:t>
      </w:r>
      <w:r w:rsidR="00BD0DA3" w:rsidRPr="00A87320">
        <w:t xml:space="preserve"> an improvement in the ability of groundwater systems to support </w:t>
      </w:r>
      <w:r w:rsidR="00397B5C" w:rsidRPr="00A87320">
        <w:t>GDEs</w:t>
      </w:r>
      <w:r w:rsidR="00BD0DA3" w:rsidRPr="00A87320">
        <w:t xml:space="preserve"> and designated beneficial uses</w:t>
      </w:r>
      <w:r w:rsidR="00544688" w:rsidRPr="00A87320">
        <w:t xml:space="preserve"> by 2020</w:t>
      </w:r>
      <w:r w:rsidR="00BD0DA3" w:rsidRPr="00A87320">
        <w:t xml:space="preserve"> (</w:t>
      </w:r>
      <w:r w:rsidR="00F255CA" w:rsidRPr="00A87320">
        <w:t xml:space="preserve">Namoi CMA, 2010, </w:t>
      </w:r>
      <w:r w:rsidR="00BD0DA3" w:rsidRPr="00A87320">
        <w:t xml:space="preserve">p. </w:t>
      </w:r>
      <w:r w:rsidR="001C565C" w:rsidRPr="00A87320">
        <w:t>3</w:t>
      </w:r>
      <w:r w:rsidR="00BD0DA3" w:rsidRPr="00A87320">
        <w:t xml:space="preserve">6) and </w:t>
      </w:r>
      <w:r w:rsidR="00CF4DD7" w:rsidRPr="00A87320">
        <w:t xml:space="preserve">the </w:t>
      </w:r>
      <w:r w:rsidR="001C565C" w:rsidRPr="00A87320">
        <w:t>threshold</w:t>
      </w:r>
      <w:r w:rsidR="00BC2969" w:rsidRPr="00A87320">
        <w:t xml:space="preserve"> for </w:t>
      </w:r>
      <w:r w:rsidR="00BD0DA3" w:rsidRPr="00A87320">
        <w:t xml:space="preserve">alluvial aquifers </w:t>
      </w:r>
      <w:r w:rsidR="00BC2969" w:rsidRPr="00A87320">
        <w:t>to</w:t>
      </w:r>
      <w:r w:rsidR="00BD0DA3" w:rsidRPr="00A87320">
        <w:t xml:space="preserve"> never </w:t>
      </w:r>
      <w:r w:rsidR="00BC2969" w:rsidRPr="00A87320">
        <w:t>exceed</w:t>
      </w:r>
      <w:r w:rsidR="00BD0DA3" w:rsidRPr="00A87320">
        <w:t xml:space="preserve"> historical maximum drawdown </w:t>
      </w:r>
      <w:r w:rsidR="00FC4E6E" w:rsidRPr="00A87320">
        <w:t xml:space="preserve">levels </w:t>
      </w:r>
      <w:r w:rsidR="00BD0DA3" w:rsidRPr="00A87320">
        <w:t>(</w:t>
      </w:r>
      <w:r w:rsidR="00F255CA" w:rsidRPr="00A87320">
        <w:t xml:space="preserve">Namoi CMA, 2010, </w:t>
      </w:r>
      <w:r w:rsidR="001C565C" w:rsidRPr="00A87320">
        <w:t>p. 36</w:t>
      </w:r>
      <w:r w:rsidR="00BD0DA3" w:rsidRPr="00A87320">
        <w:t>).</w:t>
      </w:r>
      <w:r w:rsidR="00FC4E6E" w:rsidRPr="00A87320">
        <w:t xml:space="preserve"> The IESC </w:t>
      </w:r>
      <w:r w:rsidR="00FC3629" w:rsidRPr="00A87320">
        <w:t>suggests</w:t>
      </w:r>
      <w:r w:rsidR="00FC4E6E" w:rsidRPr="00A87320">
        <w:t xml:space="preserve"> that the proponent </w:t>
      </w:r>
      <w:r w:rsidR="00CF4DD7" w:rsidRPr="00A87320">
        <w:t xml:space="preserve">specifically </w:t>
      </w:r>
      <w:r w:rsidR="00FC4E6E" w:rsidRPr="00A87320">
        <w:t>consider</w:t>
      </w:r>
      <w:r w:rsidR="00CF4DD7" w:rsidRPr="00A87320">
        <w:t>s</w:t>
      </w:r>
      <w:r w:rsidR="00FC4E6E" w:rsidRPr="00A87320">
        <w:t xml:space="preserve"> </w:t>
      </w:r>
      <w:r w:rsidR="00544688" w:rsidRPr="00A87320">
        <w:t>these targets</w:t>
      </w:r>
      <w:r w:rsidR="00FC4E6E" w:rsidRPr="00A87320">
        <w:t xml:space="preserve"> within their EIS.</w:t>
      </w:r>
    </w:p>
    <w:p w14:paraId="710521FF" w14:textId="77777777" w:rsidR="00B16AA6" w:rsidRPr="00A87320" w:rsidRDefault="00E62A23" w:rsidP="00BC2969">
      <w:pPr>
        <w:pStyle w:val="ListNumber"/>
        <w:numPr>
          <w:ilvl w:val="0"/>
          <w:numId w:val="11"/>
        </w:numPr>
      </w:pPr>
      <w:r w:rsidRPr="00A87320">
        <w:t>Given th</w:t>
      </w:r>
      <w:r w:rsidR="00B16AA6" w:rsidRPr="00A87320">
        <w:t>e nature of the Gateway Application process</w:t>
      </w:r>
      <w:r w:rsidR="00DF2044" w:rsidRPr="00A87320">
        <w:t>,</w:t>
      </w:r>
      <w:r w:rsidR="00B16AA6" w:rsidRPr="00A87320">
        <w:t xml:space="preserve"> limited information on planned </w:t>
      </w:r>
      <w:r w:rsidR="0024664E" w:rsidRPr="00A87320">
        <w:t>mitigation measures</w:t>
      </w:r>
      <w:r w:rsidR="00B16AA6" w:rsidRPr="00A87320">
        <w:t xml:space="preserve"> w</w:t>
      </w:r>
      <w:r w:rsidR="00817179">
        <w:t>as</w:t>
      </w:r>
      <w:r w:rsidR="00B16AA6" w:rsidRPr="00A87320">
        <w:t xml:space="preserve"> provided. </w:t>
      </w:r>
      <w:r w:rsidR="00BC2969" w:rsidRPr="00A87320">
        <w:t>If</w:t>
      </w:r>
      <w:r w:rsidR="00B16AA6" w:rsidRPr="00A87320">
        <w:t xml:space="preserve"> </w:t>
      </w:r>
      <w:r w:rsidR="00BC2969" w:rsidRPr="00A87320">
        <w:t>the p</w:t>
      </w:r>
      <w:r w:rsidR="00B16AA6" w:rsidRPr="00A87320">
        <w:t>roject progresses</w:t>
      </w:r>
      <w:r w:rsidR="00BC2969" w:rsidRPr="00A87320">
        <w:t>, t</w:t>
      </w:r>
      <w:r w:rsidR="00B16AA6" w:rsidRPr="00A87320">
        <w:t>he 2013 monitoring program should be updated to reflect changes needed due to the proposed project</w:t>
      </w:r>
      <w:r w:rsidR="002A510F" w:rsidRPr="00A87320">
        <w:t xml:space="preserve"> and </w:t>
      </w:r>
      <w:r w:rsidR="0024664E" w:rsidRPr="00A87320">
        <w:t xml:space="preserve">will need to be </w:t>
      </w:r>
      <w:r w:rsidR="002A510F" w:rsidRPr="00A87320">
        <w:t>provided with</w:t>
      </w:r>
      <w:r w:rsidR="007805B9" w:rsidRPr="00A87320">
        <w:t>in</w:t>
      </w:r>
      <w:r w:rsidR="002A510F" w:rsidRPr="00A87320">
        <w:t xml:space="preserve"> the EIS</w:t>
      </w:r>
      <w:r w:rsidR="00B16AA6" w:rsidRPr="00A87320">
        <w:t>.</w:t>
      </w:r>
      <w:r w:rsidR="00BC2969" w:rsidRPr="00A87320">
        <w:t xml:space="preserve"> In particular, t</w:t>
      </w:r>
      <w:r w:rsidR="00B16AA6" w:rsidRPr="00A87320">
        <w:t xml:space="preserve">he spatial coverage of the groundwater monitoring network should be </w:t>
      </w:r>
      <w:r w:rsidR="00BC2969" w:rsidRPr="00A87320">
        <w:t>expanded where</w:t>
      </w:r>
      <w:r w:rsidR="00B16AA6" w:rsidRPr="00A87320">
        <w:t xml:space="preserve"> there are </w:t>
      </w:r>
      <w:r w:rsidR="00BC2969" w:rsidRPr="00A87320">
        <w:t xml:space="preserve">currently </w:t>
      </w:r>
      <w:r w:rsidR="00B16AA6" w:rsidRPr="00A87320">
        <w:t>no monitoring bores to the west and south of the proposed project.</w:t>
      </w:r>
    </w:p>
    <w:p w14:paraId="71052200" w14:textId="77777777" w:rsidR="00945BAC" w:rsidRPr="00A87320" w:rsidRDefault="00945BAC" w:rsidP="00A906FB">
      <w:pPr>
        <w:pStyle w:val="ListNumber"/>
        <w:numPr>
          <w:ilvl w:val="0"/>
          <w:numId w:val="11"/>
        </w:numPr>
      </w:pPr>
      <w:r w:rsidRPr="00A87320">
        <w:t xml:space="preserve">The IESC </w:t>
      </w:r>
      <w:r w:rsidR="00BC2969" w:rsidRPr="00A87320">
        <w:t xml:space="preserve">also </w:t>
      </w:r>
      <w:r w:rsidRPr="00A87320">
        <w:t xml:space="preserve">notes that the proponent currently may not hold sufficient licences for predicted take from some water sources under certain climatic conditions. The proponent should provide a plan for obtaining further licences and </w:t>
      </w:r>
      <w:r w:rsidR="00A906FB" w:rsidRPr="00A87320">
        <w:t>discuss options including operational changes that may be required if sufficient licence volumes cannot be obtained.</w:t>
      </w:r>
    </w:p>
    <w:p w14:paraId="71052201" w14:textId="77777777" w:rsidR="001611F9" w:rsidRPr="00A87320" w:rsidRDefault="00B70FE5" w:rsidP="00026F42">
      <w:pPr>
        <w:pStyle w:val="ListNumber"/>
        <w:ind w:left="0" w:firstLine="0"/>
        <w:rPr>
          <w:i/>
        </w:rPr>
      </w:pPr>
      <w:r w:rsidRPr="00A87320">
        <w:rPr>
          <w:i/>
        </w:rPr>
        <w:lastRenderedPageBreak/>
        <w:t xml:space="preserve">Subsidence </w:t>
      </w:r>
    </w:p>
    <w:p w14:paraId="71052202" w14:textId="77777777" w:rsidR="00A87320" w:rsidRPr="000E2139" w:rsidRDefault="00A87320" w:rsidP="00A87320">
      <w:pPr>
        <w:pStyle w:val="ListNumber"/>
        <w:numPr>
          <w:ilvl w:val="0"/>
          <w:numId w:val="5"/>
        </w:numPr>
        <w:adjustRightInd/>
      </w:pPr>
      <w:r w:rsidRPr="000E2139">
        <w:t>Subsidence modelling should be better integrated with the groundwater model. Fracture networks may provide tortuous connection pathways between surface water and groundwater and may modify infiltration rates and water fluxes. Such connections have implications for:</w:t>
      </w:r>
    </w:p>
    <w:p w14:paraId="71052203" w14:textId="77777777" w:rsidR="00A87320" w:rsidRDefault="00A87320" w:rsidP="00A87320">
      <w:pPr>
        <w:pStyle w:val="ListNumber"/>
        <w:numPr>
          <w:ilvl w:val="1"/>
          <w:numId w:val="5"/>
        </w:numPr>
        <w:adjustRightInd/>
      </w:pPr>
      <w:r>
        <w:t xml:space="preserve">surface waters, where part or all of creek flows could be re-routed into open cracks and below-surface pathways; and </w:t>
      </w:r>
    </w:p>
    <w:p w14:paraId="71052204" w14:textId="77777777" w:rsidR="00A87320" w:rsidRDefault="00A87320" w:rsidP="00A87320">
      <w:pPr>
        <w:pStyle w:val="ListNumber"/>
        <w:numPr>
          <w:ilvl w:val="1"/>
          <w:numId w:val="5"/>
        </w:numPr>
        <w:adjustRightInd/>
      </w:pPr>
      <w:proofErr w:type="gramStart"/>
      <w:r>
        <w:t>groundwater-dependent</w:t>
      </w:r>
      <w:proofErr w:type="gramEnd"/>
      <w:r>
        <w:t xml:space="preserve"> vegetation, where </w:t>
      </w:r>
      <w:r w:rsidRPr="00A87320">
        <w:t>stressed</w:t>
      </w:r>
      <w:r>
        <w:t xml:space="preserve"> trees above extracted longwalls may indicate damage to tree roots. </w:t>
      </w:r>
      <w:r w:rsidRPr="00A87320">
        <w:t>  </w:t>
      </w:r>
    </w:p>
    <w:p w14:paraId="71052205" w14:textId="77777777" w:rsidR="00A87320" w:rsidRPr="000E2139" w:rsidRDefault="00A87320" w:rsidP="00397ACC">
      <w:pPr>
        <w:pStyle w:val="ListNumber"/>
        <w:adjustRightInd/>
        <w:ind w:firstLine="0"/>
      </w:pPr>
      <w:r w:rsidRPr="00397ACC">
        <w:t>The IESC suggests that the potential impacts of ground movements associated with subsidence, including near-surface fractures should be considered within the groundwater model for the EIS.</w:t>
      </w:r>
      <w:r w:rsidRPr="000E2139">
        <w:t xml:space="preserve">   </w:t>
      </w:r>
    </w:p>
    <w:p w14:paraId="71052206" w14:textId="77777777" w:rsidR="00A87320" w:rsidRDefault="00A87320" w:rsidP="00A87320">
      <w:pPr>
        <w:pStyle w:val="ListNumber"/>
        <w:numPr>
          <w:ilvl w:val="0"/>
          <w:numId w:val="5"/>
        </w:numPr>
        <w:adjustRightInd/>
      </w:pPr>
      <w:r>
        <w:t>The proponent has undertaken a sensitivity analysis into the height of the fracture zone above the mined seam (</w:t>
      </w:r>
      <w:r w:rsidR="00E87251" w:rsidRPr="00A87320">
        <w:rPr>
          <w:noProof/>
          <w:lang w:eastAsia="en-AU"/>
        </w:rPr>
        <w:t xml:space="preserve">Hydro </w:t>
      </w:r>
      <w:r w:rsidR="00E87251" w:rsidRPr="00E87251">
        <w:rPr>
          <w:noProof/>
          <w:lang w:eastAsia="en-AU"/>
        </w:rPr>
        <w:t>Simulations, 2019</w:t>
      </w:r>
      <w:r w:rsidRPr="00E87251">
        <w:t>, pp. 44</w:t>
      </w:r>
      <w:r>
        <w:t xml:space="preserve">-47). Several scenarios have been modelled that use different methods to calculate the height of the fracture zone above the mined seam. The two primary methods (Ditton Method and </w:t>
      </w:r>
      <w:proofErr w:type="spellStart"/>
      <w:r>
        <w:t>Tammetta</w:t>
      </w:r>
      <w:proofErr w:type="spellEnd"/>
      <w:r>
        <w:t xml:space="preserve"> Method) indicate that there is significant uncertainty about the height of the fracture zone, with a worst-case scenario being that the fracture zone breaks through to the surface. This has significant implications for groundwater behaviour between the mined seam and the surface as the extent of </w:t>
      </w:r>
      <w:r w:rsidRPr="00397ACC">
        <w:t xml:space="preserve">vertical and horizontal fracturing and ground movement changes the hydraulic properties. However, it is concerning that simulations undertaken by the proponent (using an equivalent porous media approach, </w:t>
      </w:r>
      <w:r w:rsidR="00E87251" w:rsidRPr="00397ACC">
        <w:rPr>
          <w:noProof/>
          <w:lang w:eastAsia="en-AU"/>
        </w:rPr>
        <w:t>Hydro Simulations, 2019</w:t>
      </w:r>
      <w:r w:rsidRPr="00397ACC">
        <w:t>, Table 23, p. 47) indicate similar groundwater response regardless of the assumed extent of the fracture zone. Further, the proponent suggests that model simulations of historical groundwater levels (</w:t>
      </w:r>
      <w:r w:rsidR="00E87251" w:rsidRPr="00397ACC">
        <w:rPr>
          <w:noProof/>
          <w:lang w:eastAsia="en-AU"/>
        </w:rPr>
        <w:t>Hydro Simulations, 2019</w:t>
      </w:r>
      <w:r w:rsidRPr="00397ACC">
        <w:t>, p. 46) are not sufficiently sensitive to assess which fracturing extent is more likely. The lack of model sensitivity to the assumed extent of fracture zone is concerning, and the reasons</w:t>
      </w:r>
      <w:r>
        <w:t xml:space="preserve"> for this behaviour should be explored and discussed in the EIS. To provide better confidence that the model results are consistent with physical reasoning, it would be useful to include: </w:t>
      </w:r>
    </w:p>
    <w:p w14:paraId="71052207" w14:textId="77777777" w:rsidR="00A87320" w:rsidRDefault="00A87320" w:rsidP="00A87320">
      <w:pPr>
        <w:pStyle w:val="ListNumber"/>
        <w:numPr>
          <w:ilvl w:val="1"/>
          <w:numId w:val="5"/>
        </w:numPr>
        <w:adjustRightInd/>
      </w:pPr>
      <w:r>
        <w:t xml:space="preserve">justification of the way in which vertical hydraulic conductivity is represented in the model, particularly in the top layers near and at the surface; </w:t>
      </w:r>
    </w:p>
    <w:p w14:paraId="71052208" w14:textId="77777777" w:rsidR="00A87320" w:rsidRDefault="00A87320" w:rsidP="00A87320">
      <w:pPr>
        <w:pStyle w:val="ListNumber"/>
        <w:numPr>
          <w:ilvl w:val="1"/>
          <w:numId w:val="5"/>
        </w:numPr>
        <w:adjustRightInd/>
      </w:pPr>
      <w:r>
        <w:t xml:space="preserve">the provision of other model diagnostics, such as information </w:t>
      </w:r>
      <w:r w:rsidRPr="00AF7B0A">
        <w:t>on water fluxes and hydraulic heads, to discern differences in flow behaviour between scenarios; and</w:t>
      </w:r>
    </w:p>
    <w:p w14:paraId="71052209" w14:textId="77777777" w:rsidR="00A87320" w:rsidRPr="00AF7B0A" w:rsidRDefault="00A87320" w:rsidP="00A87320">
      <w:pPr>
        <w:pStyle w:val="ListNumber"/>
        <w:numPr>
          <w:ilvl w:val="1"/>
          <w:numId w:val="5"/>
        </w:numPr>
        <w:adjustRightInd/>
      </w:pPr>
      <w:proofErr w:type="gramStart"/>
      <w:r>
        <w:t>comparison</w:t>
      </w:r>
      <w:proofErr w:type="gramEnd"/>
      <w:r>
        <w:t xml:space="preserve"> between results of the current </w:t>
      </w:r>
      <w:r w:rsidRPr="00AF7B0A">
        <w:t>equivalent porous media (EPM) approach and alternative approaches such as discrete fracture networks (DFN) to better understand how the representation of fractures influences groundwater behaviour and surface water</w:t>
      </w:r>
      <w:r w:rsidR="00817179">
        <w:t>-</w:t>
      </w:r>
      <w:r w:rsidRPr="00AF7B0A">
        <w:t xml:space="preserve">groundwater connectivity. </w:t>
      </w:r>
    </w:p>
    <w:p w14:paraId="7105220A" w14:textId="77777777" w:rsidR="00026F42" w:rsidRPr="00A87320" w:rsidRDefault="00026F42" w:rsidP="009816D3">
      <w:pPr>
        <w:pStyle w:val="ListNumber"/>
        <w:numPr>
          <w:ilvl w:val="0"/>
          <w:numId w:val="5"/>
        </w:numPr>
      </w:pPr>
      <w:r w:rsidRPr="00A87320">
        <w:t xml:space="preserve">The IESC </w:t>
      </w:r>
      <w:r w:rsidR="00A11FC8" w:rsidRPr="00A87320">
        <w:t xml:space="preserve">notes that the subsidence predictions and associated impact parameters (i.e. tilt, curvature, strain and horizontal displacement) have been based on measured local data and empirical databases developed for other coalfields in NSW with similar mining geometries and geological conditions. </w:t>
      </w:r>
      <w:r w:rsidR="00E75171" w:rsidRPr="00A87320">
        <w:t xml:space="preserve">At this site, the target coal seam varies from 143 to 367 m below ground, with </w:t>
      </w:r>
      <w:r w:rsidR="00157355" w:rsidRPr="00A87320">
        <w:t xml:space="preserve">no strong </w:t>
      </w:r>
      <w:r w:rsidR="003D6371" w:rsidRPr="00A87320">
        <w:t>overlying ‘</w:t>
      </w:r>
      <w:r w:rsidR="00157355" w:rsidRPr="00A87320">
        <w:t>bridging</w:t>
      </w:r>
      <w:r w:rsidR="003D6371" w:rsidRPr="00A87320">
        <w:t>’</w:t>
      </w:r>
      <w:r w:rsidR="00157355" w:rsidRPr="00A87320">
        <w:t xml:space="preserve"> </w:t>
      </w:r>
      <w:r w:rsidR="00E75171" w:rsidRPr="00A87320">
        <w:t>geology</w:t>
      </w:r>
      <w:r w:rsidR="00157355" w:rsidRPr="00A87320">
        <w:t>.</w:t>
      </w:r>
      <w:r w:rsidR="00E75171" w:rsidRPr="00A87320">
        <w:t xml:space="preserve"> </w:t>
      </w:r>
      <w:r w:rsidR="00A11FC8" w:rsidRPr="00A87320">
        <w:t xml:space="preserve">Confidence in the </w:t>
      </w:r>
      <w:r w:rsidR="00E75171" w:rsidRPr="00A87320">
        <w:t xml:space="preserve">subsidence </w:t>
      </w:r>
      <w:r w:rsidR="00A11FC8" w:rsidRPr="00A87320">
        <w:t>model could be improved by commissioning an independent review, as well as ensuring that the groundwater model</w:t>
      </w:r>
      <w:r w:rsidR="007805B9" w:rsidRPr="00A87320">
        <w:t xml:space="preserve"> complements</w:t>
      </w:r>
      <w:r w:rsidR="00A11FC8" w:rsidRPr="00A87320">
        <w:t xml:space="preserve"> the subsidence model.</w:t>
      </w:r>
    </w:p>
    <w:p w14:paraId="7105220B" w14:textId="77777777" w:rsidR="00A11FC8" w:rsidRPr="00A87320" w:rsidRDefault="00026F42" w:rsidP="009816D3">
      <w:pPr>
        <w:pStyle w:val="ListNumber"/>
        <w:numPr>
          <w:ilvl w:val="0"/>
          <w:numId w:val="5"/>
        </w:numPr>
      </w:pPr>
      <w:r w:rsidRPr="00A87320">
        <w:t>T</w:t>
      </w:r>
      <w:r w:rsidR="00E80813" w:rsidRPr="00A87320">
        <w:t xml:space="preserve">he proposed Narrabri Extension </w:t>
      </w:r>
      <w:r w:rsidR="007C7C4C" w:rsidRPr="00A87320">
        <w:t>is likely to</w:t>
      </w:r>
      <w:r w:rsidR="00E80813" w:rsidRPr="00A87320">
        <w:t xml:space="preserve"> result in a range of subsidence-related impacts to water resources. </w:t>
      </w:r>
      <w:r w:rsidR="00A11FC8" w:rsidRPr="00A87320">
        <w:t>The</w:t>
      </w:r>
      <w:r w:rsidR="005229E7" w:rsidRPr="00A87320">
        <w:t>se include the following issues</w:t>
      </w:r>
      <w:r w:rsidR="00A11FC8" w:rsidRPr="00A87320">
        <w:t>.</w:t>
      </w:r>
    </w:p>
    <w:p w14:paraId="7105220C" w14:textId="77777777" w:rsidR="004218BB" w:rsidRPr="00A87320" w:rsidRDefault="004218BB" w:rsidP="009816D3">
      <w:pPr>
        <w:pStyle w:val="ListNumber2"/>
        <w:numPr>
          <w:ilvl w:val="1"/>
          <w:numId w:val="5"/>
        </w:numPr>
      </w:pPr>
      <w:r w:rsidRPr="00A87320">
        <w:t>Final maximum panel subsidence predictions range from 2.55 m to 2.80 m (</w:t>
      </w:r>
      <w:r w:rsidR="00E87251" w:rsidRPr="00A87320">
        <w:rPr>
          <w:noProof/>
          <w:lang w:eastAsia="en-AU"/>
        </w:rPr>
        <w:t>Ditton Geotechnical Services</w:t>
      </w:r>
      <w:r w:rsidR="00E87251">
        <w:rPr>
          <w:noProof/>
          <w:lang w:eastAsia="en-AU"/>
        </w:rPr>
        <w:t>,</w:t>
      </w:r>
      <w:r w:rsidR="00E87251" w:rsidRPr="00A87320">
        <w:rPr>
          <w:noProof/>
          <w:lang w:eastAsia="en-AU"/>
        </w:rPr>
        <w:t xml:space="preserve"> 2019</w:t>
      </w:r>
      <w:r w:rsidRPr="00A87320">
        <w:t>, p. 26)</w:t>
      </w:r>
      <w:r w:rsidR="00313EF1" w:rsidRPr="00A87320">
        <w:t xml:space="preserve">, where predicted changes to </w:t>
      </w:r>
      <w:r w:rsidR="009A02D7" w:rsidRPr="00A87320">
        <w:t xml:space="preserve">Kurrajong Creek </w:t>
      </w:r>
      <w:r w:rsidR="00313EF1" w:rsidRPr="00A87320">
        <w:t xml:space="preserve">ponding and dams </w:t>
      </w:r>
      <w:r w:rsidR="001D5AD0" w:rsidRPr="00A87320">
        <w:t xml:space="preserve">are </w:t>
      </w:r>
      <w:r w:rsidR="00634F6F" w:rsidRPr="00A87320">
        <w:lastRenderedPageBreak/>
        <w:t xml:space="preserve">considered by the proponent to be </w:t>
      </w:r>
      <w:r w:rsidR="00313EF1" w:rsidRPr="00A87320">
        <w:t>minimal</w:t>
      </w:r>
      <w:r w:rsidRPr="00A87320">
        <w:t xml:space="preserve">. </w:t>
      </w:r>
      <w:r w:rsidR="00313EF1" w:rsidRPr="00A87320">
        <w:t xml:space="preserve">The IESC </w:t>
      </w:r>
      <w:r w:rsidR="00E20426" w:rsidRPr="00A87320">
        <w:t xml:space="preserve">believes </w:t>
      </w:r>
      <w:r w:rsidR="00817179">
        <w:t xml:space="preserve">that </w:t>
      </w:r>
      <w:r w:rsidR="00E20426" w:rsidRPr="00A87320">
        <w:t xml:space="preserve">further information is required to confirm these </w:t>
      </w:r>
      <w:r w:rsidR="00313EF1" w:rsidRPr="00A87320">
        <w:t xml:space="preserve">predictions as it is unclear whether the risk assessment considered </w:t>
      </w:r>
      <w:r w:rsidR="00182682" w:rsidRPr="00A87320">
        <w:t>(</w:t>
      </w:r>
      <w:proofErr w:type="spellStart"/>
      <w:r w:rsidR="00182682" w:rsidRPr="00A87320">
        <w:t>i</w:t>
      </w:r>
      <w:proofErr w:type="spellEnd"/>
      <w:r w:rsidR="00182682" w:rsidRPr="00A87320">
        <w:t xml:space="preserve">) </w:t>
      </w:r>
      <w:r w:rsidR="00354369" w:rsidRPr="00A87320">
        <w:t xml:space="preserve">incremental profile methods, (ii) </w:t>
      </w:r>
      <w:r w:rsidR="00313EF1" w:rsidRPr="00A87320">
        <w:t xml:space="preserve">climate variability and the influence of extreme weather events, in particular intense rainfall events and frequencies, or </w:t>
      </w:r>
      <w:r w:rsidR="00182682" w:rsidRPr="00A87320">
        <w:t>(ii</w:t>
      </w:r>
      <w:r w:rsidR="00354369" w:rsidRPr="00A87320">
        <w:t>i</w:t>
      </w:r>
      <w:r w:rsidR="00182682" w:rsidRPr="00A87320">
        <w:t xml:space="preserve">) </w:t>
      </w:r>
      <w:r w:rsidR="00313EF1" w:rsidRPr="00A87320">
        <w:t xml:space="preserve">cracking (refer to </w:t>
      </w:r>
      <w:r w:rsidR="005C655D" w:rsidRPr="00A87320">
        <w:t>10</w:t>
      </w:r>
      <w:r w:rsidR="00313EF1" w:rsidRPr="00A87320">
        <w:t>b below).</w:t>
      </w:r>
    </w:p>
    <w:p w14:paraId="7105220D" w14:textId="77777777" w:rsidR="0011757A" w:rsidRPr="00A87320" w:rsidRDefault="004218BB" w:rsidP="009816D3">
      <w:pPr>
        <w:pStyle w:val="ListNumber2"/>
        <w:numPr>
          <w:ilvl w:val="1"/>
          <w:numId w:val="5"/>
        </w:numPr>
      </w:pPr>
      <w:r w:rsidRPr="00A87320">
        <w:t>Surface cracking widths are predicted to range from 20 mm to 240 mm (</w:t>
      </w:r>
      <w:r w:rsidR="00E87251" w:rsidRPr="00A87320">
        <w:rPr>
          <w:noProof/>
          <w:lang w:eastAsia="en-AU"/>
        </w:rPr>
        <w:t>Ditton Geotechnical Services</w:t>
      </w:r>
      <w:r w:rsidR="00E87251">
        <w:rPr>
          <w:noProof/>
          <w:lang w:eastAsia="en-AU"/>
        </w:rPr>
        <w:t>,</w:t>
      </w:r>
      <w:r w:rsidR="00E87251" w:rsidRPr="00A87320">
        <w:rPr>
          <w:noProof/>
          <w:lang w:eastAsia="en-AU"/>
        </w:rPr>
        <w:t xml:space="preserve"> 2019</w:t>
      </w:r>
      <w:r w:rsidRPr="00A87320">
        <w:t>, p. 31), although there are no reports on the depth of cracks at the existing mine (</w:t>
      </w:r>
      <w:r w:rsidR="00F255CA" w:rsidRPr="00A87320">
        <w:t>Whitehaven</w:t>
      </w:r>
      <w:r w:rsidRPr="00A87320">
        <w:t xml:space="preserve">, 2017, p. 19). </w:t>
      </w:r>
      <w:r w:rsidR="00EF5E59" w:rsidRPr="00A87320">
        <w:t>Whilst large cracks will be remediated, m</w:t>
      </w:r>
      <w:r w:rsidRPr="00A87320">
        <w:t>inor cracks (i.e. less than 50 mm</w:t>
      </w:r>
      <w:r w:rsidR="009A29CA" w:rsidRPr="00A87320">
        <w:t xml:space="preserve"> wide</w:t>
      </w:r>
      <w:r w:rsidRPr="00A87320">
        <w:t>) are not expected to require remediation as geomorphological processes would result in these cracks filling naturally over time (</w:t>
      </w:r>
      <w:r w:rsidR="00E87251" w:rsidRPr="00A87320">
        <w:rPr>
          <w:noProof/>
          <w:lang w:eastAsia="en-AU"/>
        </w:rPr>
        <w:t>Soil Management Designs</w:t>
      </w:r>
      <w:r w:rsidR="00E87251">
        <w:rPr>
          <w:noProof/>
          <w:lang w:eastAsia="en-AU"/>
        </w:rPr>
        <w:t>,</w:t>
      </w:r>
      <w:r w:rsidR="00E87251" w:rsidRPr="00A87320">
        <w:rPr>
          <w:noProof/>
          <w:lang w:eastAsia="en-AU"/>
        </w:rPr>
        <w:t xml:space="preserve"> 2019</w:t>
      </w:r>
      <w:r w:rsidRPr="00A87320">
        <w:t>, p. 38). The IESC</w:t>
      </w:r>
      <w:r w:rsidR="005C655D" w:rsidRPr="00A87320">
        <w:t xml:space="preserve"> notes that</w:t>
      </w:r>
      <w:r w:rsidR="0011757A" w:rsidRPr="00A87320">
        <w:t>:</w:t>
      </w:r>
      <w:r w:rsidRPr="00A87320">
        <w:t xml:space="preserve"> </w:t>
      </w:r>
    </w:p>
    <w:p w14:paraId="7105220E" w14:textId="77777777" w:rsidR="0011757A" w:rsidRPr="00A87320" w:rsidRDefault="004218BB" w:rsidP="0011757A">
      <w:pPr>
        <w:pStyle w:val="ListNumber2"/>
        <w:numPr>
          <w:ilvl w:val="2"/>
          <w:numId w:val="5"/>
        </w:numPr>
      </w:pPr>
      <w:r w:rsidRPr="00A87320">
        <w:t>cracks which are visibly closed</w:t>
      </w:r>
      <w:r w:rsidR="00FB308B" w:rsidRPr="00A87320">
        <w:t xml:space="preserve"> at the surface</w:t>
      </w:r>
      <w:r w:rsidRPr="00A87320">
        <w:t xml:space="preserve"> (i.e. self-healed with sand, or remediated with gravel) are likely to provide preferential flow paths and remain </w:t>
      </w:r>
      <w:r w:rsidR="009405F0" w:rsidRPr="00A87320">
        <w:t xml:space="preserve">hydraulically </w:t>
      </w:r>
      <w:r w:rsidRPr="00A87320">
        <w:t>open</w:t>
      </w:r>
      <w:r w:rsidR="009D13D5" w:rsidRPr="00A87320">
        <w:t xml:space="preserve"> </w:t>
      </w:r>
      <w:r w:rsidR="0079779D" w:rsidRPr="00A87320">
        <w:t xml:space="preserve">in mixed </w:t>
      </w:r>
      <w:proofErr w:type="spellStart"/>
      <w:r w:rsidR="0079779D" w:rsidRPr="00A87320">
        <w:t>vertisols</w:t>
      </w:r>
      <w:proofErr w:type="spellEnd"/>
      <w:r w:rsidR="0079779D" w:rsidRPr="00A87320">
        <w:t xml:space="preserve"> </w:t>
      </w:r>
      <w:r w:rsidR="009D13D5" w:rsidRPr="00A87320">
        <w:t>(clay fraction 64 %</w:t>
      </w:r>
      <w:r w:rsidR="0079779D" w:rsidRPr="00A87320">
        <w:t xml:space="preserve">, </w:t>
      </w:r>
      <w:proofErr w:type="spellStart"/>
      <w:r w:rsidRPr="00A87320">
        <w:t>Greve</w:t>
      </w:r>
      <w:proofErr w:type="spellEnd"/>
      <w:r w:rsidRPr="00A87320">
        <w:t xml:space="preserve"> et al.</w:t>
      </w:r>
      <w:r w:rsidR="001D5AD0" w:rsidRPr="00A87320">
        <w:t>,</w:t>
      </w:r>
      <w:r w:rsidRPr="00A87320">
        <w:t xml:space="preserve"> 2012)</w:t>
      </w:r>
      <w:r w:rsidR="0011757A" w:rsidRPr="00A87320">
        <w:t>; and</w:t>
      </w:r>
    </w:p>
    <w:p w14:paraId="7105220F" w14:textId="77777777" w:rsidR="004218BB" w:rsidRPr="00A87320" w:rsidRDefault="0011757A" w:rsidP="0011757A">
      <w:pPr>
        <w:pStyle w:val="ListNumber2"/>
        <w:numPr>
          <w:ilvl w:val="2"/>
          <w:numId w:val="5"/>
        </w:numPr>
      </w:pPr>
      <w:proofErr w:type="gramStart"/>
      <w:r w:rsidRPr="00A87320">
        <w:t>m</w:t>
      </w:r>
      <w:r w:rsidR="004218BB" w:rsidRPr="00A87320">
        <w:t>odelling</w:t>
      </w:r>
      <w:proofErr w:type="gramEnd"/>
      <w:r w:rsidR="004218BB" w:rsidRPr="00A87320">
        <w:t xml:space="preserve"> does not appear to consider water loss from cracking</w:t>
      </w:r>
      <w:r w:rsidRPr="00A87320">
        <w:t>. T</w:t>
      </w:r>
      <w:r w:rsidR="00EF5E59" w:rsidRPr="00A87320">
        <w:t xml:space="preserve">he </w:t>
      </w:r>
      <w:r w:rsidRPr="00A87320">
        <w:t xml:space="preserve">acquisition and </w:t>
      </w:r>
      <w:r w:rsidR="00EF5E59" w:rsidRPr="00A87320">
        <w:t xml:space="preserve">retirement of </w:t>
      </w:r>
      <w:r w:rsidR="004218BB" w:rsidRPr="00A87320">
        <w:t xml:space="preserve">water licences </w:t>
      </w:r>
      <w:r w:rsidR="00EF5E59" w:rsidRPr="00A87320">
        <w:t>may be required to mitigate</w:t>
      </w:r>
      <w:r w:rsidR="004218BB" w:rsidRPr="00A87320">
        <w:t xml:space="preserve"> predicted losses.</w:t>
      </w:r>
    </w:p>
    <w:p w14:paraId="71052210" w14:textId="77777777" w:rsidR="007C7C4C" w:rsidRPr="00A87320" w:rsidRDefault="007C7C4C" w:rsidP="00F91EF6">
      <w:pPr>
        <w:pStyle w:val="ListNumber2"/>
        <w:numPr>
          <w:ilvl w:val="1"/>
          <w:numId w:val="5"/>
        </w:numPr>
      </w:pPr>
      <w:r w:rsidRPr="00A87320">
        <w:t>The rate of soil erosion is expected to increase significantly in areas with exposed dispersive/reactive soils and slopes. Erosion along the creek beds would be expected to develop above chain pillars between the panels and on the side where the gradients increase. The IESC notes that the extent of impact will be assessed by environmental consultants in the EIS (</w:t>
      </w:r>
      <w:r w:rsidR="00E87251" w:rsidRPr="00A87320">
        <w:rPr>
          <w:noProof/>
          <w:lang w:eastAsia="en-AU"/>
        </w:rPr>
        <w:t>Ditton Geotechnical Services</w:t>
      </w:r>
      <w:r w:rsidR="00E87251">
        <w:rPr>
          <w:noProof/>
          <w:lang w:eastAsia="en-AU"/>
        </w:rPr>
        <w:t>,</w:t>
      </w:r>
      <w:r w:rsidR="00E87251" w:rsidRPr="00A87320">
        <w:rPr>
          <w:noProof/>
          <w:lang w:eastAsia="en-AU"/>
        </w:rPr>
        <w:t xml:space="preserve"> 2019</w:t>
      </w:r>
      <w:r w:rsidRPr="00A87320">
        <w:t>, p. 44).</w:t>
      </w:r>
    </w:p>
    <w:p w14:paraId="71052211" w14:textId="77777777" w:rsidR="00747AE2" w:rsidRPr="00A87320" w:rsidRDefault="00747AE2" w:rsidP="000F2EFB">
      <w:pPr>
        <w:pStyle w:val="ListNumber"/>
        <w:ind w:left="0" w:firstLine="0"/>
        <w:rPr>
          <w:i/>
        </w:rPr>
      </w:pPr>
      <w:r w:rsidRPr="00A87320">
        <w:rPr>
          <w:i/>
        </w:rPr>
        <w:t>Surface waters</w:t>
      </w:r>
    </w:p>
    <w:p w14:paraId="71052212" w14:textId="77777777" w:rsidR="00747AE2" w:rsidRPr="00A87320" w:rsidRDefault="00D65D3F" w:rsidP="00747AE2">
      <w:pPr>
        <w:pStyle w:val="ListNumber"/>
        <w:numPr>
          <w:ilvl w:val="0"/>
          <w:numId w:val="5"/>
        </w:numPr>
      </w:pPr>
      <w:r w:rsidRPr="00A87320">
        <w:t xml:space="preserve">No investigations have been undertaken to assess the likely impacts of subsidence and groundwater drawdown on </w:t>
      </w:r>
      <w:r w:rsidR="005C655D" w:rsidRPr="00A87320">
        <w:t>surface waters</w:t>
      </w:r>
      <w:r w:rsidRPr="00A87320">
        <w:t>. Without such analyses</w:t>
      </w:r>
      <w:r w:rsidR="005C655D" w:rsidRPr="00A87320">
        <w:t>,</w:t>
      </w:r>
      <w:r w:rsidRPr="00A87320">
        <w:t xml:space="preserve"> it is not possible to comment on the likelihood and significance of impacts on surface water resources.</w:t>
      </w:r>
    </w:p>
    <w:p w14:paraId="71052213" w14:textId="77777777" w:rsidR="000F2EFB" w:rsidRPr="00A87320" w:rsidRDefault="000F2EFB" w:rsidP="000F2EFB">
      <w:pPr>
        <w:pStyle w:val="ListNumber"/>
        <w:rPr>
          <w:i/>
        </w:rPr>
      </w:pPr>
      <w:r w:rsidRPr="00A87320">
        <w:rPr>
          <w:i/>
        </w:rPr>
        <w:t>Groundwater-dependent ecosystems (</w:t>
      </w:r>
      <w:r w:rsidRPr="00A87320">
        <w:rPr>
          <w:i/>
          <w:color w:val="000000" w:themeColor="text1"/>
        </w:rPr>
        <w:t>GDEs)</w:t>
      </w:r>
    </w:p>
    <w:p w14:paraId="71052214" w14:textId="77777777" w:rsidR="00756F07" w:rsidRPr="00A87320" w:rsidRDefault="00756F07" w:rsidP="00B37F93">
      <w:pPr>
        <w:pStyle w:val="ListNumber"/>
        <w:numPr>
          <w:ilvl w:val="0"/>
          <w:numId w:val="5"/>
        </w:numPr>
      </w:pPr>
      <w:r w:rsidRPr="00A87320">
        <w:t>A detailed assessment of potential impacts on GDEs is not provided because the Gateway Certificate Application process does not require assessments relating to flora and fauna at this stage of the development. However, the IESC considers that given the current pressures on groundwater from multiple users, the proposed project is likely to have potential impacts on the following GDEs:</w:t>
      </w:r>
    </w:p>
    <w:p w14:paraId="71052215" w14:textId="77777777" w:rsidR="00756F07" w:rsidRPr="00A87320" w:rsidRDefault="00756F07" w:rsidP="00B37F93">
      <w:pPr>
        <w:pStyle w:val="ListNumber"/>
        <w:numPr>
          <w:ilvl w:val="1"/>
          <w:numId w:val="5"/>
        </w:numPr>
      </w:pPr>
      <w:r w:rsidRPr="00A87320">
        <w:t xml:space="preserve">groundwater-dependent vegetation, especially along </w:t>
      </w:r>
      <w:proofErr w:type="spellStart"/>
      <w:r w:rsidRPr="00A87320">
        <w:t>creeklines</w:t>
      </w:r>
      <w:proofErr w:type="spellEnd"/>
      <w:r w:rsidRPr="00A87320">
        <w:t xml:space="preserve"> and on the Namoi River alluvium in areas where groundwater drawdown</w:t>
      </w:r>
      <w:r w:rsidR="00B37F93" w:rsidRPr="00A87320">
        <w:t xml:space="preserve"> is predicted;</w:t>
      </w:r>
    </w:p>
    <w:p w14:paraId="71052216" w14:textId="77777777" w:rsidR="00756F07" w:rsidRPr="00A87320" w:rsidRDefault="00756F07" w:rsidP="00B37F93">
      <w:pPr>
        <w:pStyle w:val="ListNumber"/>
        <w:numPr>
          <w:ilvl w:val="1"/>
          <w:numId w:val="5"/>
        </w:numPr>
      </w:pPr>
      <w:r w:rsidRPr="00A87320">
        <w:t xml:space="preserve">nearby springs such as </w:t>
      </w:r>
      <w:proofErr w:type="spellStart"/>
      <w:r w:rsidRPr="00A87320">
        <w:t>Hardys</w:t>
      </w:r>
      <w:proofErr w:type="spellEnd"/>
      <w:r w:rsidRPr="00A87320">
        <w:t xml:space="preserve">, </w:t>
      </w:r>
      <w:proofErr w:type="spellStart"/>
      <w:r w:rsidRPr="00A87320">
        <w:t>Eather</w:t>
      </w:r>
      <w:proofErr w:type="spellEnd"/>
      <w:r w:rsidRPr="00A87320">
        <w:t xml:space="preserve"> and Mayfield Springs where cumulative impacts associated with the Narrabri Gas Project are likely</w:t>
      </w:r>
      <w:r w:rsidR="00B37F93" w:rsidRPr="00A87320">
        <w:t>;</w:t>
      </w:r>
      <w:r w:rsidRPr="00A87320">
        <w:t xml:space="preserve"> and </w:t>
      </w:r>
    </w:p>
    <w:p w14:paraId="71052217" w14:textId="204D43BA" w:rsidR="00F5651C" w:rsidRDefault="00756F07" w:rsidP="00B37F93">
      <w:pPr>
        <w:pStyle w:val="ListNumber"/>
        <w:numPr>
          <w:ilvl w:val="1"/>
          <w:numId w:val="5"/>
        </w:numPr>
      </w:pPr>
      <w:r w:rsidRPr="00A87320">
        <w:t xml:space="preserve">the Namoi River in the vicinity of the project which is mapped as a potential GDE (GDE Atlas reference to add) and forms part of the state-listed </w:t>
      </w:r>
      <w:r w:rsidRPr="00A87320">
        <w:rPr>
          <w:i/>
        </w:rPr>
        <w:t>Lowland Darling River Aquatic Ecological Community</w:t>
      </w:r>
      <w:r w:rsidRPr="00A87320">
        <w:t xml:space="preserve"> (NSW DPI, 2007). In particular, potential changes to groundwater–surface water interactions between the saturated alluvium and the Namoi River and its tributaries should be assessed because of the likely importance of upwelling groundwater supplying dissolved carbon and other crucial resources to the river’s food-web (e.g. Burrows et al. 2018) that includes this state-listed community.</w:t>
      </w:r>
    </w:p>
    <w:p w14:paraId="4F2BFF8D" w14:textId="77777777" w:rsidR="00F5651C" w:rsidRDefault="00F5651C">
      <w:pPr>
        <w:autoSpaceDE/>
        <w:autoSpaceDN/>
        <w:adjustRightInd/>
        <w:spacing w:after="0" w:line="240" w:lineRule="auto"/>
      </w:pPr>
      <w:r>
        <w:br w:type="page"/>
      </w:r>
    </w:p>
    <w:p w14:paraId="71052218" w14:textId="77777777" w:rsidR="00183FF8" w:rsidRPr="00A87320" w:rsidRDefault="00183FF8" w:rsidP="004376A7">
      <w:pPr>
        <w:pStyle w:val="Question"/>
        <w:shd w:val="clear" w:color="auto" w:fill="E7E6E6"/>
      </w:pPr>
      <w:r w:rsidRPr="00A87320">
        <w:lastRenderedPageBreak/>
        <w:t xml:space="preserve">Question </w:t>
      </w:r>
      <w:r w:rsidR="007567C5" w:rsidRPr="00A87320">
        <w:t>2</w:t>
      </w:r>
      <w:r w:rsidRPr="00A87320">
        <w:t>: The IESC may also recommend further studies that should be undertaken if relevant.</w:t>
      </w:r>
    </w:p>
    <w:p w14:paraId="71052219" w14:textId="77777777" w:rsidR="004376A7" w:rsidRPr="00A87320" w:rsidRDefault="004376A7" w:rsidP="00C4122D">
      <w:pPr>
        <w:pStyle w:val="ListNumber"/>
        <w:numPr>
          <w:ilvl w:val="0"/>
          <w:numId w:val="5"/>
        </w:numPr>
      </w:pPr>
      <w:r w:rsidRPr="00A87320">
        <w:t xml:space="preserve">The </w:t>
      </w:r>
      <w:r w:rsidR="001C4370" w:rsidRPr="00A87320">
        <w:t xml:space="preserve">IESC </w:t>
      </w:r>
      <w:r w:rsidRPr="00A87320">
        <w:t>recommend</w:t>
      </w:r>
      <w:r w:rsidR="001C4370" w:rsidRPr="00A87320">
        <w:t>s the following</w:t>
      </w:r>
      <w:r w:rsidRPr="00A87320">
        <w:t xml:space="preserve"> studies </w:t>
      </w:r>
      <w:r w:rsidR="0079779D" w:rsidRPr="00A87320">
        <w:t xml:space="preserve">be completed as a component of any future assessments. The recommended studies </w:t>
      </w:r>
      <w:r w:rsidRPr="00A87320">
        <w:t>and methods described are based on current understanding and should not be considered exhaustive. When undertaking further studies, the proponent should consider the information needs outlined in the IESC’s Information Guidelines (IESC</w:t>
      </w:r>
      <w:r w:rsidR="005E32A2" w:rsidRPr="00A87320">
        <w:t>,</w:t>
      </w:r>
      <w:r w:rsidRPr="00A87320">
        <w:t> 2018)</w:t>
      </w:r>
      <w:r w:rsidR="001C4370" w:rsidRPr="00A87320">
        <w:t>,</w:t>
      </w:r>
      <w:r w:rsidR="001D5AD0" w:rsidRPr="00A87320">
        <w:t xml:space="preserve"> and</w:t>
      </w:r>
      <w:r w:rsidR="006E1762" w:rsidRPr="00A87320">
        <w:t xml:space="preserve"> the current</w:t>
      </w:r>
      <w:r w:rsidRPr="00A87320">
        <w:t xml:space="preserve"> IESC Explanatory Notes</w:t>
      </w:r>
      <w:r w:rsidR="006E1762" w:rsidRPr="00A87320">
        <w:t xml:space="preserve"> on uncertainty analysis (</w:t>
      </w:r>
      <w:proofErr w:type="spellStart"/>
      <w:r w:rsidR="006E1762" w:rsidRPr="00A87320">
        <w:t>Middlemis</w:t>
      </w:r>
      <w:proofErr w:type="spellEnd"/>
      <w:r w:rsidR="006E1762" w:rsidRPr="00A87320">
        <w:t xml:space="preserve"> and </w:t>
      </w:r>
      <w:proofErr w:type="spellStart"/>
      <w:r w:rsidR="006E1762" w:rsidRPr="00A87320">
        <w:t>Peeters</w:t>
      </w:r>
      <w:proofErr w:type="spellEnd"/>
      <w:r w:rsidR="005E32A2" w:rsidRPr="00A87320">
        <w:t>,</w:t>
      </w:r>
      <w:r w:rsidR="006E1762" w:rsidRPr="00A87320">
        <w:t xml:space="preserve"> 2018)</w:t>
      </w:r>
      <w:r w:rsidR="001D5AD0" w:rsidRPr="00A87320">
        <w:t>,</w:t>
      </w:r>
      <w:r w:rsidR="006E1762" w:rsidRPr="00A87320">
        <w:t xml:space="preserve"> GDEs (Doody et al.</w:t>
      </w:r>
      <w:r w:rsidR="005E32A2" w:rsidRPr="00A87320">
        <w:t>,</w:t>
      </w:r>
      <w:r w:rsidR="006E1762" w:rsidRPr="00A87320">
        <w:t xml:space="preserve"> 2019)</w:t>
      </w:r>
      <w:r w:rsidRPr="00A87320">
        <w:t xml:space="preserve"> </w:t>
      </w:r>
      <w:r w:rsidR="002C4281" w:rsidRPr="00A87320">
        <w:t>and other</w:t>
      </w:r>
      <w:r w:rsidR="00DC738A" w:rsidRPr="00A87320">
        <w:t xml:space="preserve"> </w:t>
      </w:r>
      <w:r w:rsidR="001C4370" w:rsidRPr="00A87320">
        <w:t xml:space="preserve">topics </w:t>
      </w:r>
      <w:r w:rsidRPr="00A87320">
        <w:t>as they become available.</w:t>
      </w:r>
    </w:p>
    <w:p w14:paraId="7105221A" w14:textId="77777777" w:rsidR="007567C5" w:rsidRPr="00A87320" w:rsidRDefault="007567C5" w:rsidP="007567C5">
      <w:pPr>
        <w:rPr>
          <w:i/>
        </w:rPr>
      </w:pPr>
      <w:r w:rsidRPr="00A87320">
        <w:rPr>
          <w:i/>
        </w:rPr>
        <w:t xml:space="preserve">Water balance modelling </w:t>
      </w:r>
    </w:p>
    <w:p w14:paraId="7105221B" w14:textId="77777777" w:rsidR="007567C5" w:rsidRPr="00A87320" w:rsidRDefault="007567C5" w:rsidP="007567C5">
      <w:pPr>
        <w:pStyle w:val="ListNumber"/>
        <w:numPr>
          <w:ilvl w:val="0"/>
          <w:numId w:val="5"/>
        </w:numPr>
      </w:pPr>
      <w:r w:rsidRPr="00A87320">
        <w:t xml:space="preserve">The IESC notes that </w:t>
      </w:r>
      <w:r w:rsidR="00D90AAA" w:rsidRPr="00A87320">
        <w:t>the</w:t>
      </w:r>
      <w:r w:rsidRPr="00A87320">
        <w:rPr>
          <w:color w:val="000000" w:themeColor="text1"/>
        </w:rPr>
        <w:t xml:space="preserve"> project would involve the use of existing infrastructure with minor augmentations and extensions, including the progressive development of sumps, pumps, pipelines, water storages and other water management infrastructure. Given that there have been discharge incidents at the existing mine associated with high rainfall events</w:t>
      </w:r>
      <w:r w:rsidR="007D6588" w:rsidRPr="00A87320">
        <w:rPr>
          <w:color w:val="000000" w:themeColor="text1"/>
        </w:rPr>
        <w:t xml:space="preserve"> (</w:t>
      </w:r>
      <w:r w:rsidR="007D6588" w:rsidRPr="00A87320">
        <w:rPr>
          <w:lang w:eastAsia="en-AU"/>
        </w:rPr>
        <w:t>Environmental Resource Management Australia Pty Ltd, 2017, p. 14</w:t>
      </w:r>
      <w:r w:rsidR="007D6588" w:rsidRPr="00A87320">
        <w:rPr>
          <w:color w:val="000000" w:themeColor="text1"/>
        </w:rPr>
        <w:t>)</w:t>
      </w:r>
      <w:r w:rsidRPr="00A87320">
        <w:rPr>
          <w:color w:val="000000" w:themeColor="text1"/>
        </w:rPr>
        <w:t>, a</w:t>
      </w:r>
      <w:r w:rsidRPr="00A87320">
        <w:t xml:space="preserve"> quantitative site-specific water balance is required which accommodates various sources of uncertainty (e.g. using the Water Accounting Framework for the Australian minerals industry, Minerals Council of Australia</w:t>
      </w:r>
      <w:r w:rsidR="005E32A2" w:rsidRPr="00A87320">
        <w:t>,</w:t>
      </w:r>
      <w:r w:rsidRPr="00A87320">
        <w:t xml:space="preserve"> 2014). This site-specific approach would describe: </w:t>
      </w:r>
    </w:p>
    <w:p w14:paraId="7105221C" w14:textId="77777777" w:rsidR="007567C5" w:rsidRPr="00A87320" w:rsidRDefault="007567C5" w:rsidP="007567C5">
      <w:pPr>
        <w:pStyle w:val="ListNumber2"/>
        <w:numPr>
          <w:ilvl w:val="1"/>
          <w:numId w:val="5"/>
        </w:numPr>
      </w:pPr>
      <w:r w:rsidRPr="00A87320">
        <w:t xml:space="preserve">the total water supply and demand under a range of climatic and water demand scenarios to support the uncertainty analysis; </w:t>
      </w:r>
    </w:p>
    <w:p w14:paraId="7105221D" w14:textId="77777777" w:rsidR="007567C5" w:rsidRPr="00A87320" w:rsidRDefault="007567C5" w:rsidP="007567C5">
      <w:pPr>
        <w:pStyle w:val="ListNumber2"/>
        <w:numPr>
          <w:ilvl w:val="1"/>
          <w:numId w:val="5"/>
        </w:numPr>
      </w:pPr>
      <w:r w:rsidRPr="00A87320">
        <w:t xml:space="preserve">the required water infrastructure, including infrastructure capacity, transfers and qualities; </w:t>
      </w:r>
    </w:p>
    <w:p w14:paraId="7105221E" w14:textId="77777777" w:rsidR="007567C5" w:rsidRPr="00A87320" w:rsidRDefault="007567C5" w:rsidP="007567C5">
      <w:pPr>
        <w:pStyle w:val="ListNumber2"/>
        <w:numPr>
          <w:ilvl w:val="1"/>
          <w:numId w:val="5"/>
        </w:numPr>
      </w:pPr>
      <w:r w:rsidRPr="00A87320">
        <w:t xml:space="preserve">volumes and quality of water needed to be discharged (if any), under a range of rainfall scenarios; and </w:t>
      </w:r>
    </w:p>
    <w:p w14:paraId="7105221F" w14:textId="77777777" w:rsidR="007567C5" w:rsidRPr="00A87320" w:rsidRDefault="007567C5" w:rsidP="007567C5">
      <w:pPr>
        <w:pStyle w:val="ListNumber2"/>
        <w:numPr>
          <w:ilvl w:val="1"/>
          <w:numId w:val="5"/>
        </w:numPr>
      </w:pPr>
      <w:proofErr w:type="gramStart"/>
      <w:r w:rsidRPr="00A87320">
        <w:t>potential</w:t>
      </w:r>
      <w:proofErr w:type="gramEnd"/>
      <w:r w:rsidRPr="00A87320">
        <w:t xml:space="preserve"> impacts due to any water management actions. </w:t>
      </w:r>
    </w:p>
    <w:p w14:paraId="71052220" w14:textId="77777777" w:rsidR="003E0FF6" w:rsidRPr="00A87320" w:rsidRDefault="003F44E5" w:rsidP="0079779D">
      <w:pPr>
        <w:pStyle w:val="ListNumber"/>
        <w:numPr>
          <w:ilvl w:val="0"/>
          <w:numId w:val="5"/>
        </w:numPr>
      </w:pPr>
      <w:r w:rsidRPr="00A87320">
        <w:t xml:space="preserve">Given the proposed increase in </w:t>
      </w:r>
      <w:r w:rsidR="00FA3060" w:rsidRPr="00A87320">
        <w:t xml:space="preserve">total coal rejects </w:t>
      </w:r>
      <w:r w:rsidRPr="00A87320">
        <w:t>production, t</w:t>
      </w:r>
      <w:r w:rsidR="0079779D" w:rsidRPr="00A87320">
        <w:t>he EIS should provide the results of reject</w:t>
      </w:r>
      <w:r w:rsidR="00FA3060" w:rsidRPr="00A87320">
        <w:t>s</w:t>
      </w:r>
      <w:r w:rsidR="0079779D" w:rsidRPr="00A87320">
        <w:t xml:space="preserve"> geochemistry</w:t>
      </w:r>
      <w:r w:rsidRPr="00A87320">
        <w:t xml:space="preserve"> and consider implications of </w:t>
      </w:r>
      <w:r w:rsidR="00FA3060" w:rsidRPr="00A87320">
        <w:t xml:space="preserve">increased storage of rejects and potential </w:t>
      </w:r>
      <w:r w:rsidRPr="00A87320">
        <w:t>changes to water quality</w:t>
      </w:r>
      <w:r w:rsidR="00FA3060" w:rsidRPr="00A87320">
        <w:t xml:space="preserve"> should there be any uncontrolled releases.</w:t>
      </w:r>
    </w:p>
    <w:p w14:paraId="71052221" w14:textId="77777777" w:rsidR="005B250A" w:rsidRPr="00A87320" w:rsidRDefault="005B250A" w:rsidP="005B250A">
      <w:pPr>
        <w:rPr>
          <w:rFonts w:cs="Times New Roman"/>
          <w:i/>
        </w:rPr>
      </w:pPr>
      <w:r w:rsidRPr="00A87320">
        <w:rPr>
          <w:i/>
        </w:rPr>
        <w:t xml:space="preserve">Surface </w:t>
      </w:r>
      <w:r w:rsidR="00AD2C7A" w:rsidRPr="00A87320">
        <w:rPr>
          <w:i/>
        </w:rPr>
        <w:t xml:space="preserve">and receiving </w:t>
      </w:r>
      <w:r w:rsidRPr="00A87320">
        <w:rPr>
          <w:i/>
        </w:rPr>
        <w:t>water</w:t>
      </w:r>
      <w:r w:rsidR="00AD2C7A" w:rsidRPr="00A87320">
        <w:rPr>
          <w:i/>
        </w:rPr>
        <w:t>s</w:t>
      </w:r>
      <w:r w:rsidRPr="00A87320">
        <w:rPr>
          <w:i/>
        </w:rPr>
        <w:t xml:space="preserve"> </w:t>
      </w:r>
    </w:p>
    <w:p w14:paraId="71052222" w14:textId="77777777" w:rsidR="0055107F" w:rsidRPr="00A87320" w:rsidRDefault="0055107F" w:rsidP="0055107F">
      <w:pPr>
        <w:pStyle w:val="ListNumber"/>
        <w:numPr>
          <w:ilvl w:val="0"/>
          <w:numId w:val="5"/>
        </w:numPr>
        <w:rPr>
          <w:color w:val="000000" w:themeColor="text1"/>
        </w:rPr>
      </w:pPr>
      <w:r w:rsidRPr="00A87320">
        <w:t xml:space="preserve">The Trigger Action Response Plan (TARP) for the existing mine could not be located. However, surface water compliance criteria for the existing mine </w:t>
      </w:r>
      <w:r w:rsidR="00953D2D" w:rsidRPr="00A87320">
        <w:t>are stated as being</w:t>
      </w:r>
      <w:r w:rsidRPr="00A87320">
        <w:t xml:space="preserve"> based on the Catchment Action Plan for the Namoi River. Clarification is required as to whether baseline values </w:t>
      </w:r>
      <w:r w:rsidR="005229E7" w:rsidRPr="00A87320">
        <w:t xml:space="preserve">for water quality (physical-chemical parameters and contaminants) </w:t>
      </w:r>
      <w:r w:rsidRPr="00A87320">
        <w:t xml:space="preserve">have been established for the existing mine which gained approval in 2011. </w:t>
      </w:r>
    </w:p>
    <w:p w14:paraId="71052223" w14:textId="77777777" w:rsidR="00D90AAA" w:rsidRPr="00A87320" w:rsidRDefault="00D90AAA" w:rsidP="009816D3">
      <w:pPr>
        <w:pStyle w:val="ListNumber"/>
        <w:numPr>
          <w:ilvl w:val="0"/>
          <w:numId w:val="5"/>
        </w:numPr>
      </w:pPr>
      <w:r w:rsidRPr="00A87320">
        <w:t xml:space="preserve">A surface water assessment is needed which: </w:t>
      </w:r>
    </w:p>
    <w:p w14:paraId="71052224" w14:textId="77777777" w:rsidR="00D90AAA" w:rsidRPr="00A87320" w:rsidRDefault="00D90AAA" w:rsidP="00D90AAA">
      <w:pPr>
        <w:pStyle w:val="ListNumber2"/>
        <w:numPr>
          <w:ilvl w:val="1"/>
          <w:numId w:val="5"/>
        </w:numPr>
      </w:pPr>
      <w:proofErr w:type="gramStart"/>
      <w:r w:rsidRPr="00A87320">
        <w:t>includes</w:t>
      </w:r>
      <w:proofErr w:type="gramEnd"/>
      <w:r w:rsidRPr="00A87320">
        <w:t xml:space="preserve"> baseline </w:t>
      </w:r>
      <w:r w:rsidR="00D14266" w:rsidRPr="00A87320">
        <w:t xml:space="preserve">and event-based </w:t>
      </w:r>
      <w:r w:rsidRPr="00A87320">
        <w:t xml:space="preserve">monitoring </w:t>
      </w:r>
      <w:r w:rsidR="005229E7" w:rsidRPr="00A87320">
        <w:t>of water quality parameters</w:t>
      </w:r>
      <w:r w:rsidRPr="00A87320">
        <w:t xml:space="preserve"> over a sufficient time period to enable the derivation of appropriate site-specific water quality guideline values</w:t>
      </w:r>
      <w:r w:rsidR="005229E7" w:rsidRPr="00A87320">
        <w:t>. The parameters monitored, frequency of monitoring and actual monitoring data are required</w:t>
      </w:r>
      <w:r w:rsidRPr="00A87320">
        <w:t xml:space="preserve">; </w:t>
      </w:r>
    </w:p>
    <w:p w14:paraId="71052225" w14:textId="77777777" w:rsidR="00FA3060" w:rsidRPr="00A87320" w:rsidRDefault="007D442F" w:rsidP="009816D3">
      <w:pPr>
        <w:pStyle w:val="ListNumber2"/>
        <w:numPr>
          <w:ilvl w:val="1"/>
          <w:numId w:val="5"/>
        </w:numPr>
      </w:pPr>
      <w:proofErr w:type="gramStart"/>
      <w:r w:rsidRPr="00A87320">
        <w:t>uses</w:t>
      </w:r>
      <w:proofErr w:type="gramEnd"/>
      <w:r w:rsidRPr="00A87320">
        <w:t xml:space="preserve"> a risk-based approach to identify key surface water</w:t>
      </w:r>
      <w:r w:rsidR="00FA3060" w:rsidRPr="00A87320">
        <w:t>s that might be impacted</w:t>
      </w:r>
      <w:r w:rsidRPr="00A87320">
        <w:t xml:space="preserve"> (e.g. through direct and indirect discharges, subsidence fracturing, ponding or erosion), and considers how the proposal may alter the duration of low- and zero-flow days and potentially impact on instream biota. The </w:t>
      </w:r>
      <w:r w:rsidR="00FA3060" w:rsidRPr="00A87320">
        <w:t>proposed development area</w:t>
      </w:r>
      <w:r w:rsidRPr="00A87320">
        <w:t xml:space="preserve"> is drained by ephemeral streams whose flow regime is likely to be altered by subsidence and, potentially, groundwater drawdown. Altered flow regimes will affect the capacity of these ephemeral streams to provide habitat for aquatic species (review </w:t>
      </w:r>
      <w:r w:rsidRPr="00A87320">
        <w:lastRenderedPageBreak/>
        <w:t xml:space="preserve">in </w:t>
      </w:r>
      <w:proofErr w:type="spellStart"/>
      <w:r w:rsidRPr="00A87320">
        <w:t>Stubbington</w:t>
      </w:r>
      <w:proofErr w:type="spellEnd"/>
      <w:r w:rsidRPr="00A87320">
        <w:t xml:space="preserve"> et al., 2017) or support the important ecosystem services provided by these types of surface waters (</w:t>
      </w:r>
      <w:proofErr w:type="spellStart"/>
      <w:r w:rsidRPr="00A87320">
        <w:t>Datry</w:t>
      </w:r>
      <w:proofErr w:type="spellEnd"/>
      <w:r w:rsidRPr="00A87320">
        <w:t xml:space="preserve"> et al., 2018);</w:t>
      </w:r>
    </w:p>
    <w:p w14:paraId="71052226" w14:textId="77777777" w:rsidR="00D90AAA" w:rsidRPr="00A87320" w:rsidRDefault="00D90AAA" w:rsidP="009816D3">
      <w:pPr>
        <w:pStyle w:val="ListNumber2"/>
        <w:numPr>
          <w:ilvl w:val="1"/>
          <w:numId w:val="5"/>
        </w:numPr>
      </w:pPr>
      <w:r w:rsidRPr="00A87320">
        <w:t>identifies the existing (baseline) hydrological regime of all watercourses within the potential zone of hydrological impacts</w:t>
      </w:r>
      <w:r w:rsidR="0083094F" w:rsidRPr="00A87320">
        <w:t xml:space="preserve"> based on selected site-specific monitoring</w:t>
      </w:r>
      <w:r w:rsidRPr="00A87320">
        <w:t xml:space="preserve">; </w:t>
      </w:r>
    </w:p>
    <w:p w14:paraId="71052227" w14:textId="77777777" w:rsidR="00D90AAA" w:rsidRPr="00A87320" w:rsidRDefault="00D90AAA" w:rsidP="009816D3">
      <w:pPr>
        <w:pStyle w:val="ListNumber2"/>
        <w:numPr>
          <w:ilvl w:val="1"/>
          <w:numId w:val="5"/>
        </w:numPr>
      </w:pPr>
      <w:r w:rsidRPr="00A87320">
        <w:t xml:space="preserve">uses appropriate surface water quantity and quality data </w:t>
      </w:r>
      <w:r w:rsidR="00D36C75" w:rsidRPr="00A87320">
        <w:t xml:space="preserve">consistent with the ANZG (2018) guidelines </w:t>
      </w:r>
      <w:r w:rsidR="00A95542" w:rsidRPr="00A87320">
        <w:t xml:space="preserve">for aquatic ecosystem protection </w:t>
      </w:r>
      <w:r w:rsidRPr="00A87320">
        <w:t xml:space="preserve">to inform impacts and risks; </w:t>
      </w:r>
      <w:r w:rsidR="00D36C75" w:rsidRPr="00A87320">
        <w:t>and</w:t>
      </w:r>
    </w:p>
    <w:p w14:paraId="71052228" w14:textId="77777777" w:rsidR="00D90AAA" w:rsidRPr="00A87320" w:rsidRDefault="00D90AAA" w:rsidP="00D90AAA">
      <w:pPr>
        <w:pStyle w:val="ListNumber2"/>
        <w:numPr>
          <w:ilvl w:val="1"/>
          <w:numId w:val="5"/>
        </w:numPr>
      </w:pPr>
      <w:proofErr w:type="gramStart"/>
      <w:r w:rsidRPr="00A87320">
        <w:t>informs</w:t>
      </w:r>
      <w:proofErr w:type="gramEnd"/>
      <w:r w:rsidRPr="00A87320">
        <w:t xml:space="preserve"> appropriate mitigation strategies (e.g. timing and methods for re-establishing drainage lines to minimise erosion</w:t>
      </w:r>
      <w:r w:rsidR="0055107F" w:rsidRPr="00A87320">
        <w:t xml:space="preserve">, and actions to be taken when there is a suspected exceedance of a </w:t>
      </w:r>
      <w:r w:rsidR="005229E7" w:rsidRPr="00A87320">
        <w:t>guideline</w:t>
      </w:r>
      <w:r w:rsidR="0055107F" w:rsidRPr="00A87320">
        <w:t xml:space="preserve"> value</w:t>
      </w:r>
      <w:r w:rsidRPr="00A87320">
        <w:t xml:space="preserve">). </w:t>
      </w:r>
    </w:p>
    <w:p w14:paraId="71052229" w14:textId="77777777" w:rsidR="005B250A" w:rsidRPr="00A87320" w:rsidRDefault="001A6CE6" w:rsidP="001A6CE6">
      <w:pPr>
        <w:rPr>
          <w:i/>
        </w:rPr>
      </w:pPr>
      <w:r w:rsidRPr="00A87320">
        <w:rPr>
          <w:i/>
        </w:rPr>
        <w:t>Groundwater</w:t>
      </w:r>
      <w:r w:rsidR="002E535D" w:rsidRPr="00A87320">
        <w:rPr>
          <w:i/>
        </w:rPr>
        <w:t>-d</w:t>
      </w:r>
      <w:r w:rsidRPr="00A87320">
        <w:rPr>
          <w:i/>
        </w:rPr>
        <w:t xml:space="preserve">ependent </w:t>
      </w:r>
      <w:r w:rsidR="001D5AD0" w:rsidRPr="00A87320">
        <w:rPr>
          <w:i/>
        </w:rPr>
        <w:t>e</w:t>
      </w:r>
      <w:r w:rsidRPr="00A87320">
        <w:rPr>
          <w:i/>
        </w:rPr>
        <w:t>cosystems</w:t>
      </w:r>
    </w:p>
    <w:p w14:paraId="7105222A" w14:textId="77777777" w:rsidR="005B250A" w:rsidRPr="00A87320" w:rsidRDefault="00917252" w:rsidP="009816D3">
      <w:pPr>
        <w:pStyle w:val="ListNumber"/>
        <w:numPr>
          <w:ilvl w:val="0"/>
          <w:numId w:val="5"/>
        </w:numPr>
      </w:pPr>
      <w:r w:rsidRPr="00A87320">
        <w:t xml:space="preserve">An assessment of the extent and condition of GDEs and </w:t>
      </w:r>
      <w:r w:rsidR="00A72182" w:rsidRPr="00A87320">
        <w:t>ground</w:t>
      </w:r>
      <w:r w:rsidRPr="00A87320">
        <w:t>water-dependent flora and fauna is needed, followed by an appropriate risk assessment (e.g. Serov et al.</w:t>
      </w:r>
      <w:r w:rsidR="005E32A2" w:rsidRPr="00A87320">
        <w:t>,</w:t>
      </w:r>
      <w:r w:rsidRPr="00A87320">
        <w:t xml:space="preserve"> 2012). These studies should consider the ecological water requirements for any </w:t>
      </w:r>
      <w:r w:rsidR="005E32A2" w:rsidRPr="00A87320">
        <w:t>ground</w:t>
      </w:r>
      <w:r w:rsidRPr="00A87320">
        <w:t xml:space="preserve">water-dependent species and their habitat. The locations of any shallow groundwater discharge points and other GDEs should be included, especially in areas where drawdown is predicted. </w:t>
      </w:r>
      <w:r w:rsidR="005B250A" w:rsidRPr="00A87320">
        <w:t xml:space="preserve">A systematic approach to the assessment of GDEs </w:t>
      </w:r>
      <w:r w:rsidR="008D4772" w:rsidRPr="00A87320">
        <w:t xml:space="preserve">(Doody et al. 2019) </w:t>
      </w:r>
      <w:r w:rsidR="005B250A" w:rsidRPr="00A87320">
        <w:t xml:space="preserve">is recommended in which: </w:t>
      </w:r>
    </w:p>
    <w:p w14:paraId="7105222B" w14:textId="77777777" w:rsidR="005B250A" w:rsidRPr="00A87320" w:rsidRDefault="005B250A" w:rsidP="009816D3">
      <w:pPr>
        <w:pStyle w:val="ListNumber2"/>
        <w:numPr>
          <w:ilvl w:val="1"/>
          <w:numId w:val="5"/>
        </w:numPr>
      </w:pPr>
      <w:r w:rsidRPr="00A87320">
        <w:t>the methods from, for example, the Australian GDE Toolbox (Richardson et al.</w:t>
      </w:r>
      <w:r w:rsidR="005E32A2" w:rsidRPr="00A87320">
        <w:t>,</w:t>
      </w:r>
      <w:r w:rsidRPr="00A87320">
        <w:t xml:space="preserve"> 2011) and </w:t>
      </w:r>
      <w:proofErr w:type="spellStart"/>
      <w:r w:rsidRPr="00A87320">
        <w:t>Eamus</w:t>
      </w:r>
      <w:proofErr w:type="spellEnd"/>
      <w:r w:rsidRPr="00A87320">
        <w:t xml:space="preserve"> et al. (2015) are used to assess groundwater use by vegetation </w:t>
      </w:r>
      <w:r w:rsidR="001A6CE6" w:rsidRPr="00A87320">
        <w:t>(especially during dry periods);</w:t>
      </w:r>
      <w:r w:rsidRPr="00A87320">
        <w:t xml:space="preserve"> </w:t>
      </w:r>
    </w:p>
    <w:p w14:paraId="7105222C" w14:textId="77777777" w:rsidR="005B250A" w:rsidRPr="00A87320" w:rsidRDefault="005B250A" w:rsidP="009816D3">
      <w:pPr>
        <w:pStyle w:val="ListNumber2"/>
        <w:numPr>
          <w:ilvl w:val="1"/>
          <w:numId w:val="5"/>
        </w:numPr>
      </w:pPr>
      <w:r w:rsidRPr="00A87320">
        <w:t>the hydrogeological conceptualisation is used to identify areas of shallow groundwater (less than 20 m below ground level) and potential areas of groundwater discharge</w:t>
      </w:r>
      <w:r w:rsidR="001A6CE6" w:rsidRPr="00A87320">
        <w:t>;</w:t>
      </w:r>
      <w:r w:rsidRPr="00A87320">
        <w:t xml:space="preserve"> </w:t>
      </w:r>
    </w:p>
    <w:p w14:paraId="7105222D" w14:textId="77777777" w:rsidR="005B250A" w:rsidRPr="00A87320" w:rsidRDefault="005B250A" w:rsidP="009816D3">
      <w:pPr>
        <w:pStyle w:val="ListNumber2"/>
        <w:numPr>
          <w:ilvl w:val="1"/>
          <w:numId w:val="5"/>
        </w:numPr>
      </w:pPr>
      <w:proofErr w:type="gramStart"/>
      <w:r w:rsidRPr="00A87320">
        <w:t>vegetation</w:t>
      </w:r>
      <w:proofErr w:type="gramEnd"/>
      <w:r w:rsidR="00DC738A" w:rsidRPr="00A87320">
        <w:t xml:space="preserve"> type and extent</w:t>
      </w:r>
      <w:r w:rsidRPr="00A87320">
        <w:t>, seasonal depths to groundwater and shallow groundwater drawdown maps are overlaid to identify areas of potential GDEs</w:t>
      </w:r>
      <w:r w:rsidR="00837E21" w:rsidRPr="00A87320">
        <w:t xml:space="preserve"> which should then be ground-</w:t>
      </w:r>
      <w:proofErr w:type="spellStart"/>
      <w:r w:rsidR="00837E21" w:rsidRPr="00A87320">
        <w:t>truthed</w:t>
      </w:r>
      <w:proofErr w:type="spellEnd"/>
      <w:r w:rsidRPr="00A87320">
        <w:t xml:space="preserve">. These maps should be supported by monitoring data gathered near the regions occupied by </w:t>
      </w:r>
      <w:r w:rsidR="00837E21" w:rsidRPr="00A87320">
        <w:t>ground-</w:t>
      </w:r>
      <w:proofErr w:type="spellStart"/>
      <w:r w:rsidR="00837E21" w:rsidRPr="00A87320">
        <w:t>truthed</w:t>
      </w:r>
      <w:proofErr w:type="spellEnd"/>
      <w:r w:rsidRPr="00A87320">
        <w:t xml:space="preserve"> GDEs, with the shallow groundwater monitoring locations also plotted on the maps</w:t>
      </w:r>
      <w:r w:rsidR="001A6CE6" w:rsidRPr="00A87320">
        <w:t>;</w:t>
      </w:r>
      <w:r w:rsidRPr="00A87320">
        <w:t xml:space="preserve"> </w:t>
      </w:r>
      <w:r w:rsidR="009816D3" w:rsidRPr="00A87320">
        <w:t>and</w:t>
      </w:r>
    </w:p>
    <w:p w14:paraId="7105222E" w14:textId="77777777" w:rsidR="005B250A" w:rsidRPr="00A87320" w:rsidRDefault="005B250A" w:rsidP="009816D3">
      <w:pPr>
        <w:pStyle w:val="ListNumber2"/>
        <w:numPr>
          <w:ilvl w:val="1"/>
          <w:numId w:val="5"/>
        </w:numPr>
      </w:pPr>
      <w:proofErr w:type="spellStart"/>
      <w:r w:rsidRPr="00A87320">
        <w:t>ecohydrological</w:t>
      </w:r>
      <w:proofErr w:type="spellEnd"/>
      <w:r w:rsidRPr="00A87320">
        <w:t xml:space="preserve"> conceptualisations are used that integrate results from hydrogeological, hydrological, geomorphological and ecological investigations at spatial and temporal scale</w:t>
      </w:r>
      <w:r w:rsidR="005E32A2" w:rsidRPr="00A87320">
        <w:t>s</w:t>
      </w:r>
      <w:r w:rsidRPr="00A87320">
        <w:t xml:space="preserve"> that </w:t>
      </w:r>
      <w:r w:rsidR="005E32A2" w:rsidRPr="00A87320">
        <w:t xml:space="preserve">are </w:t>
      </w:r>
      <w:r w:rsidRPr="00A87320">
        <w:t>suitable for predicting potential impacts to GDEs and pathways of likely effects of the proposed development. The identified potential impact pathways should then be used to develop proposed mitigation strategies and to monitor</w:t>
      </w:r>
      <w:r w:rsidR="005E32A2" w:rsidRPr="00A87320">
        <w:t xml:space="preserve"> the effectiveness </w:t>
      </w:r>
      <w:r w:rsidRPr="00A87320">
        <w:t>of these strategies</w:t>
      </w:r>
      <w:r w:rsidR="005E32A2" w:rsidRPr="00A87320">
        <w:t>.</w:t>
      </w:r>
      <w:r w:rsidRPr="00A87320">
        <w:t xml:space="preserve">  </w:t>
      </w:r>
    </w:p>
    <w:p w14:paraId="7105222F" w14:textId="77777777" w:rsidR="000A335E" w:rsidRPr="00A87320" w:rsidRDefault="000A335E" w:rsidP="00C90A99">
      <w:pPr>
        <w:rPr>
          <w:i/>
        </w:rPr>
      </w:pPr>
      <w:r w:rsidRPr="00A87320">
        <w:rPr>
          <w:i/>
        </w:rPr>
        <w:t>Cumulative impacts</w:t>
      </w:r>
    </w:p>
    <w:p w14:paraId="71052230" w14:textId="77777777" w:rsidR="000F2EFB" w:rsidRPr="00A87320" w:rsidRDefault="000F2EFB" w:rsidP="000F2EFB">
      <w:pPr>
        <w:pStyle w:val="ListParagraph"/>
        <w:numPr>
          <w:ilvl w:val="0"/>
          <w:numId w:val="5"/>
        </w:numPr>
      </w:pPr>
      <w:r w:rsidRPr="00A87320">
        <w:t>A detailed assessment of potential risks to groundwater and surface water ecosystems of the Namoi catchment will be required in the EIS. As the region has one of the highest levels of groun</w:t>
      </w:r>
      <w:r w:rsidR="00BA098B" w:rsidRPr="00A87320">
        <w:t>dwater extraction in the Murray-</w:t>
      </w:r>
      <w:r w:rsidRPr="00A87320">
        <w:t>Darling Basin (Department of Primary Industries, 2017), a cumulative impact assessment will be required, taking into account overlap in groundwater drawdown with the Narrabri Gas Project</w:t>
      </w:r>
      <w:r w:rsidR="00300A0A" w:rsidRPr="00A87320">
        <w:t xml:space="preserve">, </w:t>
      </w:r>
      <w:r w:rsidRPr="00A87320">
        <w:t>potentially other coal mines to the east of the project</w:t>
      </w:r>
      <w:r w:rsidR="00300A0A" w:rsidRPr="00A87320">
        <w:t>, and other water users</w:t>
      </w:r>
      <w:r w:rsidRPr="00A87320">
        <w:t>.</w:t>
      </w:r>
    </w:p>
    <w:tbl>
      <w:tblPr>
        <w:tblW w:w="0" w:type="auto"/>
        <w:tblBorders>
          <w:insideH w:val="single" w:sz="4" w:space="0" w:color="auto"/>
        </w:tblBorders>
        <w:tblLayout w:type="fixed"/>
        <w:tblCellMar>
          <w:top w:w="113" w:type="dxa"/>
          <w:bottom w:w="113" w:type="dxa"/>
        </w:tblCellMar>
        <w:tblLook w:val="01E0" w:firstRow="1" w:lastRow="1" w:firstColumn="1" w:lastColumn="1" w:noHBand="0" w:noVBand="0"/>
      </w:tblPr>
      <w:tblGrid>
        <w:gridCol w:w="1710"/>
        <w:gridCol w:w="8258"/>
      </w:tblGrid>
      <w:tr w:rsidR="007203C3" w:rsidRPr="00A87320" w14:paraId="71052233" w14:textId="77777777" w:rsidTr="00B91473">
        <w:trPr>
          <w:trHeight w:val="19"/>
        </w:trPr>
        <w:tc>
          <w:tcPr>
            <w:tcW w:w="1710" w:type="dxa"/>
            <w:tcBorders>
              <w:top w:val="single" w:sz="4" w:space="0" w:color="auto"/>
              <w:bottom w:val="single" w:sz="4" w:space="0" w:color="auto"/>
            </w:tcBorders>
          </w:tcPr>
          <w:p w14:paraId="71052231" w14:textId="77777777" w:rsidR="007203C3" w:rsidRPr="00A87320" w:rsidRDefault="007203C3" w:rsidP="00D622B9">
            <w:pPr>
              <w:pStyle w:val="Heading6"/>
            </w:pPr>
            <w:r w:rsidRPr="00A87320">
              <w:t>Date of advice</w:t>
            </w:r>
          </w:p>
        </w:tc>
        <w:tc>
          <w:tcPr>
            <w:tcW w:w="8258" w:type="dxa"/>
            <w:tcBorders>
              <w:top w:val="single" w:sz="4" w:space="0" w:color="auto"/>
              <w:bottom w:val="single" w:sz="4" w:space="0" w:color="auto"/>
            </w:tcBorders>
          </w:tcPr>
          <w:p w14:paraId="71052232" w14:textId="77777777" w:rsidR="007203C3" w:rsidRPr="00A87320" w:rsidRDefault="00F657EC" w:rsidP="00F657EC">
            <w:pPr>
              <w:pStyle w:val="Tabletext"/>
            </w:pPr>
            <w:r w:rsidRPr="00F657EC">
              <w:t>16 April</w:t>
            </w:r>
            <w:r w:rsidR="007203C3" w:rsidRPr="00F657EC">
              <w:t xml:space="preserve"> 201</w:t>
            </w:r>
            <w:r w:rsidRPr="00F657EC">
              <w:t>9</w:t>
            </w:r>
            <w:r w:rsidR="003E2135" w:rsidRPr="00F657EC">
              <w:t xml:space="preserve"> </w:t>
            </w:r>
          </w:p>
        </w:tc>
      </w:tr>
      <w:tr w:rsidR="007203C3" w:rsidRPr="00A87320" w14:paraId="7105223A" w14:textId="77777777" w:rsidTr="00B91473">
        <w:trPr>
          <w:trHeight w:val="161"/>
        </w:trPr>
        <w:tc>
          <w:tcPr>
            <w:tcW w:w="1710" w:type="dxa"/>
            <w:tcBorders>
              <w:top w:val="single" w:sz="4" w:space="0" w:color="auto"/>
              <w:bottom w:val="single" w:sz="4" w:space="0" w:color="auto"/>
            </w:tcBorders>
          </w:tcPr>
          <w:p w14:paraId="71052234" w14:textId="77777777" w:rsidR="007203C3" w:rsidRPr="00A87320" w:rsidRDefault="007203C3" w:rsidP="00D84735">
            <w:pPr>
              <w:pStyle w:val="Heading6"/>
            </w:pPr>
            <w:r w:rsidRPr="00A87320">
              <w:t xml:space="preserve">Source documentation </w:t>
            </w:r>
            <w:r w:rsidR="00D84735" w:rsidRPr="00A87320">
              <w:t>provided</w:t>
            </w:r>
            <w:r w:rsidRPr="00A87320">
              <w:t xml:space="preserve"> to the </w:t>
            </w:r>
            <w:r w:rsidR="00A83DF5" w:rsidRPr="00A87320">
              <w:t>IESC</w:t>
            </w:r>
            <w:r w:rsidRPr="00A87320">
              <w:t xml:space="preserve"> </w:t>
            </w:r>
            <w:r w:rsidR="00D84735" w:rsidRPr="00A87320">
              <w:t>for</w:t>
            </w:r>
            <w:r w:rsidRPr="00A87320">
              <w:t xml:space="preserve"> the </w:t>
            </w:r>
            <w:r w:rsidRPr="00A87320">
              <w:lastRenderedPageBreak/>
              <w:t>formulation of this advice</w:t>
            </w:r>
          </w:p>
        </w:tc>
        <w:tc>
          <w:tcPr>
            <w:tcW w:w="8258" w:type="dxa"/>
            <w:tcBorders>
              <w:top w:val="single" w:sz="4" w:space="0" w:color="auto"/>
              <w:bottom w:val="single" w:sz="4" w:space="0" w:color="auto"/>
            </w:tcBorders>
          </w:tcPr>
          <w:p w14:paraId="71052235" w14:textId="77777777" w:rsidR="009816D3" w:rsidRPr="00A87320" w:rsidRDefault="009816D3" w:rsidP="009816D3">
            <w:pPr>
              <w:spacing w:after="0" w:line="240" w:lineRule="auto"/>
              <w:ind w:left="626" w:hanging="626"/>
              <w:rPr>
                <w:noProof/>
                <w:lang w:eastAsia="en-AU"/>
              </w:rPr>
            </w:pPr>
            <w:r w:rsidRPr="00A87320">
              <w:rPr>
                <w:noProof/>
                <w:lang w:eastAsia="en-AU"/>
              </w:rPr>
              <w:lastRenderedPageBreak/>
              <w:t xml:space="preserve">Ditton Geotechnical Services 2019. </w:t>
            </w:r>
            <w:r w:rsidRPr="00A87320">
              <w:rPr>
                <w:i/>
                <w:noProof/>
                <w:lang w:eastAsia="en-AU"/>
              </w:rPr>
              <w:t>Mine Subsidence Assessment in Support of a Gateway Certificate Application for the Narrabri Underground Mine Stage 3 Extension Project.</w:t>
            </w:r>
            <w:r w:rsidRPr="00A87320">
              <w:rPr>
                <w:noProof/>
                <w:lang w:eastAsia="en-AU"/>
              </w:rPr>
              <w:t xml:space="preserve"> </w:t>
            </w:r>
            <w:r w:rsidRPr="00A87320">
              <w:rPr>
                <w:b/>
                <w:noProof/>
                <w:lang w:eastAsia="en-AU"/>
              </w:rPr>
              <w:t>Appendix C</w:t>
            </w:r>
            <w:r w:rsidRPr="00A87320">
              <w:rPr>
                <w:noProof/>
                <w:lang w:eastAsia="en-AU"/>
              </w:rPr>
              <w:t>. Prepared for Narrabri Coal Operations Pty Ltd.</w:t>
            </w:r>
          </w:p>
          <w:p w14:paraId="71052236" w14:textId="77777777" w:rsidR="009816D3" w:rsidRPr="00A87320" w:rsidRDefault="009816D3" w:rsidP="009816D3">
            <w:pPr>
              <w:spacing w:after="0" w:line="240" w:lineRule="auto"/>
              <w:ind w:left="626" w:hanging="626"/>
              <w:rPr>
                <w:noProof/>
                <w:lang w:eastAsia="en-AU"/>
              </w:rPr>
            </w:pPr>
            <w:r w:rsidRPr="00A87320">
              <w:rPr>
                <w:noProof/>
                <w:lang w:eastAsia="en-AU"/>
              </w:rPr>
              <w:lastRenderedPageBreak/>
              <w:t xml:space="preserve">Ecological Australia 2019. </w:t>
            </w:r>
            <w:r w:rsidRPr="00A87320">
              <w:rPr>
                <w:i/>
                <w:noProof/>
                <w:lang w:eastAsia="en-AU"/>
              </w:rPr>
              <w:t>Agricultural Impact Assessment for Gateway Application: Narrabri derground Mine Stage 3 Extension Project.</w:t>
            </w:r>
            <w:r w:rsidRPr="00A87320">
              <w:rPr>
                <w:noProof/>
                <w:lang w:eastAsia="en-AU"/>
              </w:rPr>
              <w:t xml:space="preserve"> Prepared for Narrabri Coal Operations Pty Ltd.</w:t>
            </w:r>
          </w:p>
          <w:p w14:paraId="71052237" w14:textId="77777777" w:rsidR="009816D3" w:rsidRPr="00A87320" w:rsidRDefault="00304A62" w:rsidP="009816D3">
            <w:pPr>
              <w:spacing w:after="0" w:line="240" w:lineRule="auto"/>
              <w:ind w:left="626" w:hanging="626"/>
              <w:rPr>
                <w:noProof/>
                <w:lang w:eastAsia="en-AU"/>
              </w:rPr>
            </w:pPr>
            <w:r w:rsidRPr="00A87320">
              <w:rPr>
                <w:noProof/>
                <w:lang w:eastAsia="en-AU"/>
              </w:rPr>
              <w:t>Hy</w:t>
            </w:r>
            <w:r w:rsidR="009816D3" w:rsidRPr="00A87320">
              <w:rPr>
                <w:noProof/>
                <w:lang w:eastAsia="en-AU"/>
              </w:rPr>
              <w:t xml:space="preserve">dro Simulations 2019. </w:t>
            </w:r>
            <w:r w:rsidR="009816D3" w:rsidRPr="00A87320">
              <w:rPr>
                <w:i/>
                <w:noProof/>
                <w:lang w:eastAsia="en-AU"/>
              </w:rPr>
              <w:t>Narrabri Underground Mine Stage 3 Extension Project: Gateway Application Preliminary Groundwater Assessment.</w:t>
            </w:r>
            <w:r w:rsidR="009816D3" w:rsidRPr="00A87320">
              <w:rPr>
                <w:noProof/>
                <w:lang w:eastAsia="en-AU"/>
              </w:rPr>
              <w:t xml:space="preserve"> </w:t>
            </w:r>
            <w:r w:rsidR="009816D3" w:rsidRPr="00A87320">
              <w:rPr>
                <w:b/>
                <w:noProof/>
                <w:lang w:eastAsia="en-AU"/>
              </w:rPr>
              <w:t>Appendix D</w:t>
            </w:r>
            <w:r w:rsidR="009816D3" w:rsidRPr="00A87320">
              <w:rPr>
                <w:noProof/>
                <w:lang w:eastAsia="en-AU"/>
              </w:rPr>
              <w:t>. Prepared for Narrabri Coal Operations Pty Ltd.</w:t>
            </w:r>
          </w:p>
          <w:p w14:paraId="71052238" w14:textId="77777777" w:rsidR="009816D3" w:rsidRPr="00A87320" w:rsidRDefault="009816D3" w:rsidP="009816D3">
            <w:pPr>
              <w:spacing w:after="0" w:line="240" w:lineRule="auto"/>
              <w:ind w:left="626" w:hanging="626"/>
              <w:rPr>
                <w:noProof/>
                <w:lang w:eastAsia="en-AU"/>
              </w:rPr>
            </w:pPr>
            <w:r w:rsidRPr="00A87320">
              <w:rPr>
                <w:noProof/>
                <w:lang w:eastAsia="en-AU"/>
              </w:rPr>
              <w:t xml:space="preserve">Soil Management Designs 2019. </w:t>
            </w:r>
            <w:r w:rsidRPr="00A87320">
              <w:rPr>
                <w:i/>
                <w:noProof/>
                <w:lang w:eastAsia="en-AU"/>
              </w:rPr>
              <w:t>Agricultural Impact Assessment for Gateway Application: Narrabri derground Mine Stage 3 Extension Project.</w:t>
            </w:r>
            <w:r w:rsidRPr="00A87320">
              <w:rPr>
                <w:noProof/>
                <w:lang w:eastAsia="en-AU"/>
              </w:rPr>
              <w:t xml:space="preserve"> </w:t>
            </w:r>
            <w:r w:rsidRPr="00A87320">
              <w:rPr>
                <w:b/>
                <w:noProof/>
                <w:lang w:eastAsia="en-AU"/>
              </w:rPr>
              <w:t>Appendix B</w:t>
            </w:r>
            <w:r w:rsidRPr="00A87320">
              <w:rPr>
                <w:noProof/>
                <w:lang w:eastAsia="en-AU"/>
              </w:rPr>
              <w:t>. Prepared for Narrabri Coal Operations Pty Ltd.</w:t>
            </w:r>
          </w:p>
          <w:p w14:paraId="71052239" w14:textId="77777777" w:rsidR="007203C3" w:rsidRPr="00A87320" w:rsidRDefault="009816D3" w:rsidP="00304A62">
            <w:pPr>
              <w:spacing w:after="0" w:line="240" w:lineRule="auto"/>
              <w:ind w:left="626" w:hanging="626"/>
              <w:rPr>
                <w:szCs w:val="22"/>
              </w:rPr>
            </w:pPr>
            <w:r w:rsidRPr="00A87320">
              <w:rPr>
                <w:noProof/>
                <w:lang w:eastAsia="en-AU"/>
              </w:rPr>
              <w:t xml:space="preserve">Whitehaven Coal 2019. </w:t>
            </w:r>
            <w:r w:rsidRPr="00A87320">
              <w:rPr>
                <w:i/>
                <w:noProof/>
                <w:lang w:eastAsia="en-AU"/>
              </w:rPr>
              <w:t>Narrabri Underground Mine Stage 3 Extension Project. Technical Overview.</w:t>
            </w:r>
          </w:p>
        </w:tc>
      </w:tr>
      <w:tr w:rsidR="007203C3" w:rsidRPr="00A87320" w14:paraId="71052255" w14:textId="77777777" w:rsidTr="00B91473">
        <w:trPr>
          <w:trHeight w:val="19"/>
        </w:trPr>
        <w:tc>
          <w:tcPr>
            <w:tcW w:w="1710" w:type="dxa"/>
            <w:tcBorders>
              <w:top w:val="single" w:sz="4" w:space="0" w:color="auto"/>
              <w:bottom w:val="single" w:sz="4" w:space="0" w:color="auto"/>
            </w:tcBorders>
          </w:tcPr>
          <w:p w14:paraId="7105223B" w14:textId="77777777" w:rsidR="007D442F" w:rsidRPr="00A87320" w:rsidRDefault="007203C3" w:rsidP="00D622B9">
            <w:pPr>
              <w:pStyle w:val="Heading6"/>
            </w:pPr>
            <w:r w:rsidRPr="00A87320">
              <w:lastRenderedPageBreak/>
              <w:t xml:space="preserve">References cited within the </w:t>
            </w:r>
            <w:r w:rsidR="00A83DF5" w:rsidRPr="00A87320">
              <w:t>IESC</w:t>
            </w:r>
            <w:r w:rsidRPr="00A87320">
              <w:t>’s advice</w:t>
            </w:r>
          </w:p>
          <w:p w14:paraId="7105223C" w14:textId="77777777" w:rsidR="007D442F" w:rsidRPr="00A87320" w:rsidRDefault="007D442F" w:rsidP="007D442F">
            <w:pPr>
              <w:pStyle w:val="Heading6"/>
            </w:pPr>
          </w:p>
          <w:p w14:paraId="7105223D" w14:textId="77777777" w:rsidR="007D442F" w:rsidRPr="00A87320" w:rsidRDefault="007D442F" w:rsidP="007D442F">
            <w:pPr>
              <w:pStyle w:val="Heading6"/>
            </w:pPr>
          </w:p>
          <w:p w14:paraId="7105223E" w14:textId="77777777" w:rsidR="007D442F" w:rsidRPr="00A87320" w:rsidRDefault="007D442F" w:rsidP="007D442F">
            <w:pPr>
              <w:pStyle w:val="Heading6"/>
            </w:pPr>
          </w:p>
          <w:p w14:paraId="7105223F" w14:textId="77777777" w:rsidR="007D442F" w:rsidRPr="00A87320" w:rsidRDefault="007D442F" w:rsidP="007D442F">
            <w:pPr>
              <w:pStyle w:val="Heading6"/>
            </w:pPr>
          </w:p>
          <w:p w14:paraId="71052240" w14:textId="77777777" w:rsidR="007203C3" w:rsidRPr="00A87320" w:rsidRDefault="007203C3" w:rsidP="007D442F">
            <w:pPr>
              <w:pStyle w:val="Heading6"/>
            </w:pPr>
          </w:p>
        </w:tc>
        <w:tc>
          <w:tcPr>
            <w:tcW w:w="8258" w:type="dxa"/>
            <w:tcBorders>
              <w:top w:val="single" w:sz="4" w:space="0" w:color="auto"/>
              <w:bottom w:val="single" w:sz="4" w:space="0" w:color="auto"/>
            </w:tcBorders>
          </w:tcPr>
          <w:p w14:paraId="71052241" w14:textId="77777777" w:rsidR="002E535D" w:rsidRPr="00A87320" w:rsidRDefault="002E535D" w:rsidP="00D14266">
            <w:pPr>
              <w:spacing w:after="0" w:line="240" w:lineRule="auto"/>
              <w:ind w:left="626" w:hanging="626"/>
              <w:rPr>
                <w:noProof/>
                <w:lang w:eastAsia="en-AU"/>
              </w:rPr>
            </w:pPr>
            <w:bookmarkStart w:id="1" w:name="_ENREF_1"/>
            <w:r w:rsidRPr="00A87320">
              <w:rPr>
                <w:noProof/>
                <w:lang w:eastAsia="en-AU"/>
              </w:rPr>
              <w:t xml:space="preserve">Andersen M, Barron O, Bond N, Burrows R, Eberhard S, Emelyanova I, Fensham R, Froend R, Kennard M, Marsh N, Pettit N, Rossini R, Rutlidge R, Valdez D </w:t>
            </w:r>
            <w:r w:rsidR="005E32A2" w:rsidRPr="00A87320">
              <w:rPr>
                <w:noProof/>
                <w:lang w:eastAsia="en-AU"/>
              </w:rPr>
              <w:t>and</w:t>
            </w:r>
            <w:r w:rsidRPr="00A87320">
              <w:rPr>
                <w:noProof/>
                <w:lang w:eastAsia="en-AU"/>
              </w:rPr>
              <w:t xml:space="preserve"> Ward D 2016. </w:t>
            </w:r>
            <w:r w:rsidRPr="00A87320">
              <w:rPr>
                <w:i/>
                <w:noProof/>
                <w:lang w:eastAsia="en-AU"/>
              </w:rPr>
              <w:t>Research to inform the assessment of ecohydrological responses to coal seam gas extraction and coal mining</w:t>
            </w:r>
            <w:r w:rsidRPr="00A87320">
              <w:rPr>
                <w:noProof/>
                <w:lang w:eastAsia="en-AU"/>
              </w:rPr>
              <w:t xml:space="preserve">. Department of the Environment and Energy, Commonwealth of Australia. </w:t>
            </w:r>
          </w:p>
          <w:p w14:paraId="71052242" w14:textId="77777777" w:rsidR="00C467BD" w:rsidRPr="00A87320" w:rsidRDefault="00C467BD" w:rsidP="00D14266">
            <w:pPr>
              <w:spacing w:after="0" w:line="240" w:lineRule="auto"/>
              <w:ind w:left="626" w:hanging="626"/>
              <w:rPr>
                <w:noProof/>
                <w:lang w:eastAsia="en-AU"/>
              </w:rPr>
            </w:pPr>
            <w:r w:rsidRPr="00A87320">
              <w:rPr>
                <w:noProof/>
                <w:lang w:eastAsia="en-AU"/>
              </w:rPr>
              <w:t>ANZ</w:t>
            </w:r>
            <w:r w:rsidR="0093162C">
              <w:rPr>
                <w:noProof/>
                <w:lang w:eastAsia="en-AU"/>
              </w:rPr>
              <w:t>G(2018</w:t>
            </w:r>
            <w:r w:rsidR="0093162C" w:rsidRPr="0093162C">
              <w:rPr>
                <w:noProof/>
                <w:lang w:eastAsia="en-AU"/>
              </w:rPr>
              <w:t>)</w:t>
            </w:r>
            <w:r w:rsidR="00F657EC">
              <w:rPr>
                <w:noProof/>
                <w:lang w:eastAsia="en-AU"/>
              </w:rPr>
              <w:t>.</w:t>
            </w:r>
            <w:r w:rsidRPr="0093162C">
              <w:rPr>
                <w:noProof/>
                <w:lang w:eastAsia="en-AU"/>
              </w:rPr>
              <w:t xml:space="preserve"> </w:t>
            </w:r>
            <w:r w:rsidR="0093162C" w:rsidRPr="00F657EC">
              <w:t xml:space="preserve">Australian and New Zealand Guidelines for Fresh and Marine Water Quality. Australian and New Zealand Governments and Australian </w:t>
            </w:r>
            <w:r w:rsidR="0093162C">
              <w:t>S</w:t>
            </w:r>
            <w:r w:rsidR="0093162C" w:rsidRPr="00F657EC">
              <w:t xml:space="preserve">tate and </w:t>
            </w:r>
            <w:r w:rsidR="0093162C">
              <w:t>T</w:t>
            </w:r>
            <w:r w:rsidR="0093162C" w:rsidRPr="00F657EC">
              <w:t xml:space="preserve">erritory </w:t>
            </w:r>
            <w:r w:rsidR="0093162C">
              <w:t>G</w:t>
            </w:r>
            <w:r w:rsidR="0093162C" w:rsidRPr="00F657EC">
              <w:t xml:space="preserve">overnments, Canberra ACT, Australia.  Available at </w:t>
            </w:r>
            <w:hyperlink r:id="rId13" w:history="1">
              <w:r w:rsidR="0093162C" w:rsidRPr="00F657EC">
                <w:rPr>
                  <w:rStyle w:val="Hyperlink"/>
                  <w:lang w:val="en-US"/>
                </w:rPr>
                <w:t>www.waterquality.gov.au/anz-guidelines</w:t>
              </w:r>
            </w:hyperlink>
            <w:bookmarkEnd w:id="1"/>
          </w:p>
          <w:p w14:paraId="71052243" w14:textId="77777777" w:rsidR="007D442F" w:rsidRPr="00A87320" w:rsidRDefault="007D442F" w:rsidP="007D442F">
            <w:pPr>
              <w:spacing w:after="0" w:line="240" w:lineRule="auto"/>
              <w:ind w:left="626" w:hanging="626"/>
              <w:rPr>
                <w:noProof/>
                <w:lang w:eastAsia="en-AU"/>
              </w:rPr>
            </w:pPr>
            <w:r w:rsidRPr="00A87320">
              <w:rPr>
                <w:noProof/>
                <w:lang w:eastAsia="en-AU"/>
              </w:rPr>
              <w:t xml:space="preserve">Burrows, R, Rutlidge, H, Valdez, D, Venarsky, M, Bond, N, Andersen, MS, Fry, B, Eberhard SM, and Kennard, M. 2018. Groundwater supports intermittent-stream food webs. </w:t>
            </w:r>
            <w:r w:rsidRPr="00A87320">
              <w:rPr>
                <w:i/>
                <w:noProof/>
                <w:lang w:eastAsia="en-AU"/>
              </w:rPr>
              <w:t>Freshwater Science</w:t>
            </w:r>
            <w:r w:rsidRPr="00A87320">
              <w:rPr>
                <w:noProof/>
                <w:lang w:eastAsia="en-AU"/>
              </w:rPr>
              <w:t xml:space="preserve"> 37: 42–53.</w:t>
            </w:r>
          </w:p>
          <w:p w14:paraId="71052244" w14:textId="77777777" w:rsidR="007D442F" w:rsidRPr="00A87320" w:rsidRDefault="007D442F" w:rsidP="007D442F">
            <w:pPr>
              <w:pStyle w:val="ListNumber"/>
              <w:spacing w:after="0"/>
            </w:pPr>
            <w:proofErr w:type="spellStart"/>
            <w:r w:rsidRPr="00A87320">
              <w:t>Datry</w:t>
            </w:r>
            <w:proofErr w:type="spellEnd"/>
            <w:r w:rsidRPr="00A87320">
              <w:t xml:space="preserve"> </w:t>
            </w:r>
            <w:proofErr w:type="spellStart"/>
            <w:r w:rsidRPr="00A87320">
              <w:t>Boulton</w:t>
            </w:r>
            <w:proofErr w:type="spellEnd"/>
            <w:r w:rsidRPr="00A87320">
              <w:t xml:space="preserve"> AJ, </w:t>
            </w:r>
            <w:proofErr w:type="spellStart"/>
            <w:r w:rsidRPr="00A87320">
              <w:t>Bonada</w:t>
            </w:r>
            <w:proofErr w:type="spellEnd"/>
            <w:r w:rsidRPr="00A87320">
              <w:t xml:space="preserve"> N, Fritz K, Leigh C, </w:t>
            </w:r>
            <w:proofErr w:type="spellStart"/>
            <w:r w:rsidRPr="00A87320">
              <w:t>Sauquet</w:t>
            </w:r>
            <w:proofErr w:type="spellEnd"/>
            <w:r w:rsidRPr="00A87320">
              <w:t xml:space="preserve"> E, </w:t>
            </w:r>
            <w:proofErr w:type="spellStart"/>
            <w:r w:rsidRPr="00A87320">
              <w:t>Tockner</w:t>
            </w:r>
            <w:proofErr w:type="spellEnd"/>
            <w:r w:rsidRPr="00A87320">
              <w:t xml:space="preserve"> K, </w:t>
            </w:r>
            <w:proofErr w:type="spellStart"/>
            <w:r w:rsidRPr="00A87320">
              <w:t>Hugueny</w:t>
            </w:r>
            <w:proofErr w:type="spellEnd"/>
            <w:r w:rsidRPr="00A87320">
              <w:t xml:space="preserve"> B and </w:t>
            </w:r>
            <w:proofErr w:type="spellStart"/>
            <w:r w:rsidRPr="00A87320">
              <w:t>Dahm</w:t>
            </w:r>
            <w:proofErr w:type="spellEnd"/>
            <w:r w:rsidRPr="00A87320">
              <w:t xml:space="preserve"> CN 2018. Flow intermittence and ecosystem services in rivers of the Anthropocene. </w:t>
            </w:r>
            <w:r w:rsidRPr="00A87320">
              <w:rPr>
                <w:i/>
              </w:rPr>
              <w:t>Journal of Applied Ecology</w:t>
            </w:r>
            <w:r w:rsidRPr="00A87320">
              <w:t xml:space="preserve"> 55: 353-364.</w:t>
            </w:r>
          </w:p>
          <w:p w14:paraId="71052245" w14:textId="77777777" w:rsidR="00304A62" w:rsidRPr="00A87320" w:rsidRDefault="00304A62" w:rsidP="00D14266">
            <w:pPr>
              <w:spacing w:after="0" w:line="240" w:lineRule="auto"/>
              <w:ind w:left="626" w:hanging="626"/>
              <w:rPr>
                <w:noProof/>
                <w:lang w:eastAsia="en-AU"/>
              </w:rPr>
            </w:pPr>
            <w:r w:rsidRPr="00A87320">
              <w:rPr>
                <w:rStyle w:val="Hyperlink"/>
                <w:noProof/>
                <w:color w:val="auto"/>
                <w:u w:val="none"/>
                <w:lang w:eastAsia="en-AU"/>
              </w:rPr>
              <w:t>Department of Primary Industries 2017.</w:t>
            </w:r>
            <w:r w:rsidRPr="00A87320">
              <w:rPr>
                <w:rStyle w:val="Hyperlink"/>
                <w:noProof/>
                <w:color w:val="auto"/>
                <w:lang w:eastAsia="en-AU"/>
              </w:rPr>
              <w:t xml:space="preserve"> </w:t>
            </w:r>
            <w:r w:rsidRPr="00A87320">
              <w:rPr>
                <w:i/>
                <w:noProof/>
                <w:lang w:eastAsia="en-AU"/>
              </w:rPr>
              <w:t xml:space="preserve">Namoi Alluvium Water Resource Plan (GW14), Status and Issues Paper. </w:t>
            </w:r>
            <w:r w:rsidRPr="00A87320">
              <w:rPr>
                <w:noProof/>
                <w:lang w:eastAsia="en-AU"/>
              </w:rPr>
              <w:t xml:space="preserve">Available [online]: </w:t>
            </w:r>
            <w:hyperlink r:id="rId14" w:history="1">
              <w:r w:rsidRPr="00A87320">
                <w:rPr>
                  <w:rStyle w:val="Hyperlink"/>
                  <w:noProof/>
                  <w:lang w:eastAsia="en-AU"/>
                </w:rPr>
                <w:t>http://www.water.nsw.gov.au/__data/assets/pdf_file/0020/701732/Status-and-Issues-Paper-Namoi-GW-WRP.pdf</w:t>
              </w:r>
            </w:hyperlink>
            <w:r w:rsidRPr="00A87320">
              <w:rPr>
                <w:noProof/>
                <w:lang w:eastAsia="en-AU"/>
              </w:rPr>
              <w:t xml:space="preserve"> accessed March 2019.</w:t>
            </w:r>
          </w:p>
          <w:p w14:paraId="71052246" w14:textId="77777777" w:rsidR="00F12594" w:rsidRPr="00A87320" w:rsidRDefault="00F12594" w:rsidP="00D14266">
            <w:pPr>
              <w:spacing w:after="0" w:line="240" w:lineRule="auto"/>
              <w:ind w:left="626" w:hanging="626"/>
              <w:rPr>
                <w:lang w:eastAsia="en-AU"/>
              </w:rPr>
            </w:pPr>
            <w:r w:rsidRPr="00A87320">
              <w:rPr>
                <w:lang w:eastAsia="en-AU"/>
              </w:rPr>
              <w:t xml:space="preserve">Doody TM, Hancock PJ and Pritchard JL 2019. </w:t>
            </w:r>
            <w:r w:rsidRPr="00A87320">
              <w:rPr>
                <w:i/>
                <w:lang w:eastAsia="en-AU"/>
              </w:rPr>
              <w:t>Information Guidelines explanatory note: Assessing groundwater-dependent ecos</w:t>
            </w:r>
            <w:r w:rsidR="002E535D" w:rsidRPr="00A87320">
              <w:rPr>
                <w:i/>
                <w:lang w:eastAsia="en-AU"/>
              </w:rPr>
              <w:t>ys</w:t>
            </w:r>
            <w:r w:rsidRPr="00A87320">
              <w:rPr>
                <w:i/>
                <w:lang w:eastAsia="en-AU"/>
              </w:rPr>
              <w:t>tems.</w:t>
            </w:r>
            <w:r w:rsidRPr="00A87320">
              <w:rPr>
                <w:lang w:eastAsia="en-AU"/>
              </w:rPr>
              <w:t xml:space="preserve"> Report prepared for the Independent Expert Scientific Committee on Coal Seam Gas and Large Coal Mining through the Department of the Environment and Energy, Commonwealth of Australia. Available [online]: </w:t>
            </w:r>
            <w:hyperlink r:id="rId15" w:history="1">
              <w:r w:rsidRPr="00A87320">
                <w:rPr>
                  <w:rStyle w:val="Hyperlink"/>
                  <w:lang w:eastAsia="en-AU"/>
                </w:rPr>
                <w:t>http://iesc.environment.gov.au/publications/information-guidelines-explanatory-note-assessing-groundwater-dependent-ecosystems</w:t>
              </w:r>
            </w:hyperlink>
            <w:r w:rsidRPr="00A87320">
              <w:rPr>
                <w:lang w:eastAsia="en-AU"/>
              </w:rPr>
              <w:t xml:space="preserve"> accessed March 2019.</w:t>
            </w:r>
          </w:p>
          <w:p w14:paraId="71052247" w14:textId="77777777" w:rsidR="00333953" w:rsidRPr="00A87320" w:rsidRDefault="00333953" w:rsidP="00D14266">
            <w:pPr>
              <w:spacing w:after="0" w:line="240" w:lineRule="auto"/>
              <w:ind w:left="626" w:hanging="626"/>
              <w:rPr>
                <w:lang w:eastAsia="en-AU"/>
              </w:rPr>
            </w:pPr>
            <w:proofErr w:type="spellStart"/>
            <w:r w:rsidRPr="00A87320">
              <w:rPr>
                <w:lang w:eastAsia="en-AU"/>
              </w:rPr>
              <w:t>Eamus</w:t>
            </w:r>
            <w:proofErr w:type="spellEnd"/>
            <w:r w:rsidRPr="00A87320">
              <w:rPr>
                <w:lang w:eastAsia="en-AU"/>
              </w:rPr>
              <w:t xml:space="preserve"> D, </w:t>
            </w:r>
            <w:proofErr w:type="spellStart"/>
            <w:r w:rsidRPr="00A87320">
              <w:rPr>
                <w:lang w:eastAsia="en-AU"/>
              </w:rPr>
              <w:t>Zolfaghar</w:t>
            </w:r>
            <w:proofErr w:type="spellEnd"/>
            <w:r w:rsidRPr="00A87320">
              <w:rPr>
                <w:lang w:eastAsia="en-AU"/>
              </w:rPr>
              <w:t xml:space="preserve"> S, Villalobos-Vega R, Cleverly J and </w:t>
            </w:r>
            <w:proofErr w:type="spellStart"/>
            <w:r w:rsidRPr="00A87320">
              <w:rPr>
                <w:lang w:eastAsia="en-AU"/>
              </w:rPr>
              <w:t>Huete</w:t>
            </w:r>
            <w:proofErr w:type="spellEnd"/>
            <w:r w:rsidRPr="00A87320">
              <w:rPr>
                <w:lang w:eastAsia="en-AU"/>
              </w:rPr>
              <w:t xml:space="preserve"> A 2015. Groundwater-dependent ecosystems: recent insights from satellite and field-based studies. </w:t>
            </w:r>
            <w:r w:rsidRPr="00A87320">
              <w:rPr>
                <w:i/>
                <w:lang w:eastAsia="en-AU"/>
              </w:rPr>
              <w:t xml:space="preserve">Hydrology and Earth Systems Science </w:t>
            </w:r>
            <w:r w:rsidRPr="00A87320">
              <w:rPr>
                <w:lang w:eastAsia="en-AU"/>
              </w:rPr>
              <w:t xml:space="preserve">19:4229-4256. Available [online]: </w:t>
            </w:r>
            <w:hyperlink r:id="rId16" w:history="1">
              <w:r w:rsidRPr="00A87320">
                <w:rPr>
                  <w:rStyle w:val="Hyperlink"/>
                  <w:lang w:eastAsia="en-AU"/>
                </w:rPr>
                <w:t>https://opus.lib.uts.edu.au/bitstream/10453/37864/1/hess-GDE%20review%20FINAL19-4229-2015.pdf</w:t>
              </w:r>
            </w:hyperlink>
            <w:r w:rsidRPr="00A87320">
              <w:rPr>
                <w:lang w:eastAsia="en-AU"/>
              </w:rPr>
              <w:t xml:space="preserve"> accessed March 2019.</w:t>
            </w:r>
          </w:p>
          <w:p w14:paraId="71052248" w14:textId="77777777" w:rsidR="007D6588" w:rsidRPr="00A87320" w:rsidRDefault="007D6588" w:rsidP="007D6588">
            <w:pPr>
              <w:spacing w:after="0" w:line="240" w:lineRule="auto"/>
              <w:ind w:left="626" w:hanging="626"/>
              <w:rPr>
                <w:noProof/>
                <w:lang w:eastAsia="en-AU"/>
              </w:rPr>
            </w:pPr>
            <w:r w:rsidRPr="00A87320">
              <w:rPr>
                <w:lang w:eastAsia="en-AU"/>
              </w:rPr>
              <w:t xml:space="preserve">Environmental Resource Management Australia Pty Ltd 2017. </w:t>
            </w:r>
            <w:r w:rsidRPr="00A87320">
              <w:rPr>
                <w:i/>
                <w:noProof/>
                <w:lang w:eastAsia="en-AU"/>
              </w:rPr>
              <w:t>Narrabri Mine Conditions of Approval Independent Environmental Audit.</w:t>
            </w:r>
            <w:r w:rsidRPr="00A87320">
              <w:rPr>
                <w:noProof/>
                <w:lang w:eastAsia="en-AU"/>
              </w:rPr>
              <w:t xml:space="preserve"> Prepared for Whitehaven Coal.</w:t>
            </w:r>
          </w:p>
          <w:p w14:paraId="71052249" w14:textId="77777777" w:rsidR="00F255CA" w:rsidRPr="00A87320" w:rsidRDefault="00F255CA" w:rsidP="00D14266">
            <w:pPr>
              <w:spacing w:after="0" w:line="240" w:lineRule="auto"/>
              <w:ind w:left="626" w:hanging="626"/>
              <w:rPr>
                <w:noProof/>
                <w:lang w:eastAsia="en-AU"/>
              </w:rPr>
            </w:pPr>
            <w:proofErr w:type="spellStart"/>
            <w:r w:rsidRPr="00A87320">
              <w:rPr>
                <w:lang w:eastAsia="en-AU"/>
              </w:rPr>
              <w:t>Greve</w:t>
            </w:r>
            <w:proofErr w:type="spellEnd"/>
            <w:r w:rsidRPr="00A87320">
              <w:rPr>
                <w:lang w:eastAsia="en-AU"/>
              </w:rPr>
              <w:t xml:space="preserve"> AK, Andersen MS and Acworth RI 2012. </w:t>
            </w:r>
            <w:r w:rsidRPr="00A87320">
              <w:rPr>
                <w:noProof/>
                <w:lang w:eastAsia="en-AU"/>
              </w:rPr>
              <w:t xml:space="preserve">Monitoring the transition from preferential to matrix flow in cracking clay soil through changes in electrial anistropy. </w:t>
            </w:r>
            <w:r w:rsidRPr="00A87320">
              <w:rPr>
                <w:i/>
                <w:noProof/>
                <w:lang w:eastAsia="en-AU"/>
              </w:rPr>
              <w:t>Geoderma</w:t>
            </w:r>
            <w:r w:rsidRPr="00A87320">
              <w:rPr>
                <w:noProof/>
                <w:lang w:eastAsia="en-AU"/>
              </w:rPr>
              <w:t xml:space="preserve"> 179 – 180:46-52.</w:t>
            </w:r>
          </w:p>
          <w:p w14:paraId="7105224A" w14:textId="77777777" w:rsidR="00F12594" w:rsidRPr="00A87320" w:rsidRDefault="00F12594" w:rsidP="00D14266">
            <w:pPr>
              <w:pStyle w:val="Tabletext"/>
              <w:spacing w:line="240" w:lineRule="auto"/>
              <w:ind w:left="493" w:hanging="493"/>
            </w:pPr>
            <w:r w:rsidRPr="00A87320">
              <w:t xml:space="preserve">IESC 2018. </w:t>
            </w:r>
            <w:r w:rsidRPr="00A87320">
              <w:rPr>
                <w:i/>
              </w:rPr>
              <w:t>Information Guidelines for proponents preparing coal seam gas and large coal mining development proposals</w:t>
            </w:r>
            <w:r w:rsidRPr="00A87320">
              <w:t xml:space="preserve"> [Online]. Available: </w:t>
            </w:r>
            <w:hyperlink r:id="rId17" w:history="1">
              <w:r w:rsidRPr="00A87320">
                <w:rPr>
                  <w:rStyle w:val="Hyperlink"/>
                </w:rPr>
                <w:t>http://www.iesc.environment.gov.au/system/files/resources/012fa918-ee79-4131-9c8d-02c9b2de65cf/files/iesc-information-guidelines-may-2018.pdf</w:t>
              </w:r>
            </w:hyperlink>
            <w:r w:rsidRPr="00A87320">
              <w:t xml:space="preserve"> accessed March 2019. </w:t>
            </w:r>
          </w:p>
          <w:p w14:paraId="7105224B" w14:textId="77777777" w:rsidR="00F255CA" w:rsidRPr="00A87320" w:rsidRDefault="00F255CA" w:rsidP="00D14266">
            <w:pPr>
              <w:spacing w:after="0" w:line="240" w:lineRule="auto"/>
              <w:ind w:left="626" w:hanging="626"/>
              <w:rPr>
                <w:lang w:eastAsia="en-AU"/>
              </w:rPr>
            </w:pPr>
            <w:proofErr w:type="spellStart"/>
            <w:r w:rsidRPr="00A87320">
              <w:rPr>
                <w:lang w:eastAsia="en-AU"/>
              </w:rPr>
              <w:t>Middlemis</w:t>
            </w:r>
            <w:proofErr w:type="spellEnd"/>
            <w:r w:rsidRPr="00A87320">
              <w:rPr>
                <w:lang w:eastAsia="en-AU"/>
              </w:rPr>
              <w:t xml:space="preserve"> H and </w:t>
            </w:r>
            <w:proofErr w:type="spellStart"/>
            <w:r w:rsidRPr="00A87320">
              <w:rPr>
                <w:lang w:eastAsia="en-AU"/>
              </w:rPr>
              <w:t>Peeters</w:t>
            </w:r>
            <w:proofErr w:type="spellEnd"/>
            <w:r w:rsidRPr="00A87320">
              <w:rPr>
                <w:lang w:eastAsia="en-AU"/>
              </w:rPr>
              <w:t xml:space="preserve"> LJM 2018. </w:t>
            </w:r>
            <w:r w:rsidRPr="00A87320">
              <w:rPr>
                <w:i/>
                <w:lang w:eastAsia="en-AU"/>
              </w:rPr>
              <w:t>Uncertainty analysis – Guidance for groundwater modelling within a risk management framework.</w:t>
            </w:r>
            <w:r w:rsidRPr="00A87320">
              <w:rPr>
                <w:lang w:eastAsia="en-AU"/>
              </w:rPr>
              <w:t xml:space="preserve"> A report prepared for the Independent Expert Scientific Committee on Coal Seam Gas and Large Coal Mining Development through the Department of the Environment and Energy, Commonwealth of Australia. Available [online]: </w:t>
            </w:r>
            <w:hyperlink r:id="rId18" w:history="1">
              <w:r w:rsidRPr="00A87320">
                <w:rPr>
                  <w:rStyle w:val="Hyperlink"/>
                  <w:lang w:eastAsia="en-AU"/>
                </w:rPr>
                <w:t>http://iesc.environment.gov.au/publications/information-guidelines-explanatory-note-uncertainty-analysis</w:t>
              </w:r>
            </w:hyperlink>
            <w:r w:rsidRPr="00A87320">
              <w:rPr>
                <w:lang w:eastAsia="en-AU"/>
              </w:rPr>
              <w:t xml:space="preserve"> accessed March 2019.</w:t>
            </w:r>
          </w:p>
          <w:p w14:paraId="7105224C" w14:textId="77777777" w:rsidR="00F12594" w:rsidRPr="00A87320" w:rsidRDefault="00F12594" w:rsidP="00D14266">
            <w:pPr>
              <w:spacing w:after="0" w:line="240" w:lineRule="auto"/>
              <w:ind w:left="626" w:hanging="626"/>
              <w:rPr>
                <w:lang w:eastAsia="en-AU"/>
              </w:rPr>
            </w:pPr>
            <w:r w:rsidRPr="00A87320">
              <w:rPr>
                <w:lang w:eastAsia="en-AU"/>
              </w:rPr>
              <w:t xml:space="preserve">Minerals Council of Australia 2014. </w:t>
            </w:r>
            <w:r w:rsidRPr="00A87320">
              <w:rPr>
                <w:i/>
                <w:lang w:eastAsia="en-AU"/>
              </w:rPr>
              <w:t>Water accounting framework for the minerals industry – User guide.</w:t>
            </w:r>
            <w:r w:rsidRPr="00A87320">
              <w:rPr>
                <w:lang w:eastAsia="en-AU"/>
              </w:rPr>
              <w:t xml:space="preserve"> Available [online]: </w:t>
            </w:r>
            <w:hyperlink r:id="rId19" w:history="1">
              <w:r w:rsidRPr="00A87320">
                <w:rPr>
                  <w:rStyle w:val="Hyperlink"/>
                  <w:lang w:eastAsia="en-AU"/>
                </w:rPr>
                <w:t>http://minerals.org.au/water-accounting-framework-australian-minerals-industry</w:t>
              </w:r>
            </w:hyperlink>
            <w:r w:rsidRPr="00A87320">
              <w:rPr>
                <w:lang w:eastAsia="en-AU"/>
              </w:rPr>
              <w:t xml:space="preserve"> accessed March 2019.</w:t>
            </w:r>
          </w:p>
          <w:p w14:paraId="7105224D" w14:textId="77777777" w:rsidR="00F255CA" w:rsidRPr="00A87320" w:rsidRDefault="00F255CA" w:rsidP="00D14266">
            <w:pPr>
              <w:spacing w:after="0" w:line="240" w:lineRule="auto"/>
              <w:ind w:left="626" w:hanging="626"/>
              <w:rPr>
                <w:lang w:eastAsia="en-AU"/>
              </w:rPr>
            </w:pPr>
            <w:r w:rsidRPr="00A87320">
              <w:rPr>
                <w:lang w:eastAsia="en-AU"/>
              </w:rPr>
              <w:t xml:space="preserve">Namoi Catchment Management Authority (CMA) 2010. </w:t>
            </w:r>
            <w:r w:rsidRPr="00A87320">
              <w:rPr>
                <w:i/>
                <w:lang w:eastAsia="en-AU"/>
              </w:rPr>
              <w:t>Namoi Catchment action plan 2010-2020.</w:t>
            </w:r>
            <w:r w:rsidRPr="00A87320">
              <w:rPr>
                <w:lang w:eastAsia="en-AU"/>
              </w:rPr>
              <w:t xml:space="preserve"> Available [online]: </w:t>
            </w:r>
            <w:hyperlink r:id="rId20" w:history="1">
              <w:r w:rsidRPr="00A87320">
                <w:rPr>
                  <w:rStyle w:val="Hyperlink"/>
                  <w:lang w:eastAsia="en-AU"/>
                </w:rPr>
                <w:t>http://archive.lls.nsw.gov.au/__data/assets/pdf_file/0003/496362/archive_namoi-catchment-action-plan-2010-2020.pdf</w:t>
              </w:r>
            </w:hyperlink>
            <w:r w:rsidRPr="00A87320">
              <w:rPr>
                <w:lang w:eastAsia="en-AU"/>
              </w:rPr>
              <w:t xml:space="preserve"> accessed March 2019.</w:t>
            </w:r>
          </w:p>
          <w:p w14:paraId="7105224E" w14:textId="77777777" w:rsidR="00304A62" w:rsidRPr="00A87320" w:rsidRDefault="00304A62" w:rsidP="00D14266">
            <w:pPr>
              <w:spacing w:after="0" w:line="240" w:lineRule="auto"/>
              <w:ind w:left="626" w:hanging="626"/>
              <w:rPr>
                <w:lang w:eastAsia="en-AU"/>
              </w:rPr>
            </w:pPr>
            <w:r w:rsidRPr="00A87320">
              <w:rPr>
                <w:lang w:eastAsia="en-AU"/>
              </w:rPr>
              <w:t xml:space="preserve">New South Wales Government 2013. </w:t>
            </w:r>
            <w:r w:rsidRPr="00A87320">
              <w:rPr>
                <w:i/>
                <w:lang w:eastAsia="en-AU"/>
              </w:rPr>
              <w:t>Strategic regional land use policy. Guideline for Gateway applicants.</w:t>
            </w:r>
            <w:r w:rsidRPr="00A87320">
              <w:rPr>
                <w:lang w:eastAsia="en-AU"/>
              </w:rPr>
              <w:t xml:space="preserve"> Available [online]: </w:t>
            </w:r>
            <w:hyperlink r:id="rId21" w:history="1">
              <w:r w:rsidRPr="00A87320">
                <w:rPr>
                  <w:rStyle w:val="Hyperlink"/>
                  <w:lang w:eastAsia="en-AU"/>
                </w:rPr>
                <w:t>http://www.mpgp.nsw.gov.au/docs/Guideline%20for%20Gateway%20Applicants.pdf</w:t>
              </w:r>
            </w:hyperlink>
            <w:r w:rsidRPr="00A87320">
              <w:rPr>
                <w:color w:val="FF0000"/>
                <w:lang w:eastAsia="en-AU"/>
              </w:rPr>
              <w:t xml:space="preserve"> </w:t>
            </w:r>
            <w:r w:rsidRPr="00A87320">
              <w:rPr>
                <w:lang w:eastAsia="en-AU"/>
              </w:rPr>
              <w:t>accessed March 2019.</w:t>
            </w:r>
          </w:p>
          <w:p w14:paraId="7105224F" w14:textId="77777777" w:rsidR="009E0891" w:rsidRPr="00A87320" w:rsidRDefault="009E0891" w:rsidP="00D14266">
            <w:pPr>
              <w:pStyle w:val="Tabletext"/>
              <w:spacing w:line="240" w:lineRule="auto"/>
              <w:ind w:left="493" w:hanging="493"/>
              <w:rPr>
                <w:color w:val="FF0000"/>
                <w:lang w:eastAsia="en-AU"/>
              </w:rPr>
            </w:pPr>
            <w:r w:rsidRPr="00A87320">
              <w:t xml:space="preserve">NSW DPI 2007. </w:t>
            </w:r>
            <w:r w:rsidRPr="00A87320">
              <w:rPr>
                <w:i/>
              </w:rPr>
              <w:t>Endangered ecological communities in NSW Lowland Darling River aquatic ecological community.</w:t>
            </w:r>
            <w:r w:rsidRPr="00A87320">
              <w:t xml:space="preserve"> Available [online]: </w:t>
            </w:r>
            <w:hyperlink r:id="rId22" w:history="1">
              <w:r w:rsidRPr="00A87320">
                <w:rPr>
                  <w:rStyle w:val="Hyperlink"/>
                </w:rPr>
                <w:t>http://www.dpi.nsw.gov.au/__data/assets/pdf_file/0006/171573/Lowland-Darling-River-aquatic-ecological-community.pdf</w:t>
              </w:r>
            </w:hyperlink>
            <w:r w:rsidRPr="00A87320">
              <w:t xml:space="preserve"> accessed March 2019.</w:t>
            </w:r>
          </w:p>
          <w:p w14:paraId="71052250" w14:textId="77777777" w:rsidR="00E86A49" w:rsidRPr="00A87320" w:rsidRDefault="00E86A49" w:rsidP="00E86A49">
            <w:pPr>
              <w:spacing w:after="0" w:line="240" w:lineRule="auto"/>
              <w:ind w:left="626" w:hanging="626"/>
            </w:pPr>
            <w:r w:rsidRPr="00A87320">
              <w:t xml:space="preserve">Richardson S, Irvine E, </w:t>
            </w:r>
            <w:proofErr w:type="spellStart"/>
            <w:r w:rsidRPr="00A87320">
              <w:t>Froend</w:t>
            </w:r>
            <w:proofErr w:type="spellEnd"/>
            <w:r w:rsidRPr="00A87320">
              <w:t xml:space="preserve"> R, Boon P, Barber S and Bonneville B 2011. </w:t>
            </w:r>
            <w:r w:rsidRPr="00A87320">
              <w:rPr>
                <w:i/>
              </w:rPr>
              <w:t xml:space="preserve">Australian groundwater-dependent ecosystem toolbox part 1: Assessment framework. </w:t>
            </w:r>
            <w:r w:rsidRPr="00A87320">
              <w:t xml:space="preserve">Waterlines report. National Water Commission, Canberra. Available [online]: </w:t>
            </w:r>
            <w:hyperlink r:id="rId23" w:history="1">
              <w:r w:rsidRPr="00A87320">
                <w:rPr>
                  <w:rStyle w:val="Hyperlink"/>
                </w:rPr>
                <w:t>http://webarchive.nla.gov.au/gov/20160615084626/http://archive.nwc.gov.au/library/waterlines/69-70</w:t>
              </w:r>
            </w:hyperlink>
            <w:r w:rsidRPr="00A87320">
              <w:t xml:space="preserve"> accessed March 2019.</w:t>
            </w:r>
          </w:p>
          <w:p w14:paraId="71052251" w14:textId="77777777" w:rsidR="00917252" w:rsidRPr="00A87320" w:rsidRDefault="00917252" w:rsidP="00D14266">
            <w:pPr>
              <w:spacing w:after="0" w:line="240" w:lineRule="auto"/>
              <w:ind w:left="635" w:hanging="635"/>
            </w:pPr>
            <w:r w:rsidRPr="00A87320">
              <w:t xml:space="preserve">Serov P, </w:t>
            </w:r>
            <w:proofErr w:type="spellStart"/>
            <w:r w:rsidRPr="00A87320">
              <w:t>Kuginis</w:t>
            </w:r>
            <w:proofErr w:type="spellEnd"/>
            <w:r w:rsidRPr="00A87320">
              <w:t xml:space="preserve"> L and Williams JP 2012. </w:t>
            </w:r>
            <w:r w:rsidRPr="00A87320">
              <w:rPr>
                <w:i/>
              </w:rPr>
              <w:t>Risk assessment guidelines for groundwater-dependent ecosystems, Volume 1 – The conceptual framework</w:t>
            </w:r>
            <w:r w:rsidR="00304A62" w:rsidRPr="00A87320">
              <w:t>.</w:t>
            </w:r>
            <w:r w:rsidRPr="00A87320">
              <w:t xml:space="preserve"> NSW </w:t>
            </w:r>
            <w:r w:rsidR="00304A62" w:rsidRPr="00A87320">
              <w:t xml:space="preserve">Department of </w:t>
            </w:r>
            <w:r w:rsidRPr="00A87320">
              <w:t>Primary Industries, Offi</w:t>
            </w:r>
            <w:r w:rsidR="00304A62" w:rsidRPr="00A87320">
              <w:t>ce of Water, Sydney. Available</w:t>
            </w:r>
            <w:r w:rsidR="00B91473" w:rsidRPr="00A87320">
              <w:t xml:space="preserve"> [online]: </w:t>
            </w:r>
            <w:hyperlink r:id="rId24" w:history="1">
              <w:r w:rsidR="00B91473" w:rsidRPr="00A87320">
                <w:rPr>
                  <w:rStyle w:val="Hyperlink"/>
                </w:rPr>
                <w:t>http://archive.water.nsw.gov.au/__data/assets/pdf_file/0005/547682/gde_risk_assessment_guidelines_volume_1_final_accessible.pdf</w:t>
              </w:r>
            </w:hyperlink>
            <w:r w:rsidR="00F255CA" w:rsidRPr="00A87320">
              <w:t xml:space="preserve"> accessed March 2019.</w:t>
            </w:r>
          </w:p>
          <w:p w14:paraId="71052252" w14:textId="77777777" w:rsidR="007D442F" w:rsidRPr="00A87320" w:rsidRDefault="007D442F" w:rsidP="00E87251">
            <w:pPr>
              <w:spacing w:after="0" w:line="240" w:lineRule="auto"/>
              <w:ind w:left="635" w:hanging="635"/>
            </w:pPr>
            <w:proofErr w:type="spellStart"/>
            <w:r w:rsidRPr="00A87320">
              <w:t>Stubbington</w:t>
            </w:r>
            <w:proofErr w:type="spellEnd"/>
            <w:r w:rsidRPr="00A87320">
              <w:t xml:space="preserve"> R, Bogan MT, </w:t>
            </w:r>
            <w:proofErr w:type="spellStart"/>
            <w:r w:rsidRPr="00A87320">
              <w:t>Bonada</w:t>
            </w:r>
            <w:proofErr w:type="spellEnd"/>
            <w:r w:rsidRPr="00A87320">
              <w:t xml:space="preserve"> N, </w:t>
            </w:r>
            <w:proofErr w:type="spellStart"/>
            <w:r w:rsidRPr="00A87320">
              <w:t>Boulton</w:t>
            </w:r>
            <w:proofErr w:type="spellEnd"/>
            <w:r w:rsidRPr="00A87320">
              <w:t xml:space="preserve"> AJ, </w:t>
            </w:r>
            <w:proofErr w:type="spellStart"/>
            <w:r w:rsidRPr="00A87320">
              <w:t>Datry</w:t>
            </w:r>
            <w:proofErr w:type="spellEnd"/>
            <w:r w:rsidRPr="00A87320">
              <w:t xml:space="preserve"> T, Leigh C and Vander </w:t>
            </w:r>
            <w:proofErr w:type="spellStart"/>
            <w:r w:rsidRPr="00A87320">
              <w:t>Vorste</w:t>
            </w:r>
            <w:proofErr w:type="spellEnd"/>
            <w:r w:rsidRPr="00A87320">
              <w:t xml:space="preserve"> R 2017. Chapter 4.3 The biota of intermittent rivers and ephemeral streams: aquatic invertebrates. In ‘Intermittent Rivers and Ephemeral Streams: Ecology and Management’. (Eds. T. </w:t>
            </w:r>
            <w:proofErr w:type="spellStart"/>
            <w:r w:rsidRPr="00A87320">
              <w:t>Datry</w:t>
            </w:r>
            <w:proofErr w:type="spellEnd"/>
            <w:r w:rsidRPr="00A87320">
              <w:t xml:space="preserve">, N. </w:t>
            </w:r>
            <w:proofErr w:type="spellStart"/>
            <w:r w:rsidRPr="00A87320">
              <w:t>Bonada</w:t>
            </w:r>
            <w:proofErr w:type="spellEnd"/>
            <w:r w:rsidRPr="00A87320">
              <w:t xml:space="preserve"> and A.J. </w:t>
            </w:r>
            <w:proofErr w:type="spellStart"/>
            <w:r w:rsidRPr="00A87320">
              <w:t>Boulton</w:t>
            </w:r>
            <w:proofErr w:type="spellEnd"/>
            <w:r w:rsidRPr="00A87320">
              <w:t>), pp. 217-243. Academic Press, London.</w:t>
            </w:r>
          </w:p>
          <w:p w14:paraId="71052253" w14:textId="77777777" w:rsidR="00B91473" w:rsidRPr="00A87320" w:rsidRDefault="00F255CA" w:rsidP="00D14266">
            <w:pPr>
              <w:spacing w:after="0" w:line="240" w:lineRule="auto"/>
              <w:ind w:left="626" w:hanging="626"/>
            </w:pPr>
            <w:r w:rsidRPr="00A87320">
              <w:t xml:space="preserve">Whitehaven Coal 2017. </w:t>
            </w:r>
            <w:r w:rsidRPr="00A87320">
              <w:rPr>
                <w:i/>
              </w:rPr>
              <w:t>Narrabri Mine: Extraction Plan, Water Management Plan LW107 to LW110.</w:t>
            </w:r>
            <w:r w:rsidRPr="00A87320">
              <w:t xml:space="preserve"> Available [online]:</w:t>
            </w:r>
            <w:r w:rsidRPr="00A87320">
              <w:rPr>
                <w:noProof/>
                <w:lang w:eastAsia="en-AU"/>
              </w:rPr>
              <w:t xml:space="preserve"> </w:t>
            </w:r>
            <w:hyperlink r:id="rId25" w:history="1">
              <w:r w:rsidRPr="00A87320">
                <w:rPr>
                  <w:rStyle w:val="Hyperlink"/>
                  <w:noProof/>
                  <w:lang w:eastAsia="en-AU"/>
                </w:rPr>
                <w:t>http://www.whitehavencoal.com.au/narrabri-north-environmental-management/</w:t>
              </w:r>
            </w:hyperlink>
            <w:r w:rsidRPr="00A87320">
              <w:rPr>
                <w:noProof/>
                <w:lang w:eastAsia="en-AU"/>
              </w:rPr>
              <w:t xml:space="preserve"> accessed Ma</w:t>
            </w:r>
            <w:r w:rsidR="005E32A2" w:rsidRPr="00A87320">
              <w:rPr>
                <w:noProof/>
                <w:lang w:eastAsia="en-AU"/>
              </w:rPr>
              <w:t>r</w:t>
            </w:r>
            <w:r w:rsidRPr="00A87320">
              <w:rPr>
                <w:noProof/>
                <w:lang w:eastAsia="en-AU"/>
              </w:rPr>
              <w:t>ch 2019.</w:t>
            </w:r>
          </w:p>
          <w:p w14:paraId="71052254" w14:textId="77777777" w:rsidR="00917252" w:rsidRPr="00A87320" w:rsidRDefault="00917252" w:rsidP="001E2E34">
            <w:pPr>
              <w:pStyle w:val="Tabletext"/>
              <w:spacing w:line="240" w:lineRule="auto"/>
              <w:ind w:left="493" w:hanging="493"/>
            </w:pPr>
          </w:p>
        </w:tc>
      </w:tr>
    </w:tbl>
    <w:p w14:paraId="71052256" w14:textId="77777777" w:rsidR="007203C3" w:rsidRPr="00BF21A7" w:rsidRDefault="00C37525" w:rsidP="00D622B9">
      <w:r w:rsidRPr="00A87320">
        <w:lastRenderedPageBreak/>
        <w:fldChar w:fldCharType="begin"/>
      </w:r>
      <w:r w:rsidRPr="00A87320">
        <w:instrText xml:space="preserve"> ADDIN </w:instrText>
      </w:r>
      <w:r w:rsidRPr="00A87320">
        <w:fldChar w:fldCharType="end"/>
      </w:r>
    </w:p>
    <w:sectPr w:rsidR="007203C3" w:rsidRPr="00BF21A7" w:rsidSect="006D6ACE">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5225A" w14:textId="77777777" w:rsidR="007036C0" w:rsidRDefault="007036C0" w:rsidP="00D622B9">
      <w:r>
        <w:separator/>
      </w:r>
    </w:p>
  </w:endnote>
  <w:endnote w:type="continuationSeparator" w:id="0">
    <w:p w14:paraId="7105225B" w14:textId="77777777" w:rsidR="007036C0" w:rsidRDefault="007036C0" w:rsidP="00D622B9">
      <w:r>
        <w:continuationSeparator/>
      </w:r>
    </w:p>
  </w:endnote>
  <w:endnote w:type="continuationNotice" w:id="1">
    <w:p w14:paraId="7105225C" w14:textId="77777777" w:rsidR="007036C0" w:rsidRDefault="00703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C360" w14:textId="77777777" w:rsidR="00073DC6" w:rsidRDefault="00073D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225F" w14:textId="77777777" w:rsidR="00F42AB7" w:rsidRPr="00637239" w:rsidRDefault="00F42AB7" w:rsidP="003B5A88">
    <w:pPr>
      <w:pStyle w:val="Footer"/>
      <w:pBdr>
        <w:top w:val="single" w:sz="12" w:space="0" w:color="auto"/>
      </w:pBdr>
    </w:pPr>
  </w:p>
  <w:p w14:paraId="71052260" w14:textId="77777777" w:rsidR="00F42AB7" w:rsidRPr="00637239" w:rsidRDefault="00341F40" w:rsidP="003B5A88">
    <w:pPr>
      <w:pStyle w:val="Footer"/>
      <w:pBdr>
        <w:top w:val="single" w:sz="12" w:space="0" w:color="auto"/>
      </w:pBdr>
      <w:rPr>
        <w:sz w:val="20"/>
      </w:rPr>
    </w:pPr>
    <w:r>
      <w:rPr>
        <w:sz w:val="20"/>
      </w:rPr>
      <w:t>Narrabri Mine Extension Advice</w:t>
    </w:r>
    <w:r w:rsidR="00F42AB7" w:rsidRPr="00637239">
      <w:rPr>
        <w:sz w:val="20"/>
      </w:rPr>
      <w:t xml:space="preserve"> </w:t>
    </w:r>
    <w:r w:rsidR="00F42AB7" w:rsidRPr="00F657EC">
      <w:rPr>
        <w:sz w:val="20"/>
      </w:rPr>
      <w:ptab w:relativeTo="margin" w:alignment="right" w:leader="none"/>
    </w:r>
    <w:r w:rsidR="00F657EC" w:rsidRPr="00F657EC">
      <w:rPr>
        <w:sz w:val="20"/>
      </w:rPr>
      <w:t>16</w:t>
    </w:r>
    <w:r w:rsidR="00F42AB7" w:rsidRPr="00F657EC">
      <w:rPr>
        <w:sz w:val="20"/>
      </w:rPr>
      <w:t xml:space="preserve"> </w:t>
    </w:r>
    <w:r w:rsidR="00F42AB7" w:rsidRPr="00CF625B">
      <w:rPr>
        <w:sz w:val="20"/>
      </w:rPr>
      <w:t>April 2019</w:t>
    </w:r>
  </w:p>
  <w:p w14:paraId="71052261" w14:textId="77777777" w:rsidR="00F42AB7" w:rsidRPr="00637239" w:rsidRDefault="00F42AB7"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073DC6">
      <w:rPr>
        <w:noProof/>
        <w:sz w:val="20"/>
      </w:rPr>
      <w:t>11</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2263" w14:textId="77777777" w:rsidR="00F42AB7" w:rsidRPr="007B11FD" w:rsidRDefault="00F42AB7" w:rsidP="000F240D">
    <w:pPr>
      <w:pStyle w:val="Footer"/>
      <w:pBdr>
        <w:top w:val="single" w:sz="12" w:space="0" w:color="auto"/>
      </w:pBdr>
      <w:ind w:left="-426"/>
    </w:pPr>
  </w:p>
  <w:p w14:paraId="71052264" w14:textId="77777777" w:rsidR="00F42AB7" w:rsidRDefault="00F42AB7" w:rsidP="000F240D">
    <w:pPr>
      <w:pStyle w:val="Footer"/>
      <w:pBdr>
        <w:top w:val="single" w:sz="12" w:space="0" w:color="auto"/>
      </w:pBdr>
      <w:ind w:left="-426"/>
      <w:rPr>
        <w:color w:val="FF0000"/>
        <w:sz w:val="20"/>
      </w:rPr>
    </w:pPr>
    <w:r w:rsidRPr="00280F63">
      <w:rPr>
        <w:sz w:val="20"/>
      </w:rPr>
      <w:t xml:space="preserve">Narrabri Mine Extension </w:t>
    </w:r>
    <w:r w:rsidRPr="00637239">
      <w:rPr>
        <w:sz w:val="20"/>
      </w:rPr>
      <w:t xml:space="preserve">Advice </w:t>
    </w:r>
    <w:r w:rsidRPr="00F657EC">
      <w:rPr>
        <w:sz w:val="20"/>
      </w:rPr>
      <w:ptab w:relativeTo="margin" w:alignment="right" w:leader="none"/>
    </w:r>
    <w:r w:rsidR="00F657EC" w:rsidRPr="00F657EC">
      <w:rPr>
        <w:sz w:val="20"/>
      </w:rPr>
      <w:t>16</w:t>
    </w:r>
    <w:r w:rsidRPr="00F657EC">
      <w:rPr>
        <w:sz w:val="20"/>
      </w:rPr>
      <w:t xml:space="preserve"> April </w:t>
    </w:r>
    <w:r w:rsidRPr="00280F63">
      <w:rPr>
        <w:sz w:val="20"/>
      </w:rPr>
      <w:t>2019</w:t>
    </w:r>
  </w:p>
  <w:p w14:paraId="71052265" w14:textId="77777777" w:rsidR="00F42AB7" w:rsidRPr="00637239" w:rsidRDefault="00F42AB7"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073DC6">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52257" w14:textId="77777777" w:rsidR="007036C0" w:rsidRDefault="007036C0" w:rsidP="00D622B9">
      <w:r>
        <w:separator/>
      </w:r>
    </w:p>
  </w:footnote>
  <w:footnote w:type="continuationSeparator" w:id="0">
    <w:p w14:paraId="71052258" w14:textId="77777777" w:rsidR="007036C0" w:rsidRDefault="007036C0" w:rsidP="00D622B9">
      <w:r>
        <w:continuationSeparator/>
      </w:r>
    </w:p>
  </w:footnote>
  <w:footnote w:type="continuationNotice" w:id="1">
    <w:p w14:paraId="71052259" w14:textId="77777777" w:rsidR="007036C0" w:rsidRDefault="007036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225D" w14:textId="77777777" w:rsidR="00F42AB7" w:rsidRDefault="00F42AB7"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E494" w14:textId="77777777" w:rsidR="00073DC6" w:rsidRDefault="00073D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2262" w14:textId="77777777" w:rsidR="00F42AB7" w:rsidRDefault="00F42AB7"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71052266" wp14:editId="71052267">
          <wp:simplePos x="0" y="0"/>
          <wp:positionH relativeFrom="column">
            <wp:posOffset>-904875</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0D4DE2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3EEDBC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6C7C4148"/>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1B8D240F"/>
    <w:multiLevelType w:val="hybridMultilevel"/>
    <w:tmpl w:val="5802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B0384D"/>
    <w:multiLevelType w:val="hybridMultilevel"/>
    <w:tmpl w:val="245A15A8"/>
    <w:lvl w:ilvl="0" w:tplc="CD303BBC">
      <w:start w:val="1"/>
      <w:numFmt w:val="upperLetter"/>
      <w:lvlText w:val="%1."/>
      <w:lvlJc w:val="left"/>
      <w:pPr>
        <w:ind w:left="360" w:hanging="360"/>
      </w:pPr>
      <w:rPr>
        <w:rFonts w:hint="default"/>
      </w:rPr>
    </w:lvl>
    <w:lvl w:ilvl="1" w:tplc="E4FC5DC8" w:tentative="1">
      <w:start w:val="1"/>
      <w:numFmt w:val="bullet"/>
      <w:lvlText w:val="o"/>
      <w:lvlJc w:val="left"/>
      <w:pPr>
        <w:ind w:left="1080" w:hanging="360"/>
      </w:pPr>
      <w:rPr>
        <w:rFonts w:ascii="Courier New" w:hAnsi="Courier New" w:cs="Courier New" w:hint="default"/>
      </w:rPr>
    </w:lvl>
    <w:lvl w:ilvl="2" w:tplc="51EAE99C" w:tentative="1">
      <w:start w:val="1"/>
      <w:numFmt w:val="bullet"/>
      <w:lvlText w:val=""/>
      <w:lvlJc w:val="left"/>
      <w:pPr>
        <w:ind w:left="1800" w:hanging="360"/>
      </w:pPr>
      <w:rPr>
        <w:rFonts w:ascii="Wingdings" w:hAnsi="Wingdings" w:hint="default"/>
      </w:rPr>
    </w:lvl>
    <w:lvl w:ilvl="3" w:tplc="829CF94E" w:tentative="1">
      <w:start w:val="1"/>
      <w:numFmt w:val="bullet"/>
      <w:lvlText w:val=""/>
      <w:lvlJc w:val="left"/>
      <w:pPr>
        <w:ind w:left="2520" w:hanging="360"/>
      </w:pPr>
      <w:rPr>
        <w:rFonts w:ascii="Symbol" w:hAnsi="Symbol" w:hint="default"/>
      </w:rPr>
    </w:lvl>
    <w:lvl w:ilvl="4" w:tplc="C3229D9E" w:tentative="1">
      <w:start w:val="1"/>
      <w:numFmt w:val="bullet"/>
      <w:lvlText w:val="o"/>
      <w:lvlJc w:val="left"/>
      <w:pPr>
        <w:ind w:left="3240" w:hanging="360"/>
      </w:pPr>
      <w:rPr>
        <w:rFonts w:ascii="Courier New" w:hAnsi="Courier New" w:cs="Courier New" w:hint="default"/>
      </w:rPr>
    </w:lvl>
    <w:lvl w:ilvl="5" w:tplc="44A25EB2" w:tentative="1">
      <w:start w:val="1"/>
      <w:numFmt w:val="bullet"/>
      <w:lvlText w:val=""/>
      <w:lvlJc w:val="left"/>
      <w:pPr>
        <w:ind w:left="3960" w:hanging="360"/>
      </w:pPr>
      <w:rPr>
        <w:rFonts w:ascii="Wingdings" w:hAnsi="Wingdings" w:hint="default"/>
      </w:rPr>
    </w:lvl>
    <w:lvl w:ilvl="6" w:tplc="42BC9E14" w:tentative="1">
      <w:start w:val="1"/>
      <w:numFmt w:val="bullet"/>
      <w:lvlText w:val=""/>
      <w:lvlJc w:val="left"/>
      <w:pPr>
        <w:ind w:left="4680" w:hanging="360"/>
      </w:pPr>
      <w:rPr>
        <w:rFonts w:ascii="Symbol" w:hAnsi="Symbol" w:hint="default"/>
      </w:rPr>
    </w:lvl>
    <w:lvl w:ilvl="7" w:tplc="F1ACE7D8" w:tentative="1">
      <w:start w:val="1"/>
      <w:numFmt w:val="bullet"/>
      <w:lvlText w:val="o"/>
      <w:lvlJc w:val="left"/>
      <w:pPr>
        <w:ind w:left="5400" w:hanging="360"/>
      </w:pPr>
      <w:rPr>
        <w:rFonts w:ascii="Courier New" w:hAnsi="Courier New" w:cs="Courier New" w:hint="default"/>
      </w:rPr>
    </w:lvl>
    <w:lvl w:ilvl="8" w:tplc="CFE64DCA" w:tentative="1">
      <w:start w:val="1"/>
      <w:numFmt w:val="bullet"/>
      <w:lvlText w:val=""/>
      <w:lvlJc w:val="left"/>
      <w:pPr>
        <w:ind w:left="612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2B3290"/>
    <w:multiLevelType w:val="hybridMultilevel"/>
    <w:tmpl w:val="FA1E0C2C"/>
    <w:lvl w:ilvl="0" w:tplc="F3E40B9C">
      <w:start w:val="1"/>
      <w:numFmt w:val="bullet"/>
      <w:lvlText w:val=""/>
      <w:lvlJc w:val="left"/>
      <w:pPr>
        <w:ind w:left="360" w:hanging="360"/>
      </w:pPr>
      <w:rPr>
        <w:rFonts w:ascii="Symbol" w:hAnsi="Symbol" w:hint="default"/>
      </w:rPr>
    </w:lvl>
    <w:lvl w:ilvl="1" w:tplc="D7102D6E">
      <w:start w:val="1"/>
      <w:numFmt w:val="bullet"/>
      <w:lvlText w:val="o"/>
      <w:lvlJc w:val="left"/>
      <w:pPr>
        <w:ind w:left="1080" w:hanging="360"/>
      </w:pPr>
      <w:rPr>
        <w:rFonts w:ascii="Courier New" w:hAnsi="Courier New" w:cs="Courier New" w:hint="default"/>
      </w:rPr>
    </w:lvl>
    <w:lvl w:ilvl="2" w:tplc="22603556" w:tentative="1">
      <w:start w:val="1"/>
      <w:numFmt w:val="bullet"/>
      <w:lvlText w:val=""/>
      <w:lvlJc w:val="left"/>
      <w:pPr>
        <w:ind w:left="1800" w:hanging="360"/>
      </w:pPr>
      <w:rPr>
        <w:rFonts w:ascii="Wingdings" w:hAnsi="Wingdings" w:hint="default"/>
      </w:rPr>
    </w:lvl>
    <w:lvl w:ilvl="3" w:tplc="93E0953A" w:tentative="1">
      <w:start w:val="1"/>
      <w:numFmt w:val="bullet"/>
      <w:lvlText w:val=""/>
      <w:lvlJc w:val="left"/>
      <w:pPr>
        <w:ind w:left="2520" w:hanging="360"/>
      </w:pPr>
      <w:rPr>
        <w:rFonts w:ascii="Symbol" w:hAnsi="Symbol" w:hint="default"/>
      </w:rPr>
    </w:lvl>
    <w:lvl w:ilvl="4" w:tplc="473AC792" w:tentative="1">
      <w:start w:val="1"/>
      <w:numFmt w:val="bullet"/>
      <w:lvlText w:val="o"/>
      <w:lvlJc w:val="left"/>
      <w:pPr>
        <w:ind w:left="3240" w:hanging="360"/>
      </w:pPr>
      <w:rPr>
        <w:rFonts w:ascii="Courier New" w:hAnsi="Courier New" w:cs="Courier New" w:hint="default"/>
      </w:rPr>
    </w:lvl>
    <w:lvl w:ilvl="5" w:tplc="B84E220A" w:tentative="1">
      <w:start w:val="1"/>
      <w:numFmt w:val="bullet"/>
      <w:lvlText w:val=""/>
      <w:lvlJc w:val="left"/>
      <w:pPr>
        <w:ind w:left="3960" w:hanging="360"/>
      </w:pPr>
      <w:rPr>
        <w:rFonts w:ascii="Wingdings" w:hAnsi="Wingdings" w:hint="default"/>
      </w:rPr>
    </w:lvl>
    <w:lvl w:ilvl="6" w:tplc="3F4A65F8" w:tentative="1">
      <w:start w:val="1"/>
      <w:numFmt w:val="bullet"/>
      <w:lvlText w:val=""/>
      <w:lvlJc w:val="left"/>
      <w:pPr>
        <w:ind w:left="4680" w:hanging="360"/>
      </w:pPr>
      <w:rPr>
        <w:rFonts w:ascii="Symbol" w:hAnsi="Symbol" w:hint="default"/>
      </w:rPr>
    </w:lvl>
    <w:lvl w:ilvl="7" w:tplc="723ABEAC" w:tentative="1">
      <w:start w:val="1"/>
      <w:numFmt w:val="bullet"/>
      <w:lvlText w:val="o"/>
      <w:lvlJc w:val="left"/>
      <w:pPr>
        <w:ind w:left="5400" w:hanging="360"/>
      </w:pPr>
      <w:rPr>
        <w:rFonts w:ascii="Courier New" w:hAnsi="Courier New" w:cs="Courier New" w:hint="default"/>
      </w:rPr>
    </w:lvl>
    <w:lvl w:ilvl="8" w:tplc="5232AFDE" w:tentative="1">
      <w:start w:val="1"/>
      <w:numFmt w:val="bullet"/>
      <w:lvlText w:val=""/>
      <w:lvlJc w:val="left"/>
      <w:pPr>
        <w:ind w:left="6120" w:hanging="360"/>
      </w:pPr>
      <w:rPr>
        <w:rFonts w:ascii="Wingdings" w:hAnsi="Wingdings" w:hint="default"/>
      </w:rPr>
    </w:lvl>
  </w:abstractNum>
  <w:abstractNum w:abstractNumId="9" w15:restartNumberingAfterBreak="0">
    <w:nsid w:val="3CB520E1"/>
    <w:multiLevelType w:val="hybridMultilevel"/>
    <w:tmpl w:val="C0E81F7A"/>
    <w:lvl w:ilvl="0" w:tplc="37CE2862">
      <w:start w:val="1"/>
      <w:numFmt w:val="bullet"/>
      <w:lvlText w:val="o"/>
      <w:lvlJc w:val="left"/>
      <w:pPr>
        <w:ind w:left="720" w:hanging="360"/>
      </w:pPr>
      <w:rPr>
        <w:rFonts w:ascii="Courier New" w:hAnsi="Courier New" w:cs="Courier New" w:hint="default"/>
      </w:rPr>
    </w:lvl>
    <w:lvl w:ilvl="1" w:tplc="A7E22224">
      <w:start w:val="1"/>
      <w:numFmt w:val="bullet"/>
      <w:lvlText w:val="o"/>
      <w:lvlJc w:val="left"/>
      <w:pPr>
        <w:ind w:left="1440" w:hanging="360"/>
      </w:pPr>
      <w:rPr>
        <w:rFonts w:ascii="Courier New" w:hAnsi="Courier New" w:cs="Courier New" w:hint="default"/>
      </w:rPr>
    </w:lvl>
    <w:lvl w:ilvl="2" w:tplc="270C6F8A">
      <w:start w:val="1"/>
      <w:numFmt w:val="bullet"/>
      <w:lvlText w:val=""/>
      <w:lvlJc w:val="left"/>
      <w:pPr>
        <w:ind w:left="2160" w:hanging="360"/>
      </w:pPr>
      <w:rPr>
        <w:rFonts w:ascii="Wingdings" w:hAnsi="Wingdings" w:hint="default"/>
      </w:rPr>
    </w:lvl>
    <w:lvl w:ilvl="3" w:tplc="652011A2" w:tentative="1">
      <w:start w:val="1"/>
      <w:numFmt w:val="bullet"/>
      <w:lvlText w:val=""/>
      <w:lvlJc w:val="left"/>
      <w:pPr>
        <w:ind w:left="2880" w:hanging="360"/>
      </w:pPr>
      <w:rPr>
        <w:rFonts w:ascii="Symbol" w:hAnsi="Symbol" w:hint="default"/>
      </w:rPr>
    </w:lvl>
    <w:lvl w:ilvl="4" w:tplc="BBB253FE" w:tentative="1">
      <w:start w:val="1"/>
      <w:numFmt w:val="bullet"/>
      <w:lvlText w:val="o"/>
      <w:lvlJc w:val="left"/>
      <w:pPr>
        <w:ind w:left="3600" w:hanging="360"/>
      </w:pPr>
      <w:rPr>
        <w:rFonts w:ascii="Courier New" w:hAnsi="Courier New" w:cs="Courier New" w:hint="default"/>
      </w:rPr>
    </w:lvl>
    <w:lvl w:ilvl="5" w:tplc="B6183876" w:tentative="1">
      <w:start w:val="1"/>
      <w:numFmt w:val="bullet"/>
      <w:lvlText w:val=""/>
      <w:lvlJc w:val="left"/>
      <w:pPr>
        <w:ind w:left="4320" w:hanging="360"/>
      </w:pPr>
      <w:rPr>
        <w:rFonts w:ascii="Wingdings" w:hAnsi="Wingdings" w:hint="default"/>
      </w:rPr>
    </w:lvl>
    <w:lvl w:ilvl="6" w:tplc="911C62A2" w:tentative="1">
      <w:start w:val="1"/>
      <w:numFmt w:val="bullet"/>
      <w:lvlText w:val=""/>
      <w:lvlJc w:val="left"/>
      <w:pPr>
        <w:ind w:left="5040" w:hanging="360"/>
      </w:pPr>
      <w:rPr>
        <w:rFonts w:ascii="Symbol" w:hAnsi="Symbol" w:hint="default"/>
      </w:rPr>
    </w:lvl>
    <w:lvl w:ilvl="7" w:tplc="35E01AA0" w:tentative="1">
      <w:start w:val="1"/>
      <w:numFmt w:val="bullet"/>
      <w:lvlText w:val="o"/>
      <w:lvlJc w:val="left"/>
      <w:pPr>
        <w:ind w:left="5760" w:hanging="360"/>
      </w:pPr>
      <w:rPr>
        <w:rFonts w:ascii="Courier New" w:hAnsi="Courier New" w:cs="Courier New" w:hint="default"/>
      </w:rPr>
    </w:lvl>
    <w:lvl w:ilvl="8" w:tplc="EC423C84" w:tentative="1">
      <w:start w:val="1"/>
      <w:numFmt w:val="bullet"/>
      <w:lvlText w:val=""/>
      <w:lvlJc w:val="left"/>
      <w:pPr>
        <w:ind w:left="6480" w:hanging="360"/>
      </w:pPr>
      <w:rPr>
        <w:rFonts w:ascii="Wingdings" w:hAnsi="Wingdings" w:hint="default"/>
      </w:rPr>
    </w:lvl>
  </w:abstractNum>
  <w:abstractNum w:abstractNumId="10"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AE4636"/>
    <w:multiLevelType w:val="hybridMultilevel"/>
    <w:tmpl w:val="F6363D2A"/>
    <w:lvl w:ilvl="0" w:tplc="E586DFAA">
      <w:start w:val="1"/>
      <w:numFmt w:val="bullet"/>
      <w:lvlText w:val=""/>
      <w:lvlJc w:val="left"/>
      <w:pPr>
        <w:ind w:left="720" w:hanging="360"/>
      </w:pPr>
      <w:rPr>
        <w:rFonts w:ascii="Symbol" w:hAnsi="Symbol" w:hint="default"/>
        <w:color w:val="auto"/>
      </w:rPr>
    </w:lvl>
    <w:lvl w:ilvl="1" w:tplc="881036CA">
      <w:start w:val="1"/>
      <w:numFmt w:val="bullet"/>
      <w:lvlText w:val="o"/>
      <w:lvlJc w:val="left"/>
      <w:pPr>
        <w:ind w:left="1440" w:hanging="360"/>
      </w:pPr>
      <w:rPr>
        <w:rFonts w:ascii="Courier New" w:hAnsi="Courier New" w:cs="Courier New" w:hint="default"/>
      </w:rPr>
    </w:lvl>
    <w:lvl w:ilvl="2" w:tplc="5A5042FC" w:tentative="1">
      <w:start w:val="1"/>
      <w:numFmt w:val="bullet"/>
      <w:lvlText w:val=""/>
      <w:lvlJc w:val="left"/>
      <w:pPr>
        <w:ind w:left="2160" w:hanging="360"/>
      </w:pPr>
      <w:rPr>
        <w:rFonts w:ascii="Wingdings" w:hAnsi="Wingdings" w:hint="default"/>
      </w:rPr>
    </w:lvl>
    <w:lvl w:ilvl="3" w:tplc="1F3CA91C" w:tentative="1">
      <w:start w:val="1"/>
      <w:numFmt w:val="bullet"/>
      <w:lvlText w:val=""/>
      <w:lvlJc w:val="left"/>
      <w:pPr>
        <w:ind w:left="2880" w:hanging="360"/>
      </w:pPr>
      <w:rPr>
        <w:rFonts w:ascii="Symbol" w:hAnsi="Symbol" w:hint="default"/>
      </w:rPr>
    </w:lvl>
    <w:lvl w:ilvl="4" w:tplc="2F80ABDC" w:tentative="1">
      <w:start w:val="1"/>
      <w:numFmt w:val="bullet"/>
      <w:lvlText w:val="o"/>
      <w:lvlJc w:val="left"/>
      <w:pPr>
        <w:ind w:left="3600" w:hanging="360"/>
      </w:pPr>
      <w:rPr>
        <w:rFonts w:ascii="Courier New" w:hAnsi="Courier New" w:cs="Courier New" w:hint="default"/>
      </w:rPr>
    </w:lvl>
    <w:lvl w:ilvl="5" w:tplc="B65C6EE2" w:tentative="1">
      <w:start w:val="1"/>
      <w:numFmt w:val="bullet"/>
      <w:lvlText w:val=""/>
      <w:lvlJc w:val="left"/>
      <w:pPr>
        <w:ind w:left="4320" w:hanging="360"/>
      </w:pPr>
      <w:rPr>
        <w:rFonts w:ascii="Wingdings" w:hAnsi="Wingdings" w:hint="default"/>
      </w:rPr>
    </w:lvl>
    <w:lvl w:ilvl="6" w:tplc="488EC7D2" w:tentative="1">
      <w:start w:val="1"/>
      <w:numFmt w:val="bullet"/>
      <w:lvlText w:val=""/>
      <w:lvlJc w:val="left"/>
      <w:pPr>
        <w:ind w:left="5040" w:hanging="360"/>
      </w:pPr>
      <w:rPr>
        <w:rFonts w:ascii="Symbol" w:hAnsi="Symbol" w:hint="default"/>
      </w:rPr>
    </w:lvl>
    <w:lvl w:ilvl="7" w:tplc="4A0C050E" w:tentative="1">
      <w:start w:val="1"/>
      <w:numFmt w:val="bullet"/>
      <w:lvlText w:val="o"/>
      <w:lvlJc w:val="left"/>
      <w:pPr>
        <w:ind w:left="5760" w:hanging="360"/>
      </w:pPr>
      <w:rPr>
        <w:rFonts w:ascii="Courier New" w:hAnsi="Courier New" w:cs="Courier New" w:hint="default"/>
      </w:rPr>
    </w:lvl>
    <w:lvl w:ilvl="8" w:tplc="5FC8DE3C" w:tentative="1">
      <w:start w:val="1"/>
      <w:numFmt w:val="bullet"/>
      <w:lvlText w:val=""/>
      <w:lvlJc w:val="left"/>
      <w:pPr>
        <w:ind w:left="6480" w:hanging="360"/>
      </w:pPr>
      <w:rPr>
        <w:rFonts w:ascii="Wingdings" w:hAnsi="Wingdings" w:hint="default"/>
      </w:rPr>
    </w:lvl>
  </w:abstractNum>
  <w:abstractNum w:abstractNumId="12" w15:restartNumberingAfterBreak="0">
    <w:nsid w:val="58A15BB1"/>
    <w:multiLevelType w:val="hybridMultilevel"/>
    <w:tmpl w:val="79C858D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456429"/>
    <w:multiLevelType w:val="multilevel"/>
    <w:tmpl w:val="3E500C8C"/>
    <w:lvl w:ilvl="0">
      <w:start w:val="1"/>
      <w:numFmt w:val="decimal"/>
      <w:lvlText w:val="%1."/>
      <w:lvlJc w:val="left"/>
      <w:pPr>
        <w:ind w:left="369" w:hanging="369"/>
      </w:pPr>
      <w:rPr>
        <w:rFonts w:ascii="Arial" w:hAnsi="Arial" w:hint="default"/>
        <w:b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E0F0BBE"/>
    <w:multiLevelType w:val="hybridMultilevel"/>
    <w:tmpl w:val="49D85BF0"/>
    <w:lvl w:ilvl="0" w:tplc="0C09001B">
      <w:start w:val="1"/>
      <w:numFmt w:val="lowerRoman"/>
      <w:lvlText w:val="%1."/>
      <w:lvlJc w:val="right"/>
      <w:pPr>
        <w:ind w:left="1458" w:hanging="360"/>
      </w:pPr>
    </w:lvl>
    <w:lvl w:ilvl="1" w:tplc="0C090019" w:tentative="1">
      <w:start w:val="1"/>
      <w:numFmt w:val="lowerLetter"/>
      <w:lvlText w:val="%2."/>
      <w:lvlJc w:val="left"/>
      <w:pPr>
        <w:ind w:left="2178" w:hanging="360"/>
      </w:pPr>
    </w:lvl>
    <w:lvl w:ilvl="2" w:tplc="0C09001B" w:tentative="1">
      <w:start w:val="1"/>
      <w:numFmt w:val="lowerRoman"/>
      <w:lvlText w:val="%3."/>
      <w:lvlJc w:val="right"/>
      <w:pPr>
        <w:ind w:left="2898" w:hanging="180"/>
      </w:pPr>
    </w:lvl>
    <w:lvl w:ilvl="3" w:tplc="0C09000F" w:tentative="1">
      <w:start w:val="1"/>
      <w:numFmt w:val="decimal"/>
      <w:lvlText w:val="%4."/>
      <w:lvlJc w:val="left"/>
      <w:pPr>
        <w:ind w:left="3618" w:hanging="360"/>
      </w:pPr>
    </w:lvl>
    <w:lvl w:ilvl="4" w:tplc="0C090019" w:tentative="1">
      <w:start w:val="1"/>
      <w:numFmt w:val="lowerLetter"/>
      <w:lvlText w:val="%5."/>
      <w:lvlJc w:val="left"/>
      <w:pPr>
        <w:ind w:left="4338" w:hanging="360"/>
      </w:pPr>
    </w:lvl>
    <w:lvl w:ilvl="5" w:tplc="0C09001B" w:tentative="1">
      <w:start w:val="1"/>
      <w:numFmt w:val="lowerRoman"/>
      <w:lvlText w:val="%6."/>
      <w:lvlJc w:val="right"/>
      <w:pPr>
        <w:ind w:left="5058" w:hanging="180"/>
      </w:pPr>
    </w:lvl>
    <w:lvl w:ilvl="6" w:tplc="0C09000F" w:tentative="1">
      <w:start w:val="1"/>
      <w:numFmt w:val="decimal"/>
      <w:lvlText w:val="%7."/>
      <w:lvlJc w:val="left"/>
      <w:pPr>
        <w:ind w:left="5778" w:hanging="360"/>
      </w:pPr>
    </w:lvl>
    <w:lvl w:ilvl="7" w:tplc="0C090019" w:tentative="1">
      <w:start w:val="1"/>
      <w:numFmt w:val="lowerLetter"/>
      <w:lvlText w:val="%8."/>
      <w:lvlJc w:val="left"/>
      <w:pPr>
        <w:ind w:left="6498" w:hanging="360"/>
      </w:pPr>
    </w:lvl>
    <w:lvl w:ilvl="8" w:tplc="0C09001B" w:tentative="1">
      <w:start w:val="1"/>
      <w:numFmt w:val="lowerRoman"/>
      <w:lvlText w:val="%9."/>
      <w:lvlJc w:val="right"/>
      <w:pPr>
        <w:ind w:left="7218" w:hanging="180"/>
      </w:pPr>
    </w:lvl>
  </w:abstractNum>
  <w:abstractNum w:abstractNumId="15" w15:restartNumberingAfterBreak="0">
    <w:nsid w:val="71AD5B4F"/>
    <w:multiLevelType w:val="hybridMultilevel"/>
    <w:tmpl w:val="BC524B96"/>
    <w:lvl w:ilvl="0" w:tplc="12C8CF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7A2110A4"/>
    <w:multiLevelType w:val="hybridMultilevel"/>
    <w:tmpl w:val="B4943B54"/>
    <w:lvl w:ilvl="0" w:tplc="F2541106">
      <w:start w:val="1"/>
      <w:numFmt w:val="bullet"/>
      <w:lvlText w:val=""/>
      <w:lvlJc w:val="left"/>
      <w:pPr>
        <w:ind w:left="360" w:hanging="360"/>
      </w:pPr>
      <w:rPr>
        <w:rFonts w:ascii="Symbol" w:hAnsi="Symbol" w:hint="default"/>
        <w:color w:val="auto"/>
      </w:rPr>
    </w:lvl>
    <w:lvl w:ilvl="1" w:tplc="739E1378">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9A3EE2"/>
    <w:multiLevelType w:val="hybridMultilevel"/>
    <w:tmpl w:val="46BAA430"/>
    <w:lvl w:ilvl="0" w:tplc="6A5002DE">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6"/>
  </w:num>
  <w:num w:numId="5">
    <w:abstractNumId w:val="13"/>
  </w:num>
  <w:num w:numId="6">
    <w:abstractNumId w:val="10"/>
  </w:num>
  <w:num w:numId="7">
    <w:abstractNumId w:val="4"/>
  </w:num>
  <w:num w:numId="8">
    <w:abstractNumId w:val="8"/>
  </w:num>
  <w:num w:numId="9">
    <w:abstractNumId w:val="9"/>
  </w:num>
  <w:num w:numId="10">
    <w:abstractNumId w:val="1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5"/>
  </w:num>
  <w:num w:numId="15">
    <w:abstractNumId w:val="17"/>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2"/>
  </w:num>
  <w:num w:numId="23">
    <w:abstractNumId w:val="1"/>
  </w:num>
  <w:num w:numId="24">
    <w:abstractNumId w:val="0"/>
  </w:num>
  <w:num w:numId="25">
    <w:abstractNumId w:val="14"/>
  </w:num>
  <w:num w:numId="26">
    <w:abstractNumId w:val="6"/>
  </w:num>
  <w:num w:numId="27">
    <w:abstractNumId w:val="18"/>
  </w:num>
  <w:num w:numId="28">
    <w:abstractNumId w:val="10"/>
  </w:num>
  <w:num w:numId="29">
    <w:abstractNumId w:val="10"/>
  </w:num>
  <w:num w:numId="3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776"/>
    <w:rsid w:val="00004AEE"/>
    <w:rsid w:val="00005CAA"/>
    <w:rsid w:val="00010210"/>
    <w:rsid w:val="000123D7"/>
    <w:rsid w:val="00012D66"/>
    <w:rsid w:val="00015ADA"/>
    <w:rsid w:val="00020C99"/>
    <w:rsid w:val="00022481"/>
    <w:rsid w:val="00026F42"/>
    <w:rsid w:val="0002707B"/>
    <w:rsid w:val="00031B32"/>
    <w:rsid w:val="00037B92"/>
    <w:rsid w:val="00040C20"/>
    <w:rsid w:val="00042092"/>
    <w:rsid w:val="0005148E"/>
    <w:rsid w:val="00052E1D"/>
    <w:rsid w:val="000547F0"/>
    <w:rsid w:val="0005749D"/>
    <w:rsid w:val="00062A46"/>
    <w:rsid w:val="00073DC6"/>
    <w:rsid w:val="000759E5"/>
    <w:rsid w:val="0007601C"/>
    <w:rsid w:val="00083445"/>
    <w:rsid w:val="00084AC6"/>
    <w:rsid w:val="00085816"/>
    <w:rsid w:val="00091608"/>
    <w:rsid w:val="0009196E"/>
    <w:rsid w:val="00092F92"/>
    <w:rsid w:val="0009333C"/>
    <w:rsid w:val="00093E5E"/>
    <w:rsid w:val="0009468B"/>
    <w:rsid w:val="00094729"/>
    <w:rsid w:val="0009704F"/>
    <w:rsid w:val="000A0F11"/>
    <w:rsid w:val="000A125A"/>
    <w:rsid w:val="000A18CD"/>
    <w:rsid w:val="000A228F"/>
    <w:rsid w:val="000A335E"/>
    <w:rsid w:val="000A57CD"/>
    <w:rsid w:val="000B16A9"/>
    <w:rsid w:val="000B2FF3"/>
    <w:rsid w:val="000B3758"/>
    <w:rsid w:val="000B5DC8"/>
    <w:rsid w:val="000B7681"/>
    <w:rsid w:val="000B7B42"/>
    <w:rsid w:val="000C02B7"/>
    <w:rsid w:val="000C2814"/>
    <w:rsid w:val="000C451B"/>
    <w:rsid w:val="000C5342"/>
    <w:rsid w:val="000C706A"/>
    <w:rsid w:val="000C7739"/>
    <w:rsid w:val="000D2887"/>
    <w:rsid w:val="000D56BF"/>
    <w:rsid w:val="000D6D63"/>
    <w:rsid w:val="000D706B"/>
    <w:rsid w:val="000D7810"/>
    <w:rsid w:val="000E0081"/>
    <w:rsid w:val="000E07CF"/>
    <w:rsid w:val="000E2139"/>
    <w:rsid w:val="000F240D"/>
    <w:rsid w:val="000F2EFB"/>
    <w:rsid w:val="00100BEF"/>
    <w:rsid w:val="00102E17"/>
    <w:rsid w:val="00111EF1"/>
    <w:rsid w:val="0011498E"/>
    <w:rsid w:val="00116F28"/>
    <w:rsid w:val="0011757A"/>
    <w:rsid w:val="00117A45"/>
    <w:rsid w:val="001224AE"/>
    <w:rsid w:val="00123035"/>
    <w:rsid w:val="0012388C"/>
    <w:rsid w:val="001246CF"/>
    <w:rsid w:val="001337D4"/>
    <w:rsid w:val="001340EA"/>
    <w:rsid w:val="00141E02"/>
    <w:rsid w:val="00147C12"/>
    <w:rsid w:val="00147EFC"/>
    <w:rsid w:val="0015091C"/>
    <w:rsid w:val="001527A1"/>
    <w:rsid w:val="001530DC"/>
    <w:rsid w:val="001539AF"/>
    <w:rsid w:val="00154989"/>
    <w:rsid w:val="00155A9F"/>
    <w:rsid w:val="0015684F"/>
    <w:rsid w:val="00157355"/>
    <w:rsid w:val="00160262"/>
    <w:rsid w:val="001611F9"/>
    <w:rsid w:val="0016186F"/>
    <w:rsid w:val="0016281C"/>
    <w:rsid w:val="0016433A"/>
    <w:rsid w:val="0016780A"/>
    <w:rsid w:val="001678E1"/>
    <w:rsid w:val="001713FA"/>
    <w:rsid w:val="00173EBF"/>
    <w:rsid w:val="001765DA"/>
    <w:rsid w:val="00182682"/>
    <w:rsid w:val="00183DFB"/>
    <w:rsid w:val="00183FF8"/>
    <w:rsid w:val="00184077"/>
    <w:rsid w:val="001842A2"/>
    <w:rsid w:val="00185039"/>
    <w:rsid w:val="00185407"/>
    <w:rsid w:val="00186465"/>
    <w:rsid w:val="00187FA8"/>
    <w:rsid w:val="00190F23"/>
    <w:rsid w:val="001922D0"/>
    <w:rsid w:val="00192F5E"/>
    <w:rsid w:val="00197772"/>
    <w:rsid w:val="001A51C8"/>
    <w:rsid w:val="001A6CE6"/>
    <w:rsid w:val="001B472B"/>
    <w:rsid w:val="001B4CA8"/>
    <w:rsid w:val="001C2A92"/>
    <w:rsid w:val="001C4370"/>
    <w:rsid w:val="001C4F3D"/>
    <w:rsid w:val="001C565C"/>
    <w:rsid w:val="001D0CDC"/>
    <w:rsid w:val="001D1D82"/>
    <w:rsid w:val="001D5AD0"/>
    <w:rsid w:val="001E1182"/>
    <w:rsid w:val="001E2E34"/>
    <w:rsid w:val="001E4DF9"/>
    <w:rsid w:val="001F0E8B"/>
    <w:rsid w:val="001F13C5"/>
    <w:rsid w:val="001F37A7"/>
    <w:rsid w:val="00200944"/>
    <w:rsid w:val="00202387"/>
    <w:rsid w:val="00202C90"/>
    <w:rsid w:val="00213DE8"/>
    <w:rsid w:val="00216118"/>
    <w:rsid w:val="002209AB"/>
    <w:rsid w:val="00223CF2"/>
    <w:rsid w:val="002251E3"/>
    <w:rsid w:val="002262E6"/>
    <w:rsid w:val="00227A95"/>
    <w:rsid w:val="002316BD"/>
    <w:rsid w:val="00233687"/>
    <w:rsid w:val="002336F3"/>
    <w:rsid w:val="00233E4C"/>
    <w:rsid w:val="00234F0E"/>
    <w:rsid w:val="00237F22"/>
    <w:rsid w:val="00241DF3"/>
    <w:rsid w:val="0024664E"/>
    <w:rsid w:val="002473FC"/>
    <w:rsid w:val="00252E3C"/>
    <w:rsid w:val="00262198"/>
    <w:rsid w:val="00264083"/>
    <w:rsid w:val="00264AF9"/>
    <w:rsid w:val="00265D32"/>
    <w:rsid w:val="002718E1"/>
    <w:rsid w:val="002760D6"/>
    <w:rsid w:val="00277426"/>
    <w:rsid w:val="00277A51"/>
    <w:rsid w:val="00280F63"/>
    <w:rsid w:val="00281F30"/>
    <w:rsid w:val="00284430"/>
    <w:rsid w:val="00285F1B"/>
    <w:rsid w:val="00291857"/>
    <w:rsid w:val="00292B81"/>
    <w:rsid w:val="0029322E"/>
    <w:rsid w:val="00294A0A"/>
    <w:rsid w:val="00296477"/>
    <w:rsid w:val="002974BC"/>
    <w:rsid w:val="002A510F"/>
    <w:rsid w:val="002A5EC3"/>
    <w:rsid w:val="002A785A"/>
    <w:rsid w:val="002B18AE"/>
    <w:rsid w:val="002B4B15"/>
    <w:rsid w:val="002B6472"/>
    <w:rsid w:val="002B67D3"/>
    <w:rsid w:val="002C1AF5"/>
    <w:rsid w:val="002C1C93"/>
    <w:rsid w:val="002C24B8"/>
    <w:rsid w:val="002C3257"/>
    <w:rsid w:val="002C3738"/>
    <w:rsid w:val="002C4281"/>
    <w:rsid w:val="002C5066"/>
    <w:rsid w:val="002C626B"/>
    <w:rsid w:val="002C6383"/>
    <w:rsid w:val="002D4AAC"/>
    <w:rsid w:val="002D6C33"/>
    <w:rsid w:val="002E1AB0"/>
    <w:rsid w:val="002E43EF"/>
    <w:rsid w:val="002E535D"/>
    <w:rsid w:val="002F045A"/>
    <w:rsid w:val="0030039D"/>
    <w:rsid w:val="00300715"/>
    <w:rsid w:val="00300A0A"/>
    <w:rsid w:val="0030326F"/>
    <w:rsid w:val="00304A62"/>
    <w:rsid w:val="00310701"/>
    <w:rsid w:val="00311510"/>
    <w:rsid w:val="003138AC"/>
    <w:rsid w:val="00313EF1"/>
    <w:rsid w:val="00315980"/>
    <w:rsid w:val="00316F7F"/>
    <w:rsid w:val="00320162"/>
    <w:rsid w:val="0032087E"/>
    <w:rsid w:val="003218E8"/>
    <w:rsid w:val="00327247"/>
    <w:rsid w:val="00330DCE"/>
    <w:rsid w:val="00331E11"/>
    <w:rsid w:val="00333953"/>
    <w:rsid w:val="00334761"/>
    <w:rsid w:val="00337EBC"/>
    <w:rsid w:val="0034033E"/>
    <w:rsid w:val="003405A9"/>
    <w:rsid w:val="00341DCD"/>
    <w:rsid w:val="00341F40"/>
    <w:rsid w:val="00343E78"/>
    <w:rsid w:val="0034504D"/>
    <w:rsid w:val="0034563E"/>
    <w:rsid w:val="003504CC"/>
    <w:rsid w:val="003518D6"/>
    <w:rsid w:val="00354369"/>
    <w:rsid w:val="0035460C"/>
    <w:rsid w:val="003556BD"/>
    <w:rsid w:val="00364E6D"/>
    <w:rsid w:val="00365147"/>
    <w:rsid w:val="0037016E"/>
    <w:rsid w:val="00370E55"/>
    <w:rsid w:val="00372908"/>
    <w:rsid w:val="00374CBF"/>
    <w:rsid w:val="00376457"/>
    <w:rsid w:val="0037694D"/>
    <w:rsid w:val="00381917"/>
    <w:rsid w:val="00382BC9"/>
    <w:rsid w:val="00383020"/>
    <w:rsid w:val="00383750"/>
    <w:rsid w:val="0038550D"/>
    <w:rsid w:val="0038582D"/>
    <w:rsid w:val="003868FD"/>
    <w:rsid w:val="0039584A"/>
    <w:rsid w:val="003975FD"/>
    <w:rsid w:val="00397ACC"/>
    <w:rsid w:val="00397B5C"/>
    <w:rsid w:val="003A0593"/>
    <w:rsid w:val="003A0CD0"/>
    <w:rsid w:val="003A0D96"/>
    <w:rsid w:val="003B3CAA"/>
    <w:rsid w:val="003B54C2"/>
    <w:rsid w:val="003B5A88"/>
    <w:rsid w:val="003B60CC"/>
    <w:rsid w:val="003C1B25"/>
    <w:rsid w:val="003C2443"/>
    <w:rsid w:val="003C31E0"/>
    <w:rsid w:val="003C5DA3"/>
    <w:rsid w:val="003C6D4E"/>
    <w:rsid w:val="003D3969"/>
    <w:rsid w:val="003D4BCD"/>
    <w:rsid w:val="003D6371"/>
    <w:rsid w:val="003D7E8C"/>
    <w:rsid w:val="003E01D8"/>
    <w:rsid w:val="003E0FF6"/>
    <w:rsid w:val="003E1A7F"/>
    <w:rsid w:val="003E2100"/>
    <w:rsid w:val="003E2135"/>
    <w:rsid w:val="003E2BDB"/>
    <w:rsid w:val="003E45FA"/>
    <w:rsid w:val="003E53CA"/>
    <w:rsid w:val="003E5ED5"/>
    <w:rsid w:val="003F0CB7"/>
    <w:rsid w:val="003F44E5"/>
    <w:rsid w:val="003F62E2"/>
    <w:rsid w:val="003F6F5B"/>
    <w:rsid w:val="00400F8F"/>
    <w:rsid w:val="00401A1B"/>
    <w:rsid w:val="00402E11"/>
    <w:rsid w:val="0040342D"/>
    <w:rsid w:val="00403FB9"/>
    <w:rsid w:val="00405E1C"/>
    <w:rsid w:val="00410ABC"/>
    <w:rsid w:val="004118D4"/>
    <w:rsid w:val="0041192D"/>
    <w:rsid w:val="0041275D"/>
    <w:rsid w:val="00413EE1"/>
    <w:rsid w:val="0042040B"/>
    <w:rsid w:val="0042128E"/>
    <w:rsid w:val="004218BB"/>
    <w:rsid w:val="0042465A"/>
    <w:rsid w:val="00432B60"/>
    <w:rsid w:val="004333E6"/>
    <w:rsid w:val="004376A7"/>
    <w:rsid w:val="00440698"/>
    <w:rsid w:val="004416BC"/>
    <w:rsid w:val="0044730C"/>
    <w:rsid w:val="00450600"/>
    <w:rsid w:val="004540E2"/>
    <w:rsid w:val="00454454"/>
    <w:rsid w:val="00455D89"/>
    <w:rsid w:val="00467924"/>
    <w:rsid w:val="004712A5"/>
    <w:rsid w:val="0047266F"/>
    <w:rsid w:val="004756EB"/>
    <w:rsid w:val="00476D6B"/>
    <w:rsid w:val="0048018F"/>
    <w:rsid w:val="0048362C"/>
    <w:rsid w:val="004861E6"/>
    <w:rsid w:val="0049013A"/>
    <w:rsid w:val="00492C16"/>
    <w:rsid w:val="004A0678"/>
    <w:rsid w:val="004A127D"/>
    <w:rsid w:val="004A48A3"/>
    <w:rsid w:val="004A4DEE"/>
    <w:rsid w:val="004A7B85"/>
    <w:rsid w:val="004B0D92"/>
    <w:rsid w:val="004B0EC0"/>
    <w:rsid w:val="004B32B2"/>
    <w:rsid w:val="004B5A51"/>
    <w:rsid w:val="004B66F1"/>
    <w:rsid w:val="004C3B7B"/>
    <w:rsid w:val="004C3EA0"/>
    <w:rsid w:val="004D1F2D"/>
    <w:rsid w:val="004D327F"/>
    <w:rsid w:val="004D46F2"/>
    <w:rsid w:val="004D74CD"/>
    <w:rsid w:val="004E0704"/>
    <w:rsid w:val="004E26D2"/>
    <w:rsid w:val="004F0C39"/>
    <w:rsid w:val="004F32CC"/>
    <w:rsid w:val="004F3D69"/>
    <w:rsid w:val="004F5837"/>
    <w:rsid w:val="004F7169"/>
    <w:rsid w:val="00500D66"/>
    <w:rsid w:val="005036A6"/>
    <w:rsid w:val="005046C1"/>
    <w:rsid w:val="0051115A"/>
    <w:rsid w:val="00511E3E"/>
    <w:rsid w:val="00512A7B"/>
    <w:rsid w:val="00514C8E"/>
    <w:rsid w:val="00517F35"/>
    <w:rsid w:val="005229E7"/>
    <w:rsid w:val="00523A57"/>
    <w:rsid w:val="00523ED3"/>
    <w:rsid w:val="005259BC"/>
    <w:rsid w:val="00531DBF"/>
    <w:rsid w:val="00532FC4"/>
    <w:rsid w:val="005337FC"/>
    <w:rsid w:val="00540485"/>
    <w:rsid w:val="00544688"/>
    <w:rsid w:val="00545759"/>
    <w:rsid w:val="00545BE0"/>
    <w:rsid w:val="00545C36"/>
    <w:rsid w:val="0055107F"/>
    <w:rsid w:val="00553AAC"/>
    <w:rsid w:val="00554C6A"/>
    <w:rsid w:val="00562E85"/>
    <w:rsid w:val="00562EFB"/>
    <w:rsid w:val="0056332F"/>
    <w:rsid w:val="00566598"/>
    <w:rsid w:val="00567A8E"/>
    <w:rsid w:val="00575EC2"/>
    <w:rsid w:val="00581C39"/>
    <w:rsid w:val="005834A4"/>
    <w:rsid w:val="00584F6B"/>
    <w:rsid w:val="005903B6"/>
    <w:rsid w:val="00592B20"/>
    <w:rsid w:val="00592F31"/>
    <w:rsid w:val="00594A5D"/>
    <w:rsid w:val="005968F4"/>
    <w:rsid w:val="005A0247"/>
    <w:rsid w:val="005A126E"/>
    <w:rsid w:val="005A1E54"/>
    <w:rsid w:val="005A452F"/>
    <w:rsid w:val="005A703F"/>
    <w:rsid w:val="005B0855"/>
    <w:rsid w:val="005B140D"/>
    <w:rsid w:val="005B250A"/>
    <w:rsid w:val="005B30B9"/>
    <w:rsid w:val="005B4F9A"/>
    <w:rsid w:val="005C1FEA"/>
    <w:rsid w:val="005C3495"/>
    <w:rsid w:val="005C3785"/>
    <w:rsid w:val="005C43E1"/>
    <w:rsid w:val="005C655D"/>
    <w:rsid w:val="005E13EA"/>
    <w:rsid w:val="005E15E0"/>
    <w:rsid w:val="005E32A2"/>
    <w:rsid w:val="005E3889"/>
    <w:rsid w:val="005E3DFC"/>
    <w:rsid w:val="005E3EEA"/>
    <w:rsid w:val="005E60AF"/>
    <w:rsid w:val="005E7B4E"/>
    <w:rsid w:val="005F1DEA"/>
    <w:rsid w:val="005F3F56"/>
    <w:rsid w:val="005F4932"/>
    <w:rsid w:val="00602FCB"/>
    <w:rsid w:val="00607A31"/>
    <w:rsid w:val="00607FC9"/>
    <w:rsid w:val="00610955"/>
    <w:rsid w:val="0061490C"/>
    <w:rsid w:val="00616861"/>
    <w:rsid w:val="00616F91"/>
    <w:rsid w:val="00622B29"/>
    <w:rsid w:val="00622FE1"/>
    <w:rsid w:val="0062521C"/>
    <w:rsid w:val="00630A2B"/>
    <w:rsid w:val="00630BA2"/>
    <w:rsid w:val="0063283F"/>
    <w:rsid w:val="00632DC7"/>
    <w:rsid w:val="00633896"/>
    <w:rsid w:val="00634F6F"/>
    <w:rsid w:val="006357FB"/>
    <w:rsid w:val="006368E0"/>
    <w:rsid w:val="00637239"/>
    <w:rsid w:val="006406FC"/>
    <w:rsid w:val="0064407B"/>
    <w:rsid w:val="00646122"/>
    <w:rsid w:val="00653E16"/>
    <w:rsid w:val="00657220"/>
    <w:rsid w:val="0066104B"/>
    <w:rsid w:val="00661419"/>
    <w:rsid w:val="006646B6"/>
    <w:rsid w:val="006655EE"/>
    <w:rsid w:val="00667C10"/>
    <w:rsid w:val="00667EF4"/>
    <w:rsid w:val="00672B85"/>
    <w:rsid w:val="00673B97"/>
    <w:rsid w:val="00674E59"/>
    <w:rsid w:val="00676FCA"/>
    <w:rsid w:val="00677177"/>
    <w:rsid w:val="0068056B"/>
    <w:rsid w:val="00684F79"/>
    <w:rsid w:val="0068612E"/>
    <w:rsid w:val="00687858"/>
    <w:rsid w:val="00687C92"/>
    <w:rsid w:val="006903B7"/>
    <w:rsid w:val="00691977"/>
    <w:rsid w:val="00692CF9"/>
    <w:rsid w:val="006935B3"/>
    <w:rsid w:val="0069534E"/>
    <w:rsid w:val="00696365"/>
    <w:rsid w:val="0069669C"/>
    <w:rsid w:val="006A1200"/>
    <w:rsid w:val="006A2011"/>
    <w:rsid w:val="006A2C5A"/>
    <w:rsid w:val="006A4F4E"/>
    <w:rsid w:val="006A7D83"/>
    <w:rsid w:val="006B14DB"/>
    <w:rsid w:val="006B21C4"/>
    <w:rsid w:val="006B603A"/>
    <w:rsid w:val="006C43F4"/>
    <w:rsid w:val="006C458F"/>
    <w:rsid w:val="006C4A1A"/>
    <w:rsid w:val="006C4DA7"/>
    <w:rsid w:val="006C7DAD"/>
    <w:rsid w:val="006D0393"/>
    <w:rsid w:val="006D1A83"/>
    <w:rsid w:val="006D2E5C"/>
    <w:rsid w:val="006D5D1E"/>
    <w:rsid w:val="006D6ACE"/>
    <w:rsid w:val="006E1762"/>
    <w:rsid w:val="006E1CFE"/>
    <w:rsid w:val="006E31A2"/>
    <w:rsid w:val="006E6D10"/>
    <w:rsid w:val="006F0273"/>
    <w:rsid w:val="006F10C4"/>
    <w:rsid w:val="006F40E9"/>
    <w:rsid w:val="006F5603"/>
    <w:rsid w:val="00701400"/>
    <w:rsid w:val="007036C0"/>
    <w:rsid w:val="007037CF"/>
    <w:rsid w:val="00703BB8"/>
    <w:rsid w:val="00704B37"/>
    <w:rsid w:val="007058D0"/>
    <w:rsid w:val="00712A8B"/>
    <w:rsid w:val="00714B40"/>
    <w:rsid w:val="0071655A"/>
    <w:rsid w:val="00716583"/>
    <w:rsid w:val="007167C0"/>
    <w:rsid w:val="007203C3"/>
    <w:rsid w:val="00720481"/>
    <w:rsid w:val="00721642"/>
    <w:rsid w:val="00721BC7"/>
    <w:rsid w:val="00724ECA"/>
    <w:rsid w:val="0072510B"/>
    <w:rsid w:val="00727C18"/>
    <w:rsid w:val="00727E2F"/>
    <w:rsid w:val="00733193"/>
    <w:rsid w:val="00737CBA"/>
    <w:rsid w:val="00743723"/>
    <w:rsid w:val="00745318"/>
    <w:rsid w:val="00747AE2"/>
    <w:rsid w:val="007515F6"/>
    <w:rsid w:val="00752FF8"/>
    <w:rsid w:val="00754C17"/>
    <w:rsid w:val="007567C5"/>
    <w:rsid w:val="00756F07"/>
    <w:rsid w:val="0075732A"/>
    <w:rsid w:val="00760262"/>
    <w:rsid w:val="00761316"/>
    <w:rsid w:val="00761510"/>
    <w:rsid w:val="0076292D"/>
    <w:rsid w:val="0076310C"/>
    <w:rsid w:val="0076358C"/>
    <w:rsid w:val="00766009"/>
    <w:rsid w:val="0076744F"/>
    <w:rsid w:val="00767BCE"/>
    <w:rsid w:val="00767EFC"/>
    <w:rsid w:val="007707DE"/>
    <w:rsid w:val="00770B5D"/>
    <w:rsid w:val="007742FA"/>
    <w:rsid w:val="007752F1"/>
    <w:rsid w:val="00776768"/>
    <w:rsid w:val="007805B9"/>
    <w:rsid w:val="00782D61"/>
    <w:rsid w:val="00784E40"/>
    <w:rsid w:val="00786314"/>
    <w:rsid w:val="00786C49"/>
    <w:rsid w:val="00787D99"/>
    <w:rsid w:val="00791024"/>
    <w:rsid w:val="007921C6"/>
    <w:rsid w:val="00794818"/>
    <w:rsid w:val="00795EF2"/>
    <w:rsid w:val="0079779D"/>
    <w:rsid w:val="007A092A"/>
    <w:rsid w:val="007A153A"/>
    <w:rsid w:val="007A2573"/>
    <w:rsid w:val="007A3B9C"/>
    <w:rsid w:val="007B047A"/>
    <w:rsid w:val="007B106C"/>
    <w:rsid w:val="007B11FD"/>
    <w:rsid w:val="007B1A4E"/>
    <w:rsid w:val="007B23EA"/>
    <w:rsid w:val="007B3D05"/>
    <w:rsid w:val="007B5503"/>
    <w:rsid w:val="007B761C"/>
    <w:rsid w:val="007C0713"/>
    <w:rsid w:val="007C0A23"/>
    <w:rsid w:val="007C2351"/>
    <w:rsid w:val="007C4ADD"/>
    <w:rsid w:val="007C6BB3"/>
    <w:rsid w:val="007C7C4C"/>
    <w:rsid w:val="007D14B4"/>
    <w:rsid w:val="007D3AD7"/>
    <w:rsid w:val="007D442F"/>
    <w:rsid w:val="007D6588"/>
    <w:rsid w:val="007E24F6"/>
    <w:rsid w:val="007F4327"/>
    <w:rsid w:val="00800E6A"/>
    <w:rsid w:val="00800F64"/>
    <w:rsid w:val="00801FB7"/>
    <w:rsid w:val="00802F0B"/>
    <w:rsid w:val="00803DE8"/>
    <w:rsid w:val="00804922"/>
    <w:rsid w:val="00810A67"/>
    <w:rsid w:val="00812660"/>
    <w:rsid w:val="0081315B"/>
    <w:rsid w:val="00815742"/>
    <w:rsid w:val="00815C9D"/>
    <w:rsid w:val="00817179"/>
    <w:rsid w:val="0082069A"/>
    <w:rsid w:val="00820A1A"/>
    <w:rsid w:val="0083094F"/>
    <w:rsid w:val="0083394B"/>
    <w:rsid w:val="00833CF7"/>
    <w:rsid w:val="008348C3"/>
    <w:rsid w:val="00837E21"/>
    <w:rsid w:val="00843160"/>
    <w:rsid w:val="00845601"/>
    <w:rsid w:val="00851B41"/>
    <w:rsid w:val="008524B9"/>
    <w:rsid w:val="00855C5C"/>
    <w:rsid w:val="0086233C"/>
    <w:rsid w:val="00865CFA"/>
    <w:rsid w:val="008664CB"/>
    <w:rsid w:val="0087120B"/>
    <w:rsid w:val="008715B3"/>
    <w:rsid w:val="00881FD8"/>
    <w:rsid w:val="00883CE7"/>
    <w:rsid w:val="008938F7"/>
    <w:rsid w:val="008A0C10"/>
    <w:rsid w:val="008A187F"/>
    <w:rsid w:val="008A214D"/>
    <w:rsid w:val="008A3C96"/>
    <w:rsid w:val="008B0BBA"/>
    <w:rsid w:val="008B1627"/>
    <w:rsid w:val="008B4019"/>
    <w:rsid w:val="008B505F"/>
    <w:rsid w:val="008B65C9"/>
    <w:rsid w:val="008B79A5"/>
    <w:rsid w:val="008C00AD"/>
    <w:rsid w:val="008C2B75"/>
    <w:rsid w:val="008C2D4A"/>
    <w:rsid w:val="008C6A05"/>
    <w:rsid w:val="008C7DBB"/>
    <w:rsid w:val="008D3900"/>
    <w:rsid w:val="008D4772"/>
    <w:rsid w:val="008D6E1D"/>
    <w:rsid w:val="008D6EDB"/>
    <w:rsid w:val="008E0FD8"/>
    <w:rsid w:val="008E2AE1"/>
    <w:rsid w:val="008E36FE"/>
    <w:rsid w:val="008E784A"/>
    <w:rsid w:val="008F39B4"/>
    <w:rsid w:val="008F3D2B"/>
    <w:rsid w:val="008F4162"/>
    <w:rsid w:val="00903E02"/>
    <w:rsid w:val="00906325"/>
    <w:rsid w:val="009110D5"/>
    <w:rsid w:val="00913175"/>
    <w:rsid w:val="00916EDB"/>
    <w:rsid w:val="00917252"/>
    <w:rsid w:val="00917759"/>
    <w:rsid w:val="00917D72"/>
    <w:rsid w:val="00920861"/>
    <w:rsid w:val="00922B13"/>
    <w:rsid w:val="009242EF"/>
    <w:rsid w:val="00924AB9"/>
    <w:rsid w:val="0092615F"/>
    <w:rsid w:val="009271CC"/>
    <w:rsid w:val="0092786B"/>
    <w:rsid w:val="0093162C"/>
    <w:rsid w:val="00932291"/>
    <w:rsid w:val="00933B1B"/>
    <w:rsid w:val="0093408E"/>
    <w:rsid w:val="0094014D"/>
    <w:rsid w:val="00940467"/>
    <w:rsid w:val="009405F0"/>
    <w:rsid w:val="00942973"/>
    <w:rsid w:val="00945BAC"/>
    <w:rsid w:val="00947507"/>
    <w:rsid w:val="00952DDF"/>
    <w:rsid w:val="00952EC4"/>
    <w:rsid w:val="00953D2D"/>
    <w:rsid w:val="0095611E"/>
    <w:rsid w:val="00957799"/>
    <w:rsid w:val="00972423"/>
    <w:rsid w:val="009812D4"/>
    <w:rsid w:val="009816D3"/>
    <w:rsid w:val="00982653"/>
    <w:rsid w:val="009869BA"/>
    <w:rsid w:val="009873F4"/>
    <w:rsid w:val="00991997"/>
    <w:rsid w:val="009920D8"/>
    <w:rsid w:val="00997C3F"/>
    <w:rsid w:val="009A02D7"/>
    <w:rsid w:val="009A29CA"/>
    <w:rsid w:val="009A33BC"/>
    <w:rsid w:val="009A371F"/>
    <w:rsid w:val="009A4869"/>
    <w:rsid w:val="009B38BE"/>
    <w:rsid w:val="009B4556"/>
    <w:rsid w:val="009B682F"/>
    <w:rsid w:val="009C1A4E"/>
    <w:rsid w:val="009C3D0F"/>
    <w:rsid w:val="009C74DB"/>
    <w:rsid w:val="009D0F23"/>
    <w:rsid w:val="009D13D5"/>
    <w:rsid w:val="009D6232"/>
    <w:rsid w:val="009E0891"/>
    <w:rsid w:val="009E1B19"/>
    <w:rsid w:val="009E1D6D"/>
    <w:rsid w:val="009E39A7"/>
    <w:rsid w:val="009E42AE"/>
    <w:rsid w:val="009E67BE"/>
    <w:rsid w:val="009E79B6"/>
    <w:rsid w:val="009E7F55"/>
    <w:rsid w:val="009F22F8"/>
    <w:rsid w:val="009F35E2"/>
    <w:rsid w:val="009F438B"/>
    <w:rsid w:val="009F65F9"/>
    <w:rsid w:val="009F68BA"/>
    <w:rsid w:val="00A06277"/>
    <w:rsid w:val="00A06325"/>
    <w:rsid w:val="00A07196"/>
    <w:rsid w:val="00A079DC"/>
    <w:rsid w:val="00A1037A"/>
    <w:rsid w:val="00A10BAB"/>
    <w:rsid w:val="00A10EA4"/>
    <w:rsid w:val="00A111C2"/>
    <w:rsid w:val="00A11FC8"/>
    <w:rsid w:val="00A12BE8"/>
    <w:rsid w:val="00A17C39"/>
    <w:rsid w:val="00A21440"/>
    <w:rsid w:val="00A238AA"/>
    <w:rsid w:val="00A24608"/>
    <w:rsid w:val="00A30633"/>
    <w:rsid w:val="00A30BCD"/>
    <w:rsid w:val="00A338E7"/>
    <w:rsid w:val="00A35CAA"/>
    <w:rsid w:val="00A363B9"/>
    <w:rsid w:val="00A36E7F"/>
    <w:rsid w:val="00A41E65"/>
    <w:rsid w:val="00A426F9"/>
    <w:rsid w:val="00A43517"/>
    <w:rsid w:val="00A43E0A"/>
    <w:rsid w:val="00A46247"/>
    <w:rsid w:val="00A46805"/>
    <w:rsid w:val="00A47F07"/>
    <w:rsid w:val="00A530C7"/>
    <w:rsid w:val="00A55EF2"/>
    <w:rsid w:val="00A55F5B"/>
    <w:rsid w:val="00A56DFC"/>
    <w:rsid w:val="00A60185"/>
    <w:rsid w:val="00A611EE"/>
    <w:rsid w:val="00A622EC"/>
    <w:rsid w:val="00A63192"/>
    <w:rsid w:val="00A661EA"/>
    <w:rsid w:val="00A66263"/>
    <w:rsid w:val="00A6775C"/>
    <w:rsid w:val="00A70A6C"/>
    <w:rsid w:val="00A72182"/>
    <w:rsid w:val="00A75CDB"/>
    <w:rsid w:val="00A830E5"/>
    <w:rsid w:val="00A83DF5"/>
    <w:rsid w:val="00A84BF3"/>
    <w:rsid w:val="00A87135"/>
    <w:rsid w:val="00A87320"/>
    <w:rsid w:val="00A906FB"/>
    <w:rsid w:val="00A93280"/>
    <w:rsid w:val="00A93C73"/>
    <w:rsid w:val="00A951EA"/>
    <w:rsid w:val="00A95542"/>
    <w:rsid w:val="00A961A6"/>
    <w:rsid w:val="00A973E1"/>
    <w:rsid w:val="00A97A73"/>
    <w:rsid w:val="00A97F71"/>
    <w:rsid w:val="00AA1C65"/>
    <w:rsid w:val="00AA2548"/>
    <w:rsid w:val="00AA3B6E"/>
    <w:rsid w:val="00AA58C4"/>
    <w:rsid w:val="00AA7F13"/>
    <w:rsid w:val="00AB0CF4"/>
    <w:rsid w:val="00AB104C"/>
    <w:rsid w:val="00AB11C8"/>
    <w:rsid w:val="00AB2248"/>
    <w:rsid w:val="00AC08A8"/>
    <w:rsid w:val="00AC4139"/>
    <w:rsid w:val="00AC618C"/>
    <w:rsid w:val="00AC63B3"/>
    <w:rsid w:val="00AD20F6"/>
    <w:rsid w:val="00AD2C7A"/>
    <w:rsid w:val="00AD56C8"/>
    <w:rsid w:val="00AD58F2"/>
    <w:rsid w:val="00AD6642"/>
    <w:rsid w:val="00AD673C"/>
    <w:rsid w:val="00AE5712"/>
    <w:rsid w:val="00AF3D66"/>
    <w:rsid w:val="00AF5EA3"/>
    <w:rsid w:val="00AF6573"/>
    <w:rsid w:val="00AF65FE"/>
    <w:rsid w:val="00AF7690"/>
    <w:rsid w:val="00AF7B0A"/>
    <w:rsid w:val="00B00393"/>
    <w:rsid w:val="00B00D43"/>
    <w:rsid w:val="00B0512A"/>
    <w:rsid w:val="00B0529F"/>
    <w:rsid w:val="00B05D52"/>
    <w:rsid w:val="00B10D17"/>
    <w:rsid w:val="00B1418B"/>
    <w:rsid w:val="00B151A0"/>
    <w:rsid w:val="00B1520C"/>
    <w:rsid w:val="00B1560E"/>
    <w:rsid w:val="00B16AA6"/>
    <w:rsid w:val="00B20F84"/>
    <w:rsid w:val="00B21195"/>
    <w:rsid w:val="00B22B3D"/>
    <w:rsid w:val="00B22B57"/>
    <w:rsid w:val="00B24B22"/>
    <w:rsid w:val="00B25310"/>
    <w:rsid w:val="00B31E5D"/>
    <w:rsid w:val="00B32F8F"/>
    <w:rsid w:val="00B37F93"/>
    <w:rsid w:val="00B401D3"/>
    <w:rsid w:val="00B41E1E"/>
    <w:rsid w:val="00B42C1C"/>
    <w:rsid w:val="00B461ED"/>
    <w:rsid w:val="00B4690F"/>
    <w:rsid w:val="00B47C42"/>
    <w:rsid w:val="00B50A48"/>
    <w:rsid w:val="00B510B1"/>
    <w:rsid w:val="00B51441"/>
    <w:rsid w:val="00B54DE9"/>
    <w:rsid w:val="00B553EC"/>
    <w:rsid w:val="00B55870"/>
    <w:rsid w:val="00B60059"/>
    <w:rsid w:val="00B70FE5"/>
    <w:rsid w:val="00B751E2"/>
    <w:rsid w:val="00B77732"/>
    <w:rsid w:val="00B80D6D"/>
    <w:rsid w:val="00B8136A"/>
    <w:rsid w:val="00B829F5"/>
    <w:rsid w:val="00B91473"/>
    <w:rsid w:val="00B9154F"/>
    <w:rsid w:val="00B93DD0"/>
    <w:rsid w:val="00B96AF1"/>
    <w:rsid w:val="00B9760A"/>
    <w:rsid w:val="00B97732"/>
    <w:rsid w:val="00BA0735"/>
    <w:rsid w:val="00BA0849"/>
    <w:rsid w:val="00BA098B"/>
    <w:rsid w:val="00BA0A18"/>
    <w:rsid w:val="00BA1E27"/>
    <w:rsid w:val="00BA56D7"/>
    <w:rsid w:val="00BA65A8"/>
    <w:rsid w:val="00BA6A97"/>
    <w:rsid w:val="00BA6D19"/>
    <w:rsid w:val="00BA7461"/>
    <w:rsid w:val="00BA7DA9"/>
    <w:rsid w:val="00BB0367"/>
    <w:rsid w:val="00BC2969"/>
    <w:rsid w:val="00BC4215"/>
    <w:rsid w:val="00BC7A47"/>
    <w:rsid w:val="00BD0396"/>
    <w:rsid w:val="00BD0DA3"/>
    <w:rsid w:val="00BD1A6F"/>
    <w:rsid w:val="00BD5B71"/>
    <w:rsid w:val="00BE27B5"/>
    <w:rsid w:val="00BE6D3C"/>
    <w:rsid w:val="00BE7852"/>
    <w:rsid w:val="00BF21A7"/>
    <w:rsid w:val="00BF51A7"/>
    <w:rsid w:val="00BF6D87"/>
    <w:rsid w:val="00BF7CEE"/>
    <w:rsid w:val="00C03880"/>
    <w:rsid w:val="00C03B25"/>
    <w:rsid w:val="00C135CF"/>
    <w:rsid w:val="00C2683F"/>
    <w:rsid w:val="00C3184D"/>
    <w:rsid w:val="00C37525"/>
    <w:rsid w:val="00C43084"/>
    <w:rsid w:val="00C43644"/>
    <w:rsid w:val="00C467BD"/>
    <w:rsid w:val="00C4714E"/>
    <w:rsid w:val="00C50941"/>
    <w:rsid w:val="00C5504F"/>
    <w:rsid w:val="00C55991"/>
    <w:rsid w:val="00C60A1A"/>
    <w:rsid w:val="00C63376"/>
    <w:rsid w:val="00C66CB4"/>
    <w:rsid w:val="00C74764"/>
    <w:rsid w:val="00C74F97"/>
    <w:rsid w:val="00C75DD7"/>
    <w:rsid w:val="00C76A08"/>
    <w:rsid w:val="00C803D7"/>
    <w:rsid w:val="00C8276E"/>
    <w:rsid w:val="00C83AD1"/>
    <w:rsid w:val="00C842AC"/>
    <w:rsid w:val="00C85B7B"/>
    <w:rsid w:val="00C90A99"/>
    <w:rsid w:val="00C92AD5"/>
    <w:rsid w:val="00C93152"/>
    <w:rsid w:val="00C93FD9"/>
    <w:rsid w:val="00C96688"/>
    <w:rsid w:val="00CA0723"/>
    <w:rsid w:val="00CA4542"/>
    <w:rsid w:val="00CA6509"/>
    <w:rsid w:val="00CB038B"/>
    <w:rsid w:val="00CB1690"/>
    <w:rsid w:val="00CB2C9D"/>
    <w:rsid w:val="00CB6D76"/>
    <w:rsid w:val="00CC27E7"/>
    <w:rsid w:val="00CC2B33"/>
    <w:rsid w:val="00CC4365"/>
    <w:rsid w:val="00CD0CE5"/>
    <w:rsid w:val="00CD11B0"/>
    <w:rsid w:val="00CD275A"/>
    <w:rsid w:val="00CD2BAD"/>
    <w:rsid w:val="00CD5E0E"/>
    <w:rsid w:val="00CD75BB"/>
    <w:rsid w:val="00CD7E84"/>
    <w:rsid w:val="00CE71C2"/>
    <w:rsid w:val="00CF2242"/>
    <w:rsid w:val="00CF2E7E"/>
    <w:rsid w:val="00CF42D5"/>
    <w:rsid w:val="00CF4DD7"/>
    <w:rsid w:val="00CF4EDA"/>
    <w:rsid w:val="00CF562A"/>
    <w:rsid w:val="00CF5929"/>
    <w:rsid w:val="00CF625B"/>
    <w:rsid w:val="00D00281"/>
    <w:rsid w:val="00D01E11"/>
    <w:rsid w:val="00D021CB"/>
    <w:rsid w:val="00D04217"/>
    <w:rsid w:val="00D05A4D"/>
    <w:rsid w:val="00D10C4C"/>
    <w:rsid w:val="00D10F1A"/>
    <w:rsid w:val="00D116F8"/>
    <w:rsid w:val="00D14266"/>
    <w:rsid w:val="00D15280"/>
    <w:rsid w:val="00D17596"/>
    <w:rsid w:val="00D22640"/>
    <w:rsid w:val="00D26D3A"/>
    <w:rsid w:val="00D36C75"/>
    <w:rsid w:val="00D4055D"/>
    <w:rsid w:val="00D40DCC"/>
    <w:rsid w:val="00D441B2"/>
    <w:rsid w:val="00D45C91"/>
    <w:rsid w:val="00D45EE3"/>
    <w:rsid w:val="00D50618"/>
    <w:rsid w:val="00D509E9"/>
    <w:rsid w:val="00D51845"/>
    <w:rsid w:val="00D53696"/>
    <w:rsid w:val="00D53B1C"/>
    <w:rsid w:val="00D60233"/>
    <w:rsid w:val="00D61714"/>
    <w:rsid w:val="00D620BE"/>
    <w:rsid w:val="00D622B9"/>
    <w:rsid w:val="00D63911"/>
    <w:rsid w:val="00D652C8"/>
    <w:rsid w:val="00D656FF"/>
    <w:rsid w:val="00D657A8"/>
    <w:rsid w:val="00D65AAD"/>
    <w:rsid w:val="00D65D3F"/>
    <w:rsid w:val="00D73238"/>
    <w:rsid w:val="00D74FCA"/>
    <w:rsid w:val="00D82328"/>
    <w:rsid w:val="00D82448"/>
    <w:rsid w:val="00D82AFF"/>
    <w:rsid w:val="00D83615"/>
    <w:rsid w:val="00D83AAD"/>
    <w:rsid w:val="00D84735"/>
    <w:rsid w:val="00D90AAA"/>
    <w:rsid w:val="00D92CBD"/>
    <w:rsid w:val="00D97037"/>
    <w:rsid w:val="00DA1B12"/>
    <w:rsid w:val="00DA4F90"/>
    <w:rsid w:val="00DA54C9"/>
    <w:rsid w:val="00DA6739"/>
    <w:rsid w:val="00DA6CAE"/>
    <w:rsid w:val="00DB1A9E"/>
    <w:rsid w:val="00DB20E4"/>
    <w:rsid w:val="00DB31D6"/>
    <w:rsid w:val="00DB3296"/>
    <w:rsid w:val="00DB4005"/>
    <w:rsid w:val="00DB44AD"/>
    <w:rsid w:val="00DB44E2"/>
    <w:rsid w:val="00DB61F1"/>
    <w:rsid w:val="00DB7881"/>
    <w:rsid w:val="00DC325B"/>
    <w:rsid w:val="00DC34EB"/>
    <w:rsid w:val="00DC4E2E"/>
    <w:rsid w:val="00DC738A"/>
    <w:rsid w:val="00DC7876"/>
    <w:rsid w:val="00DC78C0"/>
    <w:rsid w:val="00DD2256"/>
    <w:rsid w:val="00DE2C10"/>
    <w:rsid w:val="00DE57D9"/>
    <w:rsid w:val="00DF14C9"/>
    <w:rsid w:val="00DF1E5B"/>
    <w:rsid w:val="00DF2044"/>
    <w:rsid w:val="00DF2275"/>
    <w:rsid w:val="00DF35AA"/>
    <w:rsid w:val="00DF3F5E"/>
    <w:rsid w:val="00DF5461"/>
    <w:rsid w:val="00DF5653"/>
    <w:rsid w:val="00E008B5"/>
    <w:rsid w:val="00E04240"/>
    <w:rsid w:val="00E0596E"/>
    <w:rsid w:val="00E06CFE"/>
    <w:rsid w:val="00E06F66"/>
    <w:rsid w:val="00E1795C"/>
    <w:rsid w:val="00E20426"/>
    <w:rsid w:val="00E2111A"/>
    <w:rsid w:val="00E21678"/>
    <w:rsid w:val="00E25E9B"/>
    <w:rsid w:val="00E270CE"/>
    <w:rsid w:val="00E344AA"/>
    <w:rsid w:val="00E356E5"/>
    <w:rsid w:val="00E36F81"/>
    <w:rsid w:val="00E378A8"/>
    <w:rsid w:val="00E40B9B"/>
    <w:rsid w:val="00E45765"/>
    <w:rsid w:val="00E5098C"/>
    <w:rsid w:val="00E54ECD"/>
    <w:rsid w:val="00E574EF"/>
    <w:rsid w:val="00E57CD8"/>
    <w:rsid w:val="00E57E07"/>
    <w:rsid w:val="00E60213"/>
    <w:rsid w:val="00E62A23"/>
    <w:rsid w:val="00E64614"/>
    <w:rsid w:val="00E661B2"/>
    <w:rsid w:val="00E74D29"/>
    <w:rsid w:val="00E75171"/>
    <w:rsid w:val="00E806FF"/>
    <w:rsid w:val="00E80813"/>
    <w:rsid w:val="00E83C74"/>
    <w:rsid w:val="00E83CEE"/>
    <w:rsid w:val="00E85BEF"/>
    <w:rsid w:val="00E86A49"/>
    <w:rsid w:val="00E87251"/>
    <w:rsid w:val="00E91F18"/>
    <w:rsid w:val="00E9226D"/>
    <w:rsid w:val="00E95CBD"/>
    <w:rsid w:val="00E96424"/>
    <w:rsid w:val="00EA0121"/>
    <w:rsid w:val="00EA19CC"/>
    <w:rsid w:val="00EA2A91"/>
    <w:rsid w:val="00EA2C67"/>
    <w:rsid w:val="00EA416C"/>
    <w:rsid w:val="00EA5941"/>
    <w:rsid w:val="00EA7009"/>
    <w:rsid w:val="00EB0865"/>
    <w:rsid w:val="00EB5E48"/>
    <w:rsid w:val="00EB60CE"/>
    <w:rsid w:val="00EB7D53"/>
    <w:rsid w:val="00EC32E2"/>
    <w:rsid w:val="00EC37F0"/>
    <w:rsid w:val="00EC50AC"/>
    <w:rsid w:val="00EC596B"/>
    <w:rsid w:val="00ED3F58"/>
    <w:rsid w:val="00ED5EEB"/>
    <w:rsid w:val="00EE13C5"/>
    <w:rsid w:val="00EE3146"/>
    <w:rsid w:val="00EF50BB"/>
    <w:rsid w:val="00EF5270"/>
    <w:rsid w:val="00EF5E59"/>
    <w:rsid w:val="00EF71E4"/>
    <w:rsid w:val="00EF7693"/>
    <w:rsid w:val="00F00192"/>
    <w:rsid w:val="00F01DF6"/>
    <w:rsid w:val="00F027B8"/>
    <w:rsid w:val="00F0340D"/>
    <w:rsid w:val="00F035F2"/>
    <w:rsid w:val="00F059A6"/>
    <w:rsid w:val="00F12594"/>
    <w:rsid w:val="00F13A52"/>
    <w:rsid w:val="00F14A04"/>
    <w:rsid w:val="00F14D3D"/>
    <w:rsid w:val="00F23756"/>
    <w:rsid w:val="00F2464C"/>
    <w:rsid w:val="00F2523A"/>
    <w:rsid w:val="00F255CA"/>
    <w:rsid w:val="00F25FFA"/>
    <w:rsid w:val="00F310D2"/>
    <w:rsid w:val="00F31E11"/>
    <w:rsid w:val="00F3516A"/>
    <w:rsid w:val="00F36F3D"/>
    <w:rsid w:val="00F37C48"/>
    <w:rsid w:val="00F424D7"/>
    <w:rsid w:val="00F42AB7"/>
    <w:rsid w:val="00F477BD"/>
    <w:rsid w:val="00F50333"/>
    <w:rsid w:val="00F53491"/>
    <w:rsid w:val="00F54656"/>
    <w:rsid w:val="00F55386"/>
    <w:rsid w:val="00F56411"/>
    <w:rsid w:val="00F5651C"/>
    <w:rsid w:val="00F57354"/>
    <w:rsid w:val="00F60181"/>
    <w:rsid w:val="00F657D7"/>
    <w:rsid w:val="00F657EC"/>
    <w:rsid w:val="00F65A1C"/>
    <w:rsid w:val="00F65BB0"/>
    <w:rsid w:val="00F66F50"/>
    <w:rsid w:val="00F7628B"/>
    <w:rsid w:val="00F77432"/>
    <w:rsid w:val="00F80701"/>
    <w:rsid w:val="00F81162"/>
    <w:rsid w:val="00F820CE"/>
    <w:rsid w:val="00F82FF8"/>
    <w:rsid w:val="00F8330D"/>
    <w:rsid w:val="00F84305"/>
    <w:rsid w:val="00F8485C"/>
    <w:rsid w:val="00F84A29"/>
    <w:rsid w:val="00F87149"/>
    <w:rsid w:val="00F87FFE"/>
    <w:rsid w:val="00F9118E"/>
    <w:rsid w:val="00F9138D"/>
    <w:rsid w:val="00F954C9"/>
    <w:rsid w:val="00F96156"/>
    <w:rsid w:val="00F96A35"/>
    <w:rsid w:val="00FA3060"/>
    <w:rsid w:val="00FA4CF0"/>
    <w:rsid w:val="00FA61AA"/>
    <w:rsid w:val="00FA69A4"/>
    <w:rsid w:val="00FB1279"/>
    <w:rsid w:val="00FB148B"/>
    <w:rsid w:val="00FB1495"/>
    <w:rsid w:val="00FB308B"/>
    <w:rsid w:val="00FC0929"/>
    <w:rsid w:val="00FC09C4"/>
    <w:rsid w:val="00FC20C0"/>
    <w:rsid w:val="00FC20F8"/>
    <w:rsid w:val="00FC294A"/>
    <w:rsid w:val="00FC3629"/>
    <w:rsid w:val="00FC4E6E"/>
    <w:rsid w:val="00FD1694"/>
    <w:rsid w:val="00FD2134"/>
    <w:rsid w:val="00FD2DF8"/>
    <w:rsid w:val="00FD7636"/>
    <w:rsid w:val="00FE3229"/>
    <w:rsid w:val="00FE4485"/>
    <w:rsid w:val="00FE74C3"/>
    <w:rsid w:val="00FF215C"/>
    <w:rsid w:val="00FF49E8"/>
    <w:rsid w:val="00FF672F"/>
    <w:rsid w:val="00FF7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0521BA"/>
  <w15:docId w15:val="{63A62ECE-7199-4815-A7D2-5F936DBB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qFormat/>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0612">
      <w:bodyDiv w:val="1"/>
      <w:marLeft w:val="0"/>
      <w:marRight w:val="0"/>
      <w:marTop w:val="0"/>
      <w:marBottom w:val="0"/>
      <w:divBdr>
        <w:top w:val="none" w:sz="0" w:space="0" w:color="auto"/>
        <w:left w:val="none" w:sz="0" w:space="0" w:color="auto"/>
        <w:bottom w:val="none" w:sz="0" w:space="0" w:color="auto"/>
        <w:right w:val="none" w:sz="0" w:space="0" w:color="auto"/>
      </w:divBdr>
    </w:div>
    <w:div w:id="368379857">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3852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waterquality.gov.au/anz-guidelines" TargetMode="External"/><Relationship Id="rId18" Type="http://schemas.openxmlformats.org/officeDocument/2006/relationships/hyperlink" Target="http://iesc.environment.gov.au/publications/information-guidelines-explanatory-note-uncertainty-analysi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pgp.nsw.gov.au/docs/Guideline%20for%20Gateway%20Applicants.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iesc.environment.gov.au/system/files/resources/012fa918-ee79-4131-9c8d-02c9b2de65cf/files/iesc-information-guidelines-may-2018.pdf" TargetMode="External"/><Relationship Id="rId25" Type="http://schemas.openxmlformats.org/officeDocument/2006/relationships/hyperlink" Target="http://www.whitehavencoal.com.au/narrabri-north-environmental-management/" TargetMode="External"/><Relationship Id="rId2" Type="http://schemas.openxmlformats.org/officeDocument/2006/relationships/styles" Target="styles.xml"/><Relationship Id="rId16" Type="http://schemas.openxmlformats.org/officeDocument/2006/relationships/hyperlink" Target="https://opus.lib.uts.edu.au/bitstream/10453/37864/1/hess-GDE%20review%20FINAL19-4229-2015.pdf" TargetMode="External"/><Relationship Id="rId20" Type="http://schemas.openxmlformats.org/officeDocument/2006/relationships/hyperlink" Target="http://archive.lls.nsw.gov.au/__data/assets/pdf_file/0003/496362/archive_namoi-catchment-action-plan-2010-20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archive.water.nsw.gov.au/__data/assets/pdf_file/0005/547682/gde_risk_assessment_guidelines_volume_1_final_accessible.pdf" TargetMode="External"/><Relationship Id="rId5" Type="http://schemas.openxmlformats.org/officeDocument/2006/relationships/footnotes" Target="footnotes.xml"/><Relationship Id="rId15" Type="http://schemas.openxmlformats.org/officeDocument/2006/relationships/hyperlink" Target="http://iesc.environment.gov.au/publications/information-guidelines-explanatory-note-assessing-groundwater-dependent-ecosystems" TargetMode="External"/><Relationship Id="rId23" Type="http://schemas.openxmlformats.org/officeDocument/2006/relationships/hyperlink" Target="http://webarchive.nla.gov.au/gov/20160615084626/http://archive.nwc.gov.au/library/waterlines/69-70" TargetMode="External"/><Relationship Id="rId10" Type="http://schemas.openxmlformats.org/officeDocument/2006/relationships/footer" Target="footer2.xml"/><Relationship Id="rId19" Type="http://schemas.openxmlformats.org/officeDocument/2006/relationships/hyperlink" Target="http://minerals.org.au/water-accounting-framework-australian-minerals-industr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ater.nsw.gov.au/__data/assets/pdf_file/0020/701732/Status-and-Issues-Paper-Namoi-GW-WRP.pdf" TargetMode="External"/><Relationship Id="rId22" Type="http://schemas.openxmlformats.org/officeDocument/2006/relationships/hyperlink" Target="http://www.dpi.nsw.gov.au/__data/assets/pdf_file/0006/171573/Lowland-Darling-River-aquatic-ecological-community.pdf"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2C19A698.dotm</Template>
  <TotalTime>1</TotalTime>
  <Pages>11</Pages>
  <Words>5628</Words>
  <Characters>32083</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37636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Narrabri Underground Mine Stage 3 Extension Project (Narrabri Mine Extension) (State Ref No 9882) – Expansion</dc:title>
  <dc:creator>IESC</dc:creator>
  <cp:lastModifiedBy>Bec Durack</cp:lastModifiedBy>
  <cp:revision>2</cp:revision>
  <dcterms:created xsi:type="dcterms:W3CDTF">2019-05-01T03:49:00Z</dcterms:created>
  <dcterms:modified xsi:type="dcterms:W3CDTF">2019-05-01T03:49:00Z</dcterms:modified>
</cp:coreProperties>
</file>