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7B8" w:rsidRDefault="00F027B8" w:rsidP="00277A51">
      <w:pPr>
        <w:pStyle w:val="Header"/>
        <w:suppressLineNumbers/>
      </w:pPr>
      <w:r w:rsidRPr="00F027B8">
        <w:rPr>
          <w:noProof/>
          <w:lang w:eastAsia="en-AU"/>
        </w:rPr>
        <w:drawing>
          <wp:anchor distT="0" distB="0" distL="114300" distR="114300" simplePos="0" relativeHeight="251658240" behindDoc="0" locked="0" layoutInCell="1" allowOverlap="1">
            <wp:simplePos x="0" y="0"/>
            <wp:positionH relativeFrom="column">
              <wp:posOffset>-903976</wp:posOffset>
            </wp:positionH>
            <wp:positionV relativeFrom="paragraph">
              <wp:posOffset>-879894</wp:posOffset>
            </wp:positionV>
            <wp:extent cx="7572195" cy="2355011"/>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7572195" cy="2355011"/>
                    </a:xfrm>
                    <a:prstGeom prst="rect">
                      <a:avLst/>
                    </a:prstGeom>
                    <a:noFill/>
                    <a:ln w="9525">
                      <a:noFill/>
                      <a:miter lim="800000"/>
                      <a:headEnd/>
                      <a:tailEnd/>
                    </a:ln>
                  </pic:spPr>
                </pic:pic>
              </a:graphicData>
            </a:graphic>
          </wp:anchor>
        </w:drawing>
      </w:r>
    </w:p>
    <w:p w:rsidR="00F027B8" w:rsidRDefault="00F027B8" w:rsidP="00277A51">
      <w:pPr>
        <w:pStyle w:val="Header"/>
        <w:suppressLineNumbers/>
      </w:pPr>
    </w:p>
    <w:p w:rsidR="00F027B8" w:rsidRDefault="00F027B8" w:rsidP="00277A51">
      <w:pPr>
        <w:pStyle w:val="Header"/>
        <w:suppressLineNumbers/>
      </w:pPr>
    </w:p>
    <w:p w:rsidR="00F027B8" w:rsidRDefault="00F027B8" w:rsidP="00277A51">
      <w:pPr>
        <w:pStyle w:val="Header"/>
        <w:suppressLineNumbers/>
      </w:pPr>
    </w:p>
    <w:p w:rsidR="00F027B8" w:rsidRPr="00D622B9" w:rsidRDefault="00F027B8" w:rsidP="00277A51">
      <w:pPr>
        <w:pStyle w:val="Heading1"/>
        <w:suppressLineNumbers/>
      </w:pPr>
    </w:p>
    <w:p w:rsidR="001765DA" w:rsidRPr="00D622B9" w:rsidRDefault="00F027B8" w:rsidP="00277A51">
      <w:pPr>
        <w:pStyle w:val="Heading1"/>
        <w:suppressLineNumbers/>
      </w:pPr>
      <w:r w:rsidRPr="00D622B9">
        <w:t>Advi</w:t>
      </w:r>
      <w:r w:rsidR="001765DA" w:rsidRPr="00D622B9">
        <w:t>ce to decision maker on coal mining</w:t>
      </w:r>
      <w:r w:rsidR="00AF7032">
        <w:t xml:space="preserve"> project</w:t>
      </w:r>
    </w:p>
    <w:p w:rsidR="004861E6" w:rsidRDefault="00D10C4C" w:rsidP="00277A51">
      <w:pPr>
        <w:pStyle w:val="Heading2"/>
        <w:suppressLineNumbers/>
      </w:pPr>
      <w:bookmarkStart w:id="0" w:name="OLE_LINK1"/>
      <w:bookmarkStart w:id="1" w:name="OLE_LINK2"/>
      <w:r w:rsidRPr="00704B37">
        <w:t>IESC</w:t>
      </w:r>
      <w:r w:rsidRPr="00EF5270">
        <w:t xml:space="preserve"> </w:t>
      </w:r>
      <w:r w:rsidR="00C43084" w:rsidRPr="00AF7032">
        <w:t>201</w:t>
      </w:r>
      <w:r w:rsidR="00AF7032" w:rsidRPr="00AF7032">
        <w:t>5</w:t>
      </w:r>
      <w:r w:rsidR="00CC27E7" w:rsidRPr="00AF7032">
        <w:t>-</w:t>
      </w:r>
      <w:r w:rsidR="00AF7032" w:rsidRPr="00AF7032">
        <w:t>062</w:t>
      </w:r>
      <w:r w:rsidR="001765DA" w:rsidRPr="00AF7032">
        <w:t>:</w:t>
      </w:r>
      <w:r w:rsidR="002974BC" w:rsidRPr="00AF7032">
        <w:t xml:space="preserve"> </w:t>
      </w:r>
      <w:r w:rsidR="00AF7032" w:rsidRPr="00AF7032">
        <w:rPr>
          <w:rFonts w:ascii="Arial Bold" w:hAnsi="Arial Bold"/>
        </w:rPr>
        <w:t>Mount Owen Continued Operations Project</w:t>
      </w:r>
      <w:r w:rsidR="00C803D7" w:rsidRPr="00AF7032">
        <w:t xml:space="preserve"> </w:t>
      </w:r>
      <w:r w:rsidR="00D83AAD" w:rsidRPr="00AF7032">
        <w:t>(EPBC</w:t>
      </w:r>
      <w:r w:rsidR="007B047A" w:rsidRPr="00AF7032">
        <w:t xml:space="preserve"> </w:t>
      </w:r>
      <w:r w:rsidR="00AF7032" w:rsidRPr="00AF7032">
        <w:t>2013</w:t>
      </w:r>
      <w:r w:rsidR="009110D5" w:rsidRPr="00AF7032">
        <w:t>/</w:t>
      </w:r>
      <w:r w:rsidR="00AF7032" w:rsidRPr="00AF7032">
        <w:t>6978;</w:t>
      </w:r>
      <w:r w:rsidR="007B047A" w:rsidRPr="00AF7032">
        <w:t xml:space="preserve"> </w:t>
      </w:r>
      <w:r w:rsidR="00AF7032" w:rsidRPr="00AF7032">
        <w:t>SSD 5850</w:t>
      </w:r>
      <w:r w:rsidR="00D83AAD" w:rsidRPr="00AF7032">
        <w:t xml:space="preserve">) </w:t>
      </w:r>
      <w:r w:rsidR="00C803D7" w:rsidRPr="00AF7032">
        <w:t>–</w:t>
      </w:r>
      <w:r w:rsidR="00AF7032" w:rsidRPr="00AF7032">
        <w:t xml:space="preserve">Expansion </w:t>
      </w:r>
      <w:r w:rsidR="00C803D7" w:rsidRPr="00AF7032">
        <w:t xml:space="preserve"> </w:t>
      </w:r>
    </w:p>
    <w:tbl>
      <w:tblPr>
        <w:tblW w:w="9968" w:type="dxa"/>
        <w:tblBorders>
          <w:insideH w:val="single" w:sz="4" w:space="0" w:color="auto"/>
        </w:tblBorders>
        <w:tblCellMar>
          <w:top w:w="113" w:type="dxa"/>
          <w:bottom w:w="113" w:type="dxa"/>
        </w:tblCellMar>
        <w:tblLook w:val="01E0"/>
      </w:tblPr>
      <w:tblGrid>
        <w:gridCol w:w="1809"/>
        <w:gridCol w:w="8159"/>
      </w:tblGrid>
      <w:tr w:rsidR="001765DA" w:rsidRPr="002A5EC3" w:rsidTr="009110D5">
        <w:trPr>
          <w:trHeight w:val="563"/>
        </w:trPr>
        <w:tc>
          <w:tcPr>
            <w:tcW w:w="1809" w:type="dxa"/>
            <w:tcBorders>
              <w:top w:val="single" w:sz="4" w:space="0" w:color="auto"/>
              <w:bottom w:val="single" w:sz="4" w:space="0" w:color="auto"/>
            </w:tcBorders>
          </w:tcPr>
          <w:bookmarkEnd w:id="0"/>
          <w:bookmarkEnd w:id="1"/>
          <w:p w:rsidR="001765DA" w:rsidRPr="00D622B9" w:rsidRDefault="001765DA" w:rsidP="00277A51">
            <w:pPr>
              <w:pStyle w:val="Heading6"/>
              <w:suppressLineNumbers/>
            </w:pPr>
            <w:r w:rsidRPr="00D622B9">
              <w:t>Requesting agency</w:t>
            </w:r>
          </w:p>
        </w:tc>
        <w:tc>
          <w:tcPr>
            <w:tcW w:w="8159" w:type="dxa"/>
            <w:tcBorders>
              <w:top w:val="single" w:sz="4" w:space="0" w:color="auto"/>
              <w:bottom w:val="single" w:sz="4" w:space="0" w:color="auto"/>
            </w:tcBorders>
          </w:tcPr>
          <w:p w:rsidR="00B1520C" w:rsidRPr="00D622B9" w:rsidRDefault="00B1520C" w:rsidP="00277A51">
            <w:pPr>
              <w:pStyle w:val="Tabletext"/>
              <w:suppressLineNumbers/>
            </w:pPr>
            <w:r w:rsidRPr="00D622B9">
              <w:t xml:space="preserve">The </w:t>
            </w:r>
            <w:r w:rsidR="00C43084" w:rsidRPr="00D622B9">
              <w:t xml:space="preserve">Australian Government </w:t>
            </w:r>
            <w:r w:rsidR="001765DA" w:rsidRPr="00D622B9">
              <w:t>Dep</w:t>
            </w:r>
            <w:bookmarkStart w:id="2" w:name="_GoBack"/>
            <w:bookmarkEnd w:id="2"/>
            <w:r w:rsidR="001765DA" w:rsidRPr="00D622B9">
              <w:t xml:space="preserve">artment of </w:t>
            </w:r>
            <w:r w:rsidR="00616861" w:rsidRPr="00D622B9">
              <w:t>the</w:t>
            </w:r>
            <w:r w:rsidR="001765DA" w:rsidRPr="00D622B9">
              <w:t xml:space="preserve"> Environment</w:t>
            </w:r>
            <w:r w:rsidRPr="00D622B9">
              <w:t xml:space="preserve"> </w:t>
            </w:r>
          </w:p>
          <w:p w:rsidR="003E2BDB" w:rsidRPr="00C43084" w:rsidRDefault="00B1520C" w:rsidP="00AF7032">
            <w:pPr>
              <w:pStyle w:val="Tabletext"/>
              <w:suppressLineNumbers/>
            </w:pPr>
            <w:r w:rsidRPr="00D622B9">
              <w:t xml:space="preserve">The </w:t>
            </w:r>
            <w:r w:rsidR="00C43084" w:rsidRPr="00D622B9">
              <w:t xml:space="preserve">New South Wales </w:t>
            </w:r>
            <w:r w:rsidRPr="00D622B9">
              <w:t xml:space="preserve">Department of Planning and </w:t>
            </w:r>
            <w:r w:rsidR="004B5A51" w:rsidRPr="00D622B9">
              <w:t>Environment</w:t>
            </w:r>
            <w:r w:rsidR="003E2BDB" w:rsidRPr="00D622B9">
              <w:t xml:space="preserve"> </w:t>
            </w:r>
          </w:p>
        </w:tc>
      </w:tr>
      <w:tr w:rsidR="001765DA" w:rsidRPr="002A5EC3" w:rsidTr="009110D5">
        <w:trPr>
          <w:trHeight w:val="19"/>
        </w:trPr>
        <w:tc>
          <w:tcPr>
            <w:tcW w:w="1809" w:type="dxa"/>
            <w:tcBorders>
              <w:top w:val="single" w:sz="4" w:space="0" w:color="auto"/>
              <w:bottom w:val="single" w:sz="4" w:space="0" w:color="auto"/>
            </w:tcBorders>
          </w:tcPr>
          <w:p w:rsidR="001765DA" w:rsidRPr="00D622B9" w:rsidRDefault="001765DA" w:rsidP="00277A51">
            <w:pPr>
              <w:pStyle w:val="Heading6"/>
              <w:suppressLineNumbers/>
            </w:pPr>
            <w:r w:rsidRPr="00D622B9">
              <w:t>Date of request</w:t>
            </w:r>
          </w:p>
        </w:tc>
        <w:tc>
          <w:tcPr>
            <w:tcW w:w="8159" w:type="dxa"/>
            <w:tcBorders>
              <w:top w:val="single" w:sz="4" w:space="0" w:color="auto"/>
              <w:bottom w:val="single" w:sz="4" w:space="0" w:color="auto"/>
            </w:tcBorders>
          </w:tcPr>
          <w:p w:rsidR="001765DA" w:rsidRPr="00391A5A" w:rsidRDefault="00391A5A" w:rsidP="00391A5A">
            <w:pPr>
              <w:pStyle w:val="Tabletext"/>
              <w:suppressLineNumbers/>
            </w:pPr>
            <w:r w:rsidRPr="00391A5A">
              <w:t>27 January</w:t>
            </w:r>
            <w:r w:rsidR="00A10BAB" w:rsidRPr="00391A5A">
              <w:t xml:space="preserve"> </w:t>
            </w:r>
            <w:r w:rsidR="00716583" w:rsidRPr="00391A5A">
              <w:t>201</w:t>
            </w:r>
            <w:r w:rsidRPr="00391A5A">
              <w:t>5</w:t>
            </w:r>
          </w:p>
        </w:tc>
      </w:tr>
      <w:tr w:rsidR="00185039" w:rsidRPr="002A5EC3" w:rsidTr="009110D5">
        <w:trPr>
          <w:trHeight w:val="19"/>
        </w:trPr>
        <w:tc>
          <w:tcPr>
            <w:tcW w:w="1809" w:type="dxa"/>
            <w:tcBorders>
              <w:top w:val="single" w:sz="4" w:space="0" w:color="auto"/>
              <w:bottom w:val="single" w:sz="4" w:space="0" w:color="auto"/>
            </w:tcBorders>
          </w:tcPr>
          <w:p w:rsidR="00185039" w:rsidRPr="00D622B9" w:rsidRDefault="00185039" w:rsidP="00277A51">
            <w:pPr>
              <w:pStyle w:val="Heading6"/>
              <w:suppressLineNumbers/>
            </w:pPr>
            <w:r w:rsidRPr="00D622B9">
              <w:t>Date request accepted</w:t>
            </w:r>
          </w:p>
        </w:tc>
        <w:tc>
          <w:tcPr>
            <w:tcW w:w="8159" w:type="dxa"/>
            <w:tcBorders>
              <w:top w:val="single" w:sz="4" w:space="0" w:color="auto"/>
              <w:bottom w:val="single" w:sz="4" w:space="0" w:color="auto"/>
            </w:tcBorders>
          </w:tcPr>
          <w:p w:rsidR="00185039" w:rsidRPr="00391A5A" w:rsidRDefault="00391A5A" w:rsidP="00391A5A">
            <w:pPr>
              <w:pStyle w:val="Tabletext"/>
              <w:suppressLineNumbers/>
            </w:pPr>
            <w:r w:rsidRPr="00391A5A">
              <w:t>27 January</w:t>
            </w:r>
            <w:r w:rsidR="00185039" w:rsidRPr="00391A5A">
              <w:t xml:space="preserve"> 201</w:t>
            </w:r>
            <w:r w:rsidRPr="00391A5A">
              <w:t>5</w:t>
            </w:r>
          </w:p>
        </w:tc>
      </w:tr>
      <w:tr w:rsidR="00062A46" w:rsidRPr="002A5EC3" w:rsidTr="009110D5">
        <w:trPr>
          <w:trHeight w:val="19"/>
        </w:trPr>
        <w:tc>
          <w:tcPr>
            <w:tcW w:w="1809" w:type="dxa"/>
            <w:tcBorders>
              <w:top w:val="single" w:sz="4" w:space="0" w:color="auto"/>
              <w:bottom w:val="single" w:sz="4" w:space="0" w:color="auto"/>
            </w:tcBorders>
          </w:tcPr>
          <w:p w:rsidR="00062A46" w:rsidRPr="00D622B9" w:rsidRDefault="00062A46" w:rsidP="00277A51">
            <w:pPr>
              <w:pStyle w:val="Heading6"/>
              <w:suppressLineNumbers/>
            </w:pPr>
            <w:r w:rsidRPr="00D622B9">
              <w:t xml:space="preserve">Advice stage </w:t>
            </w:r>
          </w:p>
        </w:tc>
        <w:tc>
          <w:tcPr>
            <w:tcW w:w="8159" w:type="dxa"/>
            <w:tcBorders>
              <w:top w:val="single" w:sz="4" w:space="0" w:color="auto"/>
              <w:bottom w:val="single" w:sz="4" w:space="0" w:color="auto"/>
            </w:tcBorders>
          </w:tcPr>
          <w:p w:rsidR="00062A46" w:rsidRPr="00B451D3" w:rsidRDefault="00062A46" w:rsidP="00277A51">
            <w:pPr>
              <w:pStyle w:val="Tabletext"/>
              <w:suppressLineNumbers/>
              <w:rPr>
                <w:lang w:eastAsia="en-AU"/>
              </w:rPr>
            </w:pPr>
            <w:r>
              <w:rPr>
                <w:lang w:eastAsia="en-AU"/>
              </w:rPr>
              <w:t>Assessment</w:t>
            </w:r>
          </w:p>
        </w:tc>
      </w:tr>
    </w:tbl>
    <w:p w:rsidR="00A622EC" w:rsidRPr="00186465" w:rsidRDefault="00A622EC" w:rsidP="00D622B9">
      <w:pPr>
        <w:pStyle w:val="Heading3"/>
      </w:pPr>
      <w:r w:rsidRPr="00186465">
        <w:t>Context</w:t>
      </w:r>
    </w:p>
    <w:p w:rsidR="00A622EC" w:rsidRPr="00D622B9" w:rsidRDefault="00A622EC" w:rsidP="00D622B9">
      <w:r w:rsidRPr="00D622B9">
        <w:t>The Independent Expert Scientific Committee on Coal Seam Gas and Large Coal Mining Developm</w:t>
      </w:r>
      <w:r w:rsidRPr="00C25367">
        <w:t xml:space="preserve">ent (the IESC) was requested by the Australian Government Department of the Environment </w:t>
      </w:r>
      <w:r w:rsidR="00C13DEF" w:rsidRPr="00C25367">
        <w:t>and</w:t>
      </w:r>
      <w:r w:rsidR="00D441B2" w:rsidRPr="00C25367">
        <w:t xml:space="preserve"> t</w:t>
      </w:r>
      <w:r w:rsidRPr="00C25367">
        <w:t>he New South Wa</w:t>
      </w:r>
      <w:r w:rsidR="00400F8F" w:rsidRPr="00C25367">
        <w:t>les Department of Planning and Environment</w:t>
      </w:r>
      <w:r w:rsidRPr="00C25367">
        <w:t xml:space="preserve"> to provide advice on the </w:t>
      </w:r>
      <w:r w:rsidR="00C13DEF" w:rsidRPr="00C25367">
        <w:t>Mount Owen Continued Operations Project (MOCO project)</w:t>
      </w:r>
      <w:r w:rsidR="004B5A51" w:rsidRPr="00C25367">
        <w:t xml:space="preserve"> </w:t>
      </w:r>
      <w:r w:rsidR="00C13DEF" w:rsidRPr="00C25367">
        <w:t xml:space="preserve">proposed by Mt Owen Pty Ltd (wholly owned by </w:t>
      </w:r>
      <w:proofErr w:type="spellStart"/>
      <w:r w:rsidR="00C13DEF" w:rsidRPr="00C25367">
        <w:t>Glencore</w:t>
      </w:r>
      <w:proofErr w:type="spellEnd"/>
      <w:r w:rsidR="00C13DEF" w:rsidRPr="00C25367">
        <w:t>)</w:t>
      </w:r>
      <w:r w:rsidR="00637239" w:rsidRPr="00C25367">
        <w:t xml:space="preserve"> </w:t>
      </w:r>
      <w:r w:rsidRPr="00C25367">
        <w:t xml:space="preserve">in </w:t>
      </w:r>
      <w:r w:rsidR="00C25367" w:rsidRPr="00C25367">
        <w:t>New South Wales</w:t>
      </w:r>
      <w:r w:rsidRPr="00C25367">
        <w:t>.</w:t>
      </w:r>
    </w:p>
    <w:p w:rsidR="00A622EC" w:rsidRDefault="00A622EC" w:rsidP="00D622B9">
      <w:r w:rsidRPr="00D622B9">
        <w:t xml:space="preserve">This advice draws upon aspects of information in the </w:t>
      </w:r>
      <w:r w:rsidR="00637239" w:rsidRPr="00712A8B">
        <w:t>Environmental Impact Statement</w:t>
      </w:r>
      <w:r w:rsidR="006D4D45">
        <w:t xml:space="preserve"> (EIS)</w:t>
      </w:r>
      <w:r w:rsidR="00637239" w:rsidRPr="00C25367">
        <w:t xml:space="preserve"> </w:t>
      </w:r>
      <w:r w:rsidR="00C25367" w:rsidRPr="00C25367">
        <w:t>togeth</w:t>
      </w:r>
      <w:r w:rsidRPr="00D622B9">
        <w:t xml:space="preserve">er with the expert deliberations of the IESC. The project </w:t>
      </w:r>
      <w:r w:rsidR="00C25367">
        <w:t xml:space="preserve">assessment </w:t>
      </w:r>
      <w:r w:rsidRPr="00D622B9">
        <w:t>documentation and information accessed by the IESC are listed in the source documentation at the end of this advice.</w:t>
      </w:r>
    </w:p>
    <w:p w:rsidR="00DE4402" w:rsidRDefault="00DE4402" w:rsidP="00D622B9">
      <w:r>
        <w:t xml:space="preserve">The proposed MOCO project is located in the Hunter Valley, approximately 20 km northwest of Singleton and 24 km southeast of Muswellbrook. The </w:t>
      </w:r>
      <w:r w:rsidR="00DA6DAC">
        <w:t>proposed project area is located within the Hunter River Catchment and within the sub catchments of Bowmans Creek (</w:t>
      </w:r>
      <w:r w:rsidR="00412856">
        <w:t xml:space="preserve">to the </w:t>
      </w:r>
      <w:r w:rsidR="00DA6DAC">
        <w:t>west) and Glennies Creek (</w:t>
      </w:r>
      <w:r w:rsidR="00412856">
        <w:t xml:space="preserve">to the </w:t>
      </w:r>
      <w:r w:rsidR="00DA6DAC">
        <w:t>east).</w:t>
      </w:r>
    </w:p>
    <w:p w:rsidR="000A7E58" w:rsidRPr="00D622B9" w:rsidRDefault="00DE4402" w:rsidP="00D622B9">
      <w:r>
        <w:t>The proposed MOCO project is an extension of the existing Mount Owen Operations and Ravensworth East</w:t>
      </w:r>
      <w:r w:rsidR="00B53135">
        <w:t xml:space="preserve"> open cut coal mines</w:t>
      </w:r>
      <w:r>
        <w:t>.</w:t>
      </w:r>
      <w:r w:rsidR="002F54BD">
        <w:t xml:space="preserve"> </w:t>
      </w:r>
      <w:r w:rsidR="000A7E58">
        <w:t>Under the proposal, these two mining operations will be amalgamated into a single operation</w:t>
      </w:r>
      <w:r w:rsidR="0090007A">
        <w:t xml:space="preserve"> to improve</w:t>
      </w:r>
      <w:r w:rsidR="0090007A" w:rsidRPr="0090007A">
        <w:t xml:space="preserve"> </w:t>
      </w:r>
      <w:r w:rsidR="0090007A">
        <w:t xml:space="preserve">extractive capacity and coal handling efficiency. The MOCO project </w:t>
      </w:r>
      <w:r w:rsidR="003F1988">
        <w:t>proposes to</w:t>
      </w:r>
      <w:r w:rsidR="00D34AD5">
        <w:t xml:space="preserve"> concurrent</w:t>
      </w:r>
      <w:r w:rsidR="003F1988">
        <w:t>ly</w:t>
      </w:r>
      <w:r w:rsidR="00D34AD5">
        <w:t xml:space="preserve"> exten</w:t>
      </w:r>
      <w:r w:rsidR="003F1988">
        <w:t>d</w:t>
      </w:r>
      <w:r w:rsidR="00D34AD5">
        <w:t xml:space="preserve"> and </w:t>
      </w:r>
      <w:r w:rsidR="003F1988">
        <w:t>mine, at a rate of up to 15 million tonnes per annum,</w:t>
      </w:r>
      <w:r w:rsidR="00D34AD5">
        <w:t xml:space="preserve"> </w:t>
      </w:r>
      <w:r w:rsidR="003F1988">
        <w:t>three existing open cut pits</w:t>
      </w:r>
      <w:r w:rsidR="00C61066">
        <w:t>:</w:t>
      </w:r>
      <w:r w:rsidR="00296F38">
        <w:t xml:space="preserve"> Bayswater North Pit</w:t>
      </w:r>
      <w:r w:rsidR="005775E2">
        <w:t>, Ravensworth East Resource Recovery, and the North Pit Extension (NPE).</w:t>
      </w:r>
      <w:r w:rsidR="00DA6DAC">
        <w:t xml:space="preserve"> </w:t>
      </w:r>
      <w:r w:rsidR="00347CB7">
        <w:t xml:space="preserve">Coal is proposed to be extracted from the Ravensworth to Hebden seams, within the </w:t>
      </w:r>
      <w:proofErr w:type="spellStart"/>
      <w:r w:rsidR="00347CB7">
        <w:t>Whittingham</w:t>
      </w:r>
      <w:proofErr w:type="spellEnd"/>
      <w:r w:rsidR="00347CB7">
        <w:t xml:space="preserve"> Coal Measures. </w:t>
      </w:r>
      <w:r w:rsidR="00AB0A0B">
        <w:t xml:space="preserve">The MOCO project would enable mining to continue until 2030 with an additional 92 million tonnes of coal proposed to </w:t>
      </w:r>
      <w:r w:rsidR="00A53144">
        <w:t xml:space="preserve">be </w:t>
      </w:r>
      <w:r w:rsidR="00AB0A0B">
        <w:t xml:space="preserve">extracted. </w:t>
      </w:r>
      <w:r w:rsidR="00DA6DAC">
        <w:t>Associated works include upgraded coal handling facilities, new rail infrastructure, and a bridge over Bowmans Creek.</w:t>
      </w:r>
    </w:p>
    <w:p w:rsidR="008C00AD" w:rsidRPr="00186465" w:rsidRDefault="008C00AD" w:rsidP="00A53144">
      <w:pPr>
        <w:pStyle w:val="Heading4"/>
        <w:keepNext/>
      </w:pPr>
      <w:r w:rsidRPr="00186465">
        <w:lastRenderedPageBreak/>
        <w:t>Key potential impacts</w:t>
      </w:r>
    </w:p>
    <w:p w:rsidR="008C00AD" w:rsidRPr="00347CB7" w:rsidRDefault="00D77C63" w:rsidP="00D622B9">
      <w:r>
        <w:t>The key impacts potentially resulting from the proposed MOCO project are pr</w:t>
      </w:r>
      <w:r w:rsidR="006E66F8">
        <w:t>edominantly of local importance</w:t>
      </w:r>
      <w:r w:rsidR="00186DC2">
        <w:t xml:space="preserve"> and are likely to be similar in scale and significance to the impacts resulting from the existing Mount Owen and Ravensworth East mining operations. </w:t>
      </w:r>
      <w:r w:rsidR="006E66F8">
        <w:t xml:space="preserve"> </w:t>
      </w:r>
      <w:r w:rsidR="00186DC2">
        <w:t xml:space="preserve">Noting the above, the potential impacts </w:t>
      </w:r>
      <w:r w:rsidR="00C05916">
        <w:t>will</w:t>
      </w:r>
      <w:r w:rsidR="006E66F8">
        <w:t xml:space="preserve"> </w:t>
      </w:r>
      <w:r w:rsidR="00A94E03">
        <w:t xml:space="preserve">contribute to </w:t>
      </w:r>
      <w:r w:rsidR="00C83EAE">
        <w:t>regional</w:t>
      </w:r>
      <w:r w:rsidR="00C61066">
        <w:t>, mining-</w:t>
      </w:r>
      <w:r w:rsidR="00A25A20">
        <w:t>related,</w:t>
      </w:r>
      <w:r w:rsidR="00C83EAE">
        <w:t xml:space="preserve"> </w:t>
      </w:r>
      <w:r w:rsidR="00A94E03">
        <w:t>cumulative impacts</w:t>
      </w:r>
      <w:r w:rsidR="00186DC2">
        <w:t xml:space="preserve"> to water resources</w:t>
      </w:r>
      <w:r w:rsidR="00A94E03">
        <w:t xml:space="preserve"> within the Hunter Valley. Key potential impacts include decline in riparian </w:t>
      </w:r>
      <w:r w:rsidR="00186DC2">
        <w:t>groundwater dependent ecosystems (</w:t>
      </w:r>
      <w:r w:rsidR="00A94E03">
        <w:t>GDEs</w:t>
      </w:r>
      <w:r w:rsidR="00186DC2">
        <w:t>)</w:t>
      </w:r>
      <w:r w:rsidR="00A94E03">
        <w:t xml:space="preserve"> along ephemeral streams </w:t>
      </w:r>
      <w:r w:rsidR="00143878">
        <w:t>that provide</w:t>
      </w:r>
      <w:r w:rsidR="00A94E03">
        <w:t xml:space="preserve"> </w:t>
      </w:r>
      <w:r w:rsidR="00143878">
        <w:t>habitat for the nationally listed</w:t>
      </w:r>
      <w:r w:rsidR="003258C9">
        <w:t xml:space="preserve"> endangered</w:t>
      </w:r>
      <w:r w:rsidR="00143878">
        <w:t xml:space="preserve"> Spot</w:t>
      </w:r>
      <w:r w:rsidR="00A363CA">
        <w:t>ted-tail</w:t>
      </w:r>
      <w:r w:rsidR="00143878">
        <w:t xml:space="preserve"> quoll (</w:t>
      </w:r>
      <w:proofErr w:type="spellStart"/>
      <w:r w:rsidR="00143878" w:rsidRPr="00143878">
        <w:rPr>
          <w:i/>
        </w:rPr>
        <w:t>Dasyurus</w:t>
      </w:r>
      <w:proofErr w:type="spellEnd"/>
      <w:r w:rsidR="00143878" w:rsidRPr="00143878">
        <w:rPr>
          <w:i/>
        </w:rPr>
        <w:t xml:space="preserve"> </w:t>
      </w:r>
      <w:proofErr w:type="spellStart"/>
      <w:r w:rsidR="00143878" w:rsidRPr="00143878">
        <w:rPr>
          <w:i/>
        </w:rPr>
        <w:t>maculatus</w:t>
      </w:r>
      <w:proofErr w:type="spellEnd"/>
      <w:r w:rsidR="00143878" w:rsidRPr="00143878">
        <w:rPr>
          <w:i/>
        </w:rPr>
        <w:t xml:space="preserve"> </w:t>
      </w:r>
      <w:proofErr w:type="spellStart"/>
      <w:r w:rsidR="00143878" w:rsidRPr="00143878">
        <w:rPr>
          <w:i/>
        </w:rPr>
        <w:t>maculatus</w:t>
      </w:r>
      <w:proofErr w:type="spellEnd"/>
      <w:r w:rsidR="00143878">
        <w:t>). The</w:t>
      </w:r>
      <w:r w:rsidR="00C83EAE">
        <w:t>re is</w:t>
      </w:r>
      <w:r w:rsidR="00C61066">
        <w:t xml:space="preserve"> a</w:t>
      </w:r>
      <w:r w:rsidR="004E50A9">
        <w:t xml:space="preserve"> lack of information </w:t>
      </w:r>
      <w:r w:rsidR="008F1D6D">
        <w:t>regarding</w:t>
      </w:r>
      <w:r w:rsidR="004E50A9">
        <w:t xml:space="preserve"> the existing conditions of Glennies Creek</w:t>
      </w:r>
      <w:r w:rsidR="00C83EAE">
        <w:t xml:space="preserve">, </w:t>
      </w:r>
      <w:r w:rsidR="00C83EAE" w:rsidRPr="008D7493">
        <w:t>which</w:t>
      </w:r>
      <w:r w:rsidR="004E50A9" w:rsidRPr="008D7493">
        <w:t xml:space="preserve"> creates</w:t>
      </w:r>
      <w:r w:rsidR="00143878" w:rsidRPr="008D7493">
        <w:t xml:space="preserve"> uncertainty </w:t>
      </w:r>
      <w:r w:rsidR="00A25A20" w:rsidRPr="008D7493">
        <w:t xml:space="preserve">and difficulty </w:t>
      </w:r>
      <w:r w:rsidR="00C83EAE" w:rsidRPr="008D7493">
        <w:t>in identifying</w:t>
      </w:r>
      <w:r w:rsidR="008F1D6D">
        <w:t xml:space="preserve"> the </w:t>
      </w:r>
      <w:r w:rsidR="00C05916">
        <w:t>surface water quality and quantity impacts</w:t>
      </w:r>
      <w:r w:rsidR="008F1D6D">
        <w:t xml:space="preserve"> to Glennies Creek, and</w:t>
      </w:r>
      <w:r w:rsidR="00C05916">
        <w:t xml:space="preserve"> </w:t>
      </w:r>
      <w:r w:rsidR="004E50A9">
        <w:t xml:space="preserve">to </w:t>
      </w:r>
      <w:r w:rsidR="00C05916">
        <w:t>the Hunter River.</w:t>
      </w:r>
    </w:p>
    <w:p w:rsidR="004B5A51" w:rsidRPr="004B5A51" w:rsidRDefault="004B5A51" w:rsidP="00D622B9">
      <w:pPr>
        <w:pStyle w:val="Heading4"/>
      </w:pPr>
      <w:r w:rsidRPr="004B5A51">
        <w:t>Assessment against information guidelines</w:t>
      </w:r>
    </w:p>
    <w:p w:rsidR="00A622EC" w:rsidRDefault="00A622EC" w:rsidP="00D622B9">
      <w:r w:rsidRPr="00CC2B33">
        <w:t xml:space="preserve">The </w:t>
      </w:r>
      <w:r>
        <w:t>IESC</w:t>
      </w:r>
      <w:r w:rsidRPr="00CC2B33">
        <w:t>, in line with its Information Guidelines</w:t>
      </w:r>
      <w:r w:rsidR="00277A51">
        <w:t xml:space="preserve"> (IESC, 2014)</w:t>
      </w:r>
      <w:r w:rsidRPr="00CC2B33">
        <w:t>, has considered whether the proposed project assessment has used the following:</w:t>
      </w:r>
    </w:p>
    <w:p w:rsidR="00A622EC" w:rsidRDefault="00A622EC" w:rsidP="00D622B9">
      <w:pPr>
        <w:pStyle w:val="Heading5"/>
      </w:pPr>
      <w:r w:rsidRPr="00186465">
        <w:t>Relevant data and information: key conclusions</w:t>
      </w:r>
    </w:p>
    <w:p w:rsidR="00296F38" w:rsidRPr="009F01D2" w:rsidRDefault="00A25A20" w:rsidP="00296F38">
      <w:pPr>
        <w:pStyle w:val="ListBullet5"/>
      </w:pPr>
      <w:r>
        <w:t xml:space="preserve">The proponent’s assessment of Bowmans Creek is comprehensive. </w:t>
      </w:r>
      <w:r w:rsidR="0048178A">
        <w:t xml:space="preserve">However, </w:t>
      </w:r>
      <w:r w:rsidR="00831762">
        <w:t>w</w:t>
      </w:r>
      <w:r w:rsidR="00831762" w:rsidRPr="009F01D2">
        <w:t xml:space="preserve">ater </w:t>
      </w:r>
      <w:r w:rsidR="00296F38" w:rsidRPr="009F01D2">
        <w:t xml:space="preserve">quality monitoring </w:t>
      </w:r>
      <w:r w:rsidR="0048178A">
        <w:t xml:space="preserve">in all watercourses </w:t>
      </w:r>
      <w:r w:rsidR="00296F38" w:rsidRPr="009F01D2">
        <w:t xml:space="preserve">does not include </w:t>
      </w:r>
      <w:r w:rsidR="00412856">
        <w:t>individual chemical species</w:t>
      </w:r>
      <w:r w:rsidR="00412856" w:rsidRPr="009F01D2">
        <w:t xml:space="preserve"> and </w:t>
      </w:r>
      <w:r w:rsidR="00296F38" w:rsidRPr="009F01D2">
        <w:t>contaminants</w:t>
      </w:r>
      <w:r w:rsidR="00296F38">
        <w:t>.</w:t>
      </w:r>
      <w:r w:rsidR="00E9607F">
        <w:t xml:space="preserve"> Quantitative</w:t>
      </w:r>
      <w:r w:rsidR="00E9607F" w:rsidRPr="009F01D2">
        <w:t xml:space="preserve"> flow data for Glennies Creek has not been provided or analysed</w:t>
      </w:r>
      <w:r w:rsidR="00E9607F">
        <w:t xml:space="preserve">. </w:t>
      </w:r>
      <w:r w:rsidR="00296F38">
        <w:t xml:space="preserve"> The water balance model predicts spillage from sediment dams to occur twice per year. The location and receiving surface watercourses of spills have not been identified. It is unclear whether the proponent has a licen</w:t>
      </w:r>
      <w:r w:rsidR="00412856">
        <w:t>c</w:t>
      </w:r>
      <w:r w:rsidR="00296F38">
        <w:t xml:space="preserve">e to discharge </w:t>
      </w:r>
      <w:r w:rsidR="00E04F23">
        <w:t>under</w:t>
      </w:r>
      <w:r w:rsidR="00296F38">
        <w:t xml:space="preserve"> the Hunter River </w:t>
      </w:r>
      <w:r w:rsidR="00A363CA">
        <w:t xml:space="preserve">Salinity </w:t>
      </w:r>
      <w:r w:rsidR="00296F38">
        <w:t>Trading Scheme (HRSTS).</w:t>
      </w:r>
    </w:p>
    <w:p w:rsidR="00A622EC" w:rsidRDefault="00A622EC" w:rsidP="00D622B9">
      <w:pPr>
        <w:pStyle w:val="Heading5"/>
      </w:pPr>
      <w:r w:rsidRPr="00E270CE">
        <w:t>Application of appropriate methodologies: key conclusions</w:t>
      </w:r>
    </w:p>
    <w:p w:rsidR="00C05916" w:rsidRPr="00C05916" w:rsidRDefault="008B001D" w:rsidP="008B001D">
      <w:pPr>
        <w:pStyle w:val="ListBullet5"/>
      </w:pPr>
      <w:r w:rsidRPr="009F01D2">
        <w:t>The proponen</w:t>
      </w:r>
      <w:r w:rsidR="00687DCE">
        <w:t>t’s groundwater model is robust, well constructed</w:t>
      </w:r>
      <w:r w:rsidR="0048178A">
        <w:t xml:space="preserve"> </w:t>
      </w:r>
      <w:r w:rsidR="00687DCE">
        <w:t>and has been peer reviewed. T</w:t>
      </w:r>
      <w:r w:rsidR="0048178A">
        <w:t>he</w:t>
      </w:r>
      <w:r w:rsidRPr="009F01D2">
        <w:t xml:space="preserve"> inclu</w:t>
      </w:r>
      <w:r w:rsidR="0048178A">
        <w:t>sion of</w:t>
      </w:r>
      <w:r w:rsidRPr="009F01D2">
        <w:t xml:space="preserve"> 43 mines within an approximately 451 km</w:t>
      </w:r>
      <w:r w:rsidRPr="003B16AC">
        <w:rPr>
          <w:vertAlign w:val="superscript"/>
        </w:rPr>
        <w:t>2</w:t>
      </w:r>
      <w:r w:rsidRPr="009F01D2">
        <w:t xml:space="preserve"> domain </w:t>
      </w:r>
      <w:r w:rsidR="0048178A">
        <w:t xml:space="preserve">would allow </w:t>
      </w:r>
      <w:r w:rsidR="00930A7D">
        <w:t>sub-</w:t>
      </w:r>
      <w:r w:rsidR="0048178A">
        <w:t>regional groundwater impacts to be estimated</w:t>
      </w:r>
      <w:r w:rsidR="00740ED2">
        <w:t xml:space="preserve"> cumulatively.</w:t>
      </w:r>
      <w:r>
        <w:t xml:space="preserve"> </w:t>
      </w:r>
      <w:r w:rsidRPr="009F01D2">
        <w:t>Aquatic fauna and habitat surveys within Glennies Creek</w:t>
      </w:r>
      <w:r>
        <w:t xml:space="preserve"> and Main Creek</w:t>
      </w:r>
      <w:r w:rsidRPr="009F01D2">
        <w:t xml:space="preserve"> have not been undertaken</w:t>
      </w:r>
      <w:r w:rsidR="00740ED2">
        <w:t>,</w:t>
      </w:r>
      <w:r w:rsidRPr="009F01D2">
        <w:t xml:space="preserve"> or</w:t>
      </w:r>
      <w:r w:rsidR="00740ED2">
        <w:t xml:space="preserve"> if they have, are not</w:t>
      </w:r>
      <w:r w:rsidRPr="009F01D2">
        <w:t xml:space="preserve"> included in the EIS.</w:t>
      </w:r>
      <w:r>
        <w:t xml:space="preserve"> </w:t>
      </w:r>
      <w:r w:rsidR="00E04F23">
        <w:t>Information on t</w:t>
      </w:r>
      <w:r w:rsidRPr="009F01D2">
        <w:t>he presence or absence of GDEs along riparian corridors has not been provided outside of the project boundary</w:t>
      </w:r>
      <w:r w:rsidR="00740ED2">
        <w:t xml:space="preserve"> even though the potential impacts o</w:t>
      </w:r>
      <w:r w:rsidR="00A44AA9">
        <w:t>f the project extend beyond the boundary.</w:t>
      </w:r>
    </w:p>
    <w:p w:rsidR="00A622EC" w:rsidRDefault="00A622EC" w:rsidP="00D622B9">
      <w:pPr>
        <w:pStyle w:val="Heading5"/>
      </w:pPr>
      <w:r w:rsidRPr="00E270CE">
        <w:t>Reasonable values and parameters in calculation: key conclusions</w:t>
      </w:r>
    </w:p>
    <w:p w:rsidR="00C05916" w:rsidRPr="00C05916" w:rsidRDefault="008B001D" w:rsidP="008B001D">
      <w:pPr>
        <w:pStyle w:val="ListBullet5"/>
      </w:pPr>
      <w:r w:rsidRPr="009B2119">
        <w:t xml:space="preserve">The </w:t>
      </w:r>
      <w:r>
        <w:t xml:space="preserve">numerical groundwater </w:t>
      </w:r>
      <w:r w:rsidRPr="009B2119">
        <w:t xml:space="preserve">model </w:t>
      </w:r>
      <w:r w:rsidR="00A53144">
        <w:t>is suitable for groundwater drawdown and flow</w:t>
      </w:r>
      <w:r w:rsidR="00186DC2">
        <w:t xml:space="preserve"> </w:t>
      </w:r>
      <w:proofErr w:type="gramStart"/>
      <w:r w:rsidR="00186DC2">
        <w:t>assessments,</w:t>
      </w:r>
      <w:proofErr w:type="gramEnd"/>
      <w:r w:rsidR="00186DC2">
        <w:t xml:space="preserve"> however a</w:t>
      </w:r>
      <w:r w:rsidR="00A53144" w:rsidRPr="009B2119">
        <w:t xml:space="preserve"> </w:t>
      </w:r>
      <w:r w:rsidRPr="009B2119">
        <w:t>cell size of 100 </w:t>
      </w:r>
      <w:r w:rsidR="00186DC2">
        <w:t>m by 100 m is</w:t>
      </w:r>
      <w:r>
        <w:t xml:space="preserve"> too large to predict fine scale groundwater and surface water relationships.</w:t>
      </w:r>
      <w:r w:rsidRPr="009B2119">
        <w:t xml:space="preserve"> The changes to </w:t>
      </w:r>
      <w:proofErr w:type="spellStart"/>
      <w:r w:rsidRPr="009B2119">
        <w:t>baseflows</w:t>
      </w:r>
      <w:proofErr w:type="spellEnd"/>
      <w:r w:rsidRPr="009B2119">
        <w:t xml:space="preserve"> in creeks and rivers within the project area have been predicted on an annual scale and do not consider the importance </w:t>
      </w:r>
      <w:r w:rsidR="00831762">
        <w:t xml:space="preserve">of </w:t>
      </w:r>
      <w:proofErr w:type="spellStart"/>
      <w:r w:rsidR="00831762">
        <w:t>baseflow</w:t>
      </w:r>
      <w:proofErr w:type="spellEnd"/>
      <w:r w:rsidR="00831762">
        <w:t xml:space="preserve"> </w:t>
      </w:r>
      <w:r w:rsidRPr="009B2119">
        <w:t>during seasonal or climatic low flow periods.</w:t>
      </w:r>
      <w:r w:rsidR="005109B7">
        <w:t xml:space="preserve"> </w:t>
      </w:r>
    </w:p>
    <w:p w:rsidR="007203C3" w:rsidRDefault="007203C3" w:rsidP="00D622B9">
      <w:pPr>
        <w:pStyle w:val="Heading3"/>
      </w:pPr>
      <w:r w:rsidRPr="00F37C48">
        <w:t>Advice</w:t>
      </w:r>
    </w:p>
    <w:p w:rsidR="007203C3" w:rsidRPr="00347CB7" w:rsidRDefault="007203C3" w:rsidP="00347CB7">
      <w:pPr>
        <w:pStyle w:val="Default"/>
        <w:spacing w:after="200" w:line="276" w:lineRule="auto"/>
        <w:rPr>
          <w:rFonts w:ascii="Arial" w:eastAsia="Times New Roman" w:hAnsi="Arial" w:cs="Arial"/>
          <w:color w:val="auto"/>
          <w:sz w:val="20"/>
          <w:szCs w:val="20"/>
          <w:lang w:eastAsia="en-US"/>
        </w:rPr>
      </w:pPr>
      <w:r>
        <w:rPr>
          <w:rFonts w:ascii="Arial" w:eastAsia="Times New Roman" w:hAnsi="Arial" w:cs="Arial"/>
          <w:color w:val="auto"/>
          <w:sz w:val="20"/>
          <w:szCs w:val="20"/>
          <w:lang w:eastAsia="en-US"/>
        </w:rPr>
        <w:t xml:space="preserve">The </w:t>
      </w:r>
      <w:r w:rsidR="00CF562A">
        <w:rPr>
          <w:rFonts w:ascii="Arial" w:eastAsia="Times New Roman" w:hAnsi="Arial" w:cs="Arial"/>
          <w:color w:val="auto"/>
          <w:sz w:val="20"/>
          <w:szCs w:val="20"/>
          <w:lang w:eastAsia="en-US"/>
        </w:rPr>
        <w:t>IESC</w:t>
      </w:r>
      <w:r>
        <w:rPr>
          <w:rFonts w:ascii="Arial" w:eastAsia="Times New Roman" w:hAnsi="Arial" w:cs="Arial"/>
          <w:color w:val="auto"/>
          <w:sz w:val="20"/>
          <w:szCs w:val="20"/>
          <w:lang w:eastAsia="en-US"/>
        </w:rPr>
        <w:t xml:space="preserve">’s advice, in response to the </w:t>
      </w:r>
      <w:r w:rsidR="00E57CD8">
        <w:rPr>
          <w:rFonts w:ascii="Arial" w:eastAsia="Times New Roman" w:hAnsi="Arial" w:cs="Arial"/>
          <w:color w:val="auto"/>
          <w:sz w:val="20"/>
          <w:szCs w:val="20"/>
          <w:lang w:eastAsia="en-US"/>
        </w:rPr>
        <w:t xml:space="preserve">requesting </w:t>
      </w:r>
      <w:r w:rsidR="00D441B2">
        <w:rPr>
          <w:rFonts w:ascii="Arial" w:eastAsia="Times New Roman" w:hAnsi="Arial" w:cs="Arial"/>
          <w:color w:val="auto"/>
          <w:sz w:val="20"/>
          <w:szCs w:val="20"/>
          <w:lang w:eastAsia="en-US"/>
        </w:rPr>
        <w:t>agencies’</w:t>
      </w:r>
      <w:r>
        <w:rPr>
          <w:rFonts w:ascii="Arial" w:eastAsia="Times New Roman" w:hAnsi="Arial" w:cs="Arial"/>
          <w:color w:val="auto"/>
          <w:sz w:val="20"/>
          <w:szCs w:val="20"/>
          <w:lang w:eastAsia="en-US"/>
        </w:rPr>
        <w:t xml:space="preserve"> specific questions is provided below. </w:t>
      </w:r>
    </w:p>
    <w:p w:rsidR="007203C3" w:rsidRPr="00A611EE" w:rsidRDefault="00BD6D52" w:rsidP="00D622B9">
      <w:pPr>
        <w:pStyle w:val="Question"/>
        <w:rPr>
          <w:lang w:eastAsia="en-AU"/>
        </w:rPr>
      </w:pPr>
      <w:r w:rsidRPr="00CF5929">
        <w:t>Questio</w:t>
      </w:r>
      <w:r w:rsidRPr="00BD6D52">
        <w:t>n 1: Do the groundwater and surface water assessments, including numerical modelling therein, provide reasonable estimations of the risk (including likelihood, extent and significance) to water resources, with particular reference to Bowmans Creek, Glennies Creek and the Hunter River, in the short and long term?</w:t>
      </w:r>
    </w:p>
    <w:p w:rsidR="007203C3" w:rsidRPr="009110D5" w:rsidRDefault="00CF5929" w:rsidP="00A44AA9">
      <w:pPr>
        <w:pStyle w:val="Heading4"/>
        <w:keepNext/>
      </w:pPr>
      <w:r w:rsidRPr="009110D5">
        <w:t>Response</w:t>
      </w:r>
    </w:p>
    <w:p w:rsidR="009110D5" w:rsidRPr="009110D5" w:rsidRDefault="008A6302" w:rsidP="00347CB7">
      <w:pPr>
        <w:pStyle w:val="ListNumber"/>
        <w:ind w:left="426" w:hanging="426"/>
      </w:pPr>
      <w:r>
        <w:t>T</w:t>
      </w:r>
      <w:r w:rsidR="00916360">
        <w:t>he project specific risks to Bowmans Creek</w:t>
      </w:r>
      <w:r w:rsidR="00916360" w:rsidRPr="006552E6">
        <w:t xml:space="preserve"> provided within the EIS</w:t>
      </w:r>
      <w:r w:rsidR="00916360">
        <w:t xml:space="preserve"> </w:t>
      </w:r>
      <w:r w:rsidR="00220BDE">
        <w:t>appear to be reasonably estimated</w:t>
      </w:r>
      <w:r>
        <w:t xml:space="preserve">, except </w:t>
      </w:r>
      <w:r w:rsidR="00EE5B10">
        <w:t>with regard to</w:t>
      </w:r>
      <w:r>
        <w:t xml:space="preserve"> </w:t>
      </w:r>
      <w:r w:rsidR="00EE5B10">
        <w:t xml:space="preserve">quantification of </w:t>
      </w:r>
      <w:r>
        <w:t xml:space="preserve">seasonal flow regimes and water quality </w:t>
      </w:r>
      <w:r w:rsidR="00EE5B10">
        <w:t xml:space="preserve">other </w:t>
      </w:r>
      <w:r w:rsidR="00EE5B10">
        <w:lastRenderedPageBreak/>
        <w:t>than</w:t>
      </w:r>
      <w:r>
        <w:t xml:space="preserve"> total dissolved solids (TDS), total suspended solids (TSS), electrical conductivity (EC) and </w:t>
      </w:r>
      <w:proofErr w:type="spellStart"/>
      <w:r>
        <w:t>pH</w:t>
      </w:r>
      <w:r w:rsidR="00916360" w:rsidRPr="006552E6">
        <w:t>.</w:t>
      </w:r>
      <w:proofErr w:type="spellEnd"/>
      <w:r w:rsidR="00916360" w:rsidRPr="006552E6">
        <w:t xml:space="preserve"> Limited information on the potential </w:t>
      </w:r>
      <w:r w:rsidR="00916360">
        <w:t xml:space="preserve">hydrological and ecological </w:t>
      </w:r>
      <w:r w:rsidR="00916360" w:rsidRPr="006552E6">
        <w:t>risks to Glennies Creek and the Hunter River has been provided in the EIS.</w:t>
      </w:r>
      <w:r w:rsidR="00EE5B10">
        <w:t xml:space="preserve"> A reasonable estimation of the risks to Glennies Creek and the Hunter River would need </w:t>
      </w:r>
      <w:r w:rsidR="004C229F">
        <w:t>to i</w:t>
      </w:r>
      <w:r w:rsidR="0029210B">
        <w:t>nclude quantitative flow regime</w:t>
      </w:r>
      <w:r w:rsidR="004C229F">
        <w:t xml:space="preserve"> data (including seasonal</w:t>
      </w:r>
      <w:r w:rsidR="0029210B">
        <w:t>, high flow and contribution to the Hunter River), existing water quality data and</w:t>
      </w:r>
      <w:r w:rsidR="004C229F">
        <w:t xml:space="preserve"> ecological assessments (in-stream, </w:t>
      </w:r>
      <w:proofErr w:type="spellStart"/>
      <w:r w:rsidR="004C229F">
        <w:t>hyporheic</w:t>
      </w:r>
      <w:proofErr w:type="spellEnd"/>
      <w:r w:rsidR="004C229F">
        <w:t xml:space="preserve"> and riparian zones)</w:t>
      </w:r>
      <w:r w:rsidR="0029210B">
        <w:t>.</w:t>
      </w:r>
    </w:p>
    <w:p w:rsidR="00CF5929" w:rsidRDefault="00CF5929" w:rsidP="00D622B9">
      <w:pPr>
        <w:pStyle w:val="Heading4"/>
      </w:pPr>
      <w:r w:rsidRPr="009110D5">
        <w:t>Explanation</w:t>
      </w:r>
    </w:p>
    <w:p w:rsidR="00C73F4C" w:rsidRPr="00C73F4C" w:rsidRDefault="00C73F4C" w:rsidP="00C73F4C">
      <w:pPr>
        <w:rPr>
          <w:i/>
        </w:rPr>
      </w:pPr>
      <w:r w:rsidRPr="00C73F4C">
        <w:rPr>
          <w:i/>
        </w:rPr>
        <w:t>Surface water</w:t>
      </w:r>
    </w:p>
    <w:p w:rsidR="008253A2" w:rsidRDefault="0029210B" w:rsidP="00D622B9">
      <w:pPr>
        <w:pStyle w:val="ListNumber"/>
      </w:pPr>
      <w:r>
        <w:t xml:space="preserve">Apart from the uncertainties raised in paragraphs </w:t>
      </w:r>
      <w:r w:rsidR="00884860">
        <w:fldChar w:fldCharType="begin"/>
      </w:r>
      <w:r>
        <w:instrText xml:space="preserve"> REF _Ref413153931 \r \h </w:instrText>
      </w:r>
      <w:r w:rsidR="00884860">
        <w:fldChar w:fldCharType="separate"/>
      </w:r>
      <w:r>
        <w:t>3</w:t>
      </w:r>
      <w:r w:rsidR="00884860">
        <w:fldChar w:fldCharType="end"/>
      </w:r>
      <w:r>
        <w:t xml:space="preserve"> and </w:t>
      </w:r>
      <w:r w:rsidR="00884860">
        <w:fldChar w:fldCharType="begin"/>
      </w:r>
      <w:r>
        <w:instrText xml:space="preserve"> REF _Ref413246266 \r \h </w:instrText>
      </w:r>
      <w:r w:rsidR="00884860">
        <w:fldChar w:fldCharType="separate"/>
      </w:r>
      <w:r>
        <w:t>4</w:t>
      </w:r>
      <w:r w:rsidR="00884860">
        <w:fldChar w:fldCharType="end"/>
      </w:r>
      <w:r>
        <w:t xml:space="preserve">, </w:t>
      </w:r>
      <w:r w:rsidR="006E3F40">
        <w:t>i</w:t>
      </w:r>
      <w:r w:rsidR="00E35AA4">
        <w:t xml:space="preserve">dentification and assessments of the existing </w:t>
      </w:r>
      <w:r w:rsidR="002368D5">
        <w:t xml:space="preserve">hydrological </w:t>
      </w:r>
      <w:r w:rsidR="00E35AA4">
        <w:t>cond</w:t>
      </w:r>
      <w:r w:rsidR="002368D5">
        <w:t xml:space="preserve">itions </w:t>
      </w:r>
      <w:r w:rsidR="00E35AA4">
        <w:t xml:space="preserve">along </w:t>
      </w:r>
      <w:r w:rsidR="007F598F">
        <w:t>Bowmans Creek (including its tributaries, Stringybark Creek, Yorks Creek, Swamp</w:t>
      </w:r>
      <w:r w:rsidR="00E35AA4">
        <w:t xml:space="preserve"> </w:t>
      </w:r>
      <w:r w:rsidR="007F598F">
        <w:t xml:space="preserve">Creek and </w:t>
      </w:r>
      <w:proofErr w:type="spellStart"/>
      <w:r w:rsidR="007F598F">
        <w:t>Bettys</w:t>
      </w:r>
      <w:proofErr w:type="spellEnd"/>
      <w:r w:rsidR="007F598F">
        <w:t xml:space="preserve"> Creek) are </w:t>
      </w:r>
      <w:r w:rsidR="00BC45D5">
        <w:t>reasonable</w:t>
      </w:r>
      <w:r w:rsidR="00603397">
        <w:t xml:space="preserve">. </w:t>
      </w:r>
      <w:r w:rsidR="006E3F40">
        <w:t>Based on the assessment, r</w:t>
      </w:r>
      <w:r w:rsidR="00603397">
        <w:t xml:space="preserve">isks within these watercourses </w:t>
      </w:r>
      <w:r>
        <w:t>are unlikely to signi</w:t>
      </w:r>
      <w:r w:rsidR="00603397">
        <w:t>fic</w:t>
      </w:r>
      <w:r>
        <w:t xml:space="preserve">antly change </w:t>
      </w:r>
      <w:r w:rsidR="00603397">
        <w:t>compared to those from</w:t>
      </w:r>
      <w:r>
        <w:t xml:space="preserve"> </w:t>
      </w:r>
      <w:r w:rsidR="00603397">
        <w:t xml:space="preserve">the </w:t>
      </w:r>
      <w:r>
        <w:t>existing mining operations</w:t>
      </w:r>
      <w:r w:rsidR="007F598F">
        <w:t xml:space="preserve">. </w:t>
      </w:r>
    </w:p>
    <w:p w:rsidR="002368D5" w:rsidRDefault="00C61066" w:rsidP="00D622B9">
      <w:pPr>
        <w:pStyle w:val="ListNumber"/>
      </w:pPr>
      <w:bookmarkStart w:id="3" w:name="_Ref413153931"/>
      <w:r>
        <w:t>Information on e</w:t>
      </w:r>
      <w:r w:rsidR="002368D5">
        <w:t>xisting water quality conditions</w:t>
      </w:r>
      <w:r w:rsidR="002440D0">
        <w:t xml:space="preserve"> within </w:t>
      </w:r>
      <w:r>
        <w:t>Bowmans Creek (and tributaries)</w:t>
      </w:r>
      <w:r w:rsidR="002368D5">
        <w:t xml:space="preserve"> and the assessment of potential impacts to water quality as a result of the MOCO project</w:t>
      </w:r>
      <w:r w:rsidR="0029210B">
        <w:t xml:space="preserve"> in all watercourses</w:t>
      </w:r>
      <w:r w:rsidR="002368D5">
        <w:t xml:space="preserve"> </w:t>
      </w:r>
      <w:r w:rsidR="000152B2" w:rsidRPr="008D7493">
        <w:t xml:space="preserve">includes </w:t>
      </w:r>
      <w:r w:rsidR="002440D0" w:rsidRPr="008D7493">
        <w:t>T</w:t>
      </w:r>
      <w:r w:rsidR="008A6302" w:rsidRPr="008D7493">
        <w:t>D</w:t>
      </w:r>
      <w:r w:rsidR="002440D0" w:rsidRPr="008D7493">
        <w:t>S</w:t>
      </w:r>
      <w:r w:rsidR="002368D5" w:rsidRPr="008D7493">
        <w:t xml:space="preserve">, </w:t>
      </w:r>
      <w:r w:rsidR="002440D0" w:rsidRPr="008D7493">
        <w:t>TSS</w:t>
      </w:r>
      <w:r w:rsidR="002368D5" w:rsidRPr="008D7493">
        <w:t xml:space="preserve">, </w:t>
      </w:r>
      <w:r w:rsidR="002440D0" w:rsidRPr="008D7493">
        <w:t>EC</w:t>
      </w:r>
      <w:r w:rsidR="002368D5" w:rsidRPr="008D7493">
        <w:t xml:space="preserve"> and pH</w:t>
      </w:r>
      <w:bookmarkEnd w:id="3"/>
      <w:r w:rsidR="000152B2" w:rsidRPr="008D7493">
        <w:t>, but would</w:t>
      </w:r>
      <w:r w:rsidR="00E11BCE">
        <w:t xml:space="preserve"> need to</w:t>
      </w:r>
      <w:r w:rsidR="000152B2" w:rsidRPr="008D7493">
        <w:t xml:space="preserve"> include metals, metalloids, polycyclic aromatic hydrocarbons (PAHs) and ionic compositions</w:t>
      </w:r>
      <w:r w:rsidR="000152B2">
        <w:t xml:space="preserve">. </w:t>
      </w:r>
    </w:p>
    <w:p w:rsidR="00E35AA4" w:rsidRDefault="008253A2" w:rsidP="00D622B9">
      <w:pPr>
        <w:pStyle w:val="ListNumber"/>
      </w:pPr>
      <w:bookmarkStart w:id="4" w:name="_Ref413246266"/>
      <w:r w:rsidRPr="00672ABE">
        <w:t>The current seasonal flow regime has not been described or quantified</w:t>
      </w:r>
      <w:r w:rsidR="00831762" w:rsidRPr="00831762">
        <w:t xml:space="preserve"> </w:t>
      </w:r>
      <w:r w:rsidR="00831762" w:rsidRPr="00672ABE">
        <w:t xml:space="preserve">for </w:t>
      </w:r>
      <w:r w:rsidR="00831762">
        <w:t xml:space="preserve">all </w:t>
      </w:r>
      <w:r w:rsidR="00831762" w:rsidRPr="00672ABE">
        <w:t>watercourses in the area</w:t>
      </w:r>
      <w:r w:rsidRPr="00672ABE">
        <w:t>.</w:t>
      </w:r>
      <w:r>
        <w:t xml:space="preserve"> </w:t>
      </w:r>
      <w:r w:rsidR="000D1D4A">
        <w:t>The assessment of</w:t>
      </w:r>
      <w:r w:rsidR="00BC45D5">
        <w:t xml:space="preserve"> existing hydrological</w:t>
      </w:r>
      <w:r w:rsidR="00E50A58">
        <w:t xml:space="preserve">, </w:t>
      </w:r>
      <w:proofErr w:type="spellStart"/>
      <w:r w:rsidR="00E50A58">
        <w:t>geomorphological</w:t>
      </w:r>
      <w:proofErr w:type="spellEnd"/>
      <w:r w:rsidR="00E50A58">
        <w:t xml:space="preserve"> and ecological</w:t>
      </w:r>
      <w:r w:rsidR="00BC45D5">
        <w:t xml:space="preserve"> conditions along Glennies Creek is </w:t>
      </w:r>
      <w:r w:rsidR="000D1D4A">
        <w:t>minimal</w:t>
      </w:r>
      <w:r w:rsidR="002368D5">
        <w:t xml:space="preserve"> throughout the assessment documentation</w:t>
      </w:r>
      <w:r w:rsidR="00BC45D5">
        <w:t>.</w:t>
      </w:r>
      <w:r w:rsidR="002368D5">
        <w:t xml:space="preserve"> </w:t>
      </w:r>
      <w:r w:rsidR="002440D0">
        <w:t xml:space="preserve">The limited data and information presented with regards to </w:t>
      </w:r>
      <w:proofErr w:type="spellStart"/>
      <w:r w:rsidR="002440D0">
        <w:t>Glennies</w:t>
      </w:r>
      <w:proofErr w:type="spellEnd"/>
      <w:r w:rsidR="002440D0">
        <w:t xml:space="preserve"> Creek </w:t>
      </w:r>
      <w:r w:rsidR="00AF7AE6">
        <w:t>makes</w:t>
      </w:r>
      <w:r w:rsidR="003E15B7">
        <w:t xml:space="preserve"> it difficult to assess</w:t>
      </w:r>
      <w:r w:rsidR="00AF7AE6">
        <w:t xml:space="preserve"> the proponent’s </w:t>
      </w:r>
      <w:r w:rsidR="00AF7AE6" w:rsidRPr="008D7493">
        <w:t>estimat</w:t>
      </w:r>
      <w:r w:rsidR="00BB1ED1">
        <w:t>ion</w:t>
      </w:r>
      <w:r w:rsidR="00AF7AE6" w:rsidRPr="008D7493">
        <w:t xml:space="preserve"> of risk</w:t>
      </w:r>
      <w:r w:rsidR="002440D0" w:rsidRPr="008D7493">
        <w:t>, including</w:t>
      </w:r>
      <w:r w:rsidR="002440D0">
        <w:t xml:space="preserve"> </w:t>
      </w:r>
      <w:r w:rsidR="00603397">
        <w:t xml:space="preserve">downstream </w:t>
      </w:r>
      <w:r w:rsidR="002440D0">
        <w:t>risks to the Hunter River.</w:t>
      </w:r>
      <w:bookmarkEnd w:id="4"/>
    </w:p>
    <w:p w:rsidR="007203C3" w:rsidRDefault="000633D3" w:rsidP="00D622B9">
      <w:pPr>
        <w:pStyle w:val="ListNumber"/>
      </w:pPr>
      <w:r>
        <w:t>The proponent states that “due to the limited localised impact, it is anticipated that the Project will have negligible impact on major downstream watercourses including Bowmans Creek, Glennies Creek and the Hunter R</w:t>
      </w:r>
      <w:r w:rsidR="00927F48">
        <w:t>iver” (EIS, App 9, p 6.4). The</w:t>
      </w:r>
      <w:r w:rsidR="00C73F4C">
        <w:t xml:space="preserve"> assessment of potential </w:t>
      </w:r>
      <w:r w:rsidR="00546C22">
        <w:t xml:space="preserve">surface </w:t>
      </w:r>
      <w:r w:rsidR="00C73F4C">
        <w:t>water</w:t>
      </w:r>
      <w:r w:rsidR="00962AAF">
        <w:t xml:space="preserve"> flow</w:t>
      </w:r>
      <w:r w:rsidR="00C73F4C">
        <w:t xml:space="preserve"> </w:t>
      </w:r>
      <w:r w:rsidR="00546C22">
        <w:t xml:space="preserve">impacts </w:t>
      </w:r>
      <w:r>
        <w:t>is</w:t>
      </w:r>
      <w:r w:rsidR="00962AAF">
        <w:t xml:space="preserve"> based on </w:t>
      </w:r>
      <w:r w:rsidR="0044080B">
        <w:t xml:space="preserve">contributing </w:t>
      </w:r>
      <w:r w:rsidR="00962AAF">
        <w:t xml:space="preserve">catchment area losses </w:t>
      </w:r>
      <w:r w:rsidR="0044080B">
        <w:t xml:space="preserve">within Yorks Creek, </w:t>
      </w:r>
      <w:proofErr w:type="spellStart"/>
      <w:r>
        <w:t>Bettys</w:t>
      </w:r>
      <w:proofErr w:type="spellEnd"/>
      <w:r>
        <w:t xml:space="preserve"> Creek, Swamp Creek and Main Creek</w:t>
      </w:r>
      <w:r w:rsidR="00E65889">
        <w:t xml:space="preserve"> and by inferring </w:t>
      </w:r>
      <w:r w:rsidR="00BE43EB">
        <w:t xml:space="preserve">potential </w:t>
      </w:r>
      <w:r w:rsidR="00E65889">
        <w:t xml:space="preserve">flow volumes using historical rainfall records from </w:t>
      </w:r>
      <w:proofErr w:type="spellStart"/>
      <w:r w:rsidR="00E65889">
        <w:t>Jerrys</w:t>
      </w:r>
      <w:proofErr w:type="spellEnd"/>
      <w:r w:rsidR="00E65889">
        <w:t xml:space="preserve"> Plains (approximately 19 km to the south)</w:t>
      </w:r>
      <w:r>
        <w:t>. Flow within the tributaries was monitored visually</w:t>
      </w:r>
      <w:r w:rsidR="008F1D6D">
        <w:t xml:space="preserve"> though this data was not provided.</w:t>
      </w:r>
      <w:r>
        <w:t xml:space="preserve"> </w:t>
      </w:r>
      <w:r w:rsidR="00694DF4">
        <w:t>The</w:t>
      </w:r>
      <w:r w:rsidR="00E65889">
        <w:t xml:space="preserve"> assessment of</w:t>
      </w:r>
      <w:r w:rsidR="003904F8">
        <w:t xml:space="preserve"> existing</w:t>
      </w:r>
      <w:r w:rsidR="00E65889">
        <w:t xml:space="preserve"> flows within Bowmans Creek and Glennies </w:t>
      </w:r>
      <w:r w:rsidR="00E65889" w:rsidRPr="003302F6">
        <w:t>Creek was not supported</w:t>
      </w:r>
      <w:r w:rsidR="00407678" w:rsidRPr="003302F6">
        <w:t xml:space="preserve"> by</w:t>
      </w:r>
      <w:r w:rsidR="00E65889" w:rsidRPr="003302F6">
        <w:t xml:space="preserve"> quanti</w:t>
      </w:r>
      <w:r w:rsidR="00407678" w:rsidRPr="003302F6">
        <w:t xml:space="preserve">tative </w:t>
      </w:r>
      <w:r w:rsidR="00FE6C55" w:rsidRPr="003302F6">
        <w:t xml:space="preserve">seasonal </w:t>
      </w:r>
      <w:r w:rsidR="00407678" w:rsidRPr="003302F6">
        <w:t xml:space="preserve">flow </w:t>
      </w:r>
      <w:r w:rsidR="00BD528B" w:rsidRPr="003302F6">
        <w:t xml:space="preserve">data </w:t>
      </w:r>
      <w:r w:rsidR="00407678" w:rsidRPr="003302F6">
        <w:t>from existing flow gauges on these two watercourses</w:t>
      </w:r>
      <w:r w:rsidR="00BD528B" w:rsidRPr="003302F6">
        <w:t xml:space="preserve"> (for example, Bowmans Creek gauge 210130 and Glennies Creek gauge 21</w:t>
      </w:r>
      <w:r w:rsidR="00C60648">
        <w:t>0</w:t>
      </w:r>
      <w:r w:rsidR="00BD528B" w:rsidRPr="003302F6">
        <w:t>044</w:t>
      </w:r>
      <w:r w:rsidR="000152B2">
        <w:t xml:space="preserve"> </w:t>
      </w:r>
      <w:r w:rsidR="000152B2" w:rsidRPr="008D7493">
        <w:t>where presumably there is existing data</w:t>
      </w:r>
      <w:r w:rsidR="00BD528B" w:rsidRPr="003302F6">
        <w:t>)</w:t>
      </w:r>
      <w:r w:rsidR="00407678" w:rsidRPr="003302F6">
        <w:t>.</w:t>
      </w:r>
      <w:r w:rsidR="00C418C0">
        <w:t xml:space="preserve"> </w:t>
      </w:r>
      <w:r w:rsidR="001D30C1">
        <w:t>A discussion on the uncertainties and assumptions associated with this method of assessment</w:t>
      </w:r>
      <w:r w:rsidR="003302F6">
        <w:t xml:space="preserve">, including the </w:t>
      </w:r>
      <w:r w:rsidR="00694DF4">
        <w:t xml:space="preserve">potential impact </w:t>
      </w:r>
      <w:r w:rsidR="003302F6">
        <w:t>of using the Bowmans Creek (</w:t>
      </w:r>
      <w:proofErr w:type="spellStart"/>
      <w:r w:rsidR="003302F6">
        <w:t>Grenell</w:t>
      </w:r>
      <w:proofErr w:type="spellEnd"/>
      <w:r w:rsidR="003302F6">
        <w:t>)</w:t>
      </w:r>
      <w:r w:rsidR="001C3E25">
        <w:t xml:space="preserve"> </w:t>
      </w:r>
      <w:r w:rsidR="002D0ED8" w:rsidRPr="008D7493">
        <w:t>(station number</w:t>
      </w:r>
      <w:r w:rsidR="001C3E25" w:rsidRPr="008D7493">
        <w:t xml:space="preserve"> 61270)</w:t>
      </w:r>
      <w:r w:rsidR="003302F6">
        <w:t xml:space="preserve"> meteorological station for the rainfall source,</w:t>
      </w:r>
      <w:r w:rsidR="001D30C1">
        <w:t xml:space="preserve"> is needed</w:t>
      </w:r>
      <w:r w:rsidR="008E7963">
        <w:t>.</w:t>
      </w:r>
    </w:p>
    <w:p w:rsidR="00DE2E1D" w:rsidRPr="005C1E3F" w:rsidRDefault="00DE2E1D" w:rsidP="00DE2E1D">
      <w:pPr>
        <w:pStyle w:val="ListNumber"/>
        <w:numPr>
          <w:ilvl w:val="0"/>
          <w:numId w:val="0"/>
        </w:numPr>
        <w:rPr>
          <w:i/>
        </w:rPr>
      </w:pPr>
      <w:r w:rsidRPr="005C1E3F">
        <w:rPr>
          <w:i/>
        </w:rPr>
        <w:t>Groundwater</w:t>
      </w:r>
    </w:p>
    <w:p w:rsidR="004D10EB" w:rsidRDefault="008B001D" w:rsidP="004D10EB">
      <w:pPr>
        <w:pStyle w:val="ListNumber"/>
      </w:pPr>
      <w:r>
        <w:t xml:space="preserve">The numerical groundwater model has a cell size of 100 m by 100 m which </w:t>
      </w:r>
      <w:r w:rsidRPr="008D7493">
        <w:t>is</w:t>
      </w:r>
      <w:r w:rsidR="00C36016" w:rsidRPr="008D7493">
        <w:t xml:space="preserve"> </w:t>
      </w:r>
      <w:r w:rsidR="00F93649" w:rsidRPr="008D7493">
        <w:t>adequate</w:t>
      </w:r>
      <w:r w:rsidR="00C36016" w:rsidRPr="008D7493">
        <w:t xml:space="preserve"> </w:t>
      </w:r>
      <w:r w:rsidR="009A3D61" w:rsidRPr="008D7493">
        <w:t>for estimating regional groundwater behaviour</w:t>
      </w:r>
      <w:r w:rsidR="009A3D61">
        <w:t>, though is</w:t>
      </w:r>
      <w:r>
        <w:t xml:space="preserve"> too large to predict fine scale groundwater and surface water interactions. Nevertheless</w:t>
      </w:r>
      <w:r w:rsidR="001C3E25">
        <w:t>,</w:t>
      </w:r>
      <w:r>
        <w:t xml:space="preserve"> t</w:t>
      </w:r>
      <w:r w:rsidR="008253A2">
        <w:t xml:space="preserve">he groundwater model predicts </w:t>
      </w:r>
      <w:proofErr w:type="spellStart"/>
      <w:r w:rsidR="008253A2">
        <w:t>baseflow</w:t>
      </w:r>
      <w:proofErr w:type="spellEnd"/>
      <w:r w:rsidR="008253A2">
        <w:t xml:space="preserve"> reductions to surface watercourses as follows (with </w:t>
      </w:r>
      <w:r w:rsidR="00412856">
        <w:t>results from the ‘</w:t>
      </w:r>
      <w:r w:rsidR="008253A2">
        <w:t>plus one standard deviation</w:t>
      </w:r>
      <w:r w:rsidR="00412856">
        <w:t>’</w:t>
      </w:r>
      <w:r w:rsidR="008F1D6D">
        <w:t xml:space="preserve"> model</w:t>
      </w:r>
      <w:r w:rsidR="008253A2">
        <w:t xml:space="preserve"> </w:t>
      </w:r>
      <w:r w:rsidR="008F1D6D">
        <w:t xml:space="preserve">run </w:t>
      </w:r>
      <w:r w:rsidR="008253A2">
        <w:t>in brackets):  6 ML/year (9 ML/year)</w:t>
      </w:r>
      <w:r w:rsidR="002A593C">
        <w:t xml:space="preserve"> decrease</w:t>
      </w:r>
      <w:r w:rsidR="008253A2">
        <w:t xml:space="preserve"> to </w:t>
      </w:r>
      <w:proofErr w:type="spellStart"/>
      <w:r w:rsidR="008253A2">
        <w:t>Bet</w:t>
      </w:r>
      <w:r w:rsidR="002A593C">
        <w:t>tys</w:t>
      </w:r>
      <w:proofErr w:type="spellEnd"/>
      <w:r w:rsidR="002A593C">
        <w:t xml:space="preserve"> Creek, </w:t>
      </w:r>
      <w:r w:rsidR="008253A2">
        <w:t>15 ML/year (22 ML/year)</w:t>
      </w:r>
      <w:r w:rsidR="002A593C">
        <w:t xml:space="preserve"> decrease</w:t>
      </w:r>
      <w:r w:rsidR="008253A2">
        <w:t xml:space="preserve"> to Main Creek</w:t>
      </w:r>
      <w:r w:rsidR="002A593C">
        <w:t xml:space="preserve"> and “negligible” losses from Bowmans and Glennies Creeks.</w:t>
      </w:r>
      <w:r w:rsidR="00936CE5">
        <w:t xml:space="preserve"> </w:t>
      </w:r>
      <w:r w:rsidR="008253A2" w:rsidRPr="00672ABE">
        <w:t>Seasonal quantification</w:t>
      </w:r>
      <w:r w:rsidR="008253A2">
        <w:t xml:space="preserve"> or estimation</w:t>
      </w:r>
      <w:r w:rsidR="008253A2" w:rsidRPr="00672ABE">
        <w:t xml:space="preserve"> of</w:t>
      </w:r>
      <w:r w:rsidR="00F631DA">
        <w:t xml:space="preserve"> </w:t>
      </w:r>
      <w:proofErr w:type="spellStart"/>
      <w:r w:rsidR="008253A2" w:rsidRPr="00672ABE">
        <w:t>baseflow</w:t>
      </w:r>
      <w:proofErr w:type="spellEnd"/>
      <w:r w:rsidR="008253A2">
        <w:t xml:space="preserve"> within each of the surface watercourses</w:t>
      </w:r>
      <w:r w:rsidR="008253A2" w:rsidRPr="00672ABE">
        <w:t xml:space="preserve"> has not been provided.</w:t>
      </w:r>
      <w:r w:rsidR="0032108C">
        <w:t xml:space="preserve"> </w:t>
      </w:r>
      <w:proofErr w:type="spellStart"/>
      <w:r w:rsidR="004D10EB">
        <w:t>Baseflow</w:t>
      </w:r>
      <w:proofErr w:type="spellEnd"/>
      <w:r w:rsidR="004D10EB">
        <w:t xml:space="preserve"> analysis was only described as an annual percentage and therefore the importance of </w:t>
      </w:r>
      <w:proofErr w:type="spellStart"/>
      <w:r w:rsidR="004D10EB">
        <w:t>baseflow</w:t>
      </w:r>
      <w:proofErr w:type="spellEnd"/>
      <w:r w:rsidR="004D10EB">
        <w:t xml:space="preserve"> contribution to Bowmans and Glennies Creeks during</w:t>
      </w:r>
      <w:r w:rsidR="00143581" w:rsidRPr="00143581">
        <w:t xml:space="preserve"> </w:t>
      </w:r>
      <w:r w:rsidR="00143581">
        <w:t>seasonal</w:t>
      </w:r>
      <w:r w:rsidR="004D10EB">
        <w:t xml:space="preserve"> </w:t>
      </w:r>
      <w:r w:rsidR="00143581">
        <w:t xml:space="preserve">or climatic </w:t>
      </w:r>
      <w:r w:rsidR="004D10EB">
        <w:t>low flow</w:t>
      </w:r>
      <w:r w:rsidR="00143581">
        <w:t xml:space="preserve"> periods</w:t>
      </w:r>
      <w:r w:rsidR="004D10EB">
        <w:t xml:space="preserve"> is unknown.</w:t>
      </w:r>
      <w:r w:rsidR="00603397">
        <w:t xml:space="preserve"> </w:t>
      </w:r>
    </w:p>
    <w:p w:rsidR="003302F6" w:rsidRPr="00983BE4" w:rsidRDefault="00560497" w:rsidP="003302F6">
      <w:pPr>
        <w:pStyle w:val="ListNumber"/>
      </w:pPr>
      <w:r w:rsidRPr="00983BE4">
        <w:t xml:space="preserve">The groundwater model </w:t>
      </w:r>
      <w:r w:rsidR="00E6499B" w:rsidRPr="00983BE4">
        <w:t xml:space="preserve">predicts </w:t>
      </w:r>
      <w:r w:rsidRPr="00983BE4">
        <w:t>d</w:t>
      </w:r>
      <w:r w:rsidR="003302F6" w:rsidRPr="00983BE4">
        <w:t xml:space="preserve">rawdown </w:t>
      </w:r>
      <w:r w:rsidRPr="00983BE4">
        <w:t>within the Main Creek</w:t>
      </w:r>
      <w:r w:rsidR="003302F6" w:rsidRPr="00983BE4">
        <w:t xml:space="preserve"> alluvium of </w:t>
      </w:r>
      <w:r w:rsidR="00E6499B" w:rsidRPr="00983BE4">
        <w:t xml:space="preserve">between 2 m and greater than </w:t>
      </w:r>
      <w:r w:rsidR="003302F6" w:rsidRPr="00983BE4">
        <w:t xml:space="preserve">6 m </w:t>
      </w:r>
      <w:r w:rsidR="004808D1">
        <w:t>(for</w:t>
      </w:r>
      <w:r w:rsidR="00E6499B" w:rsidRPr="00983BE4">
        <w:t xml:space="preserve"> the plus one standard deviation </w:t>
      </w:r>
      <w:r w:rsidR="00C05916">
        <w:t xml:space="preserve">model </w:t>
      </w:r>
      <w:r w:rsidR="00E6499B" w:rsidRPr="00983BE4">
        <w:t xml:space="preserve">run). </w:t>
      </w:r>
      <w:r w:rsidR="00C60AEC" w:rsidRPr="00983BE4">
        <w:t xml:space="preserve">Within the predicted zone of impact </w:t>
      </w:r>
      <w:r w:rsidR="00C60AEC">
        <w:t>t</w:t>
      </w:r>
      <w:r w:rsidR="003302F6" w:rsidRPr="00983BE4">
        <w:t xml:space="preserve">his </w:t>
      </w:r>
      <w:r w:rsidR="00357261" w:rsidRPr="00983BE4">
        <w:t xml:space="preserve">would </w:t>
      </w:r>
      <w:r w:rsidR="00C60AEC" w:rsidRPr="00983BE4">
        <w:t>lower the</w:t>
      </w:r>
      <w:r w:rsidR="00357261" w:rsidRPr="00983BE4">
        <w:t xml:space="preserve"> </w:t>
      </w:r>
      <w:r w:rsidR="00983BE4" w:rsidRPr="00983BE4">
        <w:t xml:space="preserve">Main Creek </w:t>
      </w:r>
      <w:r w:rsidR="00357261" w:rsidRPr="00983BE4">
        <w:t xml:space="preserve">alluvial water table to </w:t>
      </w:r>
      <w:r w:rsidR="00983BE4" w:rsidRPr="00983BE4">
        <w:t>between</w:t>
      </w:r>
      <w:r w:rsidR="00357261" w:rsidRPr="00983BE4">
        <w:t xml:space="preserve"> 4 m </w:t>
      </w:r>
      <w:r w:rsidR="00983BE4" w:rsidRPr="00983BE4">
        <w:t>and 8 m</w:t>
      </w:r>
      <w:r w:rsidR="00C60AEC">
        <w:t xml:space="preserve"> below the surface</w:t>
      </w:r>
      <w:r w:rsidR="00983BE4" w:rsidRPr="00983BE4">
        <w:t xml:space="preserve">. The effect on the Central Hunter Swamp Oak Forest GDE of lowering the Main Creek </w:t>
      </w:r>
      <w:r w:rsidR="00694DF4" w:rsidRPr="00983BE4">
        <w:t>alluvi</w:t>
      </w:r>
      <w:r w:rsidR="00694DF4">
        <w:t>al water table</w:t>
      </w:r>
      <w:r w:rsidR="00694DF4" w:rsidRPr="00983BE4">
        <w:t xml:space="preserve"> </w:t>
      </w:r>
      <w:r w:rsidR="00983BE4" w:rsidRPr="00983BE4">
        <w:t>has not been addressed within the EIS.</w:t>
      </w:r>
    </w:p>
    <w:p w:rsidR="00DE2E1D" w:rsidRPr="005C1E3F" w:rsidRDefault="00DE2E1D" w:rsidP="00DE2E1D">
      <w:pPr>
        <w:pStyle w:val="ListNumber"/>
        <w:numPr>
          <w:ilvl w:val="0"/>
          <w:numId w:val="0"/>
        </w:numPr>
        <w:rPr>
          <w:i/>
        </w:rPr>
      </w:pPr>
      <w:r w:rsidRPr="005C1E3F">
        <w:rPr>
          <w:i/>
        </w:rPr>
        <w:t>Water dependent ecological assets</w:t>
      </w:r>
    </w:p>
    <w:p w:rsidR="00032B08" w:rsidRDefault="009D2C46" w:rsidP="00032B08">
      <w:pPr>
        <w:pStyle w:val="ListNumber"/>
      </w:pPr>
      <w:bookmarkStart w:id="5" w:name="_Ref413160014"/>
      <w:r>
        <w:t>The EIS states (App 10, p 92)</w:t>
      </w:r>
      <w:r w:rsidR="00157285">
        <w:t xml:space="preserve"> that no GDEs are </w:t>
      </w:r>
      <w:r>
        <w:t>associated with Yorks Creek and Swamp Creek. However,</w:t>
      </w:r>
      <w:r w:rsidR="00157285">
        <w:t xml:space="preserve"> the riparian </w:t>
      </w:r>
      <w:r>
        <w:t>zones of these watercourses are</w:t>
      </w:r>
      <w:r w:rsidR="00157285">
        <w:t xml:space="preserve"> mapped as containing the Central Hunter Swam</w:t>
      </w:r>
      <w:r>
        <w:t>p</w:t>
      </w:r>
      <w:r w:rsidR="00157285">
        <w:t xml:space="preserve"> Oak Forest</w:t>
      </w:r>
      <w:r>
        <w:t xml:space="preserve"> which is considered to be a</w:t>
      </w:r>
      <w:r w:rsidR="00157285">
        <w:t xml:space="preserve"> GDE (EIS, App 11, </w:t>
      </w:r>
      <w:proofErr w:type="gramStart"/>
      <w:r w:rsidR="00157285">
        <w:t>Figure</w:t>
      </w:r>
      <w:proofErr w:type="gramEnd"/>
      <w:r w:rsidR="00157285">
        <w:t xml:space="preserve"> 4.1).</w:t>
      </w:r>
      <w:r w:rsidR="00F23640">
        <w:t xml:space="preserve"> </w:t>
      </w:r>
      <w:r w:rsidR="00C60AEC">
        <w:t>The proponent has not mapped</w:t>
      </w:r>
      <w:r w:rsidR="00032B08">
        <w:t xml:space="preserve"> or estimated the area inhabited by </w:t>
      </w:r>
      <w:r w:rsidR="0032108C">
        <w:t>groundwater dependent</w:t>
      </w:r>
      <w:r w:rsidR="004D10EB">
        <w:t xml:space="preserve"> </w:t>
      </w:r>
      <w:r w:rsidR="00032B08">
        <w:t>riparian vegetation outside of the project area, including within the zone of predicted alluvial impact</w:t>
      </w:r>
      <w:r w:rsidR="004D10EB" w:rsidRPr="004D10EB">
        <w:t xml:space="preserve"> </w:t>
      </w:r>
      <w:r w:rsidR="004D10EB">
        <w:t>and</w:t>
      </w:r>
      <w:r w:rsidR="004D10EB" w:rsidRPr="004D10EB">
        <w:t xml:space="preserve"> </w:t>
      </w:r>
      <w:r w:rsidR="004D10EB">
        <w:t>downstream of the proposed project area</w:t>
      </w:r>
      <w:r w:rsidR="00032B08">
        <w:t>.</w:t>
      </w:r>
      <w:bookmarkEnd w:id="5"/>
    </w:p>
    <w:p w:rsidR="009110D5" w:rsidRDefault="004218C9" w:rsidP="00BC1CDA">
      <w:pPr>
        <w:pStyle w:val="ListNumber"/>
      </w:pPr>
      <w:bookmarkStart w:id="6" w:name="_Ref413160026"/>
      <w:r>
        <w:t xml:space="preserve">The proponent states that ephemeral streams represent limited habitat opportunities for aquatic fauna. However, the EIS states in a number of places (for example App 10, p 26 and App 11, p 2.3-2.4) that pools of standing/stagnant water remain in ephemeral streams. These pools may be semi permanent and represent important </w:t>
      </w:r>
      <w:proofErr w:type="spellStart"/>
      <w:r>
        <w:t>refugia</w:t>
      </w:r>
      <w:proofErr w:type="spellEnd"/>
      <w:r>
        <w:t xml:space="preserve"> for aquatic fauna. The ecological assessment </w:t>
      </w:r>
      <w:r w:rsidR="00BC1CDA">
        <w:t xml:space="preserve">does not assess the habitat value, </w:t>
      </w:r>
      <w:r w:rsidR="00A363CA">
        <w:t>duration</w:t>
      </w:r>
      <w:r w:rsidR="00BC1CDA">
        <w:t xml:space="preserve"> of persistence or map the extent or location of these pools.</w:t>
      </w:r>
      <w:bookmarkEnd w:id="6"/>
    </w:p>
    <w:p w:rsidR="001B66E9" w:rsidRPr="009110D5" w:rsidRDefault="0078045E" w:rsidP="001B66E9">
      <w:pPr>
        <w:pStyle w:val="ListNumber"/>
      </w:pPr>
      <w:r>
        <w:t xml:space="preserve">Given </w:t>
      </w:r>
      <w:r w:rsidR="00983BE4">
        <w:t xml:space="preserve">the </w:t>
      </w:r>
      <w:r>
        <w:t>Main Creek</w:t>
      </w:r>
      <w:r w:rsidR="00983BE4">
        <w:t xml:space="preserve"> alluvium</w:t>
      </w:r>
      <w:r>
        <w:t xml:space="preserve"> </w:t>
      </w:r>
      <w:r w:rsidR="002319E9">
        <w:t xml:space="preserve">supports known groundwater dependent riparian </w:t>
      </w:r>
      <w:r w:rsidR="00ED3F4C">
        <w:t xml:space="preserve">vegetation that is </w:t>
      </w:r>
      <w:r w:rsidR="00E451C0">
        <w:t xml:space="preserve">also </w:t>
      </w:r>
      <w:r w:rsidR="00ED3F4C">
        <w:t>habitat known to be utilised by</w:t>
      </w:r>
      <w:r w:rsidR="00C05916">
        <w:t xml:space="preserve"> the </w:t>
      </w:r>
      <w:r w:rsidR="003258C9">
        <w:t xml:space="preserve">nationally listed endangered </w:t>
      </w:r>
      <w:r w:rsidR="00C05916">
        <w:t>Spot</w:t>
      </w:r>
      <w:r w:rsidR="00A363CA">
        <w:t>ted</w:t>
      </w:r>
      <w:r w:rsidR="00C05916">
        <w:t>-tail quoll</w:t>
      </w:r>
      <w:r w:rsidR="002319E9">
        <w:t xml:space="preserve">, </w:t>
      </w:r>
      <w:r w:rsidR="00260604">
        <w:t xml:space="preserve">information </w:t>
      </w:r>
      <w:r w:rsidR="001B66E9">
        <w:t xml:space="preserve">identified in paragraphs </w:t>
      </w:r>
      <w:r w:rsidR="00884860">
        <w:fldChar w:fldCharType="begin"/>
      </w:r>
      <w:r w:rsidR="001B66E9">
        <w:instrText xml:space="preserve"> REF _Ref413160014 \r \h </w:instrText>
      </w:r>
      <w:r w:rsidR="00884860">
        <w:fldChar w:fldCharType="separate"/>
      </w:r>
      <w:r w:rsidR="00375A15">
        <w:t>8</w:t>
      </w:r>
      <w:r w:rsidR="00884860">
        <w:fldChar w:fldCharType="end"/>
      </w:r>
      <w:r w:rsidR="001B66E9">
        <w:t xml:space="preserve"> and </w:t>
      </w:r>
      <w:r w:rsidR="00884860">
        <w:fldChar w:fldCharType="begin"/>
      </w:r>
      <w:r w:rsidR="001B66E9">
        <w:instrText xml:space="preserve"> REF _Ref413160026 \r \h </w:instrText>
      </w:r>
      <w:r w:rsidR="00884860">
        <w:fldChar w:fldCharType="separate"/>
      </w:r>
      <w:r w:rsidR="00375A15">
        <w:t>9</w:t>
      </w:r>
      <w:r w:rsidR="00884860">
        <w:fldChar w:fldCharType="end"/>
      </w:r>
      <w:r w:rsidR="001B66E9">
        <w:t xml:space="preserve"> </w:t>
      </w:r>
      <w:r w:rsidR="00260604">
        <w:t>is</w:t>
      </w:r>
      <w:r w:rsidR="002319E9">
        <w:t xml:space="preserve"> needed </w:t>
      </w:r>
      <w:r w:rsidR="004F16F3" w:rsidRPr="000D43B0">
        <w:t>to</w:t>
      </w:r>
      <w:r w:rsidR="004F16F3">
        <w:t xml:space="preserve"> determine </w:t>
      </w:r>
      <w:r w:rsidR="000D43B0">
        <w:t xml:space="preserve">the existing </w:t>
      </w:r>
      <w:r w:rsidR="005109B7">
        <w:t xml:space="preserve">habitat </w:t>
      </w:r>
      <w:r w:rsidR="000D43B0">
        <w:t xml:space="preserve">conditions along </w:t>
      </w:r>
      <w:r w:rsidR="007B57DD">
        <w:t>this</w:t>
      </w:r>
      <w:r w:rsidR="000D43B0">
        <w:t xml:space="preserve"> watercourse. </w:t>
      </w:r>
    </w:p>
    <w:p w:rsidR="007203C3" w:rsidRPr="00CF5929" w:rsidRDefault="00BD6D52" w:rsidP="00BD6D52">
      <w:pPr>
        <w:pStyle w:val="Question"/>
      </w:pPr>
      <w:r w:rsidRPr="00CF5929">
        <w:t>Question 2:</w:t>
      </w:r>
      <w:r>
        <w:t xml:space="preserve"> </w:t>
      </w:r>
      <w:r w:rsidRPr="00942B38">
        <w:t>If not, what additional information would be required to provide a sufficiently robust assessment of the likelihood, extent and significance of potential impacts on water resources resulting from the project?</w:t>
      </w:r>
    </w:p>
    <w:p w:rsidR="00CF5929" w:rsidRPr="00CF5929" w:rsidRDefault="00CF5929" w:rsidP="00D622B9">
      <w:pPr>
        <w:pStyle w:val="Heading4"/>
      </w:pPr>
      <w:r w:rsidRPr="00CF5929">
        <w:t>Response</w:t>
      </w:r>
    </w:p>
    <w:p w:rsidR="007B1F28" w:rsidRDefault="007B1F28" w:rsidP="007B1F28">
      <w:pPr>
        <w:pStyle w:val="ListNumber"/>
        <w:ind w:left="426" w:hanging="426"/>
      </w:pPr>
      <w:r w:rsidRPr="00C6324B">
        <w:t xml:space="preserve">The assessment of risk to Glennies Creek needs to include data and information that describes the </w:t>
      </w:r>
      <w:r>
        <w:t xml:space="preserve">existing </w:t>
      </w:r>
      <w:r w:rsidRPr="00C6324B">
        <w:t>hydrological (water quality, flow quantity, seasonal regime) and ecological</w:t>
      </w:r>
      <w:r>
        <w:t xml:space="preserve"> </w:t>
      </w:r>
      <w:r w:rsidRPr="00C6324B">
        <w:t>(presence of fauna, habitat quality/quantity)</w:t>
      </w:r>
      <w:r>
        <w:t xml:space="preserve"> conditions within the </w:t>
      </w:r>
      <w:r w:rsidRPr="00C6324B">
        <w:t>Glennies Creek system</w:t>
      </w:r>
      <w:r w:rsidR="001C3E25">
        <w:t>,</w:t>
      </w:r>
      <w:r>
        <w:t xml:space="preserve"> including its tributar</w:t>
      </w:r>
      <w:r w:rsidR="00782313">
        <w:t>y Main Creek.</w:t>
      </w:r>
      <w:r w:rsidRPr="00C6324B">
        <w:t xml:space="preserve"> </w:t>
      </w:r>
    </w:p>
    <w:p w:rsidR="009110D5" w:rsidRPr="00CF5929" w:rsidRDefault="007B1F28" w:rsidP="007B1F28">
      <w:pPr>
        <w:pStyle w:val="ListNumber"/>
        <w:ind w:left="426" w:hanging="426"/>
      </w:pPr>
      <w:r>
        <w:t xml:space="preserve">Water quality monitoring within receiving surface water systems needs to include contaminants such as metals, </w:t>
      </w:r>
      <w:r w:rsidR="00D0404F">
        <w:t>PAHs</w:t>
      </w:r>
      <w:r>
        <w:t xml:space="preserve"> and ionic composition to determine the potential </w:t>
      </w:r>
      <w:r w:rsidR="00D0404F">
        <w:t>downstream</w:t>
      </w:r>
      <w:r>
        <w:t xml:space="preserve"> project specific and cumulative water quality impacts to the Hunter River.</w:t>
      </w:r>
    </w:p>
    <w:p w:rsidR="00CF5929" w:rsidRPr="00CF5929" w:rsidRDefault="00CF5929" w:rsidP="00D622B9">
      <w:pPr>
        <w:pStyle w:val="Heading4"/>
      </w:pPr>
      <w:r w:rsidRPr="00CF5929">
        <w:t>Explanation</w:t>
      </w:r>
    </w:p>
    <w:p w:rsidR="000D43B0" w:rsidRDefault="004D1144" w:rsidP="00D622B9">
      <w:pPr>
        <w:pStyle w:val="ListNumber"/>
      </w:pPr>
      <w:r>
        <w:t>While the assessments of the majority of surface watercourses within the vicinity of the proposed project area are sufficiently robust, t</w:t>
      </w:r>
      <w:r w:rsidR="007265A6">
        <w:t xml:space="preserve">he assessment of existing conditions </w:t>
      </w:r>
      <w:r w:rsidR="007265A6" w:rsidRPr="00F93649">
        <w:t>within Glennie</w:t>
      </w:r>
      <w:r w:rsidR="006F67A4" w:rsidRPr="00F93649">
        <w:t>s Creek is limited</w:t>
      </w:r>
      <w:r w:rsidR="007265A6">
        <w:t>.</w:t>
      </w:r>
      <w:r>
        <w:t xml:space="preserve"> </w:t>
      </w:r>
      <w:r w:rsidR="006418AC">
        <w:t xml:space="preserve">An </w:t>
      </w:r>
      <w:r>
        <w:t xml:space="preserve">assessment </w:t>
      </w:r>
      <w:r w:rsidR="006418AC">
        <w:t xml:space="preserve">of the following is needed to understand the existing conditions within </w:t>
      </w:r>
      <w:r w:rsidR="00D90E4D">
        <w:t>G</w:t>
      </w:r>
      <w:r w:rsidR="006418AC">
        <w:t>lennies Creek and provide a robust assessment:</w:t>
      </w:r>
    </w:p>
    <w:p w:rsidR="006418AC" w:rsidRDefault="006418AC" w:rsidP="006418AC">
      <w:pPr>
        <w:pStyle w:val="ListNumber2"/>
      </w:pPr>
      <w:r>
        <w:t>Flow</w:t>
      </w:r>
      <w:r w:rsidR="001D30C1">
        <w:t xml:space="preserve"> data, including </w:t>
      </w:r>
      <w:r>
        <w:t>seasonal and annual quantities</w:t>
      </w:r>
      <w:r w:rsidR="008E7963">
        <w:t>, and</w:t>
      </w:r>
      <w:r w:rsidR="00D90E4D">
        <w:t xml:space="preserve"> details of Main Creek’s </w:t>
      </w:r>
      <w:r w:rsidR="001C3E25" w:rsidRPr="00376234">
        <w:t>alluvial groundwater and</w:t>
      </w:r>
      <w:r w:rsidR="001C3E25">
        <w:t xml:space="preserve"> </w:t>
      </w:r>
      <w:r w:rsidR="00D90E4D">
        <w:t>surface water contribution to flows</w:t>
      </w:r>
      <w:r w:rsidR="00B414D9">
        <w:t xml:space="preserve"> in Glennies Creek</w:t>
      </w:r>
      <w:r w:rsidR="00472D77">
        <w:t>.</w:t>
      </w:r>
    </w:p>
    <w:p w:rsidR="00D90E4D" w:rsidRDefault="00B45098" w:rsidP="006418AC">
      <w:pPr>
        <w:pStyle w:val="ListNumber2"/>
      </w:pPr>
      <w:r>
        <w:t>Water quality data above and downstream of Main Creek. Data</w:t>
      </w:r>
      <w:r w:rsidR="00FC32A2">
        <w:t xml:space="preserve"> needs to include the full range of contaminants such as those already considered within existing monitoring (paragraph </w:t>
      </w:r>
      <w:r w:rsidR="00884860">
        <w:fldChar w:fldCharType="begin"/>
      </w:r>
      <w:r w:rsidR="00FC32A2">
        <w:instrText xml:space="preserve"> REF _Ref413153931 \r \h </w:instrText>
      </w:r>
      <w:r w:rsidR="00884860">
        <w:fldChar w:fldCharType="separate"/>
      </w:r>
      <w:r w:rsidR="00375A15">
        <w:t>3</w:t>
      </w:r>
      <w:r w:rsidR="00884860">
        <w:fldChar w:fldCharType="end"/>
      </w:r>
      <w:r w:rsidR="00FC32A2">
        <w:t xml:space="preserve">) as well as metals, metalloids, </w:t>
      </w:r>
      <w:r w:rsidR="00BA41F5">
        <w:t>PAHs and ionic compositions</w:t>
      </w:r>
      <w:r w:rsidR="00472D77">
        <w:t>.</w:t>
      </w:r>
    </w:p>
    <w:p w:rsidR="00490A3A" w:rsidRDefault="00BA41F5" w:rsidP="006418AC">
      <w:pPr>
        <w:pStyle w:val="ListNumber2"/>
      </w:pPr>
      <w:r>
        <w:t>An assessment of surface water contaminant contribution to cumulative impacts on downstream environment</w:t>
      </w:r>
      <w:r w:rsidR="009D1A89">
        <w:t>s</w:t>
      </w:r>
      <w:r>
        <w:t xml:space="preserve"> within Glennies Creek and the Hunter River</w:t>
      </w:r>
      <w:r w:rsidR="00472D77">
        <w:t>.</w:t>
      </w:r>
    </w:p>
    <w:p w:rsidR="009921EA" w:rsidRDefault="009D1A89" w:rsidP="00D622B9">
      <w:pPr>
        <w:pStyle w:val="ListNumber"/>
      </w:pPr>
      <w:r>
        <w:t xml:space="preserve">The proponent has undertaken </w:t>
      </w:r>
      <w:r w:rsidR="00EB357D">
        <w:t>sufficiently robust</w:t>
      </w:r>
      <w:r w:rsidR="00ED75F5">
        <w:t xml:space="preserve"> ecological </w:t>
      </w:r>
      <w:r w:rsidR="00EB357D">
        <w:t xml:space="preserve">stream </w:t>
      </w:r>
      <w:r w:rsidR="00ED75F5">
        <w:t>habitat and aquatic fauna assessments for</w:t>
      </w:r>
      <w:r w:rsidR="00235AD1">
        <w:t xml:space="preserve"> Bowmans Creek and </w:t>
      </w:r>
      <w:proofErr w:type="spellStart"/>
      <w:r w:rsidR="00235AD1">
        <w:t>Bettys</w:t>
      </w:r>
      <w:proofErr w:type="spellEnd"/>
      <w:r w:rsidR="00235AD1">
        <w:t xml:space="preserve"> Creek.</w:t>
      </w:r>
      <w:r w:rsidR="00ED75F5">
        <w:t xml:space="preserve"> </w:t>
      </w:r>
      <w:r w:rsidR="00235AD1">
        <w:t>H</w:t>
      </w:r>
      <w:r w:rsidR="00ED75F5">
        <w:t>owever</w:t>
      </w:r>
      <w:r w:rsidR="00235AD1">
        <w:t>,</w:t>
      </w:r>
      <w:r w:rsidR="00ED75F5">
        <w:t xml:space="preserve"> equivalent assessment</w:t>
      </w:r>
      <w:r w:rsidR="00EB357D">
        <w:t>s</w:t>
      </w:r>
      <w:r w:rsidR="00ED75F5">
        <w:t xml:space="preserve"> </w:t>
      </w:r>
      <w:r w:rsidR="00EB357D">
        <w:t>of</w:t>
      </w:r>
      <w:r w:rsidR="00ED75F5">
        <w:t xml:space="preserve"> Main</w:t>
      </w:r>
      <w:r w:rsidR="00EB357D">
        <w:t xml:space="preserve"> Creek and Glennies Creek have not been provided within the EIS. </w:t>
      </w:r>
      <w:r w:rsidR="00B414D9">
        <w:t>To understand the existing ecological conditions</w:t>
      </w:r>
      <w:r w:rsidR="00196313" w:rsidRPr="00196313">
        <w:t xml:space="preserve"> </w:t>
      </w:r>
      <w:r w:rsidR="00196313">
        <w:t xml:space="preserve">within, and </w:t>
      </w:r>
      <w:r w:rsidR="002E0A17">
        <w:t>provide a robust assessment for</w:t>
      </w:r>
      <w:r w:rsidR="00B414D9">
        <w:t xml:space="preserve"> Glennies and Main Creek</w:t>
      </w:r>
      <w:r w:rsidR="00A363CA">
        <w:t>,</w:t>
      </w:r>
      <w:r w:rsidR="00B414D9">
        <w:t xml:space="preserve"> a description of the </w:t>
      </w:r>
      <w:r w:rsidR="00D603DE">
        <w:t>riparian, in-</w:t>
      </w:r>
      <w:r w:rsidR="00196313">
        <w:t>stream</w:t>
      </w:r>
      <w:r w:rsidR="00DD4C68">
        <w:t>,</w:t>
      </w:r>
      <w:r w:rsidR="00196313">
        <w:t xml:space="preserve"> and alluvial </w:t>
      </w:r>
      <w:r w:rsidR="00B414D9">
        <w:t xml:space="preserve">habitat </w:t>
      </w:r>
      <w:r w:rsidR="00196313">
        <w:t>for fauna and flora needs to be provided. This would include</w:t>
      </w:r>
      <w:r w:rsidR="009921EA">
        <w:t>:</w:t>
      </w:r>
    </w:p>
    <w:p w:rsidR="001B40E3" w:rsidRDefault="001B40E3" w:rsidP="009921EA">
      <w:pPr>
        <w:pStyle w:val="ListNumber2"/>
      </w:pPr>
      <w:r>
        <w:t>mapping of vegetation including in riparian zones and areas of shallow groundwater</w:t>
      </w:r>
    </w:p>
    <w:p w:rsidR="009921EA" w:rsidRDefault="00196313" w:rsidP="009921EA">
      <w:pPr>
        <w:pStyle w:val="ListNumber2"/>
      </w:pPr>
      <w:r>
        <w:t>sampli</w:t>
      </w:r>
      <w:r w:rsidR="001B40E3">
        <w:t xml:space="preserve">ng of GDEs including </w:t>
      </w:r>
      <w:proofErr w:type="spellStart"/>
      <w:r w:rsidR="001B40E3">
        <w:t>stygofauna</w:t>
      </w:r>
      <w:proofErr w:type="spellEnd"/>
      <w:r>
        <w:t xml:space="preserve"> and </w:t>
      </w:r>
      <w:proofErr w:type="spellStart"/>
      <w:r>
        <w:t>hyporheic</w:t>
      </w:r>
      <w:proofErr w:type="spellEnd"/>
      <w:r>
        <w:t xml:space="preserve"> fauna</w:t>
      </w:r>
    </w:p>
    <w:p w:rsidR="009921EA" w:rsidRDefault="00196313" w:rsidP="009921EA">
      <w:pPr>
        <w:pStyle w:val="ListNumber2"/>
      </w:pPr>
      <w:r>
        <w:t xml:space="preserve">an </w:t>
      </w:r>
      <w:r w:rsidR="009921EA">
        <w:t xml:space="preserve">in-stream </w:t>
      </w:r>
      <w:r>
        <w:t>aquatic fauna survey</w:t>
      </w:r>
      <w:r w:rsidR="009921EA">
        <w:t xml:space="preserve"> (e.g</w:t>
      </w:r>
      <w:r w:rsidR="008C3061">
        <w:t>.</w:t>
      </w:r>
      <w:r w:rsidR="009921EA">
        <w:t xml:space="preserve"> fish</w:t>
      </w:r>
      <w:r w:rsidR="00560497">
        <w:t xml:space="preserve">, </w:t>
      </w:r>
      <w:proofErr w:type="spellStart"/>
      <w:r w:rsidR="001B40E3">
        <w:t>macroinvertebrates</w:t>
      </w:r>
      <w:proofErr w:type="spellEnd"/>
      <w:r w:rsidR="001B40E3">
        <w:t xml:space="preserve">, </w:t>
      </w:r>
      <w:r w:rsidR="00560497">
        <w:t>amphibians)</w:t>
      </w:r>
    </w:p>
    <w:p w:rsidR="009921EA" w:rsidRDefault="00FD5C8D" w:rsidP="009921EA">
      <w:pPr>
        <w:pStyle w:val="ListNumber2"/>
      </w:pPr>
      <w:r>
        <w:t>an existing conditions aquatic habitat assessment</w:t>
      </w:r>
      <w:r w:rsidR="00E13FE8">
        <w:t xml:space="preserve"> in line with a national standard</w:t>
      </w:r>
      <w:r>
        <w:t xml:space="preserve"> (for example </w:t>
      </w:r>
      <w:r w:rsidR="00E13FE8">
        <w:t>using</w:t>
      </w:r>
      <w:r>
        <w:t xml:space="preserve"> the AUSRIVAS</w:t>
      </w:r>
      <w:r w:rsidR="00E13FE8">
        <w:t xml:space="preserve"> (2007)</w:t>
      </w:r>
      <w:r>
        <w:t xml:space="preserve"> sampling protocols utilised for Bowmans Creek)</w:t>
      </w:r>
    </w:p>
    <w:p w:rsidR="00CF5929" w:rsidRDefault="00FD5C8D" w:rsidP="009921EA">
      <w:pPr>
        <w:pStyle w:val="ListNumber2"/>
      </w:pPr>
      <w:proofErr w:type="gramStart"/>
      <w:r>
        <w:t>the</w:t>
      </w:r>
      <w:proofErr w:type="gramEnd"/>
      <w:r>
        <w:t xml:space="preserve"> development of </w:t>
      </w:r>
      <w:r w:rsidR="00207B0E" w:rsidRPr="009921EA">
        <w:t>ecological conceptualisations</w:t>
      </w:r>
      <w:r w:rsidR="009921EA">
        <w:t xml:space="preserve"> using the method described in Commonwealth of Australia (2015)</w:t>
      </w:r>
      <w:r w:rsidR="00E13FE8">
        <w:t xml:space="preserve"> </w:t>
      </w:r>
      <w:r w:rsidR="009921EA">
        <w:t>to identify the ecological and water relationships of the MOCO project area.</w:t>
      </w:r>
    </w:p>
    <w:p w:rsidR="00006EC1" w:rsidRPr="00491CD3" w:rsidRDefault="00006EC1" w:rsidP="00006EC1">
      <w:pPr>
        <w:pStyle w:val="ListNumber"/>
      </w:pPr>
      <w:r w:rsidRPr="00491CD3">
        <w:t xml:space="preserve">The </w:t>
      </w:r>
      <w:r w:rsidR="00196313">
        <w:t>g</w:t>
      </w:r>
      <w:r w:rsidRPr="00491CD3">
        <w:t xml:space="preserve">eochemical characterisation </w:t>
      </w:r>
      <w:r w:rsidR="00B414D9">
        <w:t xml:space="preserve">study needs to </w:t>
      </w:r>
      <w:r>
        <w:t>be included as a component of</w:t>
      </w:r>
      <w:r w:rsidRPr="00491CD3">
        <w:t xml:space="preserve"> the EIS. The document is referenced in the Mine Closure and Rehabilitation Strategy (</w:t>
      </w:r>
      <w:r w:rsidR="00B414D9">
        <w:t xml:space="preserve">EIS, </w:t>
      </w:r>
      <w:r w:rsidRPr="00491CD3">
        <w:t>Appendix 18) as Environmental Geochemistry International Pty Ltd</w:t>
      </w:r>
      <w:r w:rsidR="00B414D9">
        <w:t>,</w:t>
      </w:r>
      <w:r w:rsidRPr="00491CD3">
        <w:t xml:space="preserve"> 2013 </w:t>
      </w:r>
      <w:r w:rsidRPr="00B414D9">
        <w:rPr>
          <w:i/>
        </w:rPr>
        <w:t>Geochemical Assessment of the Mount Owen Optimisation Project</w:t>
      </w:r>
      <w:r w:rsidRPr="00006EC1">
        <w:t>.</w:t>
      </w:r>
      <w:r w:rsidR="00B414D9" w:rsidRPr="00B414D9">
        <w:t xml:space="preserve"> </w:t>
      </w:r>
      <w:r w:rsidR="00B414D9" w:rsidRPr="00491CD3">
        <w:t>This is an important document to allow a thorough assessment of the potential geochemical risks posed by</w:t>
      </w:r>
      <w:r w:rsidR="00196313">
        <w:t xml:space="preserve"> the final landform including</w:t>
      </w:r>
      <w:r w:rsidR="008E0411">
        <w:t xml:space="preserve"> the</w:t>
      </w:r>
      <w:r w:rsidR="00196313">
        <w:t xml:space="preserve"> three final voids.</w:t>
      </w:r>
    </w:p>
    <w:p w:rsidR="00347CB7" w:rsidRPr="00CF5929" w:rsidRDefault="00347CB7" w:rsidP="00BD6D52">
      <w:pPr>
        <w:pStyle w:val="Question"/>
      </w:pPr>
      <w:r>
        <w:t>Question 3</w:t>
      </w:r>
      <w:r w:rsidRPr="00CF5929">
        <w:t>:</w:t>
      </w:r>
      <w:r w:rsidR="00BD6D52">
        <w:t xml:space="preserve"> </w:t>
      </w:r>
      <w:r w:rsidR="00BD6D52" w:rsidRPr="00BD6D52">
        <w:t>Has the proponent provided effective strategies to avoid</w:t>
      </w:r>
      <w:r w:rsidR="00D603DE">
        <w:t>,</w:t>
      </w:r>
      <w:r w:rsidR="00BD6D52" w:rsidRPr="00BD6D52">
        <w:t xml:space="preserve"> mitigate, and / or reduce the likelihood, extent and significance of these impacts?</w:t>
      </w:r>
    </w:p>
    <w:p w:rsidR="00D54D46" w:rsidRPr="00CF5929" w:rsidRDefault="00D54D46" w:rsidP="00D54D46">
      <w:pPr>
        <w:pStyle w:val="Heading4"/>
      </w:pPr>
      <w:r w:rsidRPr="00CF5929">
        <w:t>Response</w:t>
      </w:r>
    </w:p>
    <w:p w:rsidR="007B1F28" w:rsidRDefault="007B1F28" w:rsidP="007B1F28">
      <w:pPr>
        <w:pStyle w:val="ListNumber"/>
        <w:ind w:left="426" w:hanging="426"/>
      </w:pPr>
      <w:r w:rsidRPr="001028F5">
        <w:t xml:space="preserve">The potential to implement avoidance measures </w:t>
      </w:r>
      <w:r w:rsidR="00DF1C8E">
        <w:t>is</w:t>
      </w:r>
      <w:r w:rsidRPr="001028F5">
        <w:t xml:space="preserve"> limited by the </w:t>
      </w:r>
      <w:r w:rsidR="00F705E1">
        <w:t xml:space="preserve">large </w:t>
      </w:r>
      <w:r w:rsidRPr="001028F5">
        <w:t>scale of the project</w:t>
      </w:r>
      <w:r w:rsidR="00F705E1">
        <w:t>, compared to the size of the proponent</w:t>
      </w:r>
      <w:r w:rsidR="00255A0B">
        <w:t>’</w:t>
      </w:r>
      <w:r w:rsidR="00F705E1">
        <w:t>s mining leases</w:t>
      </w:r>
      <w:r w:rsidRPr="001028F5">
        <w:t>. However, where possible the proponent has attempted to reduce the project’s disturbance footprint</w:t>
      </w:r>
      <w:r w:rsidR="005F4351" w:rsidRPr="005F4351">
        <w:t xml:space="preserve"> </w:t>
      </w:r>
      <w:r w:rsidR="005F4351">
        <w:t>by proposing development on existing disturbed sites and</w:t>
      </w:r>
      <w:r w:rsidRPr="001028F5">
        <w:t xml:space="preserve"> </w:t>
      </w:r>
      <w:r w:rsidR="005F4351">
        <w:t>has</w:t>
      </w:r>
      <w:r w:rsidR="00A97E22" w:rsidRPr="00A97E22">
        <w:t xml:space="preserve"> </w:t>
      </w:r>
      <w:r w:rsidR="00A97E22" w:rsidRPr="001028F5">
        <w:t>increased</w:t>
      </w:r>
      <w:r w:rsidR="00A97E22">
        <w:t xml:space="preserve"> the</w:t>
      </w:r>
      <w:r w:rsidRPr="001028F5">
        <w:t xml:space="preserve"> </w:t>
      </w:r>
      <w:r w:rsidR="008C3061" w:rsidRPr="001028F5">
        <w:t>setback</w:t>
      </w:r>
      <w:r w:rsidR="00A97E22">
        <w:t xml:space="preserve"> for the </w:t>
      </w:r>
      <w:r w:rsidR="00A97E22" w:rsidRPr="001028F5">
        <w:t>N</w:t>
      </w:r>
      <w:r w:rsidR="00A97E22">
        <w:t>PE to 450 m</w:t>
      </w:r>
      <w:r w:rsidR="00A97E22" w:rsidRPr="001028F5">
        <w:t xml:space="preserve"> from Main Creek</w:t>
      </w:r>
      <w:r w:rsidR="00A97E22">
        <w:t>’s central flow channel</w:t>
      </w:r>
      <w:r w:rsidRPr="001028F5">
        <w:t>.</w:t>
      </w:r>
    </w:p>
    <w:p w:rsidR="0067646C" w:rsidRPr="001028F5" w:rsidRDefault="009408FA" w:rsidP="0067646C">
      <w:pPr>
        <w:pStyle w:val="ListNumber"/>
        <w:ind w:left="426" w:hanging="426"/>
      </w:pPr>
      <w:r>
        <w:t>M</w:t>
      </w:r>
      <w:r w:rsidR="0067646C">
        <w:t xml:space="preserve">itigation measures are proposed to be implemented through existing </w:t>
      </w:r>
      <w:r>
        <w:t xml:space="preserve">management </w:t>
      </w:r>
      <w:r w:rsidR="00DD4C68">
        <w:t>plans</w:t>
      </w:r>
      <w:r w:rsidR="0067646C">
        <w:t xml:space="preserve"> which have not been included within the assessment documentation.</w:t>
      </w:r>
      <w:r w:rsidR="004706B9">
        <w:t xml:space="preserve"> It is </w:t>
      </w:r>
      <w:r w:rsidR="00E665E0">
        <w:t>not possible</w:t>
      </w:r>
      <w:r w:rsidR="004706B9">
        <w:t xml:space="preserve"> to determine how </w:t>
      </w:r>
      <w:r w:rsidR="00BA7415">
        <w:t>effective</w:t>
      </w:r>
      <w:r w:rsidR="004706B9">
        <w:t xml:space="preserve"> the measures have </w:t>
      </w:r>
      <w:r w:rsidR="00A97E22">
        <w:t>been</w:t>
      </w:r>
      <w:r w:rsidR="00255A0B">
        <w:t xml:space="preserve">, or would be, at </w:t>
      </w:r>
      <w:r w:rsidR="004706B9">
        <w:t>mitigating</w:t>
      </w:r>
      <w:r w:rsidR="00BA7415">
        <w:t xml:space="preserve"> or reducing</w:t>
      </w:r>
      <w:r w:rsidR="004706B9">
        <w:t xml:space="preserve"> </w:t>
      </w:r>
      <w:r w:rsidR="00A97E22">
        <w:t>i</w:t>
      </w:r>
      <w:r w:rsidR="004706B9">
        <w:t>mpacts</w:t>
      </w:r>
      <w:r w:rsidR="00A97E22">
        <w:t xml:space="preserve"> from the existing operations</w:t>
      </w:r>
      <w:r w:rsidR="00E665E0">
        <w:t xml:space="preserve"> as this information has not been provided within the EIS.</w:t>
      </w:r>
      <w:r w:rsidR="00255A0B">
        <w:t xml:space="preserve"> </w:t>
      </w:r>
    </w:p>
    <w:p w:rsidR="00D54D46" w:rsidRPr="00CF5929" w:rsidRDefault="00D54D46" w:rsidP="00D54D46">
      <w:pPr>
        <w:pStyle w:val="Heading4"/>
      </w:pPr>
      <w:r w:rsidRPr="00CF5929">
        <w:t>Explanation</w:t>
      </w:r>
    </w:p>
    <w:p w:rsidR="00D54D46" w:rsidRDefault="0067646C" w:rsidP="004706B9">
      <w:pPr>
        <w:pStyle w:val="ListNumber"/>
        <w:ind w:left="426" w:hanging="426"/>
      </w:pPr>
      <w:r w:rsidRPr="001028F5">
        <w:t>The proponent commits to continue utilising various approved plans, programs and strategies to mitigate potential impacts to water resources, including the Landscape Management Plan, Erosion and Sediment Cont</w:t>
      </w:r>
      <w:r w:rsidR="00725F0D">
        <w:t>rol Plan, Water Management Plan and the</w:t>
      </w:r>
      <w:r w:rsidRPr="001028F5">
        <w:t xml:space="preserve"> Flora and Fauna Management Plan. These plans are not included as a component of the EIS, </w:t>
      </w:r>
      <w:r w:rsidR="0046608A">
        <w:t xml:space="preserve">though are available on the proponent’s website. </w:t>
      </w:r>
      <w:r w:rsidR="00CB403C">
        <w:t>The proposed mitigation measures that have been described</w:t>
      </w:r>
      <w:r w:rsidR="00E254AF">
        <w:t xml:space="preserve"> broadly</w:t>
      </w:r>
      <w:r w:rsidR="00CB403C">
        <w:t xml:space="preserve"> include ongoing review of groundwater modelling, biodiversity offsetting, rehabilitation, the addition of new monitoring locations</w:t>
      </w:r>
      <w:r w:rsidR="00B210E5">
        <w:t>,</w:t>
      </w:r>
      <w:r w:rsidR="004706B9">
        <w:t xml:space="preserve"> surface water diversions</w:t>
      </w:r>
      <w:r w:rsidR="00B210E5">
        <w:t xml:space="preserve"> and erosion and sediment control techniques</w:t>
      </w:r>
      <w:r w:rsidR="004706B9">
        <w:t>.</w:t>
      </w:r>
      <w:r w:rsidR="00662084">
        <w:t xml:space="preserve"> The ongoing effectiveness or results </w:t>
      </w:r>
      <w:r w:rsidR="003015C2">
        <w:t>of</w:t>
      </w:r>
      <w:r w:rsidR="00662084">
        <w:t xml:space="preserve"> these measures within the existing operations</w:t>
      </w:r>
      <w:r w:rsidR="00AF3B1D">
        <w:t xml:space="preserve"> have not been clearly stated. </w:t>
      </w:r>
      <w:r w:rsidR="00662084">
        <w:t xml:space="preserve">Water </w:t>
      </w:r>
      <w:r w:rsidR="002A2096">
        <w:t>quality within existing stream diversions</w:t>
      </w:r>
      <w:r w:rsidR="000E3C00">
        <w:t xml:space="preserve"> </w:t>
      </w:r>
      <w:r w:rsidR="00235AD1">
        <w:t>(including metals, PAHs and i</w:t>
      </w:r>
      <w:r w:rsidR="00B36BB2">
        <w:t>onic compositions)</w:t>
      </w:r>
      <w:r w:rsidR="002A2096">
        <w:t xml:space="preserve">, as well as their habitat values and </w:t>
      </w:r>
      <w:proofErr w:type="spellStart"/>
      <w:r w:rsidR="002A2096">
        <w:t>geomorphological</w:t>
      </w:r>
      <w:proofErr w:type="spellEnd"/>
      <w:r w:rsidR="002A2096">
        <w:t xml:space="preserve"> stability has</w:t>
      </w:r>
      <w:r w:rsidR="00662084">
        <w:t xml:space="preserve"> not been provided.</w:t>
      </w:r>
    </w:p>
    <w:p w:rsidR="00425C1C" w:rsidRDefault="009408FA" w:rsidP="004706B9">
      <w:pPr>
        <w:pStyle w:val="ListNumber"/>
        <w:ind w:left="426" w:hanging="426"/>
      </w:pPr>
      <w:r>
        <w:t>The groundwater impact assessment states (EIS, App 10, p 128) that, if necessary, the proponent would adjust mining</w:t>
      </w:r>
      <w:r w:rsidR="004F05B6">
        <w:t xml:space="preserve"> and dewatering plans to mitigate unacceptable actual or predicted impacts on the alluvial systems of Glenn</w:t>
      </w:r>
      <w:r w:rsidR="004F381B">
        <w:t xml:space="preserve">ies Creek and Bowmans Creek. </w:t>
      </w:r>
      <w:r w:rsidR="002E0A17" w:rsidRPr="00376234">
        <w:t>The criteria to be used to determine</w:t>
      </w:r>
      <w:r w:rsidR="004F381B" w:rsidRPr="00376234">
        <w:t xml:space="preserve"> </w:t>
      </w:r>
      <w:r w:rsidR="00F93649" w:rsidRPr="00376234">
        <w:t xml:space="preserve">an </w:t>
      </w:r>
      <w:r w:rsidR="004F381B" w:rsidRPr="00376234">
        <w:t>unacceptable</w:t>
      </w:r>
      <w:r w:rsidR="00BA7415" w:rsidRPr="00376234">
        <w:t xml:space="preserve"> impact</w:t>
      </w:r>
      <w:r w:rsidR="00B36BB2" w:rsidRPr="00376234">
        <w:t xml:space="preserve"> </w:t>
      </w:r>
      <w:r w:rsidR="00F93649" w:rsidRPr="00376234">
        <w:t>should be provided</w:t>
      </w:r>
      <w:r w:rsidR="002E0A17" w:rsidRPr="00376234">
        <w:t xml:space="preserve"> in</w:t>
      </w:r>
      <w:r w:rsidR="00F93649" w:rsidRPr="00376234">
        <w:t xml:space="preserve"> </w:t>
      </w:r>
      <w:r w:rsidR="002E0A17" w:rsidRPr="00376234">
        <w:t>relation</w:t>
      </w:r>
      <w:r w:rsidR="00CE19AB" w:rsidRPr="00376234">
        <w:t xml:space="preserve"> to the alluvial systems</w:t>
      </w:r>
      <w:r w:rsidR="00BA7415">
        <w:t xml:space="preserve"> </w:t>
      </w:r>
      <w:r w:rsidR="005B6B02">
        <w:t>(</w:t>
      </w:r>
      <w:r w:rsidR="00BA7415">
        <w:t>or impacts to riparian GDEs</w:t>
      </w:r>
      <w:r w:rsidR="005B6B02">
        <w:t>)</w:t>
      </w:r>
      <w:r w:rsidR="00CE19AB">
        <w:t xml:space="preserve"> </w:t>
      </w:r>
      <w:r w:rsidR="00E254AF">
        <w:t>associated with</w:t>
      </w:r>
      <w:r w:rsidR="00B36BB2">
        <w:t xml:space="preserve"> the</w:t>
      </w:r>
      <w:r w:rsidR="00E254AF">
        <w:t xml:space="preserve"> tributaries of </w:t>
      </w:r>
      <w:r w:rsidR="00CE19AB">
        <w:t xml:space="preserve">Glennies Creek or Bowmans Creek. </w:t>
      </w:r>
    </w:p>
    <w:p w:rsidR="004706B9" w:rsidDel="002712E2" w:rsidRDefault="00425C1C" w:rsidP="004706B9">
      <w:pPr>
        <w:pStyle w:val="ListNumber"/>
        <w:ind w:left="426" w:hanging="426"/>
      </w:pPr>
      <w:r w:rsidDel="002712E2">
        <w:t xml:space="preserve">Given the predicted drawdown in the Main Creek alluvium of between 2 m and up to greater than 6 m (for the plus one standard deviation prediction), </w:t>
      </w:r>
      <w:r w:rsidRPr="00376234" w:rsidDel="002712E2">
        <w:t>there is a risk of impact</w:t>
      </w:r>
      <w:r w:rsidDel="002712E2">
        <w:t xml:space="preserve"> to the riparian Central Hunter Swamp Oak Forest GDE along this watercourse. </w:t>
      </w:r>
      <w:r w:rsidR="00B36BB2">
        <w:t>M</w:t>
      </w:r>
      <w:r w:rsidDel="002712E2">
        <w:t xml:space="preserve">itigation, rehabilitation or vegetation improvement is not proposed, or has not been described within the EIS, to </w:t>
      </w:r>
      <w:r w:rsidR="00235AD1" w:rsidRPr="00F93649">
        <w:t>compensate</w:t>
      </w:r>
      <w:r w:rsidDel="002712E2">
        <w:t xml:space="preserve"> for the predicted drawdown impacts to riparian vegetation</w:t>
      </w:r>
      <w:r w:rsidR="002B120D" w:rsidRPr="002B120D" w:rsidDel="002712E2">
        <w:t xml:space="preserve"> </w:t>
      </w:r>
      <w:r w:rsidR="002B120D" w:rsidDel="002712E2">
        <w:t>along Main Creek</w:t>
      </w:r>
      <w:r w:rsidDel="002712E2">
        <w:t>.</w:t>
      </w:r>
    </w:p>
    <w:p w:rsidR="00347CB7" w:rsidRPr="00CF5929" w:rsidRDefault="00347CB7" w:rsidP="00347CB7">
      <w:pPr>
        <w:pStyle w:val="Question"/>
      </w:pPr>
      <w:r>
        <w:t>Question 4</w:t>
      </w:r>
      <w:r w:rsidRPr="00CF5929">
        <w:t>:</w:t>
      </w:r>
      <w:r w:rsidR="00BD6D52" w:rsidRPr="00BD6D52">
        <w:t xml:space="preserve"> If not, what additional measures should be recommended to avoid, mitigate, reduce or remediate the likelihood, extent and significance of these impacts?</w:t>
      </w:r>
    </w:p>
    <w:p w:rsidR="00D54D46" w:rsidRPr="00CF5929" w:rsidRDefault="00D54D46" w:rsidP="00E3024B">
      <w:pPr>
        <w:pStyle w:val="Heading4"/>
        <w:keepNext/>
      </w:pPr>
      <w:r w:rsidRPr="00CF5929">
        <w:t>Response</w:t>
      </w:r>
    </w:p>
    <w:p w:rsidR="00D54D46" w:rsidRPr="00CF5929" w:rsidRDefault="00D77C63" w:rsidP="00D54D46">
      <w:pPr>
        <w:pStyle w:val="ListNumber"/>
        <w:ind w:left="426" w:hanging="426"/>
      </w:pPr>
      <w:r w:rsidRPr="0022577D">
        <w:t xml:space="preserve">The proponent’s mitigation strategy should consider the potential impacts to riparian vegetation </w:t>
      </w:r>
      <w:r w:rsidR="002E0A17" w:rsidRPr="00376234">
        <w:t>affected by but</w:t>
      </w:r>
      <w:r w:rsidR="002E0A17">
        <w:t xml:space="preserve"> </w:t>
      </w:r>
      <w:r w:rsidRPr="0022577D">
        <w:t xml:space="preserve">outside of the proposed project area, such as along reaches of </w:t>
      </w:r>
      <w:proofErr w:type="spellStart"/>
      <w:r w:rsidRPr="0022577D">
        <w:t>Bettys</w:t>
      </w:r>
      <w:proofErr w:type="spellEnd"/>
      <w:r w:rsidRPr="0022577D">
        <w:t xml:space="preserve"> Creek and Main Creek. Stream diversion specifications as well as construction and performance criteria should be provided to determine </w:t>
      </w:r>
      <w:r>
        <w:t xml:space="preserve">the </w:t>
      </w:r>
      <w:r w:rsidRPr="0022577D">
        <w:t>diversion</w:t>
      </w:r>
      <w:r w:rsidR="00C36016">
        <w:t>’</w:t>
      </w:r>
      <w:r w:rsidRPr="0022577D">
        <w:t xml:space="preserve">s ability to </w:t>
      </w:r>
      <w:r w:rsidR="00F705E1">
        <w:t xml:space="preserve">avoid or </w:t>
      </w:r>
      <w:r w:rsidRPr="0022577D">
        <w:t xml:space="preserve">mitigate </w:t>
      </w:r>
      <w:r w:rsidR="00E937C4" w:rsidRPr="0022577D">
        <w:t xml:space="preserve">potential downstream </w:t>
      </w:r>
      <w:r w:rsidR="00E937C4">
        <w:t>surface water</w:t>
      </w:r>
      <w:r w:rsidRPr="0022577D">
        <w:t xml:space="preserve"> impacts.</w:t>
      </w:r>
      <w:r w:rsidR="00B36BB2">
        <w:t xml:space="preserve"> </w:t>
      </w:r>
      <w:r w:rsidR="00B36BB2" w:rsidRPr="00376234">
        <w:t>The legacy risks associated with the three fi</w:t>
      </w:r>
      <w:r w:rsidR="00F94E0A" w:rsidRPr="00376234">
        <w:t>nal voids need to be identified and</w:t>
      </w:r>
      <w:r w:rsidR="00341AB1" w:rsidRPr="00376234">
        <w:t xml:space="preserve"> </w:t>
      </w:r>
      <w:r w:rsidR="00B36BB2" w:rsidRPr="00376234">
        <w:t>mitigat</w:t>
      </w:r>
      <w:r w:rsidR="000E3C00" w:rsidRPr="00376234">
        <w:t>ed</w:t>
      </w:r>
      <w:r w:rsidR="00B36BB2" w:rsidRPr="00376234">
        <w:t xml:space="preserve"> </w:t>
      </w:r>
      <w:r w:rsidR="00F94E0A" w:rsidRPr="00376234">
        <w:t>or</w:t>
      </w:r>
      <w:r w:rsidR="00B36BB2" w:rsidRPr="00376234">
        <w:t xml:space="preserve"> managed, </w:t>
      </w:r>
      <w:r w:rsidR="00341AB1" w:rsidRPr="00376234">
        <w:t xml:space="preserve">including those associated with </w:t>
      </w:r>
      <w:r w:rsidR="00F94E0A" w:rsidRPr="00376234">
        <w:t xml:space="preserve">potential </w:t>
      </w:r>
      <w:r w:rsidR="00341AB1" w:rsidRPr="00376234">
        <w:t>post</w:t>
      </w:r>
      <w:r w:rsidR="00341AB1">
        <w:t xml:space="preserve"> mining contamination of aquifers and connectivity with the underlying longwall mine.</w:t>
      </w:r>
    </w:p>
    <w:p w:rsidR="00D54D46" w:rsidRPr="00CF5929" w:rsidRDefault="00D54D46" w:rsidP="00D54D46">
      <w:pPr>
        <w:pStyle w:val="Heading4"/>
      </w:pPr>
      <w:r w:rsidRPr="00CF5929">
        <w:t>Explanation</w:t>
      </w:r>
    </w:p>
    <w:p w:rsidR="003015C2" w:rsidRPr="00CF5929" w:rsidRDefault="003015C2" w:rsidP="003015C2">
      <w:pPr>
        <w:pStyle w:val="ListNumber"/>
        <w:ind w:left="426" w:hanging="426"/>
      </w:pPr>
      <w:r>
        <w:t xml:space="preserve">Given </w:t>
      </w:r>
      <w:r w:rsidR="002B120D">
        <w:t>the riparian Central Hunter Swamp Oak Forest</w:t>
      </w:r>
      <w:r>
        <w:t xml:space="preserve"> community </w:t>
      </w:r>
      <w:r w:rsidR="00425C1C">
        <w:t>is</w:t>
      </w:r>
      <w:r>
        <w:t xml:space="preserve"> a </w:t>
      </w:r>
      <w:r w:rsidR="002B120D">
        <w:t xml:space="preserve">GDE and a </w:t>
      </w:r>
      <w:r>
        <w:t xml:space="preserve">known habitat corridor for the </w:t>
      </w:r>
      <w:r w:rsidR="000E3C00">
        <w:t xml:space="preserve">nationally listed endangered </w:t>
      </w:r>
      <w:r>
        <w:t>Spot</w:t>
      </w:r>
      <w:r w:rsidR="001B40E3">
        <w:t>ted</w:t>
      </w:r>
      <w:r>
        <w:t>-tail quoll</w:t>
      </w:r>
      <w:r w:rsidR="00425C1C">
        <w:t>, the applicati</w:t>
      </w:r>
      <w:r w:rsidR="00CA5CCE">
        <w:t>on of mitigation or remediation measures</w:t>
      </w:r>
      <w:r w:rsidR="00425C1C">
        <w:t xml:space="preserve"> along Main Creek (including outside of the proposed project boundary</w:t>
      </w:r>
      <w:r w:rsidR="002B120D">
        <w:t xml:space="preserve">) within the zone of impact is warranted. These measures </w:t>
      </w:r>
      <w:r w:rsidR="00991145">
        <w:t>would need to</w:t>
      </w:r>
      <w:r w:rsidR="002B120D">
        <w:t xml:space="preserve"> include </w:t>
      </w:r>
      <w:r w:rsidR="00CA5CCE">
        <w:t>improved mapping of riparian</w:t>
      </w:r>
      <w:r w:rsidR="00CA5CCE" w:rsidRPr="00CA5CCE">
        <w:t xml:space="preserve"> </w:t>
      </w:r>
      <w:r w:rsidR="00CA5CCE">
        <w:t>vegetation</w:t>
      </w:r>
      <w:r w:rsidR="00F94E0A">
        <w:t xml:space="preserve"> </w:t>
      </w:r>
      <w:r w:rsidR="00F94E0A" w:rsidRPr="00376234">
        <w:t>potentially affected by drawdown but</w:t>
      </w:r>
      <w:r w:rsidR="00CA5CCE">
        <w:t xml:space="preserve"> outside of the MOCO project boundary as well as </w:t>
      </w:r>
      <w:r w:rsidR="002B120D">
        <w:t>ongoing monitoring of condition to determine if mitigat</w:t>
      </w:r>
      <w:r w:rsidR="00991145">
        <w:t>ion or remediation is required. If required, mitigation measures could include provision of additional water to the Main Creek alluvium, improvement of ba</w:t>
      </w:r>
      <w:r w:rsidR="00CA5CCE">
        <w:t xml:space="preserve">nk stability and water quality as well as </w:t>
      </w:r>
      <w:r w:rsidR="00991145">
        <w:t>vegetation remediation</w:t>
      </w:r>
      <w:r w:rsidR="005B6B02">
        <w:t xml:space="preserve">, </w:t>
      </w:r>
      <w:r w:rsidR="00CA5CCE">
        <w:t>rehabilitation</w:t>
      </w:r>
      <w:r w:rsidR="005B6B02">
        <w:t xml:space="preserve"> and Spot</w:t>
      </w:r>
      <w:r w:rsidR="00375A15">
        <w:t>ted</w:t>
      </w:r>
      <w:r w:rsidR="005B6B02">
        <w:t>-tail</w:t>
      </w:r>
      <w:r w:rsidR="00375A15">
        <w:t xml:space="preserve"> </w:t>
      </w:r>
      <w:r w:rsidR="005B6B02">
        <w:t xml:space="preserve">quoll habitat </w:t>
      </w:r>
      <w:r w:rsidR="00341AB1">
        <w:t>improvement</w:t>
      </w:r>
      <w:r w:rsidR="00CA5CCE">
        <w:t>.</w:t>
      </w:r>
    </w:p>
    <w:p w:rsidR="00F12928" w:rsidRDefault="005B6B02" w:rsidP="00AF6EB4">
      <w:pPr>
        <w:pStyle w:val="ListNumber"/>
      </w:pPr>
      <w:r>
        <w:t>Ongoing</w:t>
      </w:r>
      <w:r w:rsidR="00CA5CCE">
        <w:t xml:space="preserve"> m</w:t>
      </w:r>
      <w:r w:rsidR="00BE48D8">
        <w:t xml:space="preserve">onitoring </w:t>
      </w:r>
      <w:r>
        <w:t xml:space="preserve">and refined mapping of </w:t>
      </w:r>
      <w:r w:rsidR="00DE22CD">
        <w:t xml:space="preserve">GDEs that occur outside of the project </w:t>
      </w:r>
      <w:r w:rsidR="00F705E1">
        <w:t>boundary, which may be impacted by the proposed project,</w:t>
      </w:r>
      <w:r w:rsidR="00DE22CD">
        <w:t xml:space="preserve"> is also needed to determine the extent of the potential impacts of the proposed project.</w:t>
      </w:r>
    </w:p>
    <w:p w:rsidR="00D54D46" w:rsidRDefault="00DE22CD" w:rsidP="00D54D46">
      <w:pPr>
        <w:pStyle w:val="ListNumber"/>
      </w:pPr>
      <w:r>
        <w:t>Specifications for surface water d</w:t>
      </w:r>
      <w:r w:rsidR="00BE48D8">
        <w:t>iversion</w:t>
      </w:r>
      <w:r>
        <w:t xml:space="preserve">s </w:t>
      </w:r>
      <w:r w:rsidR="0093465C" w:rsidRPr="0022577D">
        <w:t>as well as construction and performance criteria</w:t>
      </w:r>
      <w:r w:rsidR="0093465C">
        <w:t xml:space="preserve"> </w:t>
      </w:r>
      <w:r>
        <w:t xml:space="preserve">are needed to determine the </w:t>
      </w:r>
      <w:r w:rsidR="00E937C4">
        <w:t>effectivenes</w:t>
      </w:r>
      <w:r w:rsidR="0093465C">
        <w:t xml:space="preserve">s of each diversion in mitigating </w:t>
      </w:r>
      <w:r w:rsidR="009F3F27">
        <w:t>surface water quality and quantity</w:t>
      </w:r>
      <w:r>
        <w:t xml:space="preserve"> impact</w:t>
      </w:r>
      <w:r w:rsidR="009F3F27">
        <w:t>s</w:t>
      </w:r>
      <w:r>
        <w:t xml:space="preserve"> to downstream watercourses, </w:t>
      </w:r>
      <w:r w:rsidR="00E937C4">
        <w:t>particularly</w:t>
      </w:r>
      <w:r>
        <w:t xml:space="preserve"> </w:t>
      </w:r>
      <w:r w:rsidR="00F10039">
        <w:t>within</w:t>
      </w:r>
      <w:r>
        <w:t xml:space="preserve"> Glennies Creek</w:t>
      </w:r>
      <w:r w:rsidR="00E937C4">
        <w:t xml:space="preserve"> and the</w:t>
      </w:r>
      <w:r>
        <w:t xml:space="preserve"> Hunter River</w:t>
      </w:r>
      <w:r w:rsidR="00E937C4">
        <w:t>.</w:t>
      </w:r>
      <w:r w:rsidR="0093465C" w:rsidRPr="0093465C">
        <w:t xml:space="preserve"> </w:t>
      </w:r>
      <w:r w:rsidR="009F3F27">
        <w:t>These specification</w:t>
      </w:r>
      <w:r w:rsidR="006037CB">
        <w:t>s</w:t>
      </w:r>
      <w:r w:rsidR="009F3F27">
        <w:t xml:space="preserve"> need to include</w:t>
      </w:r>
      <w:r w:rsidR="006037CB">
        <w:t>:</w:t>
      </w:r>
      <w:r w:rsidR="009F3F27">
        <w:t xml:space="preserve"> </w:t>
      </w:r>
      <w:r w:rsidR="00F705E1">
        <w:t xml:space="preserve">construction materials and geochemistry, </w:t>
      </w:r>
      <w:r w:rsidR="009F3F27">
        <w:t>mea</w:t>
      </w:r>
      <w:r w:rsidR="00375A15">
        <w:t xml:space="preserve">nder length, </w:t>
      </w:r>
      <w:r w:rsidR="00C36016">
        <w:t xml:space="preserve">in-stream </w:t>
      </w:r>
      <w:r w:rsidR="00375A15">
        <w:t>flow velocities</w:t>
      </w:r>
      <w:r w:rsidR="009F3F27">
        <w:t xml:space="preserve">, shear </w:t>
      </w:r>
      <w:r w:rsidR="006037CB">
        <w:t>stresses within flow channels, sediment control measures as well as modelled performance under a variety of flow velocities and vegetation establishment.</w:t>
      </w:r>
    </w:p>
    <w:p w:rsidR="00F33EF3" w:rsidRDefault="00D25512" w:rsidP="00D54D46">
      <w:pPr>
        <w:pStyle w:val="ListNumber"/>
      </w:pPr>
      <w:r>
        <w:t>The final landform</w:t>
      </w:r>
      <w:r w:rsidR="00A529A3">
        <w:t>, in its current conceptual</w:t>
      </w:r>
      <w:r>
        <w:t xml:space="preserve"> </w:t>
      </w:r>
      <w:r w:rsidR="00A529A3">
        <w:t>form,</w:t>
      </w:r>
      <w:r>
        <w:t xml:space="preserve"> following the completion of the proposed project</w:t>
      </w:r>
      <w:r w:rsidR="00A529A3">
        <w:t xml:space="preserve"> contains three final v</w:t>
      </w:r>
      <w:r w:rsidR="008272FA">
        <w:t>oids</w:t>
      </w:r>
      <w:r w:rsidR="00A529A3">
        <w:t xml:space="preserve">. The proponent has identified the key rehabilitation </w:t>
      </w:r>
      <w:r w:rsidR="000B6E80">
        <w:t xml:space="preserve">and final landform design criteria in their Mine </w:t>
      </w:r>
      <w:r w:rsidR="00B36BB2">
        <w:t>C</w:t>
      </w:r>
      <w:r w:rsidR="000B6E80">
        <w:t xml:space="preserve">losure and </w:t>
      </w:r>
      <w:r w:rsidR="00B36BB2">
        <w:t>R</w:t>
      </w:r>
      <w:r w:rsidR="000B6E80">
        <w:t xml:space="preserve">ehabilitation </w:t>
      </w:r>
      <w:r w:rsidR="00B36BB2">
        <w:t>S</w:t>
      </w:r>
      <w:r w:rsidR="000B6E80">
        <w:t>trategy</w:t>
      </w:r>
      <w:r w:rsidR="00F5275E">
        <w:t>. This report wi</w:t>
      </w:r>
      <w:r w:rsidR="006A16DF">
        <w:t>ll need to be updated</w:t>
      </w:r>
      <w:r w:rsidR="000B6E80">
        <w:t xml:space="preserve"> to demonstrate that the legacy issues and risks to water resources as a result of the fi</w:t>
      </w:r>
      <w:r w:rsidR="00F33EF3">
        <w:t>nal landform have been assessed</w:t>
      </w:r>
      <w:r w:rsidR="006A16DF">
        <w:t xml:space="preserve"> and </w:t>
      </w:r>
      <w:r w:rsidR="00F33EF3">
        <w:t>will be</w:t>
      </w:r>
      <w:r w:rsidR="006A16DF">
        <w:t xml:space="preserve"> adequately</w:t>
      </w:r>
      <w:r w:rsidR="00F33EF3">
        <w:t xml:space="preserve"> mitigated and managed. This will need to include:</w:t>
      </w:r>
    </w:p>
    <w:p w:rsidR="00A529A3" w:rsidRDefault="00341AB1" w:rsidP="00F33EF3">
      <w:pPr>
        <w:pStyle w:val="ListNumber2"/>
      </w:pPr>
      <w:r>
        <w:t>the design of a post-</w:t>
      </w:r>
      <w:r w:rsidR="00F33EF3">
        <w:t>mining groundwater and surface water monitoring network to provide a representative indication of groundwater and surface water quality to identify any leachi</w:t>
      </w:r>
      <w:r w:rsidR="00D576CA">
        <w:t>ng of saline or acidic material</w:t>
      </w:r>
    </w:p>
    <w:p w:rsidR="00D576CA" w:rsidRDefault="006A16DF" w:rsidP="00F33EF3">
      <w:pPr>
        <w:pStyle w:val="ListNumber2"/>
      </w:pPr>
      <w:proofErr w:type="gramStart"/>
      <w:r>
        <w:t>an</w:t>
      </w:r>
      <w:proofErr w:type="gramEnd"/>
      <w:r>
        <w:t xml:space="preserve"> </w:t>
      </w:r>
      <w:r w:rsidR="00D576CA">
        <w:t xml:space="preserve">assessment of the potential risks to regional </w:t>
      </w:r>
      <w:proofErr w:type="spellStart"/>
      <w:r w:rsidR="00D576CA">
        <w:t>hydrogeological</w:t>
      </w:r>
      <w:proofErr w:type="spellEnd"/>
      <w:r w:rsidR="00D576CA">
        <w:t xml:space="preserve"> units and surface watercourses caused by potential leakage or connectivity from the NPE final void into the underlying goaf of the Integra underground operations.</w:t>
      </w:r>
    </w:p>
    <w:p w:rsidR="00347CB7" w:rsidRPr="00CF5929" w:rsidRDefault="00347CB7" w:rsidP="00347CB7">
      <w:pPr>
        <w:pStyle w:val="Question"/>
      </w:pPr>
      <w:r>
        <w:t>Question 5</w:t>
      </w:r>
      <w:r w:rsidRPr="00CF5929">
        <w:t>:</w:t>
      </w:r>
      <w:r w:rsidR="00BD6D52">
        <w:t xml:space="preserve"> </w:t>
      </w:r>
      <w:r w:rsidR="00BD6D52" w:rsidRPr="00BD6D52">
        <w:t>Does the EIS provide a reasonable consideration of the potential for discharges (including salt) to nearby watercourses and the significance of any resulting impacts to water quality and the downstream environment? If not, what additional information would be required to provide a sufficiently robust assessment of these matters?</w:t>
      </w:r>
    </w:p>
    <w:p w:rsidR="00D54D46" w:rsidRPr="00CF5929" w:rsidRDefault="00D54D46" w:rsidP="00D54D46">
      <w:pPr>
        <w:pStyle w:val="Heading4"/>
      </w:pPr>
      <w:r w:rsidRPr="00CF5929">
        <w:t>Response</w:t>
      </w:r>
    </w:p>
    <w:p w:rsidR="00255B7C" w:rsidRPr="002D4B94" w:rsidRDefault="00255B7C" w:rsidP="009C39D2">
      <w:pPr>
        <w:pStyle w:val="ListNumber"/>
        <w:ind w:left="426" w:hanging="426"/>
      </w:pPr>
      <w:r w:rsidRPr="002D4B94">
        <w:t xml:space="preserve">The EIS does not provide reasonable consideration of the potential for discharges. </w:t>
      </w:r>
      <w:r w:rsidR="009C39D2" w:rsidRPr="002D4B94">
        <w:t>The water balance model predicts spillages to occur twice a year</w:t>
      </w:r>
      <w:r w:rsidR="009C39D2">
        <w:t xml:space="preserve"> </w:t>
      </w:r>
      <w:r w:rsidR="006A16DF">
        <w:t xml:space="preserve">however </w:t>
      </w:r>
      <w:r w:rsidR="009C39D2">
        <w:t>the location</w:t>
      </w:r>
      <w:r w:rsidR="006A16DF">
        <w:t>s</w:t>
      </w:r>
      <w:r w:rsidR="009C39D2">
        <w:t xml:space="preserve"> of receiving surface water systems are not identified</w:t>
      </w:r>
      <w:r w:rsidR="009C39D2" w:rsidRPr="002D4B94">
        <w:t xml:space="preserve">. The water quality impacts of spillages to the </w:t>
      </w:r>
      <w:r w:rsidR="00C15C6E">
        <w:t xml:space="preserve">downstream watercourses </w:t>
      </w:r>
      <w:r w:rsidR="009C39D2" w:rsidRPr="002D4B94">
        <w:t>for a variety of contaminants have not been considered.</w:t>
      </w:r>
      <w:r w:rsidR="009C39D2">
        <w:t xml:space="preserve"> </w:t>
      </w:r>
      <w:r w:rsidRPr="002D4B94">
        <w:t>The EIS inconsistently states that discharges will occur under the H</w:t>
      </w:r>
      <w:r w:rsidR="00375A15">
        <w:t>RSTS</w:t>
      </w:r>
      <w:r w:rsidRPr="002D4B94">
        <w:t xml:space="preserve">, when the proponent’s Environmental Protection Licence </w:t>
      </w:r>
      <w:r w:rsidR="00433C4E">
        <w:t xml:space="preserve">(EPL) </w:t>
      </w:r>
      <w:r>
        <w:t xml:space="preserve">EPL 4460 </w:t>
      </w:r>
      <w:r w:rsidRPr="002D4B94">
        <w:t xml:space="preserve">has been varied to remove </w:t>
      </w:r>
      <w:r>
        <w:t xml:space="preserve">conditions relating to </w:t>
      </w:r>
      <w:r w:rsidRPr="002D4B94">
        <w:t xml:space="preserve">discharges </w:t>
      </w:r>
      <w:r w:rsidR="00F94E0A">
        <w:t>under</w:t>
      </w:r>
      <w:r w:rsidRPr="002D4B94">
        <w:t xml:space="preserve"> the </w:t>
      </w:r>
      <w:r w:rsidR="00296F38">
        <w:t>HRSTS</w:t>
      </w:r>
      <w:r w:rsidRPr="002D4B94">
        <w:t xml:space="preserve">. </w:t>
      </w:r>
    </w:p>
    <w:p w:rsidR="00D54D46" w:rsidRPr="00CF5929" w:rsidRDefault="00D54D46" w:rsidP="00D54D46">
      <w:pPr>
        <w:pStyle w:val="Heading4"/>
      </w:pPr>
      <w:r w:rsidRPr="00CF5929">
        <w:t>Explanation</w:t>
      </w:r>
    </w:p>
    <w:p w:rsidR="00B84953" w:rsidRDefault="00B84953" w:rsidP="00B84953">
      <w:pPr>
        <w:pStyle w:val="ListNumber"/>
      </w:pPr>
      <w:r>
        <w:t>The proponent’s water balance</w:t>
      </w:r>
      <w:r w:rsidRPr="009A0B92">
        <w:t xml:space="preserve"> modelling results indicate that the frequency of spill</w:t>
      </w:r>
      <w:r>
        <w:t>s from sediment dams following rainfall events</w:t>
      </w:r>
      <w:r w:rsidRPr="009A0B92">
        <w:t xml:space="preserve"> is </w:t>
      </w:r>
      <w:r>
        <w:t>twice a year. A</w:t>
      </w:r>
      <w:r w:rsidRPr="009A0B92">
        <w:t xml:space="preserve">verage spill volumes </w:t>
      </w:r>
      <w:r>
        <w:t xml:space="preserve">caused by rainfall events are predicted to be </w:t>
      </w:r>
      <w:r w:rsidRPr="009A0B92">
        <w:t>between 47</w:t>
      </w:r>
      <w:r>
        <w:t xml:space="preserve">8 ML/ year and 534 ML/year, with </w:t>
      </w:r>
      <w:r w:rsidRPr="009A0B92">
        <w:t xml:space="preserve">maximum spill volumes between </w:t>
      </w:r>
      <w:r>
        <w:t xml:space="preserve">3,765 ML/year and 4,173 ML/year (EIS, App. 9, App. B, p 14). Spills from </w:t>
      </w:r>
      <w:r w:rsidR="00341AB1">
        <w:t>water management system (WMS</w:t>
      </w:r>
      <w:r w:rsidR="00C36016">
        <w:t>)</w:t>
      </w:r>
      <w:r w:rsidR="00341AB1">
        <w:t xml:space="preserve"> </w:t>
      </w:r>
      <w:r>
        <w:t xml:space="preserve">dams may occur more regularly than predicted given the water balance model utilises the lower average annual rainfall values from the </w:t>
      </w:r>
      <w:proofErr w:type="spellStart"/>
      <w:r>
        <w:t>Jerrys</w:t>
      </w:r>
      <w:proofErr w:type="spellEnd"/>
      <w:r>
        <w:t xml:space="preserve"> Plains meteorological station, rather than the 35 per cent greater average annual rainfalls observed at the Bowmans Creek (</w:t>
      </w:r>
      <w:proofErr w:type="spellStart"/>
      <w:r>
        <w:t>Grenell</w:t>
      </w:r>
      <w:proofErr w:type="spellEnd"/>
      <w:r>
        <w:t>) meteorological station.</w:t>
      </w:r>
    </w:p>
    <w:p w:rsidR="004F7D7F" w:rsidRDefault="00062560" w:rsidP="00D54D46">
      <w:pPr>
        <w:pStyle w:val="ListNumber"/>
      </w:pPr>
      <w:r w:rsidRPr="00672ABE">
        <w:t>The</w:t>
      </w:r>
      <w:r>
        <w:rPr>
          <w:i/>
        </w:rPr>
        <w:t xml:space="preserve"> </w:t>
      </w:r>
      <w:r w:rsidRPr="00062560">
        <w:t>Mount Owen</w:t>
      </w:r>
      <w:r>
        <w:t xml:space="preserve"> </w:t>
      </w:r>
      <w:r w:rsidR="00D825C0">
        <w:t xml:space="preserve">EPL 4460 </w:t>
      </w:r>
      <w:r w:rsidRPr="00672ABE">
        <w:t>was varied in November 2014</w:t>
      </w:r>
      <w:r w:rsidR="00487407">
        <w:t>,</w:t>
      </w:r>
      <w:r w:rsidRPr="00672ABE">
        <w:t xml:space="preserve"> removing </w:t>
      </w:r>
      <w:r w:rsidR="00487407">
        <w:t xml:space="preserve">conditions regarding the proponent’s </w:t>
      </w:r>
      <w:r w:rsidR="007F70CA">
        <w:t>licenc</w:t>
      </w:r>
      <w:r w:rsidRPr="00672ABE">
        <w:t xml:space="preserve">e to discharge water </w:t>
      </w:r>
      <w:r>
        <w:t>under the</w:t>
      </w:r>
      <w:r w:rsidR="00546560" w:rsidRPr="00546560">
        <w:t xml:space="preserve"> </w:t>
      </w:r>
      <w:r w:rsidR="00546560" w:rsidRPr="002D4B94">
        <w:t>HRSTS</w:t>
      </w:r>
      <w:r>
        <w:t xml:space="preserve"> to Swamp Creek (NSW EPA, 2014</w:t>
      </w:r>
      <w:r w:rsidR="00083109">
        <w:t>a</w:t>
      </w:r>
      <w:r>
        <w:t>). Additionally, the Ravensworth East EPL does not contain conditions that relate to water discharges (</w:t>
      </w:r>
      <w:r w:rsidR="00935BF3">
        <w:t>NSW EPA, 2014</w:t>
      </w:r>
      <w:r w:rsidR="00083109">
        <w:t>b</w:t>
      </w:r>
      <w:r w:rsidR="00935BF3">
        <w:t>).</w:t>
      </w:r>
      <w:r w:rsidR="00487407">
        <w:t xml:space="preserve"> The EIS consistently states </w:t>
      </w:r>
      <w:r w:rsidR="007877FF">
        <w:t>that,</w:t>
      </w:r>
      <w:r w:rsidR="00D825C0">
        <w:t xml:space="preserve"> if required</w:t>
      </w:r>
      <w:r w:rsidR="007877FF">
        <w:t>,</w:t>
      </w:r>
      <w:r w:rsidR="00D825C0">
        <w:t xml:space="preserve"> excess mine water will be discharged to the HRSTS under EPL 4460. The proponent will need to clarify whether discharges to the Hunter River will actually occur</w:t>
      </w:r>
      <w:r w:rsidR="0018641C">
        <w:t xml:space="preserve"> or provide details of an alternative method of containing their excess saline water.</w:t>
      </w:r>
    </w:p>
    <w:p w:rsidR="00D54D46" w:rsidRDefault="00341AB1" w:rsidP="00F53AD2">
      <w:pPr>
        <w:pStyle w:val="ListNumber"/>
      </w:pPr>
      <w:r>
        <w:t>The WMS</w:t>
      </w:r>
      <w:r w:rsidR="004F7D7F">
        <w:t xml:space="preserve"> for the proposed project is based on the existing systems in place at the Mount Owen and Ravensworth East mines. However, detailed information has not been provided for</w:t>
      </w:r>
      <w:r w:rsidR="004F7D7F" w:rsidRPr="00264046">
        <w:t xml:space="preserve"> </w:t>
      </w:r>
      <w:r w:rsidR="004F7D7F">
        <w:t>the WMS currently implemented at the existing operations.</w:t>
      </w:r>
      <w:r w:rsidR="00F53AD2">
        <w:t xml:space="preserve"> With regards to the MOCO project’s WMS, the following information is needed:</w:t>
      </w:r>
    </w:p>
    <w:p w:rsidR="00F53AD2" w:rsidRDefault="00F53AD2" w:rsidP="001506C9">
      <w:pPr>
        <w:pStyle w:val="ListNumber2"/>
      </w:pPr>
      <w:r>
        <w:t xml:space="preserve">A water management schematic, illustrating water transfers between stores, under a range of climatic scenarios and including licensed surface </w:t>
      </w:r>
      <w:r w:rsidR="00157B6A">
        <w:t xml:space="preserve">water </w:t>
      </w:r>
      <w:r>
        <w:t>and groundwater extraction/discharge quantities</w:t>
      </w:r>
    </w:p>
    <w:p w:rsidR="001506C9" w:rsidRDefault="001506C9" w:rsidP="001506C9">
      <w:pPr>
        <w:pStyle w:val="ListNumber2"/>
      </w:pPr>
      <w:r>
        <w:t>The location of particular sediment dams or water storages that are considered most at risk of regular spill</w:t>
      </w:r>
      <w:r w:rsidR="00296F38">
        <w:t>s</w:t>
      </w:r>
    </w:p>
    <w:p w:rsidR="001506C9" w:rsidRDefault="001506C9" w:rsidP="001506C9">
      <w:pPr>
        <w:pStyle w:val="ListNumber2"/>
      </w:pPr>
      <w:r>
        <w:t>Identification of receiving watercourses of spills</w:t>
      </w:r>
    </w:p>
    <w:p w:rsidR="00546560" w:rsidRDefault="001506C9" w:rsidP="001506C9">
      <w:pPr>
        <w:pStyle w:val="ListNumber2"/>
      </w:pPr>
      <w:r>
        <w:t>Water quality monitoring of the full range of contaminants</w:t>
      </w:r>
      <w:r w:rsidR="008906F3">
        <w:t xml:space="preserve"> (including metals/metalloids, </w:t>
      </w:r>
      <w:r w:rsidR="00FC32A2">
        <w:t xml:space="preserve">ionic composition and </w:t>
      </w:r>
      <w:r w:rsidR="008F4E14">
        <w:t>P</w:t>
      </w:r>
      <w:r w:rsidR="00FC32A2">
        <w:t>A</w:t>
      </w:r>
      <w:r w:rsidR="008F4E14">
        <w:t>H</w:t>
      </w:r>
      <w:r w:rsidR="00FC32A2">
        <w:t>s</w:t>
      </w:r>
      <w:r w:rsidR="00D603DE">
        <w:t>)</w:t>
      </w:r>
      <w:r w:rsidR="00546560">
        <w:t xml:space="preserve"> prior </w:t>
      </w:r>
      <w:r w:rsidR="008F4E14">
        <w:t xml:space="preserve">to, during and following spills, consistent with the recent findings of Krogh et al. (2013), </w:t>
      </w:r>
      <w:r w:rsidR="00546560">
        <w:t>to provide e</w:t>
      </w:r>
      <w:r w:rsidR="0018641C" w:rsidRPr="009A0B92">
        <w:t>vidence</w:t>
      </w:r>
      <w:r w:rsidR="00546560">
        <w:t xml:space="preserve"> that</w:t>
      </w:r>
      <w:r w:rsidR="0018641C" w:rsidRPr="009A0B92">
        <w:t xml:space="preserve"> spills have negligible impacts on </w:t>
      </w:r>
      <w:r w:rsidR="006624BA">
        <w:t>the downstream water resources</w:t>
      </w:r>
      <w:r w:rsidR="00AF6EB4">
        <w:t>, including the Hunter River</w:t>
      </w:r>
    </w:p>
    <w:p w:rsidR="00347CB7" w:rsidRDefault="006624BA" w:rsidP="003E75FA">
      <w:pPr>
        <w:pStyle w:val="ListNumber2"/>
      </w:pPr>
      <w:r>
        <w:t>Alternative options, including redesign of dams</w:t>
      </w:r>
      <w:r w:rsidR="003E75FA">
        <w:t xml:space="preserve"> and their storage capacity</w:t>
      </w:r>
      <w:r>
        <w:t xml:space="preserve"> within the</w:t>
      </w:r>
      <w:r w:rsidR="003E75FA">
        <w:t xml:space="preserve"> WMS, to avoid bi-annual spills, or mitigate their impacts.</w:t>
      </w:r>
    </w:p>
    <w:p w:rsidR="00341AB1" w:rsidRPr="00341AB1" w:rsidRDefault="00341AB1" w:rsidP="00341AB1">
      <w:pPr>
        <w:pStyle w:val="ListNumber"/>
        <w:numPr>
          <w:ilvl w:val="0"/>
          <w:numId w:val="0"/>
        </w:numPr>
        <w:ind w:left="369"/>
        <w:rPr>
          <w:i/>
        </w:rPr>
      </w:pPr>
      <w:r w:rsidRPr="00341AB1">
        <w:rPr>
          <w:i/>
        </w:rPr>
        <w:t>Other considerations</w:t>
      </w:r>
    </w:p>
    <w:p w:rsidR="00E3024B" w:rsidRPr="00CF5929" w:rsidRDefault="00F53AD2" w:rsidP="00F53AD2">
      <w:pPr>
        <w:pStyle w:val="ListNumber"/>
      </w:pPr>
      <w:r w:rsidRPr="00CF5929">
        <w:t>The</w:t>
      </w:r>
      <w:r w:rsidRPr="00CF5929">
        <w:rPr>
          <w:b/>
        </w:rPr>
        <w:t xml:space="preserve"> </w:t>
      </w:r>
      <w:r>
        <w:t>Northern Sydney Basin biore</w:t>
      </w:r>
      <w:r w:rsidRPr="00D04820">
        <w:t>gion which</w:t>
      </w:r>
      <w:r w:rsidRPr="00B14E1D">
        <w:t xml:space="preserve"> includes the </w:t>
      </w:r>
      <w:r w:rsidRPr="00D04820">
        <w:t>Hunter</w:t>
      </w:r>
      <w:r>
        <w:t xml:space="preserve"> subregion </w:t>
      </w:r>
      <w:r w:rsidRPr="00B14E1D">
        <w:t>has been identified as a Bioregional Assessment priority region</w:t>
      </w:r>
      <w:r w:rsidR="007203C3" w:rsidRPr="00CF5929">
        <w:t xml:space="preserve">. </w:t>
      </w:r>
      <w:r w:rsidR="008F4E14">
        <w:t xml:space="preserve">It is anticipated that the Bioregional Assessment programme will deliver a regional groundwater model for the Hunter </w:t>
      </w:r>
      <w:r>
        <w:t>subregion</w:t>
      </w:r>
      <w:r w:rsidR="008F4E14">
        <w:t xml:space="preserve"> which will include the MOCO pro</w:t>
      </w:r>
      <w:r w:rsidR="000638E0">
        <w:t xml:space="preserve">ject, the adjacent coal mines and </w:t>
      </w:r>
      <w:r>
        <w:t xml:space="preserve">coal mine </w:t>
      </w:r>
      <w:proofErr w:type="spellStart"/>
      <w:r>
        <w:t>hydrogeological</w:t>
      </w:r>
      <w:proofErr w:type="spellEnd"/>
      <w:r>
        <w:t xml:space="preserve"> processes</w:t>
      </w:r>
      <w:r w:rsidR="000638E0">
        <w:t xml:space="preserve">. </w:t>
      </w:r>
      <w:r w:rsidR="007203C3" w:rsidRPr="00CF5929">
        <w:t xml:space="preserve">Data and relevant information from the proposed project should be made accessible </w:t>
      </w:r>
      <w:r w:rsidR="00CF562A" w:rsidRPr="00CF5929">
        <w:t>to</w:t>
      </w:r>
      <w:r w:rsidR="007203C3" w:rsidRPr="00CF5929">
        <w:t xml:space="preserve"> this Bioregional Assessment </w:t>
      </w:r>
      <w:r w:rsidR="00AD20F6">
        <w:t xml:space="preserve">and other research </w:t>
      </w:r>
      <w:r w:rsidR="00696E16">
        <w:t>projects.</w:t>
      </w:r>
      <w:r w:rsidR="003E15B7">
        <w:t xml:space="preserve"> </w:t>
      </w:r>
    </w:p>
    <w:tbl>
      <w:tblPr>
        <w:tblW w:w="9606" w:type="dxa"/>
        <w:tblBorders>
          <w:insideH w:val="single" w:sz="4" w:space="0" w:color="auto"/>
        </w:tblBorders>
        <w:tblLayout w:type="fixed"/>
        <w:tblCellMar>
          <w:top w:w="113" w:type="dxa"/>
          <w:bottom w:w="113" w:type="dxa"/>
        </w:tblCellMar>
        <w:tblLook w:val="01E0"/>
      </w:tblPr>
      <w:tblGrid>
        <w:gridCol w:w="1650"/>
        <w:gridCol w:w="7956"/>
      </w:tblGrid>
      <w:tr w:rsidR="007203C3" w:rsidRPr="00B451D3" w:rsidTr="004E58CB">
        <w:trPr>
          <w:trHeight w:val="19"/>
        </w:trPr>
        <w:tc>
          <w:tcPr>
            <w:tcW w:w="1650" w:type="dxa"/>
            <w:tcBorders>
              <w:top w:val="single" w:sz="4" w:space="0" w:color="auto"/>
              <w:bottom w:val="single" w:sz="4" w:space="0" w:color="auto"/>
            </w:tcBorders>
          </w:tcPr>
          <w:p w:rsidR="007203C3" w:rsidRPr="00EF5270" w:rsidRDefault="007203C3" w:rsidP="00D622B9">
            <w:pPr>
              <w:pStyle w:val="Heading6"/>
            </w:pPr>
            <w:r w:rsidRPr="00EF5270">
              <w:t>Date of advice</w:t>
            </w:r>
          </w:p>
        </w:tc>
        <w:tc>
          <w:tcPr>
            <w:tcW w:w="7956" w:type="dxa"/>
            <w:tcBorders>
              <w:top w:val="single" w:sz="4" w:space="0" w:color="auto"/>
              <w:bottom w:val="single" w:sz="4" w:space="0" w:color="auto"/>
            </w:tcBorders>
          </w:tcPr>
          <w:p w:rsidR="007203C3" w:rsidRPr="00376234" w:rsidRDefault="00376234" w:rsidP="00935BF3">
            <w:pPr>
              <w:pStyle w:val="Tabletext"/>
            </w:pPr>
            <w:r w:rsidRPr="00376234">
              <w:t>11</w:t>
            </w:r>
            <w:r w:rsidR="007203C3" w:rsidRPr="00376234">
              <w:t xml:space="preserve"> </w:t>
            </w:r>
            <w:r w:rsidR="00935BF3" w:rsidRPr="00376234">
              <w:t>March</w:t>
            </w:r>
            <w:r w:rsidR="007203C3" w:rsidRPr="00376234">
              <w:t xml:space="preserve"> 201</w:t>
            </w:r>
            <w:r w:rsidR="00935BF3" w:rsidRPr="00376234">
              <w:t>5</w:t>
            </w:r>
            <w:r w:rsidR="003E2135" w:rsidRPr="00376234">
              <w:t xml:space="preserve"> </w:t>
            </w:r>
          </w:p>
        </w:tc>
      </w:tr>
      <w:tr w:rsidR="007203C3" w:rsidRPr="00CC2B33" w:rsidTr="004E58CB">
        <w:trPr>
          <w:trHeight w:val="161"/>
        </w:trPr>
        <w:tc>
          <w:tcPr>
            <w:tcW w:w="1650" w:type="dxa"/>
            <w:tcBorders>
              <w:top w:val="single" w:sz="4" w:space="0" w:color="auto"/>
              <w:bottom w:val="single" w:sz="4" w:space="0" w:color="auto"/>
            </w:tcBorders>
          </w:tcPr>
          <w:p w:rsidR="007203C3" w:rsidRPr="00EF5270" w:rsidRDefault="007203C3" w:rsidP="00D622B9">
            <w:pPr>
              <w:pStyle w:val="Heading6"/>
            </w:pPr>
            <w:r w:rsidRPr="00EF5270">
              <w:t xml:space="preserve">Source documentation available to the </w:t>
            </w:r>
            <w:r w:rsidR="00A83DF5" w:rsidRPr="00EF5270">
              <w:t>IESC</w:t>
            </w:r>
            <w:r w:rsidRPr="00EF5270">
              <w:t xml:space="preserve"> in the formulation of this advice</w:t>
            </w:r>
          </w:p>
        </w:tc>
        <w:tc>
          <w:tcPr>
            <w:tcW w:w="7956" w:type="dxa"/>
            <w:tcBorders>
              <w:top w:val="single" w:sz="4" w:space="0" w:color="auto"/>
              <w:bottom w:val="single" w:sz="4" w:space="0" w:color="auto"/>
            </w:tcBorders>
          </w:tcPr>
          <w:p w:rsidR="00487407" w:rsidRPr="00487407" w:rsidRDefault="00935BF3" w:rsidP="00487407">
            <w:pPr>
              <w:pStyle w:val="Tabletext"/>
              <w:spacing w:after="200"/>
            </w:pPr>
            <w:proofErr w:type="spellStart"/>
            <w:r w:rsidRPr="00487407">
              <w:t>Umwelt</w:t>
            </w:r>
            <w:proofErr w:type="spellEnd"/>
            <w:r w:rsidRPr="00487407">
              <w:t xml:space="preserve">, 2015. </w:t>
            </w:r>
            <w:proofErr w:type="spellStart"/>
            <w:r w:rsidRPr="00487407">
              <w:t>Glencore</w:t>
            </w:r>
            <w:proofErr w:type="spellEnd"/>
            <w:r w:rsidRPr="00487407">
              <w:t xml:space="preserve"> – Environmental Impact Statement, Mount Owen Continued Operations Project. January 2015.</w:t>
            </w:r>
          </w:p>
          <w:p w:rsidR="00935BF3" w:rsidRDefault="00487407" w:rsidP="00487407">
            <w:pPr>
              <w:pStyle w:val="Tabletext"/>
              <w:spacing w:after="200"/>
            </w:pPr>
            <w:r w:rsidRPr="00487407">
              <w:t xml:space="preserve">Hydro </w:t>
            </w:r>
            <w:proofErr w:type="spellStart"/>
            <w:r w:rsidRPr="00487407">
              <w:t>Algorithmics</w:t>
            </w:r>
            <w:proofErr w:type="spellEnd"/>
            <w:r w:rsidRPr="00487407">
              <w:t>, 2014. Mount Owen Continued Operations – Groundwater Impact Assessment Peer Review. 27 October 2014.</w:t>
            </w:r>
          </w:p>
          <w:p w:rsidR="000E3C00" w:rsidRPr="00935BF3" w:rsidRDefault="004E58CB" w:rsidP="00443437">
            <w:pPr>
              <w:pStyle w:val="Tabletext"/>
              <w:spacing w:after="200"/>
              <w:rPr>
                <w:szCs w:val="22"/>
              </w:rPr>
            </w:pPr>
            <w:r>
              <w:rPr>
                <w:szCs w:val="22"/>
              </w:rPr>
              <w:t>Mt Owen Pty Ltd, 2014. Various management plans. A</w:t>
            </w:r>
            <w:r w:rsidR="00725F0D">
              <w:rPr>
                <w:szCs w:val="22"/>
              </w:rPr>
              <w:t>vailable</w:t>
            </w:r>
            <w:r w:rsidR="00443437">
              <w:rPr>
                <w:szCs w:val="22"/>
              </w:rPr>
              <w:t xml:space="preserve"> at </w:t>
            </w:r>
            <w:r w:rsidR="00443437" w:rsidRPr="00443437">
              <w:rPr>
                <w:szCs w:val="22"/>
              </w:rPr>
              <w:t>http://www.mtowen</w:t>
            </w:r>
            <w:r w:rsidR="00443437">
              <w:rPr>
                <w:szCs w:val="22"/>
              </w:rPr>
              <w:br/>
            </w:r>
            <w:r w:rsidRPr="004E58CB">
              <w:rPr>
                <w:szCs w:val="22"/>
              </w:rPr>
              <w:t>complex.com.au/EN/EnvironmentalManagement/Pages/PlansandPrograms.aspx</w:t>
            </w:r>
          </w:p>
        </w:tc>
      </w:tr>
      <w:tr w:rsidR="007203C3" w:rsidRPr="00304CA9" w:rsidTr="004E58CB">
        <w:trPr>
          <w:trHeight w:val="19"/>
        </w:trPr>
        <w:tc>
          <w:tcPr>
            <w:tcW w:w="1650" w:type="dxa"/>
            <w:tcBorders>
              <w:top w:val="single" w:sz="4" w:space="0" w:color="auto"/>
              <w:bottom w:val="single" w:sz="4" w:space="0" w:color="auto"/>
            </w:tcBorders>
          </w:tcPr>
          <w:p w:rsidR="007203C3" w:rsidRPr="00EF5270" w:rsidRDefault="007203C3" w:rsidP="00D622B9">
            <w:pPr>
              <w:pStyle w:val="Heading6"/>
            </w:pPr>
            <w:r w:rsidRPr="00EF5270">
              <w:t xml:space="preserve">References cited within the </w:t>
            </w:r>
            <w:r w:rsidR="00A83DF5" w:rsidRPr="00EF5270">
              <w:t>IESC</w:t>
            </w:r>
            <w:r w:rsidRPr="00EF5270">
              <w:t>’s advice</w:t>
            </w:r>
          </w:p>
        </w:tc>
        <w:tc>
          <w:tcPr>
            <w:tcW w:w="7956" w:type="dxa"/>
            <w:tcBorders>
              <w:top w:val="single" w:sz="4" w:space="0" w:color="auto"/>
              <w:bottom w:val="single" w:sz="4" w:space="0" w:color="auto"/>
            </w:tcBorders>
          </w:tcPr>
          <w:p w:rsidR="00E13FE8" w:rsidRDefault="00E13FE8" w:rsidP="00083109">
            <w:pPr>
              <w:pStyle w:val="Tabletext"/>
              <w:spacing w:after="200"/>
            </w:pPr>
            <w:r>
              <w:t xml:space="preserve">AUSRIVAS, (2007). AUSRIVAS, Australian River Assessment System. </w:t>
            </w:r>
            <w:r w:rsidRPr="00E13FE8">
              <w:t>http://ausrivas.ewater.com.au/</w:t>
            </w:r>
          </w:p>
          <w:p w:rsidR="008139E4" w:rsidRDefault="008139E4" w:rsidP="00083109">
            <w:pPr>
              <w:pStyle w:val="Tabletext"/>
              <w:spacing w:after="200"/>
            </w:pPr>
            <w:r>
              <w:t xml:space="preserve">Commonwealth of Australia, 2015. Modelling water-related ecological responses to coal seam gas extraction and coal mining, prepared by </w:t>
            </w:r>
            <w:proofErr w:type="spellStart"/>
            <w:r>
              <w:t>Auricht</w:t>
            </w:r>
            <w:proofErr w:type="spellEnd"/>
            <w:r>
              <w:t xml:space="preserve"> Projects and the Commonwealth Scientific and Industrial Research Organisation (CSIRO) for the Department of the Environment, Commonwealth of Australia.</w:t>
            </w:r>
          </w:p>
          <w:p w:rsidR="007203C3" w:rsidRDefault="00277A51" w:rsidP="00083109">
            <w:pPr>
              <w:pStyle w:val="Tabletext"/>
              <w:spacing w:after="200"/>
            </w:pPr>
            <w:r>
              <w:t xml:space="preserve">IESC, 2014. </w:t>
            </w:r>
            <w:r w:rsidR="007203C3" w:rsidRPr="00EF5270">
              <w:t xml:space="preserve">Information Guidelines for </w:t>
            </w:r>
            <w:r w:rsidR="00A83DF5" w:rsidRPr="00EF5270">
              <w:t xml:space="preserve">Independent Expert Scientific Committee advice </w:t>
            </w:r>
            <w:r w:rsidR="007203C3" w:rsidRPr="00EF5270">
              <w:t>o</w:t>
            </w:r>
            <w:r w:rsidR="00A83DF5" w:rsidRPr="00EF5270">
              <w:t>n</w:t>
            </w:r>
            <w:r w:rsidR="007203C3" w:rsidRPr="00EF5270">
              <w:t xml:space="preserve"> </w:t>
            </w:r>
            <w:r w:rsidR="00A83DF5" w:rsidRPr="00EF5270">
              <w:t>coal s</w:t>
            </w:r>
            <w:r w:rsidR="007203C3" w:rsidRPr="00EF5270">
              <w:t xml:space="preserve">eam </w:t>
            </w:r>
            <w:r w:rsidR="00A83DF5" w:rsidRPr="00EF5270">
              <w:t>g</w:t>
            </w:r>
            <w:r w:rsidR="007203C3" w:rsidRPr="00EF5270">
              <w:t xml:space="preserve">as and </w:t>
            </w:r>
            <w:r w:rsidR="00A83DF5" w:rsidRPr="00EF5270">
              <w:t>l</w:t>
            </w:r>
            <w:r w:rsidR="007203C3" w:rsidRPr="00EF5270">
              <w:t xml:space="preserve">arge </w:t>
            </w:r>
            <w:r w:rsidR="00A83DF5" w:rsidRPr="00EF5270">
              <w:t>c</w:t>
            </w:r>
            <w:r w:rsidR="007203C3" w:rsidRPr="00EF5270">
              <w:t xml:space="preserve">oal </w:t>
            </w:r>
            <w:r w:rsidR="00A83DF5" w:rsidRPr="00EF5270">
              <w:t>mining development proposals</w:t>
            </w:r>
            <w:r>
              <w:t>. April 2014. A</w:t>
            </w:r>
            <w:r w:rsidR="007203C3" w:rsidRPr="00EF5270">
              <w:t xml:space="preserve">vailable at: </w:t>
            </w:r>
            <w:hyperlink r:id="rId8" w:history="1">
              <w:r w:rsidR="00CF5929" w:rsidRPr="00277A51">
                <w:t>http://iesc.environment.gov.au/pubs/iesc-information-guidelines.pdf</w:t>
              </w:r>
            </w:hyperlink>
            <w:r w:rsidR="00CF5929" w:rsidRPr="00EF5270">
              <w:t xml:space="preserve"> </w:t>
            </w:r>
          </w:p>
          <w:p w:rsidR="00083109" w:rsidRDefault="008F4E14" w:rsidP="00083109">
            <w:pPr>
              <w:pStyle w:val="Tabletext"/>
              <w:spacing w:after="200"/>
            </w:pPr>
            <w:r>
              <w:t xml:space="preserve">Krogh, M., </w:t>
            </w:r>
            <w:proofErr w:type="spellStart"/>
            <w:r>
              <w:t>Dorani</w:t>
            </w:r>
            <w:proofErr w:type="spellEnd"/>
            <w:r>
              <w:t xml:space="preserve">, F., </w:t>
            </w:r>
            <w:proofErr w:type="spellStart"/>
            <w:r>
              <w:t>Foulsham</w:t>
            </w:r>
            <w:proofErr w:type="spellEnd"/>
            <w:r>
              <w:t xml:space="preserve">, E., </w:t>
            </w:r>
            <w:proofErr w:type="spellStart"/>
            <w:r>
              <w:t>McSorley</w:t>
            </w:r>
            <w:proofErr w:type="spellEnd"/>
            <w:r>
              <w:t xml:space="preserve">, A., and </w:t>
            </w:r>
            <w:proofErr w:type="spellStart"/>
            <w:r>
              <w:t>Hoey</w:t>
            </w:r>
            <w:proofErr w:type="spellEnd"/>
            <w:r>
              <w:t>, D</w:t>
            </w:r>
            <w:r w:rsidR="003E15B7">
              <w:t>.</w:t>
            </w:r>
            <w:r>
              <w:t>, 2013. Hunter Catchment Salinity Assessment. Final Report. NSW Environment Protection Authority.</w:t>
            </w:r>
          </w:p>
          <w:p w:rsidR="00083109" w:rsidRDefault="00083109" w:rsidP="00083109">
            <w:pPr>
              <w:pStyle w:val="Tabletext"/>
              <w:spacing w:after="200"/>
            </w:pPr>
            <w:r>
              <w:t>NSW Environment Protection Authority (NSW EPA), 2014a. Notice of variation of licence no. 4460. 07 November 2014.</w:t>
            </w:r>
          </w:p>
          <w:p w:rsidR="00083109" w:rsidRPr="00EF5270" w:rsidRDefault="00083109" w:rsidP="00083109">
            <w:pPr>
              <w:pStyle w:val="Tabletext"/>
              <w:spacing w:after="200"/>
            </w:pPr>
            <w:r>
              <w:t>NSW Environment Protection Authority (NSW EPA), 2014b. Notice of variation of licence no. 10860. 16 October 2014.</w:t>
            </w:r>
          </w:p>
        </w:tc>
      </w:tr>
    </w:tbl>
    <w:p w:rsidR="007203C3" w:rsidRPr="00062A46" w:rsidRDefault="007203C3" w:rsidP="00D622B9"/>
    <w:sectPr w:rsidR="007203C3" w:rsidRPr="00062A46" w:rsidSect="0037623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276" w:left="1440" w:header="425" w:footer="38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7FD" w:rsidRDefault="003037FD" w:rsidP="00D622B9">
      <w:r>
        <w:separator/>
      </w:r>
    </w:p>
  </w:endnote>
  <w:endnote w:type="continuationSeparator" w:id="0">
    <w:p w:rsidR="003037FD" w:rsidRDefault="003037FD" w:rsidP="00D622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Bold">
    <w:panose1 w:val="020B0704020202020204"/>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567" w:rsidRDefault="000C05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7FD" w:rsidRPr="00637239" w:rsidRDefault="003037FD" w:rsidP="00637239">
    <w:pPr>
      <w:pStyle w:val="Footer"/>
    </w:pPr>
  </w:p>
  <w:p w:rsidR="003037FD" w:rsidRPr="00637239" w:rsidRDefault="003037FD" w:rsidP="00637239">
    <w:pPr>
      <w:pStyle w:val="Footer"/>
      <w:rPr>
        <w:sz w:val="20"/>
      </w:rPr>
    </w:pPr>
    <w:r>
      <w:rPr>
        <w:sz w:val="20"/>
      </w:rPr>
      <w:t xml:space="preserve">Final </w:t>
    </w:r>
    <w:r w:rsidRPr="00376234">
      <w:rPr>
        <w:sz w:val="20"/>
      </w:rPr>
      <w:t>Mount Owen Continued Operations</w:t>
    </w:r>
    <w:r>
      <w:rPr>
        <w:sz w:val="20"/>
      </w:rPr>
      <w:t xml:space="preserve"> Advice</w:t>
    </w:r>
    <w:r w:rsidRPr="00637239">
      <w:rPr>
        <w:color w:val="FF0000"/>
        <w:sz w:val="20"/>
      </w:rPr>
      <w:ptab w:relativeTo="margin" w:alignment="right" w:leader="none"/>
    </w:r>
    <w:r w:rsidRPr="00BE43EB">
      <w:rPr>
        <w:sz w:val="20"/>
      </w:rPr>
      <w:t>1</w:t>
    </w:r>
    <w:r>
      <w:rPr>
        <w:sz w:val="20"/>
      </w:rPr>
      <w:t>1</w:t>
    </w:r>
    <w:r w:rsidRPr="00BE43EB">
      <w:rPr>
        <w:sz w:val="20"/>
      </w:rPr>
      <w:t xml:space="preserve"> March 2015</w:t>
    </w:r>
  </w:p>
  <w:p w:rsidR="003037FD" w:rsidRPr="00637239" w:rsidRDefault="00884860" w:rsidP="00637239">
    <w:pPr>
      <w:pStyle w:val="Footer"/>
      <w:jc w:val="center"/>
      <w:rPr>
        <w:sz w:val="20"/>
      </w:rPr>
    </w:pPr>
    <w:r w:rsidRPr="00637239">
      <w:rPr>
        <w:sz w:val="20"/>
      </w:rPr>
      <w:fldChar w:fldCharType="begin"/>
    </w:r>
    <w:r w:rsidR="003037FD" w:rsidRPr="00637239">
      <w:rPr>
        <w:sz w:val="20"/>
      </w:rPr>
      <w:instrText xml:space="preserve"> PAGE   \* MERGEFORMAT </w:instrText>
    </w:r>
    <w:r w:rsidRPr="00637239">
      <w:rPr>
        <w:sz w:val="20"/>
      </w:rPr>
      <w:fldChar w:fldCharType="separate"/>
    </w:r>
    <w:r w:rsidR="000C0567">
      <w:rPr>
        <w:noProof/>
        <w:sz w:val="20"/>
      </w:rPr>
      <w:t>1</w:t>
    </w:r>
    <w:r w:rsidRPr="00637239">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7FD" w:rsidRPr="00D15280" w:rsidRDefault="003037FD" w:rsidP="00637239">
    <w:pPr>
      <w:pStyle w:val="Footer"/>
    </w:pPr>
    <w:r w:rsidRPr="00062A46">
      <w:t>Draft</w:t>
    </w:r>
    <w:r w:rsidRPr="00D15280">
      <w:t xml:space="preserve"> Advice</w:t>
    </w:r>
    <w:r>
      <w:t xml:space="preserve"> – Version </w:t>
    </w:r>
    <w:r w:rsidRPr="00062A46">
      <w:t>1</w:t>
    </w:r>
    <w:r w:rsidRPr="00D15280">
      <w:ptab w:relativeTo="margin" w:alignment="right" w:leader="none"/>
    </w:r>
    <w:r w:rsidRPr="00062A46">
      <w:rPr>
        <w:b/>
      </w:rPr>
      <w:t>DATE</w:t>
    </w:r>
  </w:p>
  <w:p w:rsidR="003037FD" w:rsidRPr="00062A46" w:rsidRDefault="00884860" w:rsidP="00637239">
    <w:pPr>
      <w:pStyle w:val="Footer"/>
    </w:pPr>
    <w:sdt>
      <w:sdtPr>
        <w:id w:val="33487240"/>
        <w:docPartObj>
          <w:docPartGallery w:val="Page Numbers (Bottom of Page)"/>
          <w:docPartUnique/>
        </w:docPartObj>
      </w:sdtPr>
      <w:sdtContent>
        <w:fldSimple w:instr=" PAGE   \* MERGEFORMAT ">
          <w:r w:rsidR="003037FD">
            <w:rPr>
              <w:noProof/>
            </w:rPr>
            <w:t>1</w:t>
          </w:r>
        </w:fldSimple>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7FD" w:rsidRDefault="003037FD" w:rsidP="00D622B9">
      <w:r>
        <w:separator/>
      </w:r>
    </w:p>
  </w:footnote>
  <w:footnote w:type="continuationSeparator" w:id="0">
    <w:p w:rsidR="003037FD" w:rsidRDefault="003037FD" w:rsidP="00D622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7FD" w:rsidRDefault="003037FD" w:rsidP="00D622B9">
    <w:pPr>
      <w:pStyle w:val="Classification"/>
    </w:pPr>
    <w:r>
      <w:rPr>
        <w:lang w:val="en-US"/>
      </w:rPr>
      <w:t>Error! Unknown document property name.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567" w:rsidRDefault="000C056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567" w:rsidRDefault="000C056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1C8EB454"/>
    <w:lvl w:ilvl="0">
      <w:start w:val="1"/>
      <w:numFmt w:val="decimal"/>
      <w:lvlText w:val="%1."/>
      <w:lvlJc w:val="left"/>
      <w:pPr>
        <w:tabs>
          <w:tab w:val="num" w:pos="926"/>
        </w:tabs>
        <w:ind w:left="926" w:hanging="360"/>
      </w:pPr>
    </w:lvl>
  </w:abstractNum>
  <w:abstractNum w:abstractNumId="1">
    <w:nsid w:val="FFFFFF7F"/>
    <w:multiLevelType w:val="singleLevel"/>
    <w:tmpl w:val="DCBA67EE"/>
    <w:lvl w:ilvl="0">
      <w:start w:val="1"/>
      <w:numFmt w:val="decimal"/>
      <w:lvlText w:val="%1."/>
      <w:lvlJc w:val="left"/>
      <w:pPr>
        <w:tabs>
          <w:tab w:val="num" w:pos="643"/>
        </w:tabs>
        <w:ind w:left="643" w:hanging="360"/>
      </w:pPr>
    </w:lvl>
  </w:abstractNum>
  <w:abstractNum w:abstractNumId="2">
    <w:nsid w:val="FFFFFF88"/>
    <w:multiLevelType w:val="singleLevel"/>
    <w:tmpl w:val="45ECF08C"/>
    <w:lvl w:ilvl="0">
      <w:start w:val="1"/>
      <w:numFmt w:val="decimal"/>
      <w:lvlText w:val="%1."/>
      <w:lvlJc w:val="left"/>
      <w:pPr>
        <w:tabs>
          <w:tab w:val="num" w:pos="360"/>
        </w:tabs>
        <w:ind w:left="360" w:hanging="360"/>
      </w:pPr>
    </w:lvl>
  </w:abstractNum>
  <w:abstractNum w:abstractNumId="3">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4">
    <w:nsid w:val="0AC600CE"/>
    <w:multiLevelType w:val="hybridMultilevel"/>
    <w:tmpl w:val="9064F232"/>
    <w:lvl w:ilvl="0" w:tplc="C08688E2">
      <w:start w:val="1"/>
      <w:numFmt w:val="decimal"/>
      <w:lvlText w:val="%1."/>
      <w:lvlJc w:val="left"/>
      <w:pPr>
        <w:ind w:left="360" w:hanging="360"/>
      </w:pPr>
      <w:rPr>
        <w:color w:val="auto"/>
      </w:rPr>
    </w:lvl>
    <w:lvl w:ilvl="1" w:tplc="A8BCD94C" w:tentative="1">
      <w:start w:val="1"/>
      <w:numFmt w:val="lowerLetter"/>
      <w:lvlText w:val="%2."/>
      <w:lvlJc w:val="left"/>
      <w:pPr>
        <w:ind w:left="1080" w:hanging="360"/>
      </w:pPr>
    </w:lvl>
    <w:lvl w:ilvl="2" w:tplc="CA5EF502" w:tentative="1">
      <w:start w:val="1"/>
      <w:numFmt w:val="lowerRoman"/>
      <w:lvlText w:val="%3."/>
      <w:lvlJc w:val="right"/>
      <w:pPr>
        <w:ind w:left="1800" w:hanging="180"/>
      </w:pPr>
    </w:lvl>
    <w:lvl w:ilvl="3" w:tplc="01F804FA" w:tentative="1">
      <w:start w:val="1"/>
      <w:numFmt w:val="decimal"/>
      <w:lvlText w:val="%4."/>
      <w:lvlJc w:val="left"/>
      <w:pPr>
        <w:ind w:left="2520" w:hanging="360"/>
      </w:pPr>
    </w:lvl>
    <w:lvl w:ilvl="4" w:tplc="3084ACBC" w:tentative="1">
      <w:start w:val="1"/>
      <w:numFmt w:val="lowerLetter"/>
      <w:lvlText w:val="%5."/>
      <w:lvlJc w:val="left"/>
      <w:pPr>
        <w:ind w:left="3240" w:hanging="360"/>
      </w:pPr>
    </w:lvl>
    <w:lvl w:ilvl="5" w:tplc="1AB4CD18" w:tentative="1">
      <w:start w:val="1"/>
      <w:numFmt w:val="lowerRoman"/>
      <w:lvlText w:val="%6."/>
      <w:lvlJc w:val="right"/>
      <w:pPr>
        <w:ind w:left="3960" w:hanging="180"/>
      </w:pPr>
    </w:lvl>
    <w:lvl w:ilvl="6" w:tplc="B9E040EC" w:tentative="1">
      <w:start w:val="1"/>
      <w:numFmt w:val="decimal"/>
      <w:lvlText w:val="%7."/>
      <w:lvlJc w:val="left"/>
      <w:pPr>
        <w:ind w:left="4680" w:hanging="360"/>
      </w:pPr>
    </w:lvl>
    <w:lvl w:ilvl="7" w:tplc="21E49A4C" w:tentative="1">
      <w:start w:val="1"/>
      <w:numFmt w:val="lowerLetter"/>
      <w:lvlText w:val="%8."/>
      <w:lvlJc w:val="left"/>
      <w:pPr>
        <w:ind w:left="5400" w:hanging="360"/>
      </w:pPr>
    </w:lvl>
    <w:lvl w:ilvl="8" w:tplc="F22AEB42" w:tentative="1">
      <w:start w:val="1"/>
      <w:numFmt w:val="lowerRoman"/>
      <w:lvlText w:val="%9."/>
      <w:lvlJc w:val="right"/>
      <w:pPr>
        <w:ind w:left="6120" w:hanging="180"/>
      </w:pPr>
    </w:lvl>
  </w:abstractNum>
  <w:abstractNum w:abstractNumId="5">
    <w:nsid w:val="0EF21922"/>
    <w:multiLevelType w:val="hybridMultilevel"/>
    <w:tmpl w:val="D4C643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FAE3FF7"/>
    <w:multiLevelType w:val="hybridMultilevel"/>
    <w:tmpl w:val="70FC05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4A7F38C8"/>
    <w:multiLevelType w:val="hybridMultilevel"/>
    <w:tmpl w:val="56A2DC7E"/>
    <w:lvl w:ilvl="0" w:tplc="6088D3FC">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C203F93"/>
    <w:multiLevelType w:val="hybridMultilevel"/>
    <w:tmpl w:val="49907A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505E7559"/>
    <w:multiLevelType w:val="hybridMultilevel"/>
    <w:tmpl w:val="231AF052"/>
    <w:lvl w:ilvl="0" w:tplc="0C090011">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51B25623"/>
    <w:multiLevelType w:val="multilevel"/>
    <w:tmpl w:val="50820AEC"/>
    <w:lvl w:ilvl="0">
      <w:start w:val="1"/>
      <w:numFmt w:val="decimal"/>
      <w:lvlText w:val="%1."/>
      <w:lvlJc w:val="left"/>
      <w:pPr>
        <w:ind w:left="360" w:hanging="360"/>
      </w:pPr>
      <w:rPr>
        <w:b/>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5456429"/>
    <w:multiLevelType w:val="multilevel"/>
    <w:tmpl w:val="5234F620"/>
    <w:lvl w:ilvl="0">
      <w:start w:val="1"/>
      <w:numFmt w:val="decimal"/>
      <w:pStyle w:val="ListNumber"/>
      <w:lvlText w:val="%1."/>
      <w:lvlJc w:val="left"/>
      <w:pPr>
        <w:ind w:left="369" w:hanging="369"/>
      </w:pPr>
      <w:rPr>
        <w:rFonts w:ascii="Arial" w:hAnsi="Arial" w:hint="default"/>
        <w:sz w:val="20"/>
        <w:szCs w:val="20"/>
      </w:rPr>
    </w:lvl>
    <w:lvl w:ilvl="1">
      <w:start w:val="1"/>
      <w:numFmt w:val="lowerLetter"/>
      <w:pStyle w:val="ListNumber2"/>
      <w:lvlText w:val="%2."/>
      <w:lvlJc w:val="left"/>
      <w:pPr>
        <w:ind w:left="738" w:hanging="369"/>
      </w:pPr>
      <w:rPr>
        <w:rFonts w:ascii="Arial" w:hAnsi="Arial" w:cs="Arial" w:hint="default"/>
        <w:sz w:val="20"/>
        <w:szCs w:val="20"/>
      </w:rPr>
    </w:lvl>
    <w:lvl w:ilvl="2">
      <w:start w:val="1"/>
      <w:numFmt w:val="lowerRoman"/>
      <w:pStyle w:val="ListNumber3"/>
      <w:lvlText w:val="%3."/>
      <w:lvlJc w:val="left"/>
      <w:pPr>
        <w:ind w:left="1107" w:hanging="369"/>
      </w:pPr>
      <w:rPr>
        <w:rFonts w:ascii="Arial" w:hAnsi="Arial" w:cs="Arial" w:hint="default"/>
        <w:sz w:val="20"/>
        <w:szCs w:val="20"/>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4">
    <w:nsid w:val="672074F1"/>
    <w:multiLevelType w:val="hybridMultilevel"/>
    <w:tmpl w:val="11ECDA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72DD4FC6"/>
    <w:multiLevelType w:val="hybridMultilevel"/>
    <w:tmpl w:val="4ABC604C"/>
    <w:lvl w:ilvl="0" w:tplc="794243C4">
      <w:start w:val="1"/>
      <w:numFmt w:val="decimal"/>
      <w:lvlText w:val="%1."/>
      <w:lvlJc w:val="left"/>
      <w:pPr>
        <w:ind w:left="360" w:hanging="360"/>
      </w:pPr>
    </w:lvl>
    <w:lvl w:ilvl="1" w:tplc="32E630D4">
      <w:start w:val="1"/>
      <w:numFmt w:val="lowerLetter"/>
      <w:lvlText w:val="%2."/>
      <w:lvlJc w:val="left"/>
      <w:pPr>
        <w:ind w:left="1080" w:hanging="360"/>
      </w:pPr>
    </w:lvl>
    <w:lvl w:ilvl="2" w:tplc="88E436D2" w:tentative="1">
      <w:start w:val="1"/>
      <w:numFmt w:val="lowerRoman"/>
      <w:lvlText w:val="%3."/>
      <w:lvlJc w:val="right"/>
      <w:pPr>
        <w:ind w:left="1800" w:hanging="180"/>
      </w:pPr>
    </w:lvl>
    <w:lvl w:ilvl="3" w:tplc="98EC0886" w:tentative="1">
      <w:start w:val="1"/>
      <w:numFmt w:val="decimal"/>
      <w:lvlText w:val="%4."/>
      <w:lvlJc w:val="left"/>
      <w:pPr>
        <w:ind w:left="2520" w:hanging="360"/>
      </w:pPr>
    </w:lvl>
    <w:lvl w:ilvl="4" w:tplc="6E0A0B7C" w:tentative="1">
      <w:start w:val="1"/>
      <w:numFmt w:val="lowerLetter"/>
      <w:lvlText w:val="%5."/>
      <w:lvlJc w:val="left"/>
      <w:pPr>
        <w:ind w:left="3240" w:hanging="360"/>
      </w:pPr>
    </w:lvl>
    <w:lvl w:ilvl="5" w:tplc="0FEAE010" w:tentative="1">
      <w:start w:val="1"/>
      <w:numFmt w:val="lowerRoman"/>
      <w:lvlText w:val="%6."/>
      <w:lvlJc w:val="right"/>
      <w:pPr>
        <w:ind w:left="3960" w:hanging="180"/>
      </w:pPr>
    </w:lvl>
    <w:lvl w:ilvl="6" w:tplc="6EAAFDC8" w:tentative="1">
      <w:start w:val="1"/>
      <w:numFmt w:val="decimal"/>
      <w:lvlText w:val="%7."/>
      <w:lvlJc w:val="left"/>
      <w:pPr>
        <w:ind w:left="4680" w:hanging="360"/>
      </w:pPr>
    </w:lvl>
    <w:lvl w:ilvl="7" w:tplc="A502ED58" w:tentative="1">
      <w:start w:val="1"/>
      <w:numFmt w:val="lowerLetter"/>
      <w:lvlText w:val="%8."/>
      <w:lvlJc w:val="left"/>
      <w:pPr>
        <w:ind w:left="5400" w:hanging="360"/>
      </w:pPr>
    </w:lvl>
    <w:lvl w:ilvl="8" w:tplc="CC8252C8" w:tentative="1">
      <w:start w:val="1"/>
      <w:numFmt w:val="lowerRoman"/>
      <w:lvlText w:val="%9."/>
      <w:lvlJc w:val="right"/>
      <w:pPr>
        <w:ind w:left="6120" w:hanging="180"/>
      </w:pPr>
    </w:lvl>
  </w:abstractNum>
  <w:abstractNum w:abstractNumId="16">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7">
    <w:nsid w:val="7B85684F"/>
    <w:multiLevelType w:val="hybridMultilevel"/>
    <w:tmpl w:val="BDCA9B80"/>
    <w:lvl w:ilvl="0" w:tplc="DE889D1C">
      <w:start w:val="1"/>
      <w:numFmt w:val="bullet"/>
      <w:lvlText w:val=""/>
      <w:lvlJc w:val="left"/>
      <w:pPr>
        <w:ind w:left="360" w:hanging="360"/>
      </w:pPr>
      <w:rPr>
        <w:rFonts w:ascii="Symbol" w:hAnsi="Symbol" w:hint="default"/>
      </w:rPr>
    </w:lvl>
    <w:lvl w:ilvl="1" w:tplc="E6CE2676" w:tentative="1">
      <w:start w:val="1"/>
      <w:numFmt w:val="bullet"/>
      <w:lvlText w:val="o"/>
      <w:lvlJc w:val="left"/>
      <w:pPr>
        <w:ind w:left="1080" w:hanging="360"/>
      </w:pPr>
      <w:rPr>
        <w:rFonts w:ascii="Courier New" w:hAnsi="Courier New" w:cs="Courier New" w:hint="default"/>
      </w:rPr>
    </w:lvl>
    <w:lvl w:ilvl="2" w:tplc="02084F5C" w:tentative="1">
      <w:start w:val="1"/>
      <w:numFmt w:val="bullet"/>
      <w:lvlText w:val=""/>
      <w:lvlJc w:val="left"/>
      <w:pPr>
        <w:ind w:left="1800" w:hanging="360"/>
      </w:pPr>
      <w:rPr>
        <w:rFonts w:ascii="Wingdings" w:hAnsi="Wingdings" w:hint="default"/>
      </w:rPr>
    </w:lvl>
    <w:lvl w:ilvl="3" w:tplc="DC22C68E" w:tentative="1">
      <w:start w:val="1"/>
      <w:numFmt w:val="bullet"/>
      <w:lvlText w:val=""/>
      <w:lvlJc w:val="left"/>
      <w:pPr>
        <w:ind w:left="2520" w:hanging="360"/>
      </w:pPr>
      <w:rPr>
        <w:rFonts w:ascii="Symbol" w:hAnsi="Symbol" w:hint="default"/>
      </w:rPr>
    </w:lvl>
    <w:lvl w:ilvl="4" w:tplc="E6D05012" w:tentative="1">
      <w:start w:val="1"/>
      <w:numFmt w:val="bullet"/>
      <w:lvlText w:val="o"/>
      <w:lvlJc w:val="left"/>
      <w:pPr>
        <w:ind w:left="3240" w:hanging="360"/>
      </w:pPr>
      <w:rPr>
        <w:rFonts w:ascii="Courier New" w:hAnsi="Courier New" w:cs="Courier New" w:hint="default"/>
      </w:rPr>
    </w:lvl>
    <w:lvl w:ilvl="5" w:tplc="32C8B0D8" w:tentative="1">
      <w:start w:val="1"/>
      <w:numFmt w:val="bullet"/>
      <w:lvlText w:val=""/>
      <w:lvlJc w:val="left"/>
      <w:pPr>
        <w:ind w:left="3960" w:hanging="360"/>
      </w:pPr>
      <w:rPr>
        <w:rFonts w:ascii="Wingdings" w:hAnsi="Wingdings" w:hint="default"/>
      </w:rPr>
    </w:lvl>
    <w:lvl w:ilvl="6" w:tplc="E650096C" w:tentative="1">
      <w:start w:val="1"/>
      <w:numFmt w:val="bullet"/>
      <w:lvlText w:val=""/>
      <w:lvlJc w:val="left"/>
      <w:pPr>
        <w:ind w:left="4680" w:hanging="360"/>
      </w:pPr>
      <w:rPr>
        <w:rFonts w:ascii="Symbol" w:hAnsi="Symbol" w:hint="default"/>
      </w:rPr>
    </w:lvl>
    <w:lvl w:ilvl="7" w:tplc="C21C400C" w:tentative="1">
      <w:start w:val="1"/>
      <w:numFmt w:val="bullet"/>
      <w:lvlText w:val="o"/>
      <w:lvlJc w:val="left"/>
      <w:pPr>
        <w:ind w:left="5400" w:hanging="360"/>
      </w:pPr>
      <w:rPr>
        <w:rFonts w:ascii="Courier New" w:hAnsi="Courier New" w:cs="Courier New" w:hint="default"/>
      </w:rPr>
    </w:lvl>
    <w:lvl w:ilvl="8" w:tplc="5972CE76" w:tentative="1">
      <w:start w:val="1"/>
      <w:numFmt w:val="bullet"/>
      <w:lvlText w:val=""/>
      <w:lvlJc w:val="left"/>
      <w:pPr>
        <w:ind w:left="6120" w:hanging="360"/>
      </w:pPr>
      <w:rPr>
        <w:rFonts w:ascii="Wingdings" w:hAnsi="Wingdings" w:hint="default"/>
      </w:rPr>
    </w:lvl>
  </w:abstractNum>
  <w:num w:numId="1">
    <w:abstractNumId w:val="16"/>
  </w:num>
  <w:num w:numId="2">
    <w:abstractNumId w:val="3"/>
  </w:num>
  <w:num w:numId="3">
    <w:abstractNumId w:val="8"/>
  </w:num>
  <w:num w:numId="4">
    <w:abstractNumId w:val="7"/>
  </w:num>
  <w:num w:numId="5">
    <w:abstractNumId w:val="13"/>
  </w:num>
  <w:num w:numId="6">
    <w:abstractNumId w:val="15"/>
  </w:num>
  <w:num w:numId="7">
    <w:abstractNumId w:val="11"/>
  </w:num>
  <w:num w:numId="8">
    <w:abstractNumId w:val="5"/>
  </w:num>
  <w:num w:numId="9">
    <w:abstractNumId w:val="17"/>
  </w:num>
  <w:num w:numId="10">
    <w:abstractNumId w:val="2"/>
  </w:num>
  <w:num w:numId="11">
    <w:abstractNumId w:val="1"/>
  </w:num>
  <w:num w:numId="12">
    <w:abstractNumId w:val="0"/>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3"/>
  </w:num>
  <w:num w:numId="17">
    <w:abstractNumId w:val="12"/>
  </w:num>
  <w:num w:numId="18">
    <w:abstractNumId w:val="4"/>
  </w:num>
  <w:num w:numId="19">
    <w:abstractNumId w:val="14"/>
  </w:num>
  <w:num w:numId="20">
    <w:abstractNumId w:val="6"/>
  </w:num>
  <w:num w:numId="21">
    <w:abstractNumId w:val="10"/>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9"/>
  </w:num>
  <w:num w:numId="31">
    <w:abstractNumId w:val="13"/>
  </w:num>
  <w:num w:numId="32">
    <w:abstractNumId w:val="13"/>
  </w:num>
  <w:num w:numId="33">
    <w:abstractNumId w:val="13"/>
  </w:num>
  <w:num w:numId="34">
    <w:abstractNumId w:val="13"/>
  </w:num>
  <w:num w:numId="35">
    <w:abstractNumId w:val="13"/>
  </w:num>
  <w:num w:numId="36">
    <w:abstractNumId w:val="1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drawingGridHorizontalSpacing w:val="10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rsids>
    <w:rsidRoot w:val="0041275D"/>
    <w:rsid w:val="00004AEE"/>
    <w:rsid w:val="00005CAA"/>
    <w:rsid w:val="00006EC1"/>
    <w:rsid w:val="00010210"/>
    <w:rsid w:val="00012D66"/>
    <w:rsid w:val="000152B2"/>
    <w:rsid w:val="00015ADA"/>
    <w:rsid w:val="00020C99"/>
    <w:rsid w:val="0002707B"/>
    <w:rsid w:val="00031B32"/>
    <w:rsid w:val="00032B08"/>
    <w:rsid w:val="0005148E"/>
    <w:rsid w:val="000547F0"/>
    <w:rsid w:val="00062560"/>
    <w:rsid w:val="00062A46"/>
    <w:rsid w:val="000633D3"/>
    <w:rsid w:val="000638E0"/>
    <w:rsid w:val="000759E5"/>
    <w:rsid w:val="0007601C"/>
    <w:rsid w:val="00083109"/>
    <w:rsid w:val="00084AC6"/>
    <w:rsid w:val="00085816"/>
    <w:rsid w:val="00091608"/>
    <w:rsid w:val="0009196E"/>
    <w:rsid w:val="00092F92"/>
    <w:rsid w:val="0009333C"/>
    <w:rsid w:val="0009704F"/>
    <w:rsid w:val="000A0F11"/>
    <w:rsid w:val="000A125A"/>
    <w:rsid w:val="000A228F"/>
    <w:rsid w:val="000A57CD"/>
    <w:rsid w:val="000A7E58"/>
    <w:rsid w:val="000B2FF3"/>
    <w:rsid w:val="000B3758"/>
    <w:rsid w:val="000B6E80"/>
    <w:rsid w:val="000B7681"/>
    <w:rsid w:val="000B7B42"/>
    <w:rsid w:val="000C02B7"/>
    <w:rsid w:val="000C0567"/>
    <w:rsid w:val="000C2814"/>
    <w:rsid w:val="000C451B"/>
    <w:rsid w:val="000C5342"/>
    <w:rsid w:val="000C706A"/>
    <w:rsid w:val="000D1D4A"/>
    <w:rsid w:val="000D2887"/>
    <w:rsid w:val="000D43B0"/>
    <w:rsid w:val="000D6D63"/>
    <w:rsid w:val="000D706B"/>
    <w:rsid w:val="000D7810"/>
    <w:rsid w:val="000E0081"/>
    <w:rsid w:val="000E07CF"/>
    <w:rsid w:val="000E3C00"/>
    <w:rsid w:val="000F2B39"/>
    <w:rsid w:val="00100199"/>
    <w:rsid w:val="00100BEF"/>
    <w:rsid w:val="00102E17"/>
    <w:rsid w:val="0011498E"/>
    <w:rsid w:val="00116F28"/>
    <w:rsid w:val="00117A45"/>
    <w:rsid w:val="001224AE"/>
    <w:rsid w:val="00123035"/>
    <w:rsid w:val="001337D4"/>
    <w:rsid w:val="001340EA"/>
    <w:rsid w:val="00143581"/>
    <w:rsid w:val="00143878"/>
    <w:rsid w:val="00147C12"/>
    <w:rsid w:val="00147EFC"/>
    <w:rsid w:val="001506C9"/>
    <w:rsid w:val="001527A1"/>
    <w:rsid w:val="001530DC"/>
    <w:rsid w:val="001539AF"/>
    <w:rsid w:val="00154989"/>
    <w:rsid w:val="00155A9F"/>
    <w:rsid w:val="0015684F"/>
    <w:rsid w:val="00157285"/>
    <w:rsid w:val="00157B6A"/>
    <w:rsid w:val="00160262"/>
    <w:rsid w:val="00161631"/>
    <w:rsid w:val="0016186F"/>
    <w:rsid w:val="0016281C"/>
    <w:rsid w:val="0016433A"/>
    <w:rsid w:val="0016780A"/>
    <w:rsid w:val="001713FA"/>
    <w:rsid w:val="00173EBF"/>
    <w:rsid w:val="001765DA"/>
    <w:rsid w:val="00182561"/>
    <w:rsid w:val="001842A2"/>
    <w:rsid w:val="00185039"/>
    <w:rsid w:val="00185407"/>
    <w:rsid w:val="0018641C"/>
    <w:rsid w:val="00186465"/>
    <w:rsid w:val="00186DC2"/>
    <w:rsid w:val="00187FA8"/>
    <w:rsid w:val="001922D0"/>
    <w:rsid w:val="00192F5E"/>
    <w:rsid w:val="00196313"/>
    <w:rsid w:val="00197772"/>
    <w:rsid w:val="001A51C8"/>
    <w:rsid w:val="001B40E3"/>
    <w:rsid w:val="001B472B"/>
    <w:rsid w:val="001B4CA8"/>
    <w:rsid w:val="001B66E9"/>
    <w:rsid w:val="001C2A92"/>
    <w:rsid w:val="001C3E25"/>
    <w:rsid w:val="001C4F3D"/>
    <w:rsid w:val="001D0CDC"/>
    <w:rsid w:val="001D176D"/>
    <w:rsid w:val="001D1D82"/>
    <w:rsid w:val="001D30C1"/>
    <w:rsid w:val="001E1182"/>
    <w:rsid w:val="001F0E8B"/>
    <w:rsid w:val="00200944"/>
    <w:rsid w:val="00202387"/>
    <w:rsid w:val="00202C90"/>
    <w:rsid w:val="00207B0E"/>
    <w:rsid w:val="0021246A"/>
    <w:rsid w:val="00213DE8"/>
    <w:rsid w:val="00216118"/>
    <w:rsid w:val="002209AB"/>
    <w:rsid w:val="00220BDE"/>
    <w:rsid w:val="002251E3"/>
    <w:rsid w:val="002262E6"/>
    <w:rsid w:val="0022796E"/>
    <w:rsid w:val="00227A95"/>
    <w:rsid w:val="002316BD"/>
    <w:rsid w:val="002319E9"/>
    <w:rsid w:val="002336F3"/>
    <w:rsid w:val="00235AD1"/>
    <w:rsid w:val="002368D5"/>
    <w:rsid w:val="002440D0"/>
    <w:rsid w:val="002443DB"/>
    <w:rsid w:val="002473FC"/>
    <w:rsid w:val="00252E3C"/>
    <w:rsid w:val="00255A0B"/>
    <w:rsid w:val="00255B7C"/>
    <w:rsid w:val="00260604"/>
    <w:rsid w:val="00262198"/>
    <w:rsid w:val="00262CA7"/>
    <w:rsid w:val="00264AF9"/>
    <w:rsid w:val="002712E2"/>
    <w:rsid w:val="00277426"/>
    <w:rsid w:val="00277A51"/>
    <w:rsid w:val="00285F1B"/>
    <w:rsid w:val="0029019D"/>
    <w:rsid w:val="0029210B"/>
    <w:rsid w:val="00292B81"/>
    <w:rsid w:val="0029322E"/>
    <w:rsid w:val="00294A0A"/>
    <w:rsid w:val="00296477"/>
    <w:rsid w:val="00296F38"/>
    <w:rsid w:val="002974BC"/>
    <w:rsid w:val="002A2096"/>
    <w:rsid w:val="002A593C"/>
    <w:rsid w:val="002A5EC3"/>
    <w:rsid w:val="002B120D"/>
    <w:rsid w:val="002B18AE"/>
    <w:rsid w:val="002B6472"/>
    <w:rsid w:val="002B67D3"/>
    <w:rsid w:val="002C1C93"/>
    <w:rsid w:val="002C3738"/>
    <w:rsid w:val="002C5066"/>
    <w:rsid w:val="002D0ED8"/>
    <w:rsid w:val="002D4AAC"/>
    <w:rsid w:val="002D6C33"/>
    <w:rsid w:val="002E0A17"/>
    <w:rsid w:val="002E1AB0"/>
    <w:rsid w:val="002F045A"/>
    <w:rsid w:val="002F54BD"/>
    <w:rsid w:val="0030039D"/>
    <w:rsid w:val="00300715"/>
    <w:rsid w:val="003015C2"/>
    <w:rsid w:val="0030326F"/>
    <w:rsid w:val="003037FD"/>
    <w:rsid w:val="00310701"/>
    <w:rsid w:val="00311510"/>
    <w:rsid w:val="003138AC"/>
    <w:rsid w:val="00315980"/>
    <w:rsid w:val="00316F7F"/>
    <w:rsid w:val="00320162"/>
    <w:rsid w:val="0032087E"/>
    <w:rsid w:val="0032108C"/>
    <w:rsid w:val="003218E8"/>
    <w:rsid w:val="003258C9"/>
    <w:rsid w:val="003302F6"/>
    <w:rsid w:val="00330DCE"/>
    <w:rsid w:val="00331E11"/>
    <w:rsid w:val="00333F1F"/>
    <w:rsid w:val="00334761"/>
    <w:rsid w:val="00337EBC"/>
    <w:rsid w:val="0034033E"/>
    <w:rsid w:val="00341AB1"/>
    <w:rsid w:val="00341DCD"/>
    <w:rsid w:val="0034504D"/>
    <w:rsid w:val="0034563E"/>
    <w:rsid w:val="00347CB7"/>
    <w:rsid w:val="003504CC"/>
    <w:rsid w:val="003518D6"/>
    <w:rsid w:val="0035460C"/>
    <w:rsid w:val="003556BD"/>
    <w:rsid w:val="00357261"/>
    <w:rsid w:val="00364E6D"/>
    <w:rsid w:val="00365147"/>
    <w:rsid w:val="0037016E"/>
    <w:rsid w:val="00370E55"/>
    <w:rsid w:val="00372908"/>
    <w:rsid w:val="00375A15"/>
    <w:rsid w:val="00376234"/>
    <w:rsid w:val="00376457"/>
    <w:rsid w:val="00381917"/>
    <w:rsid w:val="00383020"/>
    <w:rsid w:val="003904F8"/>
    <w:rsid w:val="00391A5A"/>
    <w:rsid w:val="003926C1"/>
    <w:rsid w:val="003975FD"/>
    <w:rsid w:val="003A0593"/>
    <w:rsid w:val="003B2339"/>
    <w:rsid w:val="003B3CAA"/>
    <w:rsid w:val="003B60CC"/>
    <w:rsid w:val="003C1B25"/>
    <w:rsid w:val="003C2443"/>
    <w:rsid w:val="003C31E0"/>
    <w:rsid w:val="003C5DA3"/>
    <w:rsid w:val="003D4BCD"/>
    <w:rsid w:val="003E01D8"/>
    <w:rsid w:val="003E124F"/>
    <w:rsid w:val="003E15B7"/>
    <w:rsid w:val="003E2100"/>
    <w:rsid w:val="003E2135"/>
    <w:rsid w:val="003E2BDB"/>
    <w:rsid w:val="003E45FA"/>
    <w:rsid w:val="003E53CA"/>
    <w:rsid w:val="003E5ED5"/>
    <w:rsid w:val="003E75FA"/>
    <w:rsid w:val="003F0CB7"/>
    <w:rsid w:val="003F1988"/>
    <w:rsid w:val="003F6F5B"/>
    <w:rsid w:val="00400F8F"/>
    <w:rsid w:val="0040342D"/>
    <w:rsid w:val="00403FB9"/>
    <w:rsid w:val="00405E1C"/>
    <w:rsid w:val="00407678"/>
    <w:rsid w:val="0041192D"/>
    <w:rsid w:val="0041275D"/>
    <w:rsid w:val="00412856"/>
    <w:rsid w:val="00413EE1"/>
    <w:rsid w:val="0042128E"/>
    <w:rsid w:val="004218C9"/>
    <w:rsid w:val="0042465A"/>
    <w:rsid w:val="00425C1C"/>
    <w:rsid w:val="00432B60"/>
    <w:rsid w:val="004333E6"/>
    <w:rsid w:val="00433C4E"/>
    <w:rsid w:val="00440698"/>
    <w:rsid w:val="0044080B"/>
    <w:rsid w:val="00442510"/>
    <w:rsid w:val="00443437"/>
    <w:rsid w:val="004540E2"/>
    <w:rsid w:val="00454454"/>
    <w:rsid w:val="0046608A"/>
    <w:rsid w:val="00467924"/>
    <w:rsid w:val="004706B9"/>
    <w:rsid w:val="004712A5"/>
    <w:rsid w:val="0047266F"/>
    <w:rsid w:val="00472D77"/>
    <w:rsid w:val="004756EB"/>
    <w:rsid w:val="00476D6B"/>
    <w:rsid w:val="004808D1"/>
    <w:rsid w:val="0048178A"/>
    <w:rsid w:val="004861E6"/>
    <w:rsid w:val="00487407"/>
    <w:rsid w:val="0049013A"/>
    <w:rsid w:val="00490A3A"/>
    <w:rsid w:val="00491EAB"/>
    <w:rsid w:val="00492C16"/>
    <w:rsid w:val="004A0678"/>
    <w:rsid w:val="004A48A3"/>
    <w:rsid w:val="004B0D92"/>
    <w:rsid w:val="004B0EC0"/>
    <w:rsid w:val="004B32B2"/>
    <w:rsid w:val="004B5A51"/>
    <w:rsid w:val="004B66F1"/>
    <w:rsid w:val="004C229F"/>
    <w:rsid w:val="004C3B7B"/>
    <w:rsid w:val="004C3EA0"/>
    <w:rsid w:val="004C5C7A"/>
    <w:rsid w:val="004D10EB"/>
    <w:rsid w:val="004D1144"/>
    <w:rsid w:val="004D46F2"/>
    <w:rsid w:val="004E50A9"/>
    <w:rsid w:val="004E58CB"/>
    <w:rsid w:val="004F05B6"/>
    <w:rsid w:val="004F16F3"/>
    <w:rsid w:val="004F32CC"/>
    <w:rsid w:val="004F381B"/>
    <w:rsid w:val="004F3D69"/>
    <w:rsid w:val="004F7169"/>
    <w:rsid w:val="004F7D7F"/>
    <w:rsid w:val="00500D66"/>
    <w:rsid w:val="005036A6"/>
    <w:rsid w:val="005109B7"/>
    <w:rsid w:val="00511E3E"/>
    <w:rsid w:val="00514C8E"/>
    <w:rsid w:val="00517F35"/>
    <w:rsid w:val="00523A57"/>
    <w:rsid w:val="00523ED3"/>
    <w:rsid w:val="00531DBF"/>
    <w:rsid w:val="005337FC"/>
    <w:rsid w:val="00545759"/>
    <w:rsid w:val="00545BE0"/>
    <w:rsid w:val="00546560"/>
    <w:rsid w:val="00546C22"/>
    <w:rsid w:val="00554C6A"/>
    <w:rsid w:val="00560497"/>
    <w:rsid w:val="00562E85"/>
    <w:rsid w:val="0056332F"/>
    <w:rsid w:val="005775E2"/>
    <w:rsid w:val="00581C39"/>
    <w:rsid w:val="00582A50"/>
    <w:rsid w:val="005834A4"/>
    <w:rsid w:val="00584F6B"/>
    <w:rsid w:val="005903B6"/>
    <w:rsid w:val="00592B20"/>
    <w:rsid w:val="005A0247"/>
    <w:rsid w:val="005A126E"/>
    <w:rsid w:val="005A35AD"/>
    <w:rsid w:val="005A3FDC"/>
    <w:rsid w:val="005A452F"/>
    <w:rsid w:val="005A703F"/>
    <w:rsid w:val="005B140D"/>
    <w:rsid w:val="005B6B02"/>
    <w:rsid w:val="005C1E3F"/>
    <w:rsid w:val="005C1FEA"/>
    <w:rsid w:val="005C3495"/>
    <w:rsid w:val="005C3785"/>
    <w:rsid w:val="005E13EA"/>
    <w:rsid w:val="005E15E0"/>
    <w:rsid w:val="005E3889"/>
    <w:rsid w:val="005E3DFC"/>
    <w:rsid w:val="005E60AF"/>
    <w:rsid w:val="005E7B4E"/>
    <w:rsid w:val="005F1DEA"/>
    <w:rsid w:val="005F4351"/>
    <w:rsid w:val="005F4932"/>
    <w:rsid w:val="00602FCB"/>
    <w:rsid w:val="00603397"/>
    <w:rsid w:val="006037CB"/>
    <w:rsid w:val="00607FC9"/>
    <w:rsid w:val="00610955"/>
    <w:rsid w:val="0061380B"/>
    <w:rsid w:val="0061490C"/>
    <w:rsid w:val="00616861"/>
    <w:rsid w:val="00622B29"/>
    <w:rsid w:val="00622FE1"/>
    <w:rsid w:val="0062521C"/>
    <w:rsid w:val="00630A2B"/>
    <w:rsid w:val="00630BA2"/>
    <w:rsid w:val="0063283F"/>
    <w:rsid w:val="00632D2B"/>
    <w:rsid w:val="00632DC7"/>
    <w:rsid w:val="00633896"/>
    <w:rsid w:val="006357FB"/>
    <w:rsid w:val="00637239"/>
    <w:rsid w:val="006406FC"/>
    <w:rsid w:val="006418AC"/>
    <w:rsid w:val="0064407B"/>
    <w:rsid w:val="00646122"/>
    <w:rsid w:val="006467AD"/>
    <w:rsid w:val="00653E16"/>
    <w:rsid w:val="00657220"/>
    <w:rsid w:val="0066104B"/>
    <w:rsid w:val="00661419"/>
    <w:rsid w:val="00661949"/>
    <w:rsid w:val="00662084"/>
    <w:rsid w:val="006624BA"/>
    <w:rsid w:val="006655EE"/>
    <w:rsid w:val="00665F8C"/>
    <w:rsid w:val="00667C10"/>
    <w:rsid w:val="00667E5C"/>
    <w:rsid w:val="00667EF4"/>
    <w:rsid w:val="00670043"/>
    <w:rsid w:val="00672B85"/>
    <w:rsid w:val="00673B97"/>
    <w:rsid w:val="00674E59"/>
    <w:rsid w:val="0067646C"/>
    <w:rsid w:val="00676FCA"/>
    <w:rsid w:val="00677177"/>
    <w:rsid w:val="0068056B"/>
    <w:rsid w:val="0068471D"/>
    <w:rsid w:val="0068612E"/>
    <w:rsid w:val="00687858"/>
    <w:rsid w:val="00687C92"/>
    <w:rsid w:val="00687DCE"/>
    <w:rsid w:val="006903B7"/>
    <w:rsid w:val="00694DF4"/>
    <w:rsid w:val="0069534E"/>
    <w:rsid w:val="00695F30"/>
    <w:rsid w:val="00696365"/>
    <w:rsid w:val="0069669C"/>
    <w:rsid w:val="00696E16"/>
    <w:rsid w:val="006A1200"/>
    <w:rsid w:val="006A16DF"/>
    <w:rsid w:val="006A2C5A"/>
    <w:rsid w:val="006A4F4E"/>
    <w:rsid w:val="006B14DB"/>
    <w:rsid w:val="006B21C4"/>
    <w:rsid w:val="006C4A1A"/>
    <w:rsid w:val="006C5877"/>
    <w:rsid w:val="006C596B"/>
    <w:rsid w:val="006C7DAD"/>
    <w:rsid w:val="006D0393"/>
    <w:rsid w:val="006D1A83"/>
    <w:rsid w:val="006D4D45"/>
    <w:rsid w:val="006D5D1E"/>
    <w:rsid w:val="006D7D52"/>
    <w:rsid w:val="006E1CFE"/>
    <w:rsid w:val="006E31A2"/>
    <w:rsid w:val="006E3F40"/>
    <w:rsid w:val="006E66F8"/>
    <w:rsid w:val="006E6D10"/>
    <w:rsid w:val="006F10C4"/>
    <w:rsid w:val="006F3E42"/>
    <w:rsid w:val="006F40E9"/>
    <w:rsid w:val="006F5603"/>
    <w:rsid w:val="006F67A4"/>
    <w:rsid w:val="00701400"/>
    <w:rsid w:val="00702D71"/>
    <w:rsid w:val="007037CF"/>
    <w:rsid w:val="00703BB8"/>
    <w:rsid w:val="00704B37"/>
    <w:rsid w:val="00712A8B"/>
    <w:rsid w:val="00716583"/>
    <w:rsid w:val="007167C0"/>
    <w:rsid w:val="007203C3"/>
    <w:rsid w:val="00720481"/>
    <w:rsid w:val="00721642"/>
    <w:rsid w:val="00721BC7"/>
    <w:rsid w:val="0072510B"/>
    <w:rsid w:val="00725F0D"/>
    <w:rsid w:val="007265A6"/>
    <w:rsid w:val="00727C18"/>
    <w:rsid w:val="00727E2F"/>
    <w:rsid w:val="00733193"/>
    <w:rsid w:val="00737CBA"/>
    <w:rsid w:val="00740ED2"/>
    <w:rsid w:val="00752FF8"/>
    <w:rsid w:val="00754C17"/>
    <w:rsid w:val="0075732A"/>
    <w:rsid w:val="00760262"/>
    <w:rsid w:val="0076310C"/>
    <w:rsid w:val="0076744F"/>
    <w:rsid w:val="00767BCE"/>
    <w:rsid w:val="00767EFC"/>
    <w:rsid w:val="007707DE"/>
    <w:rsid w:val="00770B5D"/>
    <w:rsid w:val="007752F1"/>
    <w:rsid w:val="00776768"/>
    <w:rsid w:val="0078045E"/>
    <w:rsid w:val="00782313"/>
    <w:rsid w:val="00782D61"/>
    <w:rsid w:val="007877FF"/>
    <w:rsid w:val="00791024"/>
    <w:rsid w:val="007921C6"/>
    <w:rsid w:val="00794818"/>
    <w:rsid w:val="007A2573"/>
    <w:rsid w:val="007A3B9C"/>
    <w:rsid w:val="007B047A"/>
    <w:rsid w:val="007B106C"/>
    <w:rsid w:val="007B1A4E"/>
    <w:rsid w:val="007B1F28"/>
    <w:rsid w:val="007B3D05"/>
    <w:rsid w:val="007B5503"/>
    <w:rsid w:val="007B57DD"/>
    <w:rsid w:val="007C6BB3"/>
    <w:rsid w:val="007D14B4"/>
    <w:rsid w:val="007D3AD7"/>
    <w:rsid w:val="007E24F6"/>
    <w:rsid w:val="007F598F"/>
    <w:rsid w:val="007F70CA"/>
    <w:rsid w:val="00800F64"/>
    <w:rsid w:val="00802F0B"/>
    <w:rsid w:val="00810A67"/>
    <w:rsid w:val="0081315B"/>
    <w:rsid w:val="008139E4"/>
    <w:rsid w:val="008253A2"/>
    <w:rsid w:val="008272FA"/>
    <w:rsid w:val="00831762"/>
    <w:rsid w:val="00833CF7"/>
    <w:rsid w:val="008407C5"/>
    <w:rsid w:val="008409E0"/>
    <w:rsid w:val="00845601"/>
    <w:rsid w:val="008524B9"/>
    <w:rsid w:val="00855C5C"/>
    <w:rsid w:val="0086233C"/>
    <w:rsid w:val="00865CFA"/>
    <w:rsid w:val="00883CE7"/>
    <w:rsid w:val="00884860"/>
    <w:rsid w:val="008906F3"/>
    <w:rsid w:val="008938F7"/>
    <w:rsid w:val="008A187F"/>
    <w:rsid w:val="008A3C96"/>
    <w:rsid w:val="008A6302"/>
    <w:rsid w:val="008B001D"/>
    <w:rsid w:val="008B0BBA"/>
    <w:rsid w:val="008B1627"/>
    <w:rsid w:val="008B4019"/>
    <w:rsid w:val="008B505F"/>
    <w:rsid w:val="008B65C9"/>
    <w:rsid w:val="008C00AD"/>
    <w:rsid w:val="008C2D4A"/>
    <w:rsid w:val="008C3061"/>
    <w:rsid w:val="008C6A05"/>
    <w:rsid w:val="008C7DBB"/>
    <w:rsid w:val="008D3900"/>
    <w:rsid w:val="008D4737"/>
    <w:rsid w:val="008D6E1D"/>
    <w:rsid w:val="008D6EDB"/>
    <w:rsid w:val="008D7493"/>
    <w:rsid w:val="008E0411"/>
    <w:rsid w:val="008E36FE"/>
    <w:rsid w:val="008E7963"/>
    <w:rsid w:val="008F1D6D"/>
    <w:rsid w:val="008F39B4"/>
    <w:rsid w:val="008F4162"/>
    <w:rsid w:val="008F4E14"/>
    <w:rsid w:val="008F7121"/>
    <w:rsid w:val="0090007A"/>
    <w:rsid w:val="00903E02"/>
    <w:rsid w:val="009110D5"/>
    <w:rsid w:val="00913175"/>
    <w:rsid w:val="00916360"/>
    <w:rsid w:val="00916EDB"/>
    <w:rsid w:val="00920861"/>
    <w:rsid w:val="00922B13"/>
    <w:rsid w:val="009242EF"/>
    <w:rsid w:val="00924AB9"/>
    <w:rsid w:val="00927F48"/>
    <w:rsid w:val="00930A7D"/>
    <w:rsid w:val="00932291"/>
    <w:rsid w:val="00933B1B"/>
    <w:rsid w:val="0093408E"/>
    <w:rsid w:val="0093465C"/>
    <w:rsid w:val="00935BF3"/>
    <w:rsid w:val="009360B3"/>
    <w:rsid w:val="00936CE5"/>
    <w:rsid w:val="00940467"/>
    <w:rsid w:val="009408FA"/>
    <w:rsid w:val="00941D34"/>
    <w:rsid w:val="00942973"/>
    <w:rsid w:val="00947507"/>
    <w:rsid w:val="00952DDF"/>
    <w:rsid w:val="00952EC4"/>
    <w:rsid w:val="00962AAF"/>
    <w:rsid w:val="00972423"/>
    <w:rsid w:val="009812D4"/>
    <w:rsid w:val="00982653"/>
    <w:rsid w:val="00983BE4"/>
    <w:rsid w:val="009873F4"/>
    <w:rsid w:val="00991145"/>
    <w:rsid w:val="009920D8"/>
    <w:rsid w:val="009921EA"/>
    <w:rsid w:val="009A371F"/>
    <w:rsid w:val="009A3D61"/>
    <w:rsid w:val="009A4869"/>
    <w:rsid w:val="009B38BE"/>
    <w:rsid w:val="009B4556"/>
    <w:rsid w:val="009B682F"/>
    <w:rsid w:val="009C39D2"/>
    <w:rsid w:val="009C3D0F"/>
    <w:rsid w:val="009D1A89"/>
    <w:rsid w:val="009D2C46"/>
    <w:rsid w:val="009D6232"/>
    <w:rsid w:val="009E1B19"/>
    <w:rsid w:val="009E1D6D"/>
    <w:rsid w:val="009E4063"/>
    <w:rsid w:val="009E67BE"/>
    <w:rsid w:val="009E79B6"/>
    <w:rsid w:val="009E7C0F"/>
    <w:rsid w:val="009F35E2"/>
    <w:rsid w:val="009F3F27"/>
    <w:rsid w:val="009F438B"/>
    <w:rsid w:val="009F65F9"/>
    <w:rsid w:val="009F68BA"/>
    <w:rsid w:val="00A06277"/>
    <w:rsid w:val="00A079DC"/>
    <w:rsid w:val="00A10BAB"/>
    <w:rsid w:val="00A111C2"/>
    <w:rsid w:val="00A17C39"/>
    <w:rsid w:val="00A21440"/>
    <w:rsid w:val="00A238AA"/>
    <w:rsid w:val="00A25A20"/>
    <w:rsid w:val="00A338E7"/>
    <w:rsid w:val="00A35CAA"/>
    <w:rsid w:val="00A363CA"/>
    <w:rsid w:val="00A36E7F"/>
    <w:rsid w:val="00A41E65"/>
    <w:rsid w:val="00A426F9"/>
    <w:rsid w:val="00A43517"/>
    <w:rsid w:val="00A43E0A"/>
    <w:rsid w:val="00A44AA9"/>
    <w:rsid w:val="00A46247"/>
    <w:rsid w:val="00A47F07"/>
    <w:rsid w:val="00A529A3"/>
    <w:rsid w:val="00A530C7"/>
    <w:rsid w:val="00A53144"/>
    <w:rsid w:val="00A55F5B"/>
    <w:rsid w:val="00A60185"/>
    <w:rsid w:val="00A611EE"/>
    <w:rsid w:val="00A622EC"/>
    <w:rsid w:val="00A661EA"/>
    <w:rsid w:val="00A66263"/>
    <w:rsid w:val="00A6775C"/>
    <w:rsid w:val="00A70A6C"/>
    <w:rsid w:val="00A830E5"/>
    <w:rsid w:val="00A83DF5"/>
    <w:rsid w:val="00A84BF3"/>
    <w:rsid w:val="00A87135"/>
    <w:rsid w:val="00A93280"/>
    <w:rsid w:val="00A93C73"/>
    <w:rsid w:val="00A94E03"/>
    <w:rsid w:val="00A951EA"/>
    <w:rsid w:val="00A961A6"/>
    <w:rsid w:val="00A973E1"/>
    <w:rsid w:val="00A97E22"/>
    <w:rsid w:val="00A97F71"/>
    <w:rsid w:val="00AA1C65"/>
    <w:rsid w:val="00AA2548"/>
    <w:rsid w:val="00AA3B6E"/>
    <w:rsid w:val="00AA58C4"/>
    <w:rsid w:val="00AB0A0B"/>
    <w:rsid w:val="00AB11C8"/>
    <w:rsid w:val="00AB2248"/>
    <w:rsid w:val="00AC08A8"/>
    <w:rsid w:val="00AD20F6"/>
    <w:rsid w:val="00AD56C8"/>
    <w:rsid w:val="00AD58F2"/>
    <w:rsid w:val="00AE5712"/>
    <w:rsid w:val="00AF3B1D"/>
    <w:rsid w:val="00AF5EA3"/>
    <w:rsid w:val="00AF6573"/>
    <w:rsid w:val="00AF65FE"/>
    <w:rsid w:val="00AF6EB4"/>
    <w:rsid w:val="00AF7032"/>
    <w:rsid w:val="00AF7690"/>
    <w:rsid w:val="00AF7AE6"/>
    <w:rsid w:val="00B01591"/>
    <w:rsid w:val="00B0512A"/>
    <w:rsid w:val="00B0529F"/>
    <w:rsid w:val="00B05D52"/>
    <w:rsid w:val="00B06998"/>
    <w:rsid w:val="00B1418B"/>
    <w:rsid w:val="00B14988"/>
    <w:rsid w:val="00B151A0"/>
    <w:rsid w:val="00B1520C"/>
    <w:rsid w:val="00B1560E"/>
    <w:rsid w:val="00B210E5"/>
    <w:rsid w:val="00B21195"/>
    <w:rsid w:val="00B22B3D"/>
    <w:rsid w:val="00B24B22"/>
    <w:rsid w:val="00B25310"/>
    <w:rsid w:val="00B258F0"/>
    <w:rsid w:val="00B32F8F"/>
    <w:rsid w:val="00B36BB2"/>
    <w:rsid w:val="00B414D9"/>
    <w:rsid w:val="00B45098"/>
    <w:rsid w:val="00B4690F"/>
    <w:rsid w:val="00B47C42"/>
    <w:rsid w:val="00B510B1"/>
    <w:rsid w:val="00B53135"/>
    <w:rsid w:val="00B54DE9"/>
    <w:rsid w:val="00B553EC"/>
    <w:rsid w:val="00B55870"/>
    <w:rsid w:val="00B60059"/>
    <w:rsid w:val="00B77732"/>
    <w:rsid w:val="00B80D6D"/>
    <w:rsid w:val="00B84953"/>
    <w:rsid w:val="00B9154F"/>
    <w:rsid w:val="00B93DD0"/>
    <w:rsid w:val="00B97732"/>
    <w:rsid w:val="00BA0849"/>
    <w:rsid w:val="00BA41F5"/>
    <w:rsid w:val="00BA56D7"/>
    <w:rsid w:val="00BA65A8"/>
    <w:rsid w:val="00BA6A97"/>
    <w:rsid w:val="00BA6D19"/>
    <w:rsid w:val="00BA7415"/>
    <w:rsid w:val="00BA7461"/>
    <w:rsid w:val="00BA7DA9"/>
    <w:rsid w:val="00BB1ED1"/>
    <w:rsid w:val="00BC1CDA"/>
    <w:rsid w:val="00BC4215"/>
    <w:rsid w:val="00BC45D5"/>
    <w:rsid w:val="00BC737E"/>
    <w:rsid w:val="00BD0396"/>
    <w:rsid w:val="00BD1A6F"/>
    <w:rsid w:val="00BD528B"/>
    <w:rsid w:val="00BD5B71"/>
    <w:rsid w:val="00BD6D52"/>
    <w:rsid w:val="00BE43EB"/>
    <w:rsid w:val="00BE48D8"/>
    <w:rsid w:val="00BE6D3C"/>
    <w:rsid w:val="00BE7852"/>
    <w:rsid w:val="00BF6D87"/>
    <w:rsid w:val="00BF7CEE"/>
    <w:rsid w:val="00C03880"/>
    <w:rsid w:val="00C05916"/>
    <w:rsid w:val="00C135CF"/>
    <w:rsid w:val="00C13DEF"/>
    <w:rsid w:val="00C15C6E"/>
    <w:rsid w:val="00C25367"/>
    <w:rsid w:val="00C2683F"/>
    <w:rsid w:val="00C3184D"/>
    <w:rsid w:val="00C36016"/>
    <w:rsid w:val="00C418C0"/>
    <w:rsid w:val="00C43084"/>
    <w:rsid w:val="00C4714E"/>
    <w:rsid w:val="00C50941"/>
    <w:rsid w:val="00C533AE"/>
    <w:rsid w:val="00C54B64"/>
    <w:rsid w:val="00C5504F"/>
    <w:rsid w:val="00C55991"/>
    <w:rsid w:val="00C60648"/>
    <w:rsid w:val="00C60AEC"/>
    <w:rsid w:val="00C61066"/>
    <w:rsid w:val="00C63376"/>
    <w:rsid w:val="00C66CB4"/>
    <w:rsid w:val="00C73F4C"/>
    <w:rsid w:val="00C74F97"/>
    <w:rsid w:val="00C76A08"/>
    <w:rsid w:val="00C803D7"/>
    <w:rsid w:val="00C8276E"/>
    <w:rsid w:val="00C83AD1"/>
    <w:rsid w:val="00C83EAE"/>
    <w:rsid w:val="00C842AC"/>
    <w:rsid w:val="00C85B7B"/>
    <w:rsid w:val="00C9207B"/>
    <w:rsid w:val="00C92AD5"/>
    <w:rsid w:val="00C93152"/>
    <w:rsid w:val="00C93FD9"/>
    <w:rsid w:val="00C96688"/>
    <w:rsid w:val="00CA0723"/>
    <w:rsid w:val="00CA4542"/>
    <w:rsid w:val="00CA5CCE"/>
    <w:rsid w:val="00CB1690"/>
    <w:rsid w:val="00CB403C"/>
    <w:rsid w:val="00CB7ED4"/>
    <w:rsid w:val="00CC27E7"/>
    <w:rsid w:val="00CC2B33"/>
    <w:rsid w:val="00CC4365"/>
    <w:rsid w:val="00CD11B0"/>
    <w:rsid w:val="00CD5E0E"/>
    <w:rsid w:val="00CE19AB"/>
    <w:rsid w:val="00CE3389"/>
    <w:rsid w:val="00CE71C2"/>
    <w:rsid w:val="00CF2242"/>
    <w:rsid w:val="00CF42D5"/>
    <w:rsid w:val="00CF4EDA"/>
    <w:rsid w:val="00CF562A"/>
    <w:rsid w:val="00CF5929"/>
    <w:rsid w:val="00D00281"/>
    <w:rsid w:val="00D01E11"/>
    <w:rsid w:val="00D021CB"/>
    <w:rsid w:val="00D0404F"/>
    <w:rsid w:val="00D10C4C"/>
    <w:rsid w:val="00D10F1A"/>
    <w:rsid w:val="00D116F8"/>
    <w:rsid w:val="00D15280"/>
    <w:rsid w:val="00D17596"/>
    <w:rsid w:val="00D21D45"/>
    <w:rsid w:val="00D22640"/>
    <w:rsid w:val="00D22B45"/>
    <w:rsid w:val="00D25512"/>
    <w:rsid w:val="00D26D3A"/>
    <w:rsid w:val="00D34AD5"/>
    <w:rsid w:val="00D441B2"/>
    <w:rsid w:val="00D45C91"/>
    <w:rsid w:val="00D45EE3"/>
    <w:rsid w:val="00D50618"/>
    <w:rsid w:val="00D509E9"/>
    <w:rsid w:val="00D5117F"/>
    <w:rsid w:val="00D53B1C"/>
    <w:rsid w:val="00D54D46"/>
    <w:rsid w:val="00D576CA"/>
    <w:rsid w:val="00D603DE"/>
    <w:rsid w:val="00D61714"/>
    <w:rsid w:val="00D620BE"/>
    <w:rsid w:val="00D622B9"/>
    <w:rsid w:val="00D652C8"/>
    <w:rsid w:val="00D656FF"/>
    <w:rsid w:val="00D77C63"/>
    <w:rsid w:val="00D82448"/>
    <w:rsid w:val="00D825C0"/>
    <w:rsid w:val="00D83615"/>
    <w:rsid w:val="00D83AAD"/>
    <w:rsid w:val="00D90E4D"/>
    <w:rsid w:val="00D96734"/>
    <w:rsid w:val="00D97037"/>
    <w:rsid w:val="00DA1B12"/>
    <w:rsid w:val="00DA4F90"/>
    <w:rsid w:val="00DA54C9"/>
    <w:rsid w:val="00DA6739"/>
    <w:rsid w:val="00DA6CAE"/>
    <w:rsid w:val="00DA6DAC"/>
    <w:rsid w:val="00DB1A9E"/>
    <w:rsid w:val="00DB31D6"/>
    <w:rsid w:val="00DB3296"/>
    <w:rsid w:val="00DB4005"/>
    <w:rsid w:val="00DB44E2"/>
    <w:rsid w:val="00DB61F1"/>
    <w:rsid w:val="00DC325B"/>
    <w:rsid w:val="00DC34EB"/>
    <w:rsid w:val="00DC4E2E"/>
    <w:rsid w:val="00DC78C0"/>
    <w:rsid w:val="00DD4C68"/>
    <w:rsid w:val="00DE22CD"/>
    <w:rsid w:val="00DE2C10"/>
    <w:rsid w:val="00DE2E1D"/>
    <w:rsid w:val="00DE4402"/>
    <w:rsid w:val="00DE5735"/>
    <w:rsid w:val="00DF14C9"/>
    <w:rsid w:val="00DF1C8E"/>
    <w:rsid w:val="00DF1E5B"/>
    <w:rsid w:val="00DF2275"/>
    <w:rsid w:val="00DF3F5E"/>
    <w:rsid w:val="00DF5653"/>
    <w:rsid w:val="00E04F23"/>
    <w:rsid w:val="00E0596E"/>
    <w:rsid w:val="00E06F66"/>
    <w:rsid w:val="00E0719F"/>
    <w:rsid w:val="00E113B3"/>
    <w:rsid w:val="00E11BCE"/>
    <w:rsid w:val="00E13FE8"/>
    <w:rsid w:val="00E2111A"/>
    <w:rsid w:val="00E21678"/>
    <w:rsid w:val="00E254AF"/>
    <w:rsid w:val="00E270CE"/>
    <w:rsid w:val="00E3024B"/>
    <w:rsid w:val="00E344AA"/>
    <w:rsid w:val="00E356E5"/>
    <w:rsid w:val="00E35AA4"/>
    <w:rsid w:val="00E36F81"/>
    <w:rsid w:val="00E378A8"/>
    <w:rsid w:val="00E40B9B"/>
    <w:rsid w:val="00E451C0"/>
    <w:rsid w:val="00E45765"/>
    <w:rsid w:val="00E5098C"/>
    <w:rsid w:val="00E50A58"/>
    <w:rsid w:val="00E54ECD"/>
    <w:rsid w:val="00E574EF"/>
    <w:rsid w:val="00E57CD8"/>
    <w:rsid w:val="00E57E07"/>
    <w:rsid w:val="00E60213"/>
    <w:rsid w:val="00E620DA"/>
    <w:rsid w:val="00E6499B"/>
    <w:rsid w:val="00E65889"/>
    <w:rsid w:val="00E661B2"/>
    <w:rsid w:val="00E665E0"/>
    <w:rsid w:val="00E74D29"/>
    <w:rsid w:val="00E806FF"/>
    <w:rsid w:val="00E83C74"/>
    <w:rsid w:val="00E83CDF"/>
    <w:rsid w:val="00E83CEE"/>
    <w:rsid w:val="00E91F18"/>
    <w:rsid w:val="00E9226D"/>
    <w:rsid w:val="00E931B8"/>
    <w:rsid w:val="00E937C4"/>
    <w:rsid w:val="00E9607F"/>
    <w:rsid w:val="00E96424"/>
    <w:rsid w:val="00EA2A91"/>
    <w:rsid w:val="00EA416C"/>
    <w:rsid w:val="00EA5941"/>
    <w:rsid w:val="00EB0865"/>
    <w:rsid w:val="00EB357D"/>
    <w:rsid w:val="00EB60CE"/>
    <w:rsid w:val="00EB7D53"/>
    <w:rsid w:val="00EC596B"/>
    <w:rsid w:val="00ED3F4C"/>
    <w:rsid w:val="00ED5EEB"/>
    <w:rsid w:val="00ED75F5"/>
    <w:rsid w:val="00EE13C5"/>
    <w:rsid w:val="00EE3146"/>
    <w:rsid w:val="00EE5B10"/>
    <w:rsid w:val="00EF50BB"/>
    <w:rsid w:val="00EF5270"/>
    <w:rsid w:val="00EF71E4"/>
    <w:rsid w:val="00F00192"/>
    <w:rsid w:val="00F01BBA"/>
    <w:rsid w:val="00F01DF6"/>
    <w:rsid w:val="00F027B8"/>
    <w:rsid w:val="00F0340D"/>
    <w:rsid w:val="00F035F2"/>
    <w:rsid w:val="00F059A6"/>
    <w:rsid w:val="00F10039"/>
    <w:rsid w:val="00F12928"/>
    <w:rsid w:val="00F14A04"/>
    <w:rsid w:val="00F23640"/>
    <w:rsid w:val="00F23756"/>
    <w:rsid w:val="00F2464C"/>
    <w:rsid w:val="00F2523A"/>
    <w:rsid w:val="00F25FFA"/>
    <w:rsid w:val="00F310D2"/>
    <w:rsid w:val="00F31E11"/>
    <w:rsid w:val="00F33EF3"/>
    <w:rsid w:val="00F36F3D"/>
    <w:rsid w:val="00F37C48"/>
    <w:rsid w:val="00F477BD"/>
    <w:rsid w:val="00F50333"/>
    <w:rsid w:val="00F5275E"/>
    <w:rsid w:val="00F53491"/>
    <w:rsid w:val="00F53AD2"/>
    <w:rsid w:val="00F54656"/>
    <w:rsid w:val="00F55386"/>
    <w:rsid w:val="00F56411"/>
    <w:rsid w:val="00F60181"/>
    <w:rsid w:val="00F631DA"/>
    <w:rsid w:val="00F65A1C"/>
    <w:rsid w:val="00F66F50"/>
    <w:rsid w:val="00F705E1"/>
    <w:rsid w:val="00F77432"/>
    <w:rsid w:val="00F81162"/>
    <w:rsid w:val="00F82FF8"/>
    <w:rsid w:val="00F830F3"/>
    <w:rsid w:val="00F8330D"/>
    <w:rsid w:val="00F84305"/>
    <w:rsid w:val="00F8485C"/>
    <w:rsid w:val="00F87149"/>
    <w:rsid w:val="00F87FFE"/>
    <w:rsid w:val="00F914B9"/>
    <w:rsid w:val="00F93649"/>
    <w:rsid w:val="00F94E0A"/>
    <w:rsid w:val="00F954C9"/>
    <w:rsid w:val="00FA1072"/>
    <w:rsid w:val="00FA4CF0"/>
    <w:rsid w:val="00FA61AA"/>
    <w:rsid w:val="00FA69A4"/>
    <w:rsid w:val="00FB1279"/>
    <w:rsid w:val="00FB1495"/>
    <w:rsid w:val="00FC20F8"/>
    <w:rsid w:val="00FC32A2"/>
    <w:rsid w:val="00FC7584"/>
    <w:rsid w:val="00FD1694"/>
    <w:rsid w:val="00FD2134"/>
    <w:rsid w:val="00FD2AE7"/>
    <w:rsid w:val="00FD5C8D"/>
    <w:rsid w:val="00FD7636"/>
    <w:rsid w:val="00FE3229"/>
    <w:rsid w:val="00FE6C55"/>
    <w:rsid w:val="00FE74C3"/>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qFormat="1"/>
    <w:lsdException w:name="List Number 3" w:semiHidden="0" w:unhideWhenUsed="0" w:qFormat="1"/>
    <w:lsdException w:name="List Number 4" w:semiHidden="0" w:unhideWhenUsed="0"/>
    <w:lsdException w:name="List Number 5" w:semiHidden="0" w:unhideWhenUsed="0"/>
    <w:lsdException w:name="Title" w:semiHidden="0" w:uiPriority="10" w:unhideWhenUsed="0"/>
    <w:lsdException w:name="Default Paragraph Font" w:uiPriority="1"/>
    <w:lsdException w:name="List Continue" w:semiHidden="0" w:unhideWhenUsed="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622B9"/>
    <w:pPr>
      <w:autoSpaceDE w:val="0"/>
      <w:autoSpaceDN w:val="0"/>
      <w:adjustRightInd w:val="0"/>
      <w:spacing w:after="200" w:line="276" w:lineRule="auto"/>
    </w:pPr>
    <w:rPr>
      <w:rFonts w:eastAsia="Times New Roman" w:cs="Arial"/>
      <w:lang w:eastAsia="en-US"/>
    </w:rPr>
  </w:style>
  <w:style w:type="paragraph" w:styleId="Heading1">
    <w:name w:val="heading 1"/>
    <w:basedOn w:val="Header"/>
    <w:next w:val="Normal"/>
    <w:link w:val="Heading1Char"/>
    <w:uiPriority w:val="9"/>
    <w:qFormat/>
    <w:rsid w:val="00D622B9"/>
    <w:pPr>
      <w:jc w:val="center"/>
      <w:outlineLvl w:val="0"/>
    </w:pPr>
    <w:rPr>
      <w:b/>
      <w:sz w:val="24"/>
    </w:rPr>
  </w:style>
  <w:style w:type="paragraph" w:styleId="Heading2">
    <w:name w:val="heading 2"/>
    <w:basedOn w:val="Header"/>
    <w:next w:val="Normal"/>
    <w:link w:val="Heading2Char"/>
    <w:uiPriority w:val="9"/>
    <w:qFormat/>
    <w:rsid w:val="00704B37"/>
    <w:pPr>
      <w:keepLines/>
      <w:tabs>
        <w:tab w:val="left" w:pos="2835"/>
      </w:tabs>
      <w:jc w:val="center"/>
      <w:outlineLvl w:val="1"/>
    </w:pPr>
    <w:rPr>
      <w:b/>
      <w:lang w:eastAsia="en-AU"/>
    </w:rPr>
  </w:style>
  <w:style w:type="paragraph" w:styleId="Heading3">
    <w:name w:val="heading 3"/>
    <w:basedOn w:val="tablelabel"/>
    <w:next w:val="Normal"/>
    <w:link w:val="Heading3Char"/>
    <w:uiPriority w:val="9"/>
    <w:qFormat/>
    <w:rsid w:val="00186465"/>
    <w:pPr>
      <w:spacing w:before="200"/>
      <w:outlineLvl w:val="2"/>
    </w:pPr>
    <w:rPr>
      <w:sz w:val="20"/>
    </w:rPr>
  </w:style>
  <w:style w:type="paragraph" w:styleId="Heading4">
    <w:name w:val="heading 4"/>
    <w:basedOn w:val="PlainText"/>
    <w:next w:val="Normal"/>
    <w:link w:val="Heading4Char"/>
    <w:uiPriority w:val="9"/>
    <w:qFormat/>
    <w:rsid w:val="00186465"/>
    <w:pPr>
      <w:outlineLvl w:val="3"/>
    </w:pPr>
    <w:rPr>
      <w:rFonts w:ascii="Arial" w:eastAsia="Times New Roman" w:hAnsi="Arial" w:cs="Arial"/>
      <w:sz w:val="20"/>
      <w:szCs w:val="20"/>
      <w:u w:val="single"/>
    </w:rPr>
  </w:style>
  <w:style w:type="paragraph" w:styleId="Heading5">
    <w:name w:val="heading 5"/>
    <w:basedOn w:val="PlainText"/>
    <w:next w:val="Normal"/>
    <w:link w:val="Heading5Char"/>
    <w:uiPriority w:val="9"/>
    <w:unhideWhenUsed/>
    <w:qFormat/>
    <w:rsid w:val="00186465"/>
    <w:pPr>
      <w:outlineLvl w:val="4"/>
    </w:pPr>
    <w:rPr>
      <w:rFonts w:ascii="Arial" w:eastAsia="Times New Roman" w:hAnsi="Arial" w:cs="Arial"/>
      <w:i/>
      <w:sz w:val="20"/>
      <w:szCs w:val="20"/>
    </w:rPr>
  </w:style>
  <w:style w:type="paragraph" w:styleId="Heading6">
    <w:name w:val="heading 6"/>
    <w:basedOn w:val="tablelabel"/>
    <w:next w:val="Normal"/>
    <w:link w:val="Heading6Char"/>
    <w:uiPriority w:val="9"/>
    <w:unhideWhenUsed/>
    <w:qFormat/>
    <w:rsid w:val="00D622B9"/>
    <w:pPr>
      <w:spacing w:after="0"/>
      <w:outlineLvl w:val="5"/>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qFormat/>
    <w:rsid w:val="00637239"/>
    <w:pPr>
      <w:pBdr>
        <w:top w:val="single" w:sz="4" w:space="1" w:color="auto"/>
      </w:pBdr>
      <w:tabs>
        <w:tab w:val="center" w:pos="4513"/>
        <w:tab w:val="right" w:pos="9026"/>
      </w:tabs>
      <w:spacing w:after="0"/>
    </w:pPr>
    <w:rPr>
      <w:sz w:val="12"/>
    </w:rPr>
  </w:style>
  <w:style w:type="character" w:customStyle="1" w:styleId="FooterChar">
    <w:name w:val="Footer Char"/>
    <w:basedOn w:val="DefaultParagraphFont"/>
    <w:link w:val="Footer"/>
    <w:uiPriority w:val="99"/>
    <w:rsid w:val="00637239"/>
    <w:rPr>
      <w:rFonts w:eastAsia="Times New Roman" w:cs="Arial"/>
      <w:sz w:val="12"/>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D622B9"/>
    <w:rPr>
      <w:rFonts w:eastAsia="Times New Roman" w:cs="Arial"/>
      <w:b/>
      <w:sz w:val="24"/>
      <w:lang w:eastAsia="en-US"/>
    </w:rPr>
  </w:style>
  <w:style w:type="character" w:customStyle="1" w:styleId="Heading2Char">
    <w:name w:val="Heading 2 Char"/>
    <w:basedOn w:val="DefaultParagraphFont"/>
    <w:link w:val="Heading2"/>
    <w:uiPriority w:val="9"/>
    <w:rsid w:val="00704B37"/>
    <w:rPr>
      <w:rFonts w:eastAsia="Times New Roman" w:cs="Arial"/>
      <w:b/>
      <w:szCs w:val="24"/>
    </w:rPr>
  </w:style>
  <w:style w:type="character" w:customStyle="1" w:styleId="Heading3Char">
    <w:name w:val="Heading 3 Char"/>
    <w:basedOn w:val="DefaultParagraphFont"/>
    <w:link w:val="Heading3"/>
    <w:uiPriority w:val="9"/>
    <w:rsid w:val="00186465"/>
    <w:rPr>
      <w:rFonts w:eastAsia="Times New Roman" w:cs="Arial"/>
      <w:b/>
      <w:lang w:eastAsia="en-US"/>
    </w:rPr>
  </w:style>
  <w:style w:type="character" w:customStyle="1" w:styleId="Heading4Char">
    <w:name w:val="Heading 4 Char"/>
    <w:basedOn w:val="DefaultParagraphFont"/>
    <w:link w:val="Heading4"/>
    <w:uiPriority w:val="9"/>
    <w:rsid w:val="00186465"/>
    <w:rPr>
      <w:rFonts w:eastAsia="Times New Roman" w:cs="Arial"/>
      <w:u w:val="single"/>
      <w:lang w:eastAsia="en-US"/>
    </w:rPr>
  </w:style>
  <w:style w:type="paragraph" w:styleId="ListBullet">
    <w:name w:val="List Bullet"/>
    <w:basedOn w:val="Normal"/>
    <w:uiPriority w:val="99"/>
    <w:unhideWhenUsed/>
    <w:qFormat/>
    <w:rsid w:val="00D441B2"/>
    <w:pPr>
      <w:numPr>
        <w:numId w:val="30"/>
      </w:numPr>
      <w:ind w:left="426" w:hanging="426"/>
    </w:pPr>
    <w:rPr>
      <w:lang w:val="en-US"/>
    </w:rPr>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rsid w:val="00646122"/>
    <w:pPr>
      <w:tabs>
        <w:tab w:val="center" w:pos="4536"/>
        <w:tab w:val="center" w:pos="4819"/>
        <w:tab w:val="right" w:pos="9356"/>
      </w:tabs>
      <w:spacing w:after="240"/>
      <w:jc w:val="center"/>
    </w:pPr>
    <w:rPr>
      <w:color w:val="FF0000"/>
      <w:sz w:val="28"/>
      <w:szCs w:val="28"/>
      <w:lang w:eastAsia="en-AU"/>
    </w:rPr>
  </w:style>
  <w:style w:type="paragraph" w:styleId="ListParagraph">
    <w:name w:val="List Paragraph"/>
    <w:basedOn w:val="Normal"/>
    <w:uiPriority w:val="34"/>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186465"/>
    <w:pPr>
      <w:numPr>
        <w:numId w:val="5"/>
      </w:numPr>
    </w:pPr>
  </w:style>
  <w:style w:type="paragraph" w:styleId="ListNumber2">
    <w:name w:val="List Number 2"/>
    <w:basedOn w:val="Normal"/>
    <w:uiPriority w:val="99"/>
    <w:qFormat/>
    <w:rsid w:val="00186465"/>
    <w:pPr>
      <w:numPr>
        <w:ilvl w:val="1"/>
        <w:numId w:val="5"/>
      </w:numPr>
      <w:ind w:left="709" w:hanging="283"/>
    </w:pPr>
  </w:style>
  <w:style w:type="paragraph" w:styleId="ListNumber3">
    <w:name w:val="List Number 3"/>
    <w:basedOn w:val="Normal"/>
    <w:uiPriority w:val="99"/>
    <w:qFormat/>
    <w:rsid w:val="009E79B6"/>
    <w:pPr>
      <w:numPr>
        <w:ilvl w:val="2"/>
        <w:numId w:val="5"/>
      </w:numPr>
      <w:ind w:left="993" w:hanging="284"/>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D622B9"/>
    <w:pPr>
      <w:spacing w:after="0"/>
    </w:pPr>
  </w:style>
  <w:style w:type="paragraph" w:customStyle="1" w:styleId="tablelabel">
    <w:name w:val="table label"/>
    <w:basedOn w:val="Normal"/>
    <w:rsid w:val="001765DA"/>
    <w:rPr>
      <w:b/>
      <w:sz w:val="16"/>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rsid w:val="00186465"/>
    <w:rPr>
      <w:rFonts w:eastAsia="Times New Roman" w:cs="Arial"/>
      <w:i/>
      <w:lang w:eastAsia="en-US"/>
    </w:rPr>
  </w:style>
  <w:style w:type="character" w:styleId="CommentReference">
    <w:name w:val="annotation reference"/>
    <w:basedOn w:val="DefaultParagraphFont"/>
    <w:uiPriority w:val="99"/>
    <w:semiHidden/>
    <w:unhideWhenUsed/>
    <w:rsid w:val="003E2135"/>
    <w:rPr>
      <w:sz w:val="16"/>
      <w:szCs w:val="16"/>
    </w:rPr>
  </w:style>
  <w:style w:type="paragraph" w:styleId="CommentText">
    <w:name w:val="annotation text"/>
    <w:basedOn w:val="Normal"/>
    <w:link w:val="CommentTextChar"/>
    <w:uiPriority w:val="99"/>
    <w:semiHidden/>
    <w:unhideWhenUsed/>
    <w:rsid w:val="003E2135"/>
  </w:style>
  <w:style w:type="character" w:customStyle="1" w:styleId="CommentTextChar">
    <w:name w:val="Comment Text Char"/>
    <w:basedOn w:val="DefaultParagraphFont"/>
    <w:link w:val="CommentText"/>
    <w:uiPriority w:val="99"/>
    <w:semiHidden/>
    <w:rsid w:val="003E2135"/>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E2135"/>
    <w:rPr>
      <w:b/>
      <w:bCs/>
    </w:rPr>
  </w:style>
  <w:style w:type="character" w:customStyle="1" w:styleId="CommentSubjectChar">
    <w:name w:val="Comment Subject Char"/>
    <w:basedOn w:val="CommentTextChar"/>
    <w:link w:val="CommentSubject"/>
    <w:uiPriority w:val="99"/>
    <w:semiHidden/>
    <w:rsid w:val="003E2135"/>
    <w:rPr>
      <w:b/>
      <w:bCs/>
    </w:rPr>
  </w:style>
  <w:style w:type="paragraph" w:customStyle="1" w:styleId="Question">
    <w:name w:val="Question"/>
    <w:basedOn w:val="Normal"/>
    <w:link w:val="QuestionChar"/>
    <w:qFormat/>
    <w:rsid w:val="00186465"/>
    <w:pPr>
      <w:pBdr>
        <w:top w:val="single" w:sz="4" w:space="1" w:color="auto"/>
        <w:left w:val="single" w:sz="4" w:space="4" w:color="auto"/>
        <w:bottom w:val="single" w:sz="4" w:space="1" w:color="auto"/>
        <w:right w:val="single" w:sz="4" w:space="4" w:color="auto"/>
      </w:pBdr>
    </w:pPr>
  </w:style>
  <w:style w:type="character" w:customStyle="1" w:styleId="Heading6Char">
    <w:name w:val="Heading 6 Char"/>
    <w:basedOn w:val="DefaultParagraphFont"/>
    <w:link w:val="Heading6"/>
    <w:uiPriority w:val="9"/>
    <w:rsid w:val="00D622B9"/>
    <w:rPr>
      <w:rFonts w:eastAsia="Times New Roman" w:cs="Arial"/>
      <w:b/>
      <w:lang w:eastAsia="en-US"/>
    </w:rPr>
  </w:style>
  <w:style w:type="character" w:customStyle="1" w:styleId="QuestionChar">
    <w:name w:val="Question Char"/>
    <w:basedOn w:val="DefaultParagraphFont"/>
    <w:link w:val="Question"/>
    <w:rsid w:val="00186465"/>
    <w:rPr>
      <w:rFonts w:eastAsia="Times New Roman" w:cs="Arial"/>
      <w:lang w:eastAsia="en-US"/>
    </w:rPr>
  </w:style>
  <w:style w:type="character" w:styleId="LineNumber">
    <w:name w:val="line number"/>
    <w:basedOn w:val="DefaultParagraphFont"/>
    <w:uiPriority w:val="99"/>
    <w:semiHidden/>
    <w:unhideWhenUsed/>
    <w:rsid w:val="00277A51"/>
  </w:style>
</w:styles>
</file>

<file path=word/webSettings.xml><?xml version="1.0" encoding="utf-8"?>
<w:webSettings xmlns:r="http://schemas.openxmlformats.org/officeDocument/2006/relationships" xmlns:w="http://schemas.openxmlformats.org/wordprocessingml/2006/main">
  <w:divs>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esc.environment.gov.au/pubs/iesc-information-guidelines.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3915</Words>
  <Characters>22322</Characters>
  <Application>Microsoft Office Word</Application>
  <DocSecurity>0</DocSecurity>
  <Lines>186</Lines>
  <Paragraphs>52</Paragraphs>
  <ScaleCrop>false</ScaleCrop>
  <LinksUpToDate>false</LinksUpToDate>
  <CharactersWithSpaces>26185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IESC 2015-062: Mount Owen Continued Operations Project (EPBC 2013/6978; SSD 5850) –Expansion</dc:title>
  <dc:creator/>
  <cp:lastModifiedBy/>
  <cp:revision>1</cp:revision>
  <dcterms:created xsi:type="dcterms:W3CDTF">2015-03-22T22:34:00Z</dcterms:created>
  <dcterms:modified xsi:type="dcterms:W3CDTF">2015-03-22T22:34:00Z</dcterms:modified>
</cp:coreProperties>
</file>