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CF284" w14:textId="77777777" w:rsidR="00F027B8" w:rsidRDefault="00F027B8" w:rsidP="00277A51">
      <w:pPr>
        <w:pStyle w:val="Header"/>
        <w:suppressLineNumbers/>
      </w:pPr>
      <w:r w:rsidRPr="00F027B8">
        <w:rPr>
          <w:noProof/>
          <w:lang w:eastAsia="en-AU"/>
        </w:rPr>
        <w:drawing>
          <wp:anchor distT="0" distB="0" distL="114300" distR="114300" simplePos="0" relativeHeight="251658240" behindDoc="0" locked="0" layoutInCell="1" allowOverlap="1" wp14:anchorId="287DD295" wp14:editId="7E045A98">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14:paraId="624080DA" w14:textId="77777777" w:rsidR="00F027B8" w:rsidRDefault="00F027B8" w:rsidP="00277A51">
      <w:pPr>
        <w:pStyle w:val="Header"/>
        <w:suppressLineNumbers/>
      </w:pPr>
    </w:p>
    <w:p w14:paraId="5F9C0F4C" w14:textId="77777777" w:rsidR="00F027B8" w:rsidRDefault="00F027B8" w:rsidP="00277A51">
      <w:pPr>
        <w:pStyle w:val="Header"/>
        <w:suppressLineNumbers/>
      </w:pPr>
    </w:p>
    <w:p w14:paraId="0103CA3A" w14:textId="77777777" w:rsidR="00F027B8" w:rsidRDefault="00F027B8" w:rsidP="00277A51">
      <w:pPr>
        <w:pStyle w:val="Header"/>
        <w:suppressLineNumbers/>
      </w:pPr>
    </w:p>
    <w:p w14:paraId="0971D0F7" w14:textId="77777777" w:rsidR="00F027B8" w:rsidRPr="00D622B9" w:rsidRDefault="00F027B8" w:rsidP="00277A51">
      <w:pPr>
        <w:pStyle w:val="Heading1"/>
        <w:suppressLineNumbers/>
      </w:pPr>
    </w:p>
    <w:p w14:paraId="6E6A488E" w14:textId="77777777" w:rsidR="001765DA" w:rsidRPr="00A339C8" w:rsidRDefault="00F027B8" w:rsidP="00277A51">
      <w:pPr>
        <w:pStyle w:val="Heading1"/>
        <w:suppressLineNumbers/>
      </w:pPr>
      <w:r w:rsidRPr="00A339C8">
        <w:t>Advi</w:t>
      </w:r>
      <w:r w:rsidR="001765DA" w:rsidRPr="00A339C8">
        <w:t>ce to decision maker on coal mining</w:t>
      </w:r>
      <w:r w:rsidR="00E21678" w:rsidRPr="00A339C8">
        <w:t xml:space="preserve"> project </w:t>
      </w:r>
    </w:p>
    <w:p w14:paraId="7E6E5719" w14:textId="77777777" w:rsidR="004861E6" w:rsidRPr="00A339C8" w:rsidRDefault="00D10C4C" w:rsidP="00277A51">
      <w:pPr>
        <w:pStyle w:val="Heading2"/>
        <w:suppressLineNumbers/>
      </w:pPr>
      <w:r w:rsidRPr="00A339C8">
        <w:t xml:space="preserve">IESC </w:t>
      </w:r>
      <w:r w:rsidR="00C43084" w:rsidRPr="00A339C8">
        <w:t>201</w:t>
      </w:r>
      <w:r w:rsidR="00A339C8" w:rsidRPr="00A339C8">
        <w:t>7</w:t>
      </w:r>
      <w:r w:rsidR="00CC27E7" w:rsidRPr="00A339C8">
        <w:t>-</w:t>
      </w:r>
      <w:r w:rsidRPr="00A339C8">
        <w:t>0</w:t>
      </w:r>
      <w:r w:rsidR="00A339C8" w:rsidRPr="00A339C8">
        <w:t>83</w:t>
      </w:r>
      <w:r w:rsidR="001765DA" w:rsidRPr="00A339C8">
        <w:t>:</w:t>
      </w:r>
      <w:r w:rsidR="002974BC" w:rsidRPr="00A339C8">
        <w:t xml:space="preserve"> </w:t>
      </w:r>
      <w:r w:rsidR="00A339C8" w:rsidRPr="00A339C8">
        <w:rPr>
          <w:rFonts w:ascii="Arial Bold" w:hAnsi="Arial Bold"/>
        </w:rPr>
        <w:t>Hume Coal Project</w:t>
      </w:r>
      <w:r w:rsidR="00C803D7" w:rsidRPr="00A339C8">
        <w:t xml:space="preserve"> </w:t>
      </w:r>
      <w:r w:rsidR="00D83AAD" w:rsidRPr="00A339C8">
        <w:t>(EPBC</w:t>
      </w:r>
      <w:r w:rsidR="007B047A" w:rsidRPr="00A339C8">
        <w:t xml:space="preserve"> </w:t>
      </w:r>
      <w:r w:rsidR="00A339C8" w:rsidRPr="00A339C8">
        <w:t>2015/7526</w:t>
      </w:r>
      <w:r w:rsidR="00D83AAD" w:rsidRPr="00A339C8">
        <w:t xml:space="preserve">) </w:t>
      </w:r>
      <w:r w:rsidR="00C803D7" w:rsidRPr="00A339C8">
        <w:t>–</w:t>
      </w:r>
      <w:r w:rsidR="00A85BAE">
        <w:t xml:space="preserve"> </w:t>
      </w:r>
      <w:r w:rsidR="00C803D7" w:rsidRPr="00A339C8">
        <w:t xml:space="preserve">New Development </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A339C8" w:rsidRPr="00A339C8" w14:paraId="1FFB693B" w14:textId="77777777" w:rsidTr="009110D5">
        <w:trPr>
          <w:trHeight w:val="563"/>
        </w:trPr>
        <w:tc>
          <w:tcPr>
            <w:tcW w:w="1809" w:type="dxa"/>
            <w:tcBorders>
              <w:top w:val="single" w:sz="4" w:space="0" w:color="auto"/>
              <w:bottom w:val="single" w:sz="4" w:space="0" w:color="auto"/>
            </w:tcBorders>
          </w:tcPr>
          <w:p w14:paraId="6A1044B4" w14:textId="77777777" w:rsidR="001765DA" w:rsidRPr="00A339C8" w:rsidRDefault="001765DA" w:rsidP="008A5C45">
            <w:pPr>
              <w:pStyle w:val="Heading6"/>
              <w:suppressLineNumbers/>
            </w:pPr>
            <w:r w:rsidRPr="00A339C8">
              <w:t>Requesting agenc</w:t>
            </w:r>
            <w:r w:rsidR="008A5C45">
              <w:t>ies</w:t>
            </w:r>
          </w:p>
        </w:tc>
        <w:tc>
          <w:tcPr>
            <w:tcW w:w="8159" w:type="dxa"/>
            <w:tcBorders>
              <w:top w:val="single" w:sz="4" w:space="0" w:color="auto"/>
              <w:bottom w:val="single" w:sz="4" w:space="0" w:color="auto"/>
            </w:tcBorders>
          </w:tcPr>
          <w:p w14:paraId="0D289984" w14:textId="77777777" w:rsidR="008A5C45" w:rsidRDefault="00B1520C" w:rsidP="00277A51">
            <w:pPr>
              <w:pStyle w:val="Tabletext"/>
              <w:suppressLineNumbers/>
            </w:pPr>
            <w:r w:rsidRPr="00A339C8">
              <w:t xml:space="preserve">The </w:t>
            </w:r>
            <w:r w:rsidR="00C43084" w:rsidRPr="00A339C8">
              <w:t xml:space="preserve">Australian Government </w:t>
            </w:r>
            <w:r w:rsidR="001765DA" w:rsidRPr="00A339C8">
              <w:t xml:space="preserve">Department of </w:t>
            </w:r>
            <w:r w:rsidR="00616861" w:rsidRPr="00A339C8">
              <w:t>the</w:t>
            </w:r>
            <w:r w:rsidR="001765DA" w:rsidRPr="00A339C8">
              <w:t xml:space="preserve"> Environment</w:t>
            </w:r>
            <w:r w:rsidRPr="00A339C8">
              <w:t xml:space="preserve"> </w:t>
            </w:r>
            <w:r w:rsidR="00F7628B" w:rsidRPr="00A339C8">
              <w:t xml:space="preserve">and Energy </w:t>
            </w:r>
          </w:p>
          <w:p w14:paraId="6996148C" w14:textId="77777777" w:rsidR="001765DA" w:rsidRPr="00A339C8" w:rsidRDefault="00B1520C" w:rsidP="00277A51">
            <w:pPr>
              <w:pStyle w:val="Tabletext"/>
              <w:suppressLineNumbers/>
            </w:pPr>
            <w:r w:rsidRPr="00A339C8">
              <w:t xml:space="preserve">The </w:t>
            </w:r>
            <w:r w:rsidR="00C43084" w:rsidRPr="00A339C8">
              <w:t xml:space="preserve">New South Wales </w:t>
            </w:r>
            <w:r w:rsidRPr="00A339C8">
              <w:t xml:space="preserve">Department of Planning and </w:t>
            </w:r>
            <w:r w:rsidR="004B5A51" w:rsidRPr="00A339C8">
              <w:t>Environment</w:t>
            </w:r>
            <w:r w:rsidR="003E2BDB" w:rsidRPr="00A339C8">
              <w:t xml:space="preserve"> </w:t>
            </w:r>
          </w:p>
          <w:p w14:paraId="3D9F3685" w14:textId="77777777" w:rsidR="003E2BDB" w:rsidRPr="00A339C8" w:rsidRDefault="003E2BDB" w:rsidP="00277A51">
            <w:pPr>
              <w:pStyle w:val="Tabletext"/>
              <w:suppressLineNumbers/>
            </w:pPr>
          </w:p>
        </w:tc>
      </w:tr>
      <w:tr w:rsidR="001765DA" w:rsidRPr="002A5EC3" w14:paraId="781652B1" w14:textId="77777777" w:rsidTr="009110D5">
        <w:trPr>
          <w:trHeight w:val="19"/>
        </w:trPr>
        <w:tc>
          <w:tcPr>
            <w:tcW w:w="1809" w:type="dxa"/>
            <w:tcBorders>
              <w:top w:val="single" w:sz="4" w:space="0" w:color="auto"/>
              <w:bottom w:val="single" w:sz="4" w:space="0" w:color="auto"/>
            </w:tcBorders>
          </w:tcPr>
          <w:p w14:paraId="0B00B8E7" w14:textId="77777777" w:rsidR="001765DA" w:rsidRPr="00D622B9" w:rsidRDefault="001765DA" w:rsidP="00277A51">
            <w:pPr>
              <w:pStyle w:val="Heading6"/>
              <w:suppressLineNumbers/>
            </w:pPr>
            <w:r w:rsidRPr="00D622B9">
              <w:t>Date of request</w:t>
            </w:r>
          </w:p>
        </w:tc>
        <w:tc>
          <w:tcPr>
            <w:tcW w:w="8159" w:type="dxa"/>
            <w:tcBorders>
              <w:top w:val="single" w:sz="4" w:space="0" w:color="auto"/>
              <w:bottom w:val="single" w:sz="4" w:space="0" w:color="auto"/>
            </w:tcBorders>
          </w:tcPr>
          <w:p w14:paraId="35C23FCC" w14:textId="6E040C0A" w:rsidR="001765DA" w:rsidRPr="002A5EC3" w:rsidRDefault="00A339C8" w:rsidP="00017A6B">
            <w:pPr>
              <w:pStyle w:val="Tabletext"/>
              <w:suppressLineNumbers/>
            </w:pPr>
            <w:r w:rsidRPr="00A339C8">
              <w:t xml:space="preserve">23 March </w:t>
            </w:r>
            <w:r w:rsidR="00716583" w:rsidRPr="00A339C8">
              <w:t>201</w:t>
            </w:r>
            <w:r w:rsidRPr="00A339C8">
              <w:t>7</w:t>
            </w:r>
            <w:r w:rsidR="00E21678" w:rsidRPr="00A339C8">
              <w:rPr>
                <w:b/>
              </w:rPr>
              <w:t xml:space="preserve"> </w:t>
            </w:r>
          </w:p>
        </w:tc>
      </w:tr>
      <w:tr w:rsidR="00185039" w:rsidRPr="002A5EC3" w14:paraId="377B487C" w14:textId="77777777" w:rsidTr="009110D5">
        <w:trPr>
          <w:trHeight w:val="19"/>
        </w:trPr>
        <w:tc>
          <w:tcPr>
            <w:tcW w:w="1809" w:type="dxa"/>
            <w:tcBorders>
              <w:top w:val="single" w:sz="4" w:space="0" w:color="auto"/>
              <w:bottom w:val="single" w:sz="4" w:space="0" w:color="auto"/>
            </w:tcBorders>
          </w:tcPr>
          <w:p w14:paraId="0B6F4B7D" w14:textId="77777777" w:rsidR="00185039" w:rsidRPr="001070EA" w:rsidRDefault="00185039" w:rsidP="00277A51">
            <w:pPr>
              <w:pStyle w:val="Heading6"/>
              <w:suppressLineNumbers/>
              <w:rPr>
                <w:color w:val="000000" w:themeColor="text1"/>
              </w:rPr>
            </w:pPr>
            <w:r w:rsidRPr="001070EA">
              <w:rPr>
                <w:color w:val="000000" w:themeColor="text1"/>
              </w:rPr>
              <w:t>Date request accepted</w:t>
            </w:r>
          </w:p>
        </w:tc>
        <w:tc>
          <w:tcPr>
            <w:tcW w:w="8159" w:type="dxa"/>
            <w:tcBorders>
              <w:top w:val="single" w:sz="4" w:space="0" w:color="auto"/>
              <w:bottom w:val="single" w:sz="4" w:space="0" w:color="auto"/>
            </w:tcBorders>
          </w:tcPr>
          <w:p w14:paraId="47AF9F33" w14:textId="25725174" w:rsidR="00185039" w:rsidRPr="001070EA" w:rsidRDefault="001070EA" w:rsidP="00017A6B">
            <w:pPr>
              <w:pStyle w:val="Tabletext"/>
              <w:suppressLineNumbers/>
              <w:rPr>
                <w:color w:val="000000" w:themeColor="text1"/>
              </w:rPr>
            </w:pPr>
            <w:r w:rsidRPr="001070EA">
              <w:rPr>
                <w:color w:val="000000" w:themeColor="text1"/>
              </w:rPr>
              <w:t>28 March 2017</w:t>
            </w:r>
          </w:p>
        </w:tc>
      </w:tr>
      <w:tr w:rsidR="00062A46" w:rsidRPr="002A5EC3" w14:paraId="3872B5B3" w14:textId="77777777" w:rsidTr="009110D5">
        <w:trPr>
          <w:trHeight w:val="19"/>
        </w:trPr>
        <w:tc>
          <w:tcPr>
            <w:tcW w:w="1809" w:type="dxa"/>
            <w:tcBorders>
              <w:top w:val="single" w:sz="4" w:space="0" w:color="auto"/>
              <w:bottom w:val="single" w:sz="4" w:space="0" w:color="auto"/>
            </w:tcBorders>
          </w:tcPr>
          <w:p w14:paraId="0F98988A" w14:textId="77777777" w:rsidR="00062A46" w:rsidRPr="00D622B9" w:rsidRDefault="00062A46" w:rsidP="00277A51">
            <w:pPr>
              <w:pStyle w:val="Heading6"/>
              <w:suppressLineNumbers/>
            </w:pPr>
            <w:r w:rsidRPr="00D622B9">
              <w:t xml:space="preserve">Advice stage </w:t>
            </w:r>
          </w:p>
        </w:tc>
        <w:tc>
          <w:tcPr>
            <w:tcW w:w="8159" w:type="dxa"/>
            <w:tcBorders>
              <w:top w:val="single" w:sz="4" w:space="0" w:color="auto"/>
              <w:bottom w:val="single" w:sz="4" w:space="0" w:color="auto"/>
            </w:tcBorders>
          </w:tcPr>
          <w:p w14:paraId="6C20914A" w14:textId="77777777" w:rsidR="00062A46" w:rsidRPr="00B451D3" w:rsidRDefault="00062A46" w:rsidP="00277A51">
            <w:pPr>
              <w:pStyle w:val="Tabletext"/>
              <w:suppressLineNumbers/>
              <w:rPr>
                <w:lang w:eastAsia="en-AU"/>
              </w:rPr>
            </w:pPr>
            <w:r>
              <w:rPr>
                <w:lang w:eastAsia="en-AU"/>
              </w:rPr>
              <w:t xml:space="preserve">Assessment </w:t>
            </w:r>
          </w:p>
        </w:tc>
      </w:tr>
    </w:tbl>
    <w:p w14:paraId="23B16A92" w14:textId="77777777" w:rsidR="00A622EC" w:rsidRPr="00186465" w:rsidRDefault="00A622EC" w:rsidP="00D622B9">
      <w:pPr>
        <w:pStyle w:val="Heading3"/>
      </w:pPr>
      <w:r w:rsidRPr="00186465">
        <w:t>Context</w:t>
      </w:r>
    </w:p>
    <w:p w14:paraId="68523502" w14:textId="77777777" w:rsidR="00A622EC" w:rsidRPr="008A5C45" w:rsidRDefault="00A622EC" w:rsidP="00D622B9">
      <w:r w:rsidRPr="008A5C45">
        <w:t xml:space="preserve">The </w:t>
      </w:r>
      <w:bookmarkStart w:id="0" w:name="_GoBack"/>
      <w:r w:rsidRPr="008A5C45">
        <w:t xml:space="preserve">Independent Expert Scientific Committee on Coal Seam Gas and Large Coal Mining Development </w:t>
      </w:r>
      <w:bookmarkEnd w:id="0"/>
      <w:r w:rsidRPr="008A5C45">
        <w:t xml:space="preserve">(the IESC) was requested by the Australian Government Department of the Environment </w:t>
      </w:r>
      <w:r w:rsidR="008A5C45" w:rsidRPr="008A5C45">
        <w:t>and Energy and</w:t>
      </w:r>
      <w:r w:rsidRPr="008A5C45">
        <w:t xml:space="preserve"> </w:t>
      </w:r>
      <w:r w:rsidR="00D441B2" w:rsidRPr="008A5C45">
        <w:t>t</w:t>
      </w:r>
      <w:r w:rsidRPr="008A5C45">
        <w:t>he New South Wa</w:t>
      </w:r>
      <w:r w:rsidR="00400F8F" w:rsidRPr="008A5C45">
        <w:t>les Department of Planning and Environment</w:t>
      </w:r>
      <w:r w:rsidRPr="008A5C45">
        <w:t xml:space="preserve"> to provide advice on </w:t>
      </w:r>
      <w:r w:rsidR="008A5C45" w:rsidRPr="008A5C45">
        <w:t>Hume Coal’s</w:t>
      </w:r>
      <w:r w:rsidR="008451DB">
        <w:t>,</w:t>
      </w:r>
      <w:r w:rsidR="004B5A51" w:rsidRPr="008A5C45">
        <w:t xml:space="preserve"> </w:t>
      </w:r>
      <w:r w:rsidR="00474287">
        <w:t xml:space="preserve">Hume Coal </w:t>
      </w:r>
      <w:r w:rsidR="008A5C45" w:rsidRPr="008A5C45">
        <w:t>project</w:t>
      </w:r>
      <w:r w:rsidR="004B5A51" w:rsidRPr="008A5C45">
        <w:t xml:space="preserve"> </w:t>
      </w:r>
      <w:r w:rsidRPr="008A5C45">
        <w:t xml:space="preserve">in </w:t>
      </w:r>
      <w:r w:rsidR="008A5C45" w:rsidRPr="008A5C45">
        <w:t>NSW.</w:t>
      </w:r>
    </w:p>
    <w:p w14:paraId="34C882FE" w14:textId="77777777" w:rsidR="00206240" w:rsidRPr="00D622B9" w:rsidRDefault="00206240" w:rsidP="00206240">
      <w:r w:rsidRPr="00D622B9">
        <w:t xml:space="preserve">This advice draws upon aspects of information in the </w:t>
      </w:r>
      <w:r w:rsidRPr="00712A8B">
        <w:t>Environmental Impact Statement</w:t>
      </w:r>
      <w:r w:rsidR="0080324D">
        <w:t xml:space="preserve"> (EIS)</w:t>
      </w:r>
      <w:r w:rsidRPr="00D622B9">
        <w:t>, together with the expert deliberations of the IESC. The project documentation and information accessed by the IESC are listed in the source documentation at the end of this advice.</w:t>
      </w:r>
    </w:p>
    <w:p w14:paraId="0B560805" w14:textId="4A0438A0" w:rsidR="00206240" w:rsidRPr="00A85BAE" w:rsidRDefault="00206240" w:rsidP="00206240">
      <w:r w:rsidRPr="00A85BAE">
        <w:t xml:space="preserve">The Hume Coal Project is a proposed new underground coal mine, located in the Southern Highlands area of the Sydney Basin, which is </w:t>
      </w:r>
      <w:r w:rsidR="00E13910">
        <w:t>within a</w:t>
      </w:r>
      <w:r w:rsidRPr="00A85BAE">
        <w:t xml:space="preserve"> Sydney </w:t>
      </w:r>
      <w:r w:rsidR="0047263C">
        <w:t>d</w:t>
      </w:r>
      <w:r w:rsidRPr="00A85BAE">
        <w:t>rinking water catchment, approximately 100</w:t>
      </w:r>
      <w:r w:rsidR="00AE0F1D">
        <w:t> </w:t>
      </w:r>
      <w:r w:rsidRPr="00A85BAE">
        <w:t>km south west of Sydney. The proposed project will target the Wongawilli Seam of the Illawarra Coal measures and extract 3.5 million tonnes per annum of run of mine coal, over the 23</w:t>
      </w:r>
      <w:r w:rsidR="00B66422">
        <w:t>-</w:t>
      </w:r>
      <w:r w:rsidRPr="00A85BAE">
        <w:t>year life of the project</w:t>
      </w:r>
      <w:r w:rsidR="00B66422">
        <w:t xml:space="preserve"> (EIS, p. ES.4)</w:t>
      </w:r>
      <w:r w:rsidRPr="00A85BAE">
        <w:t>. The surface area infrastructure and underground footprint of the proposed project will cover approximately 50 km</w:t>
      </w:r>
      <w:r w:rsidRPr="00A85BAE">
        <w:rPr>
          <w:vertAlign w:val="superscript"/>
        </w:rPr>
        <w:t>2</w:t>
      </w:r>
      <w:r w:rsidRPr="00A85BAE">
        <w:t xml:space="preserve">. </w:t>
      </w:r>
      <w:r w:rsidR="00D952E0">
        <w:t>Infrastructure a</w:t>
      </w:r>
      <w:r w:rsidRPr="00A85BAE">
        <w:t>ssociated</w:t>
      </w:r>
      <w:r w:rsidR="00D952E0">
        <w:t xml:space="preserve"> with the</w:t>
      </w:r>
      <w:r w:rsidRPr="00A85BAE">
        <w:t xml:space="preserve"> proposed </w:t>
      </w:r>
      <w:r w:rsidR="00D952E0">
        <w:t>project</w:t>
      </w:r>
      <w:r w:rsidRPr="00A85BAE">
        <w:t xml:space="preserve"> includes: coal preparation plant, overland conveyors, personnel and material drift access, ventilation shafts, water managemen</w:t>
      </w:r>
      <w:r w:rsidR="00BE2A81">
        <w:t xml:space="preserve">t system, offices, workshop, </w:t>
      </w:r>
      <w:r w:rsidRPr="00A85BAE">
        <w:t xml:space="preserve">wash-down facilities, and rail load-out facilities. </w:t>
      </w:r>
    </w:p>
    <w:p w14:paraId="7E7E4EB3" w14:textId="22109898" w:rsidR="00206240" w:rsidRPr="00A85BAE" w:rsidRDefault="00206240" w:rsidP="00206240">
      <w:r w:rsidRPr="00A85BAE">
        <w:t>The proposed project is located in a semi</w:t>
      </w:r>
      <w:r w:rsidR="00072EEF">
        <w:t>-</w:t>
      </w:r>
      <w:r w:rsidRPr="00A85BAE">
        <w:t xml:space="preserve">rural area with a relatively high number of individual landholders </w:t>
      </w:r>
      <w:r w:rsidR="00B725ED">
        <w:t>who</w:t>
      </w:r>
      <w:r w:rsidRPr="00A85BAE">
        <w:t xml:space="preserve"> access and use local and regional aquifers. The </w:t>
      </w:r>
      <w:r w:rsidR="00150789">
        <w:t>project</w:t>
      </w:r>
      <w:r w:rsidR="00BE2A81">
        <w:t xml:space="preserve"> area is predominan</w:t>
      </w:r>
      <w:r w:rsidRPr="00A85BAE">
        <w:t>tly cleared for grazing and other agricultural proposes</w:t>
      </w:r>
      <w:r w:rsidR="00B725ED">
        <w:t>;</w:t>
      </w:r>
      <w:r w:rsidRPr="00A85BAE">
        <w:t xml:space="preserve"> however</w:t>
      </w:r>
      <w:r w:rsidR="00B725ED">
        <w:t>,</w:t>
      </w:r>
      <w:r w:rsidRPr="00A85BAE">
        <w:t xml:space="preserve"> there are also significant areas of</w:t>
      </w:r>
      <w:r w:rsidR="00B725ED">
        <w:t xml:space="preserve"> native</w:t>
      </w:r>
      <w:r w:rsidRPr="00A85BAE">
        <w:t xml:space="preserve"> vegetation within and adjacent to the lease boundary. This includes </w:t>
      </w:r>
      <w:r w:rsidR="00150789">
        <w:t>a</w:t>
      </w:r>
      <w:r w:rsidR="00817EB8">
        <w:t xml:space="preserve"> number of</w:t>
      </w:r>
      <w:r w:rsidR="00886866">
        <w:t xml:space="preserve"> </w:t>
      </w:r>
      <w:r w:rsidR="00DD6E7C">
        <w:t>species</w:t>
      </w:r>
      <w:r w:rsidR="00886866">
        <w:t xml:space="preserve"> habitats and biota listed in the</w:t>
      </w:r>
      <w:r w:rsidR="00817EB8">
        <w:t xml:space="preserve"> </w:t>
      </w:r>
      <w:r w:rsidR="00817EB8" w:rsidRPr="009F301B">
        <w:rPr>
          <w:i/>
        </w:rPr>
        <w:t>Environment Protection and Biodiversity Conservation</w:t>
      </w:r>
      <w:r w:rsidR="00817EB8" w:rsidRPr="00817EB8">
        <w:t xml:space="preserve"> </w:t>
      </w:r>
      <w:r w:rsidR="00817EB8" w:rsidRPr="009F301B">
        <w:rPr>
          <w:i/>
        </w:rPr>
        <w:t>Act 1999</w:t>
      </w:r>
      <w:r w:rsidR="00817EB8">
        <w:t xml:space="preserve"> </w:t>
      </w:r>
      <w:r w:rsidR="009F301B" w:rsidRPr="009F301B">
        <w:t>(EPBC</w:t>
      </w:r>
      <w:r w:rsidR="009F301B">
        <w:t xml:space="preserve"> Act</w:t>
      </w:r>
      <w:r w:rsidR="009F301B" w:rsidRPr="009F301B">
        <w:t xml:space="preserve">) </w:t>
      </w:r>
      <w:r w:rsidR="00817EB8">
        <w:t xml:space="preserve">and </w:t>
      </w:r>
      <w:r w:rsidR="00886866">
        <w:t xml:space="preserve">the </w:t>
      </w:r>
      <w:r w:rsidR="00817EB8" w:rsidRPr="009F301B">
        <w:rPr>
          <w:i/>
        </w:rPr>
        <w:t>Threatened Species Conservation Act 1995</w:t>
      </w:r>
      <w:r w:rsidR="009F301B">
        <w:t xml:space="preserve"> </w:t>
      </w:r>
      <w:r w:rsidR="009F301B" w:rsidRPr="009F301B">
        <w:t>(TSC</w:t>
      </w:r>
      <w:r w:rsidR="009F301B">
        <w:t xml:space="preserve"> Act</w:t>
      </w:r>
      <w:r w:rsidR="009F301B" w:rsidRPr="009F301B">
        <w:t>)</w:t>
      </w:r>
      <w:r w:rsidR="00817EB8">
        <w:t xml:space="preserve">. </w:t>
      </w:r>
    </w:p>
    <w:p w14:paraId="4E9E33A5" w14:textId="77777777" w:rsidR="009463D2" w:rsidRPr="00A85BAE" w:rsidRDefault="009463D2" w:rsidP="009463D2">
      <w:r>
        <w:t>T</w:t>
      </w:r>
      <w:r w:rsidRPr="00A85BAE">
        <w:t xml:space="preserve">he </w:t>
      </w:r>
      <w:r>
        <w:t>proponent</w:t>
      </w:r>
      <w:r w:rsidRPr="00A85BAE">
        <w:t xml:space="preserve"> </w:t>
      </w:r>
      <w:r>
        <w:t>proposes to utilise</w:t>
      </w:r>
      <w:r w:rsidRPr="00A85BAE">
        <w:t xml:space="preserve"> a mining system</w:t>
      </w:r>
      <w:r>
        <w:t xml:space="preserve"> of first workings</w:t>
      </w:r>
      <w:r w:rsidRPr="00A85BAE">
        <w:t xml:space="preserve"> that will leave pillars of coal in place to support the overlying strata</w:t>
      </w:r>
      <w:r>
        <w:t xml:space="preserve">, </w:t>
      </w:r>
      <w:r w:rsidR="00BF74A6">
        <w:t xml:space="preserve">with the aim of preventing </w:t>
      </w:r>
      <w:r>
        <w:t>caving</w:t>
      </w:r>
      <w:r w:rsidR="00DD6E7C">
        <w:t>-in</w:t>
      </w:r>
      <w:r>
        <w:t xml:space="preserve"> of the overburden. This mining method, a modification of a partial extraction method, means the</w:t>
      </w:r>
      <w:r w:rsidRPr="00A85BAE">
        <w:t xml:space="preserve"> maximum surface settlement </w:t>
      </w:r>
      <w:r w:rsidRPr="00A85BAE">
        <w:lastRenderedPageBreak/>
        <w:t>across the project site</w:t>
      </w:r>
      <w:r>
        <w:t xml:space="preserve"> is</w:t>
      </w:r>
      <w:r w:rsidRPr="00A85BAE">
        <w:t xml:space="preserve"> </w:t>
      </w:r>
      <w:r w:rsidR="005A6723">
        <w:t>estimated</w:t>
      </w:r>
      <w:r w:rsidRPr="00A85BAE">
        <w:t xml:space="preserve"> to be </w:t>
      </w:r>
      <w:r>
        <w:t xml:space="preserve">less than </w:t>
      </w:r>
      <w:r w:rsidRPr="00A85BAE">
        <w:t>20 mm and subsidence</w:t>
      </w:r>
      <w:r w:rsidR="007E2016">
        <w:t>-</w:t>
      </w:r>
      <w:r w:rsidRPr="00A85BAE">
        <w:t xml:space="preserve">related impacts </w:t>
      </w:r>
      <w:r>
        <w:t xml:space="preserve">are </w:t>
      </w:r>
      <w:r w:rsidR="005A6723">
        <w:t>predicted</w:t>
      </w:r>
      <w:r>
        <w:t xml:space="preserve"> to</w:t>
      </w:r>
      <w:r w:rsidRPr="00A85BAE">
        <w:t xml:space="preserve"> be imperceptible</w:t>
      </w:r>
      <w:r>
        <w:t xml:space="preserve"> at the surface</w:t>
      </w:r>
      <w:r w:rsidR="00255FA2">
        <w:t>. Underground v</w:t>
      </w:r>
      <w:r w:rsidRPr="00A85BAE">
        <w:t>oids left as a result of mining will be</w:t>
      </w:r>
      <w:r w:rsidR="000A4439">
        <w:t xml:space="preserve"> sealed by bulkheads and</w:t>
      </w:r>
      <w:r w:rsidRPr="00A85BAE">
        <w:t xml:space="preserve"> used to store </w:t>
      </w:r>
      <w:r w:rsidR="000A4439">
        <w:t xml:space="preserve">mine rejects and </w:t>
      </w:r>
      <w:r w:rsidR="007F399E">
        <w:t xml:space="preserve">possibly </w:t>
      </w:r>
      <w:r w:rsidR="000A4439">
        <w:t xml:space="preserve">water used in the mining process. </w:t>
      </w:r>
    </w:p>
    <w:p w14:paraId="26301C48" w14:textId="77777777" w:rsidR="00206240" w:rsidRPr="00A85BAE" w:rsidRDefault="00E46E35" w:rsidP="00206240">
      <w:r w:rsidRPr="00E46E35">
        <w:t xml:space="preserve">The Berrima Rail Project is </w:t>
      </w:r>
      <w:r w:rsidR="0080324D">
        <w:t>included within the Hume Coal Project EIS</w:t>
      </w:r>
      <w:r w:rsidR="00076C9A">
        <w:t>;</w:t>
      </w:r>
      <w:r w:rsidR="0080324D">
        <w:t xml:space="preserve"> however</w:t>
      </w:r>
      <w:r w:rsidR="00076C9A">
        <w:t>,</w:t>
      </w:r>
      <w:r w:rsidR="0080324D">
        <w:t xml:space="preserve"> it is </w:t>
      </w:r>
      <w:r w:rsidRPr="00E46E35">
        <w:t>subject to a separate development application</w:t>
      </w:r>
      <w:r w:rsidR="0080324D">
        <w:t>. T</w:t>
      </w:r>
      <w:r w:rsidR="00206240" w:rsidRPr="00A85BAE">
        <w:t xml:space="preserve">he IESC has </w:t>
      </w:r>
      <w:r w:rsidR="0080324D">
        <w:t xml:space="preserve">not </w:t>
      </w:r>
      <w:r w:rsidR="00206240" w:rsidRPr="00A85BAE">
        <w:t>considered</w:t>
      </w:r>
      <w:r w:rsidR="0080324D">
        <w:t xml:space="preserve"> the potential impacts of the Berrima Rail Project</w:t>
      </w:r>
      <w:r w:rsidR="0080324D" w:rsidRPr="0080324D">
        <w:t xml:space="preserve"> </w:t>
      </w:r>
      <w:r w:rsidR="0080324D" w:rsidRPr="00A85BAE">
        <w:t>in this advice</w:t>
      </w:r>
      <w:r w:rsidR="0080324D">
        <w:t>, except where they contribute to potential</w:t>
      </w:r>
      <w:r w:rsidR="00206240" w:rsidRPr="00A85BAE">
        <w:t xml:space="preserve"> </w:t>
      </w:r>
      <w:r w:rsidR="0080324D">
        <w:t>cumulative impacts</w:t>
      </w:r>
      <w:r w:rsidR="00206240" w:rsidRPr="00A85BAE">
        <w:t>.</w:t>
      </w:r>
      <w:r w:rsidR="002608A3">
        <w:t xml:space="preserve"> </w:t>
      </w:r>
    </w:p>
    <w:p w14:paraId="1EB9B9BE" w14:textId="77777777" w:rsidR="008C00AD" w:rsidRDefault="008C00AD" w:rsidP="00D622B9">
      <w:pPr>
        <w:pStyle w:val="Heading4"/>
      </w:pPr>
      <w:r w:rsidRPr="00186465">
        <w:t>Key potential impacts</w:t>
      </w:r>
    </w:p>
    <w:p w14:paraId="561781B8" w14:textId="77777777" w:rsidR="003C2D5D" w:rsidRPr="003C2D5D" w:rsidRDefault="003C2D5D" w:rsidP="003C2D5D">
      <w:r>
        <w:t>The proposed project has the following key potential impact</w:t>
      </w:r>
      <w:r w:rsidR="007D0F79">
        <w:t>s</w:t>
      </w:r>
      <w:r w:rsidR="00307B9B">
        <w:t xml:space="preserve"> on water resources</w:t>
      </w:r>
      <w:r>
        <w:t>:</w:t>
      </w:r>
    </w:p>
    <w:p w14:paraId="5ED8458F" w14:textId="77777777" w:rsidR="006B73E4" w:rsidRPr="00BA5785" w:rsidRDefault="006B73E4" w:rsidP="00661AAE">
      <w:pPr>
        <w:pStyle w:val="ListParagraph"/>
        <w:numPr>
          <w:ilvl w:val="0"/>
          <w:numId w:val="5"/>
        </w:numPr>
        <w:spacing w:before="240"/>
        <w:ind w:left="360"/>
      </w:pPr>
      <w:r w:rsidRPr="00BA5785">
        <w:t xml:space="preserve">Drawdown </w:t>
      </w:r>
      <w:r w:rsidR="00BA12CA">
        <w:t>in</w:t>
      </w:r>
      <w:r w:rsidRPr="00BA5785">
        <w:t xml:space="preserve"> landholders</w:t>
      </w:r>
      <w:r w:rsidR="00307B9B">
        <w:t>’</w:t>
      </w:r>
      <w:r w:rsidRPr="00BA5785">
        <w:t xml:space="preserve"> bores, largely within the Hawkesbury Sandstone</w:t>
      </w:r>
      <w:r w:rsidR="00A22F5B">
        <w:t>.</w:t>
      </w:r>
    </w:p>
    <w:p w14:paraId="29F1775C" w14:textId="77777777" w:rsidR="00661AAE" w:rsidRPr="007D0F79" w:rsidRDefault="006B73E4" w:rsidP="009C417D">
      <w:pPr>
        <w:pStyle w:val="ListParagraph"/>
        <w:numPr>
          <w:ilvl w:val="0"/>
          <w:numId w:val="5"/>
        </w:numPr>
        <w:spacing w:before="240"/>
        <w:ind w:left="360"/>
      </w:pPr>
      <w:r w:rsidRPr="007D0F79">
        <w:t xml:space="preserve">Drawdown </w:t>
      </w:r>
      <w:r w:rsidR="00B349F7" w:rsidRPr="007D0F79">
        <w:t>of the</w:t>
      </w:r>
      <w:r w:rsidR="00076C9A" w:rsidRPr="007D0F79">
        <w:t xml:space="preserve"> </w:t>
      </w:r>
      <w:r w:rsidRPr="007D0F79">
        <w:t xml:space="preserve">water table resulting in </w:t>
      </w:r>
      <w:r w:rsidR="00FC45E7" w:rsidRPr="007D0F79">
        <w:t xml:space="preserve">loss of </w:t>
      </w:r>
      <w:proofErr w:type="spellStart"/>
      <w:r w:rsidR="00FC45E7" w:rsidRPr="007D0F79">
        <w:t>baseflow</w:t>
      </w:r>
      <w:proofErr w:type="spellEnd"/>
      <w:r w:rsidR="00781175" w:rsidRPr="007D0F79">
        <w:t xml:space="preserve"> and</w:t>
      </w:r>
      <w:r w:rsidR="00FC45E7" w:rsidRPr="007D0F79">
        <w:t xml:space="preserve"> </w:t>
      </w:r>
      <w:r w:rsidR="002D6C35" w:rsidRPr="007D0F79">
        <w:t xml:space="preserve">subsequent </w:t>
      </w:r>
      <w:r w:rsidR="00FC45E7" w:rsidRPr="007D0F79">
        <w:t>changes</w:t>
      </w:r>
      <w:r w:rsidRPr="007D0F79">
        <w:t xml:space="preserve"> to the flow regime</w:t>
      </w:r>
      <w:r w:rsidR="00377B3A" w:rsidRPr="007D0F79">
        <w:t xml:space="preserve"> and water quality</w:t>
      </w:r>
      <w:r w:rsidR="00D124D4" w:rsidRPr="007D0F79">
        <w:t xml:space="preserve"> in waterways</w:t>
      </w:r>
      <w:r w:rsidR="00781175" w:rsidRPr="007D0F79">
        <w:t xml:space="preserve">. </w:t>
      </w:r>
    </w:p>
    <w:p w14:paraId="2F7CDA4B" w14:textId="77777777" w:rsidR="00661AAE" w:rsidRPr="007D0F79" w:rsidRDefault="00661AAE" w:rsidP="00661AAE">
      <w:pPr>
        <w:pStyle w:val="ListParagraph"/>
        <w:numPr>
          <w:ilvl w:val="0"/>
          <w:numId w:val="5"/>
        </w:numPr>
        <w:spacing w:before="240"/>
        <w:ind w:left="360"/>
      </w:pPr>
      <w:r w:rsidRPr="007D0F79">
        <w:t xml:space="preserve">Drawdown of the water table impacting </w:t>
      </w:r>
      <w:r w:rsidR="00B04C5A" w:rsidRPr="007D0F79">
        <w:t>groundwater dependent ecosystems (</w:t>
      </w:r>
      <w:r w:rsidR="00A22F5B" w:rsidRPr="007D0F79">
        <w:t>GDEs</w:t>
      </w:r>
      <w:r w:rsidR="007D0F79" w:rsidRPr="007D0F79">
        <w:t>), including</w:t>
      </w:r>
      <w:r w:rsidR="00B04C5A" w:rsidRPr="007D0F79">
        <w:t xml:space="preserve"> </w:t>
      </w:r>
      <w:r w:rsidR="00720279" w:rsidRPr="007D0F79">
        <w:t>riverine</w:t>
      </w:r>
      <w:r w:rsidR="003015DF" w:rsidRPr="007D0F79">
        <w:t xml:space="preserve"> </w:t>
      </w:r>
      <w:r w:rsidR="007D0F79" w:rsidRPr="007D0F79">
        <w:t>GDEs</w:t>
      </w:r>
      <w:r w:rsidR="003015DF" w:rsidRPr="007D0F79">
        <w:t xml:space="preserve">, </w:t>
      </w:r>
      <w:r w:rsidR="00B04C5A" w:rsidRPr="007D0F79">
        <w:t>terrestrial vegetation and subsurface ecosystems</w:t>
      </w:r>
      <w:r w:rsidR="00A22F5B" w:rsidRPr="007D0F79">
        <w:t>.</w:t>
      </w:r>
    </w:p>
    <w:p w14:paraId="63CF28DD" w14:textId="4ED5F974" w:rsidR="00EE5C89" w:rsidRPr="007D0F79" w:rsidRDefault="00EE5C89" w:rsidP="00661AAE">
      <w:pPr>
        <w:pStyle w:val="ListParagraph"/>
        <w:numPr>
          <w:ilvl w:val="0"/>
          <w:numId w:val="5"/>
        </w:numPr>
        <w:ind w:left="360"/>
      </w:pPr>
      <w:r w:rsidRPr="007D0F79">
        <w:t xml:space="preserve">Water quality impacts to </w:t>
      </w:r>
      <w:proofErr w:type="spellStart"/>
      <w:r w:rsidR="00B11A1A" w:rsidRPr="007D0F79">
        <w:t>Oldbury</w:t>
      </w:r>
      <w:proofErr w:type="spellEnd"/>
      <w:r w:rsidR="00B11A1A" w:rsidRPr="007D0F79">
        <w:t xml:space="preserve"> Creek, Medway Rivulet and </w:t>
      </w:r>
      <w:r w:rsidR="002D6C35" w:rsidRPr="007D0F79">
        <w:t xml:space="preserve">the </w:t>
      </w:r>
      <w:proofErr w:type="spellStart"/>
      <w:r w:rsidR="00762857" w:rsidRPr="007D0F79">
        <w:t>Wingecarribee</w:t>
      </w:r>
      <w:proofErr w:type="spellEnd"/>
      <w:r w:rsidR="00762857" w:rsidRPr="007D0F79">
        <w:t xml:space="preserve"> River</w:t>
      </w:r>
      <w:r w:rsidR="00B11A1A" w:rsidRPr="007D0F79">
        <w:t>,</w:t>
      </w:r>
      <w:r w:rsidR="00762857" w:rsidRPr="007D0F79">
        <w:t xml:space="preserve"> and </w:t>
      </w:r>
      <w:r w:rsidR="0058267C" w:rsidRPr="007D0F79">
        <w:t xml:space="preserve">riparian </w:t>
      </w:r>
      <w:r w:rsidR="00A22F5B" w:rsidRPr="007D0F79">
        <w:t xml:space="preserve">vegetation </w:t>
      </w:r>
      <w:r w:rsidR="00B11A1A" w:rsidRPr="007D0F79">
        <w:t xml:space="preserve">in these waterways </w:t>
      </w:r>
      <w:r w:rsidR="00A22F5B" w:rsidRPr="007D0F79">
        <w:t>as</w:t>
      </w:r>
      <w:r w:rsidRPr="007D0F79">
        <w:t xml:space="preserve"> a result of discharge</w:t>
      </w:r>
      <w:r w:rsidR="00076C9A" w:rsidRPr="007D0F79">
        <w:t xml:space="preserve"> from site s</w:t>
      </w:r>
      <w:r w:rsidR="00BA3ADA" w:rsidRPr="007D0F79">
        <w:t>tor</w:t>
      </w:r>
      <w:r w:rsidR="006B0360" w:rsidRPr="007D0F79">
        <w:t>mwater</w:t>
      </w:r>
      <w:r w:rsidR="00076C9A" w:rsidRPr="007D0F79">
        <w:t xml:space="preserve"> basins (SB</w:t>
      </w:r>
      <w:r w:rsidR="006B0360" w:rsidRPr="007D0F79">
        <w:t>s</w:t>
      </w:r>
      <w:r w:rsidR="00076C9A" w:rsidRPr="007D0F79">
        <w:t>)</w:t>
      </w:r>
      <w:r w:rsidR="00A22F5B" w:rsidRPr="007D0F79">
        <w:t>.</w:t>
      </w:r>
      <w:r w:rsidR="00BA3ADA" w:rsidRPr="007D0F79">
        <w:t xml:space="preserve"> </w:t>
      </w:r>
    </w:p>
    <w:p w14:paraId="1D5F9A47" w14:textId="77777777" w:rsidR="00B349F7" w:rsidRPr="007D0F79" w:rsidRDefault="00B349F7" w:rsidP="00661AAE">
      <w:pPr>
        <w:pStyle w:val="ListParagraph"/>
        <w:numPr>
          <w:ilvl w:val="0"/>
          <w:numId w:val="6"/>
        </w:numPr>
        <w:ind w:left="360"/>
      </w:pPr>
      <w:r w:rsidRPr="007D0F79">
        <w:t>Water quality impacts to aquifers</w:t>
      </w:r>
      <w:r w:rsidR="00A412D3" w:rsidRPr="007D0F79">
        <w:t xml:space="preserve"> and </w:t>
      </w:r>
      <w:r w:rsidR="004627DB" w:rsidRPr="007D0F79">
        <w:t xml:space="preserve">groundwater fed surface waters </w:t>
      </w:r>
      <w:r w:rsidRPr="007D0F79">
        <w:t>as a result of storing rejects in underground voids</w:t>
      </w:r>
      <w:r w:rsidR="00A412D3" w:rsidRPr="007D0F79">
        <w:t>.</w:t>
      </w:r>
    </w:p>
    <w:p w14:paraId="77AE5029" w14:textId="77777777" w:rsidR="004B5A51" w:rsidRPr="004B5A51" w:rsidRDefault="004B5A51" w:rsidP="00D622B9">
      <w:pPr>
        <w:pStyle w:val="Heading4"/>
      </w:pPr>
      <w:r w:rsidRPr="004B5A51">
        <w:t>Assessment against information guidelines</w:t>
      </w:r>
    </w:p>
    <w:p w14:paraId="754621D6" w14:textId="77777777" w:rsidR="00605A59" w:rsidRDefault="00605A59" w:rsidP="00605A59">
      <w:r w:rsidRPr="00CC2B33">
        <w:t xml:space="preserve">The </w:t>
      </w:r>
      <w:r>
        <w:t>IESC</w:t>
      </w:r>
      <w:r w:rsidRPr="00CC2B33">
        <w:t>, in line with its Information Guidelines</w:t>
      </w:r>
      <w:r>
        <w:t xml:space="preserve"> </w:t>
      </w:r>
      <w:r w:rsidR="00596396">
        <w:fldChar w:fldCharType="begin"/>
      </w:r>
      <w:r>
        <w:instrText xml:space="preserve"> ADDIN EN.CITE &lt;EndNote&gt;&lt;Cite&gt;&lt;Author&gt;IESC&lt;/Author&gt;&lt;Year&gt;2015&lt;/Year&gt;&lt;RecNum&gt;1617&lt;/RecNum&gt;&lt;DisplayText&gt;(IESC, 2015)&lt;/DisplayText&gt;&lt;record&gt;&lt;rec-number&gt;1617&lt;/rec-number&gt;&lt;foreign-keys&gt;&lt;key app="EN" db-id="xz5vrd20mz9trjezvzzvf9fhsxvzatfrr59v"&gt;1617&lt;/key&gt;&lt;/foreign-keys&gt;&lt;ref-type name="Web Page"&gt;12&lt;/ref-type&gt;&lt;contributors&gt;&lt;authors&gt;&lt;author&gt;IESC&lt;/author&gt;&lt;/authors&gt;&lt;/contributors&gt;&lt;titles&gt;&lt;title&gt;Information Guidelines for the Independent Expert Scientific Committee advice on coal seam gas and large coal mining development proposals&lt;/title&gt;&lt;/titles&gt;&lt;dates&gt;&lt;year&gt;2015&lt;/year&gt;&lt;pub-dates&gt;&lt;date&gt;October 2015&lt;/date&gt;&lt;/pub-dates&gt;&lt;/dates&gt;&lt;urls&gt;&lt;related-urls&gt;&lt;url&gt;http://www.iesc.environment.gov.au/system/files/resources/012fa918-ee79-4131-9c8d-02c9b2de65cf/files/iesc-information-guidelines-oct-2015.pdf&lt;/url&gt;&lt;/related-urls&gt;&lt;/urls&gt;&lt;/record&gt;&lt;/Cite&gt;&lt;/EndNote&gt;</w:instrText>
      </w:r>
      <w:r w:rsidR="00596396">
        <w:fldChar w:fldCharType="separate"/>
      </w:r>
      <w:r>
        <w:rPr>
          <w:noProof/>
        </w:rPr>
        <w:t>(</w:t>
      </w:r>
      <w:hyperlink w:anchor="_ENREF_1" w:tooltip="IESC, 2015 #1617" w:history="1">
        <w:r>
          <w:rPr>
            <w:noProof/>
          </w:rPr>
          <w:t>IESC, 2015</w:t>
        </w:r>
      </w:hyperlink>
      <w:r>
        <w:rPr>
          <w:noProof/>
        </w:rPr>
        <w:t>)</w:t>
      </w:r>
      <w:r w:rsidR="00596396">
        <w:fldChar w:fldCharType="end"/>
      </w:r>
      <w:r w:rsidRPr="00CC2B33">
        <w:t>, has considered whether the proposed project assessment has used:</w:t>
      </w:r>
    </w:p>
    <w:p w14:paraId="1E8D1325" w14:textId="77777777" w:rsidR="00605A59" w:rsidRDefault="00605A59" w:rsidP="00605A59">
      <w:pPr>
        <w:pStyle w:val="Heading5"/>
      </w:pPr>
      <w:r w:rsidRPr="00186465">
        <w:t xml:space="preserve">Relevant data and </w:t>
      </w:r>
      <w:r w:rsidR="00255FA2" w:rsidRPr="00186465">
        <w:t>information</w:t>
      </w:r>
    </w:p>
    <w:p w14:paraId="2524246C" w14:textId="77777777" w:rsidR="003015DF" w:rsidRDefault="00DD3607">
      <w:pPr>
        <w:rPr>
          <w:highlight w:val="yellow"/>
        </w:rPr>
      </w:pPr>
      <w:r>
        <w:t>The proponent has provided</w:t>
      </w:r>
      <w:r w:rsidR="00076C9A">
        <w:t xml:space="preserve"> a </w:t>
      </w:r>
      <w:r w:rsidR="00E3264D">
        <w:t>significant</w:t>
      </w:r>
      <w:r w:rsidR="00076C9A">
        <w:t xml:space="preserve"> amount of information in the </w:t>
      </w:r>
      <w:r w:rsidR="00E3264D">
        <w:t>EIS;</w:t>
      </w:r>
      <w:r>
        <w:t xml:space="preserve"> however</w:t>
      </w:r>
      <w:r w:rsidR="00C27FFE">
        <w:t>,</w:t>
      </w:r>
      <w:r w:rsidR="00076C9A">
        <w:t xml:space="preserve"> there are </w:t>
      </w:r>
      <w:r w:rsidR="00BC4ED9">
        <w:t xml:space="preserve">areas where key conclusions cannot be verified because they are not supported by relevant data and information. These </w:t>
      </w:r>
      <w:r w:rsidR="000152E8">
        <w:t>include</w:t>
      </w:r>
      <w:r w:rsidR="00076C9A">
        <w:t>:</w:t>
      </w:r>
      <w:r w:rsidR="009C3994" w:rsidRPr="00153A9B">
        <w:rPr>
          <w:highlight w:val="yellow"/>
        </w:rPr>
        <w:t xml:space="preserve"> </w:t>
      </w:r>
    </w:p>
    <w:p w14:paraId="7695FCA0" w14:textId="77777777" w:rsidR="008C5620" w:rsidRPr="007D0F79" w:rsidRDefault="009C3994" w:rsidP="007D0F79">
      <w:pPr>
        <w:pStyle w:val="ListParagraph"/>
        <w:numPr>
          <w:ilvl w:val="0"/>
          <w:numId w:val="6"/>
        </w:numPr>
        <w:ind w:left="360"/>
      </w:pPr>
      <w:r w:rsidRPr="007D0F79">
        <w:t xml:space="preserve">The </w:t>
      </w:r>
      <w:r w:rsidR="00EF338D" w:rsidRPr="007D0F79">
        <w:t xml:space="preserve">Groundwater Dependent Ecosystem (GDE) </w:t>
      </w:r>
      <w:r w:rsidRPr="007D0F79">
        <w:t>assessment</w:t>
      </w:r>
      <w:r w:rsidR="00E97C31" w:rsidRPr="007D0F79">
        <w:t xml:space="preserve"> would be </w:t>
      </w:r>
      <w:r w:rsidRPr="007D0F79">
        <w:t>strengthened</w:t>
      </w:r>
      <w:r w:rsidR="00E97C31" w:rsidRPr="007D0F79">
        <w:t xml:space="preserve"> by the f</w:t>
      </w:r>
      <w:r w:rsidR="00AF2B36" w:rsidRPr="007D0F79">
        <w:t>ollowing additional information</w:t>
      </w:r>
      <w:r w:rsidR="001A762A" w:rsidRPr="007D0F79">
        <w:t xml:space="preserve"> to understand the range and scale of impacts</w:t>
      </w:r>
      <w:r w:rsidR="00535B8E" w:rsidRPr="007D0F79">
        <w:t>:</w:t>
      </w:r>
      <w:r w:rsidR="003573DA" w:rsidRPr="007D0F79">
        <w:t xml:space="preserve"> a map</w:t>
      </w:r>
      <w:r w:rsidR="00535B8E" w:rsidRPr="007D0F79">
        <w:t xml:space="preserve"> of</w:t>
      </w:r>
      <w:r w:rsidR="007D0F79">
        <w:t xml:space="preserve"> the</w:t>
      </w:r>
      <w:r w:rsidR="00535B8E" w:rsidRPr="007D0F79">
        <w:t xml:space="preserve"> current </w:t>
      </w:r>
      <w:r w:rsidR="00153A9B" w:rsidRPr="007D0F79">
        <w:t xml:space="preserve">groundwater table </w:t>
      </w:r>
      <w:r w:rsidR="00535B8E" w:rsidRPr="007D0F79">
        <w:t>overlain with surface waterways</w:t>
      </w:r>
      <w:r w:rsidR="00E54D41" w:rsidRPr="007D0F79">
        <w:t xml:space="preserve"> to identify gaining waterways</w:t>
      </w:r>
      <w:r w:rsidR="00535B8E" w:rsidRPr="007D0F79">
        <w:t>, additional</w:t>
      </w:r>
      <w:r w:rsidR="001D54F8" w:rsidRPr="007D0F79">
        <w:t xml:space="preserve"> </w:t>
      </w:r>
      <w:r w:rsidR="00DB0AAF" w:rsidRPr="007D0F79">
        <w:t>information on the groundwater dependence</w:t>
      </w:r>
      <w:r w:rsidR="001D54F8" w:rsidRPr="007D0F79">
        <w:t xml:space="preserve"> of key </w:t>
      </w:r>
      <w:r w:rsidR="00E97C31" w:rsidRPr="007D0F79">
        <w:t xml:space="preserve">riparian and listed </w:t>
      </w:r>
      <w:r w:rsidR="001D54F8" w:rsidRPr="007D0F79">
        <w:t>species,</w:t>
      </w:r>
      <w:r w:rsidR="00CB3134" w:rsidRPr="007D0F79">
        <w:t xml:space="preserve"> and</w:t>
      </w:r>
      <w:r w:rsidR="001D54F8" w:rsidRPr="007D0F79">
        <w:t xml:space="preserve"> </w:t>
      </w:r>
      <w:r w:rsidR="00CB3134" w:rsidRPr="007D0F79">
        <w:t xml:space="preserve">timing and </w:t>
      </w:r>
      <w:r w:rsidR="00B72C24" w:rsidRPr="007D0F79">
        <w:t xml:space="preserve">volume </w:t>
      </w:r>
      <w:r w:rsidRPr="007D0F79">
        <w:t xml:space="preserve">of </w:t>
      </w:r>
      <w:r w:rsidR="001D54F8" w:rsidRPr="007D0F79">
        <w:t>contribution</w:t>
      </w:r>
      <w:r w:rsidR="00B72C24" w:rsidRPr="007D0F79">
        <w:t>s</w:t>
      </w:r>
      <w:r w:rsidR="001D54F8" w:rsidRPr="007D0F79">
        <w:t xml:space="preserve"> to creek </w:t>
      </w:r>
      <w:proofErr w:type="spellStart"/>
      <w:r w:rsidR="001D54F8" w:rsidRPr="007D0F79">
        <w:t>baseflows</w:t>
      </w:r>
      <w:proofErr w:type="spellEnd"/>
      <w:r w:rsidR="001D54F8" w:rsidRPr="007D0F79">
        <w:t xml:space="preserve"> as determin</w:t>
      </w:r>
      <w:r w:rsidR="008F06EE" w:rsidRPr="007D0F79">
        <w:t>ed by groundwater modelling</w:t>
      </w:r>
      <w:r w:rsidR="001D54F8" w:rsidRPr="007D0F79">
        <w:t>.</w:t>
      </w:r>
    </w:p>
    <w:p w14:paraId="73098B92" w14:textId="77777777" w:rsidR="003573DA" w:rsidRDefault="001F61A6" w:rsidP="00377B3A">
      <w:pPr>
        <w:pStyle w:val="ListParagraph"/>
        <w:numPr>
          <w:ilvl w:val="0"/>
          <w:numId w:val="6"/>
        </w:numPr>
        <w:ind w:left="360"/>
      </w:pPr>
      <w:r>
        <w:t>A detailed surface water map to an appropriate scale with clear de</w:t>
      </w:r>
      <w:r w:rsidR="00D37D9E">
        <w:t>l</w:t>
      </w:r>
      <w:r>
        <w:t>in</w:t>
      </w:r>
      <w:r w:rsidR="00D37D9E">
        <w:t>eat</w:t>
      </w:r>
      <w:r>
        <w:t>ion of relevant waterways, catchment</w:t>
      </w:r>
      <w:r w:rsidR="00D26979">
        <w:t xml:space="preserve">s, </w:t>
      </w:r>
      <w:r w:rsidR="00D37D9E">
        <w:t>water storages</w:t>
      </w:r>
      <w:r w:rsidR="00D26979">
        <w:t xml:space="preserve"> and surface water monitoring locations</w:t>
      </w:r>
      <w:r w:rsidR="001A762A">
        <w:t xml:space="preserve"> </w:t>
      </w:r>
      <w:r w:rsidR="005437BA">
        <w:t xml:space="preserve">was not provided. </w:t>
      </w:r>
      <w:r w:rsidR="009C3994">
        <w:t xml:space="preserve">This is required in order </w:t>
      </w:r>
      <w:r w:rsidR="005437BA">
        <w:t>to</w:t>
      </w:r>
      <w:r w:rsidR="000C00BA">
        <w:t xml:space="preserve"> determine</w:t>
      </w:r>
      <w:r w:rsidR="005437BA">
        <w:t xml:space="preserve"> the exact loc</w:t>
      </w:r>
      <w:r w:rsidR="00F67471">
        <w:t>ation</w:t>
      </w:r>
      <w:r w:rsidR="005437BA">
        <w:t xml:space="preserve"> of surface water monitoring sites</w:t>
      </w:r>
      <w:r w:rsidR="000C00BA">
        <w:t xml:space="preserve">, flow pathways </w:t>
      </w:r>
      <w:r w:rsidR="005437BA">
        <w:t xml:space="preserve">and areas of potential impact. </w:t>
      </w:r>
    </w:p>
    <w:p w14:paraId="503C4D35" w14:textId="77777777" w:rsidR="00605A59" w:rsidRPr="00BA5785" w:rsidRDefault="00AD4AFA" w:rsidP="00377B3A">
      <w:pPr>
        <w:pStyle w:val="ListParagraph"/>
        <w:numPr>
          <w:ilvl w:val="0"/>
          <w:numId w:val="6"/>
        </w:numPr>
        <w:ind w:left="360"/>
      </w:pPr>
      <w:r>
        <w:t>Data from b</w:t>
      </w:r>
      <w:r w:rsidR="00ED386A">
        <w:t>aseline flow monitoring</w:t>
      </w:r>
      <w:r>
        <w:t xml:space="preserve">, </w:t>
      </w:r>
      <w:r w:rsidRPr="00AD4AFA">
        <w:t>undertaken by the proponent</w:t>
      </w:r>
      <w:r>
        <w:t>, at all</w:t>
      </w:r>
      <w:r w:rsidR="00ED386A">
        <w:t xml:space="preserve"> flow monitoring sites</w:t>
      </w:r>
      <w:r>
        <w:t xml:space="preserve"> </w:t>
      </w:r>
      <w:r w:rsidR="003015DF">
        <w:t xml:space="preserve">are </w:t>
      </w:r>
      <w:r>
        <w:t xml:space="preserve">not provided. This should be </w:t>
      </w:r>
      <w:r w:rsidR="00190657">
        <w:t xml:space="preserve">presented </w:t>
      </w:r>
      <w:r w:rsidR="00924523">
        <w:t>a</w:t>
      </w:r>
      <w:r w:rsidR="00DA195F">
        <w:t>s a</w:t>
      </w:r>
      <w:r w:rsidR="00924523">
        <w:t xml:space="preserve"> daily hydrograph and analysis demonstrating </w:t>
      </w:r>
      <w:proofErr w:type="spellStart"/>
      <w:r w:rsidR="00924523">
        <w:t>baseflow</w:t>
      </w:r>
      <w:proofErr w:type="spellEnd"/>
      <w:r w:rsidR="00924523">
        <w:t xml:space="preserve"> separation </w:t>
      </w:r>
      <w:r w:rsidR="0006764C">
        <w:t xml:space="preserve">to support the conceptualisation of surface water flow regimes </w:t>
      </w:r>
      <w:r w:rsidR="000C33D5">
        <w:t>in the area</w:t>
      </w:r>
      <w:r>
        <w:t>.</w:t>
      </w:r>
    </w:p>
    <w:p w14:paraId="346ADD1F" w14:textId="77777777" w:rsidR="00A622EC" w:rsidRDefault="00A622EC" w:rsidP="002C2605">
      <w:pPr>
        <w:pStyle w:val="Heading5"/>
        <w:keepNext/>
      </w:pPr>
      <w:r w:rsidRPr="00E270CE">
        <w:lastRenderedPageBreak/>
        <w:t>Application of appropriate methods</w:t>
      </w:r>
      <w:r w:rsidR="00D73238">
        <w:t xml:space="preserve"> and interpretation of model outputs</w:t>
      </w:r>
      <w:r w:rsidR="00D9176F">
        <w:t>:</w:t>
      </w:r>
    </w:p>
    <w:p w14:paraId="02B1B333" w14:textId="77777777" w:rsidR="00250B02" w:rsidRPr="001B3A15" w:rsidRDefault="00E3264D" w:rsidP="001B3A15">
      <w:r>
        <w:t>The assessment generally uses a</w:t>
      </w:r>
      <w:r w:rsidR="00582A9D">
        <w:t xml:space="preserve">ppropriate </w:t>
      </w:r>
      <w:r w:rsidR="00250B02">
        <w:t xml:space="preserve">methods </w:t>
      </w:r>
      <w:r w:rsidR="00822739">
        <w:t>to predict impacts to surface water and groundwater resources</w:t>
      </w:r>
      <w:r w:rsidR="00250B02">
        <w:t xml:space="preserve">. </w:t>
      </w:r>
      <w:r w:rsidR="003B0621">
        <w:t>R</w:t>
      </w:r>
      <w:r w:rsidR="00250B02">
        <w:t xml:space="preserve">elevant sections of the assessment </w:t>
      </w:r>
      <w:r w:rsidR="003B0621">
        <w:t>where methods and interpretations could be improved</w:t>
      </w:r>
      <w:r w:rsidR="00822739">
        <w:t xml:space="preserve"> include</w:t>
      </w:r>
      <w:r w:rsidR="003B0621">
        <w:t>:</w:t>
      </w:r>
    </w:p>
    <w:p w14:paraId="76346332" w14:textId="77777777" w:rsidR="00A04202" w:rsidRPr="003441C2" w:rsidRDefault="00AB1037" w:rsidP="001B3A15">
      <w:pPr>
        <w:pStyle w:val="ListParagraph"/>
        <w:numPr>
          <w:ilvl w:val="0"/>
          <w:numId w:val="6"/>
        </w:numPr>
        <w:ind w:left="360"/>
      </w:pPr>
      <w:r>
        <w:t>Estimating</w:t>
      </w:r>
      <w:r w:rsidR="00A04202" w:rsidRPr="003441C2">
        <w:t xml:space="preserve"> </w:t>
      </w:r>
      <w:r w:rsidR="00A04202">
        <w:t>changes to the</w:t>
      </w:r>
      <w:r w:rsidR="00A04202" w:rsidRPr="003441C2">
        <w:t xml:space="preserve"> flow regime </w:t>
      </w:r>
      <w:r w:rsidR="00A04202">
        <w:t xml:space="preserve">of all waterways </w:t>
      </w:r>
      <w:r w:rsidR="0004136F">
        <w:t>predicted</w:t>
      </w:r>
      <w:r w:rsidR="00A04202">
        <w:t xml:space="preserve"> to be impacted</w:t>
      </w:r>
      <w:r w:rsidR="00A04202" w:rsidRPr="003441C2">
        <w:t xml:space="preserve"> as a result of </w:t>
      </w:r>
      <w:proofErr w:type="spellStart"/>
      <w:r w:rsidR="00A04202" w:rsidRPr="003441C2">
        <w:t>baseflow</w:t>
      </w:r>
      <w:proofErr w:type="spellEnd"/>
      <w:r w:rsidR="00A04202" w:rsidRPr="003441C2">
        <w:t xml:space="preserve"> reduction,</w:t>
      </w:r>
      <w:r w:rsidR="005E7618">
        <w:t xml:space="preserve"> including the increase of low</w:t>
      </w:r>
      <w:r w:rsidR="00942C23">
        <w:t>-flow and zero-</w:t>
      </w:r>
      <w:r>
        <w:t>flow days</w:t>
      </w:r>
      <w:r w:rsidR="00942C23">
        <w:t>, and</w:t>
      </w:r>
      <w:r w:rsidR="00EF338D">
        <w:t xml:space="preserve"> the</w:t>
      </w:r>
      <w:r w:rsidR="00942C23">
        <w:t xml:space="preserve"> timing of these changes</w:t>
      </w:r>
      <w:r>
        <w:t>.</w:t>
      </w:r>
      <w:r w:rsidR="00162968">
        <w:t xml:space="preserve"> </w:t>
      </w:r>
    </w:p>
    <w:p w14:paraId="52CE73CB" w14:textId="77777777" w:rsidR="008E560B" w:rsidRPr="009D0343" w:rsidRDefault="00984AE7" w:rsidP="001B3A15">
      <w:pPr>
        <w:pStyle w:val="ListParagraph"/>
        <w:numPr>
          <w:ilvl w:val="0"/>
          <w:numId w:val="6"/>
        </w:numPr>
        <w:ind w:left="360"/>
      </w:pPr>
      <w:r w:rsidRPr="009D0343">
        <w:t>The groundwater sensitivity</w:t>
      </w:r>
      <w:r w:rsidR="00C401BE" w:rsidRPr="009D0343">
        <w:t xml:space="preserve"> and uncertainty analysis</w:t>
      </w:r>
      <w:r w:rsidRPr="009D0343">
        <w:t xml:space="preserve"> is limited. </w:t>
      </w:r>
      <w:r w:rsidR="00617681" w:rsidRPr="009D0343">
        <w:t>S</w:t>
      </w:r>
      <w:r w:rsidR="00517B70" w:rsidRPr="009D0343">
        <w:t>ensitivity</w:t>
      </w:r>
      <w:r w:rsidRPr="009D0343">
        <w:t xml:space="preserve"> analysis of </w:t>
      </w:r>
      <w:r w:rsidR="00DF2BC4" w:rsidRPr="009D0343">
        <w:t xml:space="preserve">the </w:t>
      </w:r>
      <w:r w:rsidR="00C401BE" w:rsidRPr="009D0343">
        <w:t xml:space="preserve">influence of </w:t>
      </w:r>
      <w:r w:rsidR="008E560B" w:rsidRPr="009D0343">
        <w:t xml:space="preserve">the </w:t>
      </w:r>
      <w:r w:rsidR="00517B70" w:rsidRPr="009D0343">
        <w:t xml:space="preserve">full </w:t>
      </w:r>
      <w:r w:rsidR="00C401BE" w:rsidRPr="009D0343">
        <w:t xml:space="preserve">range of </w:t>
      </w:r>
      <w:r w:rsidR="00EF338D" w:rsidRPr="009D0343">
        <w:t xml:space="preserve">model parameters and boundary conditions </w:t>
      </w:r>
      <w:r w:rsidR="00C401BE" w:rsidRPr="009D0343">
        <w:t xml:space="preserve">on groundwater drawdown </w:t>
      </w:r>
      <w:r w:rsidR="008E560B" w:rsidRPr="009D0343">
        <w:t xml:space="preserve">predictions </w:t>
      </w:r>
      <w:r w:rsidR="00517B70" w:rsidRPr="009D0343">
        <w:t>is needed for</w:t>
      </w:r>
      <w:r w:rsidR="00C401BE" w:rsidRPr="009D0343">
        <w:t xml:space="preserve"> assess</w:t>
      </w:r>
      <w:r w:rsidR="00517B70" w:rsidRPr="009D0343">
        <w:t>ment of</w:t>
      </w:r>
      <w:r w:rsidR="00C401BE" w:rsidRPr="009D0343">
        <w:t xml:space="preserve"> </w:t>
      </w:r>
      <w:r w:rsidR="00B81E8A" w:rsidRPr="009D0343">
        <w:t xml:space="preserve">the </w:t>
      </w:r>
      <w:r w:rsidR="00C401BE" w:rsidRPr="009D0343">
        <w:t xml:space="preserve">potential </w:t>
      </w:r>
      <w:r w:rsidR="008E560B" w:rsidRPr="009D0343">
        <w:t xml:space="preserve">scale of </w:t>
      </w:r>
      <w:r w:rsidR="00C401BE" w:rsidRPr="009D0343">
        <w:t xml:space="preserve">impacts and </w:t>
      </w:r>
      <w:r w:rsidR="008E560B" w:rsidRPr="009D0343">
        <w:t xml:space="preserve">the </w:t>
      </w:r>
      <w:r w:rsidR="00C401BE" w:rsidRPr="009D0343">
        <w:t>suitability of monitoring and management options.</w:t>
      </w:r>
      <w:r w:rsidR="008E560B" w:rsidRPr="009D0343">
        <w:t xml:space="preserve"> </w:t>
      </w:r>
    </w:p>
    <w:p w14:paraId="553D229D" w14:textId="77777777" w:rsidR="00C401BE" w:rsidRPr="001B3A15" w:rsidRDefault="008E560B" w:rsidP="001B3A15">
      <w:pPr>
        <w:pStyle w:val="ListParagraph"/>
        <w:numPr>
          <w:ilvl w:val="0"/>
          <w:numId w:val="6"/>
        </w:numPr>
        <w:ind w:left="360"/>
      </w:pPr>
      <w:r w:rsidRPr="00C22F1F">
        <w:t>The suggested ameliorati</w:t>
      </w:r>
      <w:r w:rsidR="00E90DDB">
        <w:t>ve</w:t>
      </w:r>
      <w:r w:rsidRPr="00C22F1F">
        <w:t xml:space="preserve"> effect on drawdown propagation of </w:t>
      </w:r>
      <w:r w:rsidR="0079191A">
        <w:t xml:space="preserve">proposed </w:t>
      </w:r>
      <w:r w:rsidRPr="00C22F1F">
        <w:t xml:space="preserve">reinjection does not appear to be consistent across the domain. Additional </w:t>
      </w:r>
      <w:r w:rsidR="00E90DDB">
        <w:t>explanation of</w:t>
      </w:r>
      <w:r w:rsidRPr="00C22F1F">
        <w:t xml:space="preserve"> the unusual </w:t>
      </w:r>
      <w:r w:rsidR="008D0A4A">
        <w:t>footprint extent</w:t>
      </w:r>
      <w:r w:rsidR="008D0A4A" w:rsidRPr="00C22F1F">
        <w:t xml:space="preserve"> </w:t>
      </w:r>
      <w:r w:rsidR="00B36C4B">
        <w:t>(</w:t>
      </w:r>
      <w:r w:rsidR="00E90DDB">
        <w:t xml:space="preserve">compartmentalisation) </w:t>
      </w:r>
      <w:r w:rsidRPr="00C22F1F">
        <w:t>of drawdown predictions, and the influence of reinjection would increase confidence in model predictions.</w:t>
      </w:r>
    </w:p>
    <w:p w14:paraId="2565C225" w14:textId="77777777" w:rsidR="008E560B" w:rsidRPr="0096736D" w:rsidRDefault="008E560B" w:rsidP="001B3A15">
      <w:pPr>
        <w:pStyle w:val="ListParagraph"/>
        <w:numPr>
          <w:ilvl w:val="0"/>
          <w:numId w:val="6"/>
        </w:numPr>
        <w:ind w:left="360"/>
      </w:pPr>
      <w:r w:rsidRPr="0096736D">
        <w:t xml:space="preserve">Additional information </w:t>
      </w:r>
      <w:r w:rsidR="00B36C4B">
        <w:t xml:space="preserve">should be provided </w:t>
      </w:r>
      <w:r w:rsidRPr="0096736D">
        <w:t>on</w:t>
      </w:r>
      <w:r w:rsidR="00AE25F5" w:rsidRPr="0096736D">
        <w:t xml:space="preserve"> all</w:t>
      </w:r>
      <w:r w:rsidRPr="0096736D">
        <w:t xml:space="preserve"> </w:t>
      </w:r>
      <w:r w:rsidR="00247B40" w:rsidRPr="0096736D">
        <w:t xml:space="preserve">potential </w:t>
      </w:r>
      <w:r w:rsidR="00AE25F5" w:rsidRPr="0096736D">
        <w:t>geological structures</w:t>
      </w:r>
      <w:r w:rsidR="00F95B67">
        <w:t xml:space="preserve"> (</w:t>
      </w:r>
      <w:r w:rsidR="00657724">
        <w:t>fault type, throw,</w:t>
      </w:r>
      <w:r w:rsidR="00F95B67" w:rsidRPr="00F95B67">
        <w:t xml:space="preserve"> persistence; and </w:t>
      </w:r>
      <w:proofErr w:type="spellStart"/>
      <w:r w:rsidR="00F95B67" w:rsidRPr="00F95B67">
        <w:t>intrusives</w:t>
      </w:r>
      <w:proofErr w:type="spellEnd"/>
      <w:r w:rsidR="00F95B67" w:rsidRPr="00F95B67">
        <w:t>)</w:t>
      </w:r>
      <w:r w:rsidR="00AE25F5" w:rsidRPr="00F95B67">
        <w:t xml:space="preserve"> and</w:t>
      </w:r>
      <w:r w:rsidR="008B3BFF" w:rsidRPr="0096736D">
        <w:t xml:space="preserve"> </w:t>
      </w:r>
      <w:r w:rsidR="00B36C4B">
        <w:t xml:space="preserve">their </w:t>
      </w:r>
      <w:r w:rsidR="00247B40" w:rsidRPr="0096736D">
        <w:t xml:space="preserve">associated </w:t>
      </w:r>
      <w:r w:rsidR="008B3BFF" w:rsidRPr="0096736D">
        <w:t>hydraulic properties</w:t>
      </w:r>
      <w:r w:rsidR="00AE25F5" w:rsidRPr="0096736D">
        <w:t>. Further field evidence for the occurrence of these geological structures and their influence on</w:t>
      </w:r>
      <w:r w:rsidRPr="0096736D">
        <w:t xml:space="preserve"> drawdown propagation, would </w:t>
      </w:r>
      <w:r w:rsidR="008B3BFF" w:rsidRPr="0096736D">
        <w:t>increase understanding of likely impacts to groundwater in these areas</w:t>
      </w:r>
      <w:r w:rsidR="009D0343" w:rsidRPr="0096736D">
        <w:t xml:space="preserve"> and of uncertainty in</w:t>
      </w:r>
      <w:r w:rsidR="00B36C4B">
        <w:t xml:space="preserve"> the</w:t>
      </w:r>
      <w:r w:rsidR="009D0343" w:rsidRPr="0096736D">
        <w:t xml:space="preserve"> model predictions</w:t>
      </w:r>
      <w:r w:rsidR="008B3BFF" w:rsidRPr="0096736D">
        <w:t>.</w:t>
      </w:r>
      <w:r w:rsidRPr="0096736D">
        <w:t xml:space="preserve">   </w:t>
      </w:r>
    </w:p>
    <w:p w14:paraId="4BD5C880" w14:textId="77777777" w:rsidR="007203C3" w:rsidRDefault="007203C3" w:rsidP="00D622B9">
      <w:pPr>
        <w:pStyle w:val="Heading3"/>
      </w:pPr>
      <w:r w:rsidRPr="00F37C48">
        <w:t>Advice</w:t>
      </w:r>
    </w:p>
    <w:p w14:paraId="6379C624" w14:textId="77777777" w:rsidR="004C0B89" w:rsidRDefault="004C0B89" w:rsidP="009110D5">
      <w:pPr>
        <w:pStyle w:val="Default"/>
        <w:spacing w:line="276" w:lineRule="auto"/>
        <w:rPr>
          <w:rFonts w:ascii="Arial" w:eastAsia="Times New Roman" w:hAnsi="Arial" w:cs="Arial"/>
          <w:color w:val="auto"/>
          <w:sz w:val="20"/>
          <w:szCs w:val="20"/>
          <w:lang w:eastAsia="en-US"/>
        </w:rPr>
      </w:pPr>
      <w:r w:rsidRPr="004C0B89">
        <w:rPr>
          <w:rFonts w:ascii="Arial" w:eastAsia="Times New Roman" w:hAnsi="Arial" w:cs="Arial"/>
          <w:color w:val="auto"/>
          <w:sz w:val="20"/>
          <w:szCs w:val="20"/>
          <w:lang w:eastAsia="en-US"/>
        </w:rPr>
        <w:t>The IESC’s advice, in response to the requesting agency’s specific questions is provided below.</w:t>
      </w:r>
    </w:p>
    <w:p w14:paraId="51B345A5" w14:textId="77777777" w:rsidR="004C0B89" w:rsidRDefault="004C0B89" w:rsidP="009110D5">
      <w:pPr>
        <w:pStyle w:val="Default"/>
        <w:spacing w:line="276" w:lineRule="auto"/>
        <w:rPr>
          <w:rFonts w:ascii="Arial" w:eastAsia="Times New Roman" w:hAnsi="Arial" w:cs="Arial"/>
          <w:color w:val="auto"/>
          <w:sz w:val="20"/>
          <w:szCs w:val="20"/>
          <w:lang w:eastAsia="en-US"/>
        </w:rPr>
      </w:pPr>
    </w:p>
    <w:p w14:paraId="65839A5D" w14:textId="77777777" w:rsidR="007203C3" w:rsidRPr="00BA5785" w:rsidRDefault="007203C3" w:rsidP="00BA5785">
      <w:pPr>
        <w:pStyle w:val="Question"/>
        <w:rPr>
          <w:rFonts w:eastAsia="Calibri"/>
        </w:rPr>
      </w:pPr>
      <w:r w:rsidRPr="00A967CB">
        <w:t xml:space="preserve">Question 1: </w:t>
      </w:r>
      <w:r w:rsidR="00B3454A" w:rsidRPr="00A967CB">
        <w:rPr>
          <w:rFonts w:eastAsia="Calibri"/>
        </w:rPr>
        <w:t>Do the groundwater and surface water assessments, including the numerical models within these</w:t>
      </w:r>
      <w:r w:rsidR="001070EA" w:rsidRPr="00A967CB">
        <w:rPr>
          <w:rFonts w:eastAsia="Calibri"/>
        </w:rPr>
        <w:t xml:space="preserve"> </w:t>
      </w:r>
      <w:r w:rsidR="00B3454A" w:rsidRPr="00A967CB">
        <w:rPr>
          <w:rFonts w:eastAsia="Calibri"/>
        </w:rPr>
        <w:t>assessments, provide reasonable estimates of the likely impacts to water-related resources</w:t>
      </w:r>
      <w:r w:rsidR="001070EA" w:rsidRPr="00A967CB">
        <w:rPr>
          <w:rFonts w:eastAsia="Calibri"/>
        </w:rPr>
        <w:t xml:space="preserve"> </w:t>
      </w:r>
      <w:r w:rsidR="00B3454A" w:rsidRPr="00A967CB">
        <w:rPr>
          <w:rFonts w:eastAsia="Calibri"/>
        </w:rPr>
        <w:t>(including water quality and water quantity impacts)? This consideration should particularly refer</w:t>
      </w:r>
      <w:r w:rsidR="001070EA" w:rsidRPr="00A967CB">
        <w:rPr>
          <w:rFonts w:eastAsia="Calibri"/>
        </w:rPr>
        <w:t xml:space="preserve"> </w:t>
      </w:r>
      <w:r w:rsidR="00B3454A" w:rsidRPr="00A967CB">
        <w:rPr>
          <w:rFonts w:eastAsia="Calibri"/>
        </w:rPr>
        <w:t xml:space="preserve">to the </w:t>
      </w:r>
      <w:proofErr w:type="spellStart"/>
      <w:r w:rsidR="00B3454A" w:rsidRPr="00A967CB">
        <w:rPr>
          <w:rFonts w:eastAsia="Calibri"/>
        </w:rPr>
        <w:t>Wingecarribee</w:t>
      </w:r>
      <w:proofErr w:type="spellEnd"/>
      <w:r w:rsidR="00B3454A" w:rsidRPr="00A967CB">
        <w:rPr>
          <w:rFonts w:eastAsia="Calibri"/>
        </w:rPr>
        <w:t xml:space="preserve"> River and Medway Rivulet Management Zone sub-catchments of the</w:t>
      </w:r>
      <w:r w:rsidR="001070EA" w:rsidRPr="00A967CB">
        <w:rPr>
          <w:rFonts w:eastAsia="Calibri"/>
        </w:rPr>
        <w:t xml:space="preserve"> </w:t>
      </w:r>
      <w:r w:rsidR="00B3454A" w:rsidRPr="00A967CB">
        <w:rPr>
          <w:rFonts w:eastAsia="Calibri"/>
        </w:rPr>
        <w:t>Hawkesbury-Nepean River Catchment.</w:t>
      </w:r>
    </w:p>
    <w:p w14:paraId="04C5D04F" w14:textId="77777777" w:rsidR="00150B50" w:rsidRDefault="00CF5929" w:rsidP="00150B50">
      <w:pPr>
        <w:pStyle w:val="Heading4"/>
      </w:pPr>
      <w:r w:rsidRPr="009110D5">
        <w:t>Response</w:t>
      </w:r>
    </w:p>
    <w:p w14:paraId="33D5171B" w14:textId="77777777" w:rsidR="00150B50" w:rsidRDefault="00247B40" w:rsidP="00E9216F">
      <w:pPr>
        <w:pStyle w:val="ListNumber"/>
        <w:numPr>
          <w:ilvl w:val="0"/>
          <w:numId w:val="8"/>
        </w:numPr>
      </w:pPr>
      <w:r>
        <w:t>Partially</w:t>
      </w:r>
      <w:r w:rsidR="0004514A">
        <w:t xml:space="preserve">. While the assessment </w:t>
      </w:r>
      <w:r w:rsidR="0004514A" w:rsidRPr="0004514A">
        <w:t>generally provides a reasonable estimate of the likely impact</w:t>
      </w:r>
      <w:r w:rsidR="000D73B5">
        <w:t>s</w:t>
      </w:r>
      <w:r w:rsidR="0004514A" w:rsidRPr="0004514A">
        <w:t xml:space="preserve"> to the water quantity and quality of the </w:t>
      </w:r>
      <w:proofErr w:type="spellStart"/>
      <w:r w:rsidR="0004514A" w:rsidRPr="0004514A">
        <w:t>Wingecarribee</w:t>
      </w:r>
      <w:proofErr w:type="spellEnd"/>
      <w:r w:rsidR="0004514A" w:rsidRPr="0004514A">
        <w:t xml:space="preserve"> River and Medway Rivulet Management Zone sub-catch</w:t>
      </w:r>
      <w:r w:rsidR="0004514A">
        <w:t xml:space="preserve">ment, there are gaps in the documentation </w:t>
      </w:r>
      <w:r w:rsidR="0004514A" w:rsidRPr="0096736D">
        <w:t>that hind</w:t>
      </w:r>
      <w:r w:rsidR="00532761" w:rsidRPr="0096736D">
        <w:t xml:space="preserve">er </w:t>
      </w:r>
      <w:r w:rsidR="006672E0" w:rsidRPr="0096736D">
        <w:t>independent</w:t>
      </w:r>
      <w:r w:rsidR="006672E0">
        <w:t xml:space="preserve"> </w:t>
      </w:r>
      <w:r w:rsidR="00F9369C">
        <w:t xml:space="preserve">verification </w:t>
      </w:r>
      <w:r w:rsidR="00165BD3">
        <w:t>of potential impacts</w:t>
      </w:r>
      <w:r w:rsidR="000D73B5">
        <w:t>. In order to</w:t>
      </w:r>
      <w:r w:rsidR="0004514A">
        <w:t xml:space="preserve"> improve the understanding of the magnitude and scale of </w:t>
      </w:r>
      <w:r w:rsidR="000D73B5">
        <w:t xml:space="preserve">potential </w:t>
      </w:r>
      <w:r w:rsidR="0004514A">
        <w:t>impacts</w:t>
      </w:r>
      <w:r w:rsidR="0096736D">
        <w:t>,</w:t>
      </w:r>
      <w:r w:rsidR="0004514A">
        <w:t xml:space="preserve"> the following information would need to be provided:</w:t>
      </w:r>
    </w:p>
    <w:p w14:paraId="10E42753" w14:textId="77777777" w:rsidR="007203C3" w:rsidRPr="00800ABF" w:rsidRDefault="002D5636" w:rsidP="00D521F3">
      <w:pPr>
        <w:pStyle w:val="ListNumber"/>
        <w:keepNext/>
        <w:rPr>
          <w:i/>
        </w:rPr>
      </w:pPr>
      <w:r w:rsidRPr="00800ABF">
        <w:rPr>
          <w:i/>
        </w:rPr>
        <w:t>Groundwater</w:t>
      </w:r>
    </w:p>
    <w:p w14:paraId="1BC55DB1" w14:textId="77777777" w:rsidR="002D5636" w:rsidRDefault="002D5636" w:rsidP="00E9216F">
      <w:pPr>
        <w:pStyle w:val="ListBullet"/>
        <w:numPr>
          <w:ilvl w:val="0"/>
          <w:numId w:val="8"/>
        </w:numPr>
      </w:pPr>
      <w:r>
        <w:t>The groundwater model lacks a sensitivity analysis o</w:t>
      </w:r>
      <w:r w:rsidR="00CA3C61">
        <w:t>n</w:t>
      </w:r>
      <w:r>
        <w:t xml:space="preserve"> the </w:t>
      </w:r>
      <w:r w:rsidR="00CA3C61">
        <w:t xml:space="preserve">full </w:t>
      </w:r>
      <w:r>
        <w:t>suite of hydrogeological parameters</w:t>
      </w:r>
      <w:r w:rsidR="00561113">
        <w:t>,</w:t>
      </w:r>
      <w:r w:rsidR="009C3994">
        <w:t xml:space="preserve"> without which it is not possible to assess the </w:t>
      </w:r>
      <w:r w:rsidR="00BF11F6">
        <w:t>robustness</w:t>
      </w:r>
      <w:r w:rsidR="009C3994">
        <w:t xml:space="preserve"> of</w:t>
      </w:r>
      <w:r w:rsidR="00BF11F6">
        <w:t xml:space="preserve"> the proponent’s prediction of</w:t>
      </w:r>
      <w:r w:rsidR="009C3994">
        <w:t xml:space="preserve"> impacts</w:t>
      </w:r>
      <w:r>
        <w:t>. The model has tested sensitivit</w:t>
      </w:r>
      <w:r w:rsidR="003A5655">
        <w:t>y of three aspects of the model:</w:t>
      </w:r>
      <w:r>
        <w:t xml:space="preserve"> height of drainage above underground mine voids, vertical hydraulic conductivity and the mine void drain conductance. Thorough analysis of the groundwater model’s sensitivity to variations in its </w:t>
      </w:r>
      <w:proofErr w:type="spellStart"/>
      <w:r>
        <w:t>parameterisation</w:t>
      </w:r>
      <w:proofErr w:type="spellEnd"/>
      <w:r>
        <w:t xml:space="preserve"> is needed, particularly given:</w:t>
      </w:r>
    </w:p>
    <w:p w14:paraId="7DA80E2A" w14:textId="77777777" w:rsidR="00075653" w:rsidRPr="009110D5" w:rsidRDefault="00075653" w:rsidP="00075653">
      <w:pPr>
        <w:pStyle w:val="ListBullet"/>
        <w:numPr>
          <w:ilvl w:val="0"/>
          <w:numId w:val="9"/>
        </w:numPr>
      </w:pPr>
      <w:r>
        <w:t xml:space="preserve">The sensitivity analysis provided in the report does not discuss the effect of model sensitivities on potential drawdown propagation or groundwater impacts. For example, </w:t>
      </w:r>
      <w:r>
        <w:lastRenderedPageBreak/>
        <w:t xml:space="preserve">changes to groundwater predictions should assess the number of additional groundwater users’ potentially impacted, potential reductions in </w:t>
      </w:r>
      <w:proofErr w:type="spellStart"/>
      <w:r>
        <w:t>baseflow</w:t>
      </w:r>
      <w:proofErr w:type="spellEnd"/>
      <w:r>
        <w:t xml:space="preserve"> to surface waters and leakage from Medway Reservoir.</w:t>
      </w:r>
    </w:p>
    <w:p w14:paraId="33344A4F" w14:textId="77777777" w:rsidR="00634E4E" w:rsidRPr="00075653" w:rsidRDefault="00634E4E" w:rsidP="00E9216F">
      <w:pPr>
        <w:pStyle w:val="ListBullet"/>
        <w:numPr>
          <w:ilvl w:val="0"/>
          <w:numId w:val="9"/>
        </w:numPr>
      </w:pPr>
      <w:r w:rsidRPr="00075653">
        <w:t>The groundwater model potentially underestimates</w:t>
      </w:r>
      <w:r w:rsidR="00075653">
        <w:t>/overestimates</w:t>
      </w:r>
      <w:r w:rsidRPr="00075653">
        <w:t xml:space="preserve"> the number of private landholder bores predicted to be impacted and</w:t>
      </w:r>
      <w:r w:rsidR="00075653">
        <w:t xml:space="preserve"> also</w:t>
      </w:r>
      <w:r w:rsidRPr="00075653">
        <w:t xml:space="preserve"> </w:t>
      </w:r>
      <w:proofErr w:type="spellStart"/>
      <w:r w:rsidRPr="00075653">
        <w:t>baseflow</w:t>
      </w:r>
      <w:proofErr w:type="spellEnd"/>
      <w:r w:rsidRPr="00075653">
        <w:t xml:space="preserve"> losses to streams. The horizontal hydraulic conductivity (</w:t>
      </w:r>
      <w:proofErr w:type="spellStart"/>
      <w:r w:rsidRPr="00075653">
        <w:t>Kh</w:t>
      </w:r>
      <w:proofErr w:type="spellEnd"/>
      <w:r w:rsidRPr="00075653">
        <w:t xml:space="preserve">) values used in the groundwater model for the </w:t>
      </w:r>
      <w:proofErr w:type="spellStart"/>
      <w:r w:rsidRPr="00075653">
        <w:t>Illawarra</w:t>
      </w:r>
      <w:proofErr w:type="spellEnd"/>
      <w:r w:rsidRPr="00075653">
        <w:t xml:space="preserve"> Coal Measures are lower than measured values presented in the EIS at Table 7.5. Hawkesbury Sandstone hydraulic conductivity values (particularly the deepest two model layers of the Hawkesbury Sandstone) are also lower than, or at the lowest end of, the range presented within the EIS and groundwater model report. A low </w:t>
      </w:r>
      <w:proofErr w:type="spellStart"/>
      <w:r w:rsidRPr="00075653">
        <w:t>Kh</w:t>
      </w:r>
      <w:proofErr w:type="spellEnd"/>
      <w:r w:rsidRPr="00075653">
        <w:t xml:space="preserve"> value in the model layers representing the </w:t>
      </w:r>
      <w:proofErr w:type="spellStart"/>
      <w:r w:rsidRPr="00075653">
        <w:t>Illawarra</w:t>
      </w:r>
      <w:proofErr w:type="spellEnd"/>
      <w:r w:rsidRPr="00075653">
        <w:t xml:space="preserve"> Coal Measures and base of the Hawkesbury Sandstone will reduce predictions of lateral drawdown propagation in the groundwater model and reduce the upward transfer of that propagation into the Hawkesbury Sandstone.</w:t>
      </w:r>
    </w:p>
    <w:p w14:paraId="781385A6" w14:textId="77777777" w:rsidR="00B5189D" w:rsidRPr="00075653" w:rsidRDefault="0007380B" w:rsidP="00E9216F">
      <w:pPr>
        <w:pStyle w:val="ListBullet"/>
        <w:numPr>
          <w:ilvl w:val="0"/>
          <w:numId w:val="9"/>
        </w:numPr>
      </w:pPr>
      <w:r w:rsidRPr="00075653">
        <w:t xml:space="preserve">Model sensitivity to </w:t>
      </w:r>
      <w:proofErr w:type="spellStart"/>
      <w:r w:rsidRPr="00075653">
        <w:t>storativity</w:t>
      </w:r>
      <w:proofErr w:type="spellEnd"/>
      <w:r w:rsidRPr="00075653">
        <w:t xml:space="preserve"> values</w:t>
      </w:r>
      <w:r w:rsidR="00007B99" w:rsidRPr="00075653">
        <w:t>, in particular variation in dra</w:t>
      </w:r>
      <w:r w:rsidR="001A13B6" w:rsidRPr="00075653">
        <w:t>w</w:t>
      </w:r>
      <w:r w:rsidR="00007B99" w:rsidRPr="00075653">
        <w:t>down prediction</w:t>
      </w:r>
      <w:r w:rsidR="001A13B6" w:rsidRPr="00075653">
        <w:t>s</w:t>
      </w:r>
      <w:r w:rsidR="00007B99" w:rsidRPr="00075653">
        <w:t>,</w:t>
      </w:r>
      <w:r w:rsidR="00720279" w:rsidRPr="00075653">
        <w:t xml:space="preserve"> </w:t>
      </w:r>
      <w:r w:rsidRPr="00075653">
        <w:t xml:space="preserve">is not considered. </w:t>
      </w:r>
    </w:p>
    <w:p w14:paraId="1FFB200D" w14:textId="77777777" w:rsidR="00617681" w:rsidRPr="00075653" w:rsidRDefault="00617681" w:rsidP="00E9216F">
      <w:pPr>
        <w:pStyle w:val="ListBullet"/>
        <w:numPr>
          <w:ilvl w:val="0"/>
          <w:numId w:val="9"/>
        </w:numPr>
      </w:pPr>
      <w:r w:rsidRPr="00075653">
        <w:t>Model sensitivity to boundary conditions is not considered. Sensitivity of drawdown to recharge rates and drainage from old mines</w:t>
      </w:r>
      <w:r w:rsidR="00F95B67">
        <w:t xml:space="preserve"> in the area</w:t>
      </w:r>
      <w:r w:rsidRPr="00075653">
        <w:t xml:space="preserve"> should be compared with available field information</w:t>
      </w:r>
      <w:r w:rsidR="00561113" w:rsidRPr="00075653">
        <w:t>.</w:t>
      </w:r>
    </w:p>
    <w:p w14:paraId="0009582F" w14:textId="77777777" w:rsidR="006743FD" w:rsidRPr="00135C1C" w:rsidRDefault="0082156C" w:rsidP="00CA58AD">
      <w:pPr>
        <w:pStyle w:val="ListBullet"/>
        <w:numPr>
          <w:ilvl w:val="0"/>
          <w:numId w:val="8"/>
        </w:numPr>
      </w:pPr>
      <w:r w:rsidRPr="00135C1C">
        <w:t xml:space="preserve">While </w:t>
      </w:r>
      <w:r w:rsidR="00321622" w:rsidRPr="00135C1C">
        <w:t xml:space="preserve">several </w:t>
      </w:r>
      <w:r w:rsidRPr="00135C1C">
        <w:t>potential uncertainties in the model’s construction and data sources are identified</w:t>
      </w:r>
      <w:r w:rsidR="00B57519" w:rsidRPr="00135C1C">
        <w:t xml:space="preserve">, their effects and the effects of other uncertainties on model predictions are not presented. For example, the presence of a sub-vertical flow barrier underneath the basalt </w:t>
      </w:r>
      <w:r w:rsidR="000918D4" w:rsidRPr="00135C1C">
        <w:t>is inferred because it improved model calibration.</w:t>
      </w:r>
      <w:r w:rsidR="00CA58AD" w:rsidRPr="00135C1C">
        <w:t xml:space="preserve"> </w:t>
      </w:r>
      <w:r w:rsidR="006743FD" w:rsidRPr="00135C1C">
        <w:t xml:space="preserve">Evidence of geological structures should be provided. Additionally the proponent has identified or inferred that a number of geological structures are located within the project area. These structures have not been </w:t>
      </w:r>
      <w:proofErr w:type="spellStart"/>
      <w:r w:rsidR="006743FD" w:rsidRPr="00135C1C">
        <w:t>conceptualised</w:t>
      </w:r>
      <w:proofErr w:type="spellEnd"/>
      <w:r w:rsidR="006743FD" w:rsidRPr="00135C1C">
        <w:t xml:space="preserve"> (e.g. </w:t>
      </w:r>
      <w:r w:rsidR="00F95B67">
        <w:t>fault displacement, persistence within different strat</w:t>
      </w:r>
      <w:r w:rsidR="00FF6456">
        <w:t>a</w:t>
      </w:r>
      <w:r w:rsidR="006743FD" w:rsidRPr="00135C1C">
        <w:t xml:space="preserve">, </w:t>
      </w:r>
      <w:r w:rsidR="00FF6456">
        <w:t>and</w:t>
      </w:r>
      <w:r w:rsidR="006743FD" w:rsidRPr="00135C1C">
        <w:t xml:space="preserve"> fault </w:t>
      </w:r>
      <w:r w:rsidR="00135C1C">
        <w:t>hydraulic</w:t>
      </w:r>
      <w:r w:rsidR="006743FD" w:rsidRPr="00135C1C">
        <w:t xml:space="preserve"> properties), nor have their impact</w:t>
      </w:r>
      <w:r w:rsidR="004B7FC1">
        <w:t>s</w:t>
      </w:r>
      <w:r w:rsidR="006743FD" w:rsidRPr="00135C1C">
        <w:t xml:space="preserve"> on groundwater flow and potential drawdown been assessed. The role of faults as barriers and/or conduits to flow in the groundwater model is unclear.</w:t>
      </w:r>
    </w:p>
    <w:p w14:paraId="0188C52A" w14:textId="77777777" w:rsidR="00E526AD" w:rsidRPr="004B7FC1" w:rsidRDefault="00E526AD" w:rsidP="00CA58AD">
      <w:pPr>
        <w:pStyle w:val="ListBullet"/>
        <w:numPr>
          <w:ilvl w:val="0"/>
          <w:numId w:val="8"/>
        </w:numPr>
      </w:pPr>
      <w:r w:rsidRPr="004B7FC1">
        <w:t>Uncertainties associated with the shape of the drawdow</w:t>
      </w:r>
      <w:r w:rsidR="002D2083" w:rsidRPr="004B7FC1">
        <w:t>n contours need to be discussed, p</w:t>
      </w:r>
      <w:r w:rsidR="00491B4C" w:rsidRPr="004B7FC1">
        <w:t>articularly with regard to the effect of reinjection into final voids and the role this plays in the lateral and vertical extent of water table drawdown, including reference to pot</w:t>
      </w:r>
      <w:r w:rsidR="006E34EE" w:rsidRPr="004B7FC1">
        <w:t>ential impacts to nearby</w:t>
      </w:r>
      <w:r w:rsidR="00491B4C" w:rsidRPr="004B7FC1">
        <w:t xml:space="preserve"> groundwater users.</w:t>
      </w:r>
    </w:p>
    <w:p w14:paraId="770097AD" w14:textId="77777777" w:rsidR="00AB7F28" w:rsidRPr="00AB1531" w:rsidRDefault="0063466E" w:rsidP="00840EAA">
      <w:pPr>
        <w:pStyle w:val="ListBullet"/>
        <w:numPr>
          <w:ilvl w:val="0"/>
          <w:numId w:val="8"/>
        </w:numPr>
      </w:pPr>
      <w:r w:rsidRPr="00AB1531">
        <w:t>Given the importance of the Hawkesbury Sandstone and the wa</w:t>
      </w:r>
      <w:r w:rsidR="00E673A5" w:rsidRPr="00AB1531">
        <w:t>ter table to water availability for landholders and GDEs,</w:t>
      </w:r>
      <w:r w:rsidRPr="00AB1531">
        <w:t xml:space="preserve"> drawdown maps highlighting the range of possible impacts </w:t>
      </w:r>
      <w:r w:rsidR="004437C4" w:rsidRPr="00AB1531">
        <w:t>on</w:t>
      </w:r>
      <w:r w:rsidR="00E673A5" w:rsidRPr="00AB1531">
        <w:t xml:space="preserve"> these resources </w:t>
      </w:r>
      <w:r w:rsidRPr="00AB1531">
        <w:t xml:space="preserve">are necessary for </w:t>
      </w:r>
      <w:r w:rsidR="00AB7F28" w:rsidRPr="00AB1531">
        <w:t>a</w:t>
      </w:r>
      <w:r w:rsidRPr="00AB1531">
        <w:t xml:space="preserve"> full assessment. </w:t>
      </w:r>
      <w:r w:rsidR="00622168" w:rsidRPr="00AB1531">
        <w:t>This should include maps of drawdown at</w:t>
      </w:r>
      <w:r w:rsidR="00AB7F28" w:rsidRPr="00AB1531">
        <w:t xml:space="preserve"> various stages of the project </w:t>
      </w:r>
      <w:r w:rsidR="006743FD" w:rsidRPr="00AB1531">
        <w:t>including</w:t>
      </w:r>
      <w:r w:rsidR="00AB7F28" w:rsidRPr="00AB1531">
        <w:t>:</w:t>
      </w:r>
      <w:r w:rsidR="00622168" w:rsidRPr="00AB1531">
        <w:t xml:space="preserve"> </w:t>
      </w:r>
    </w:p>
    <w:p w14:paraId="6CC7B0EA" w14:textId="77777777" w:rsidR="00AB7F28" w:rsidRPr="00AB1531" w:rsidRDefault="00AB7F28" w:rsidP="00AB7F28">
      <w:pPr>
        <w:pStyle w:val="ListBullet"/>
        <w:numPr>
          <w:ilvl w:val="1"/>
          <w:numId w:val="8"/>
        </w:numPr>
      </w:pPr>
      <w:r w:rsidRPr="00AB1531">
        <w:t>Maximum drawdown in all geological layers</w:t>
      </w:r>
      <w:r w:rsidR="00AB1BD2" w:rsidRPr="00AB1531">
        <w:t xml:space="preserve"> and the t</w:t>
      </w:r>
      <w:r w:rsidRPr="00AB1531">
        <w:t xml:space="preserve">imeframe in which the maximum drawdown is </w:t>
      </w:r>
      <w:proofErr w:type="spellStart"/>
      <w:r w:rsidRPr="00AB1531">
        <w:t>realised</w:t>
      </w:r>
      <w:proofErr w:type="spellEnd"/>
      <w:r w:rsidR="00AB1531" w:rsidRPr="00AB1531">
        <w:t>.</w:t>
      </w:r>
    </w:p>
    <w:p w14:paraId="43DAE0D7" w14:textId="77777777" w:rsidR="00AB7F28" w:rsidRPr="00AB1531" w:rsidRDefault="00AB7F28" w:rsidP="00AB7F28">
      <w:pPr>
        <w:pStyle w:val="ListBullet"/>
        <w:numPr>
          <w:ilvl w:val="1"/>
          <w:numId w:val="8"/>
        </w:numPr>
      </w:pPr>
      <w:r w:rsidRPr="00AB1531">
        <w:t>0.2 m contour of drawdown in the water table to identify potential impacts to terrestrial GDEs</w:t>
      </w:r>
      <w:r w:rsidR="004437C4" w:rsidRPr="00AB1531">
        <w:t xml:space="preserve"> and other GDEs</w:t>
      </w:r>
      <w:r w:rsidR="00AB1531" w:rsidRPr="00AB1531">
        <w:t>.</w:t>
      </w:r>
    </w:p>
    <w:p w14:paraId="3EF07E3C" w14:textId="0103E205" w:rsidR="00AB7F28" w:rsidRPr="00AB1531" w:rsidRDefault="00AB1BD2" w:rsidP="00AB7F28">
      <w:pPr>
        <w:pStyle w:val="ListBullet"/>
        <w:numPr>
          <w:ilvl w:val="1"/>
          <w:numId w:val="8"/>
        </w:numPr>
      </w:pPr>
      <w:r w:rsidRPr="00AB1531">
        <w:t>Predicted d</w:t>
      </w:r>
      <w:r w:rsidR="00AB7F28" w:rsidRPr="00AB1531">
        <w:t xml:space="preserve">rawdown in all layers at multiple stages of the </w:t>
      </w:r>
      <w:r w:rsidR="00070A34">
        <w:t>project</w:t>
      </w:r>
      <w:r w:rsidR="00AB7F28" w:rsidRPr="00AB1531">
        <w:t xml:space="preserve"> including earlier in the operation, 17 years, 30 years </w:t>
      </w:r>
      <w:r w:rsidRPr="00AB1531">
        <w:t xml:space="preserve">(for consistency with water table prediction maps already presented) </w:t>
      </w:r>
      <w:r w:rsidR="00AB7F28" w:rsidRPr="00AB1531">
        <w:t>and</w:t>
      </w:r>
      <w:r w:rsidR="00070A34">
        <w:t xml:space="preserve"> additional post</w:t>
      </w:r>
      <w:r w:rsidR="00AB7F28" w:rsidRPr="00AB1531">
        <w:t xml:space="preserve"> closure </w:t>
      </w:r>
      <w:r w:rsidR="00070A34">
        <w:t>time period</w:t>
      </w:r>
      <w:r w:rsidR="005B3109">
        <w:t>s</w:t>
      </w:r>
      <w:r w:rsidR="00070A34">
        <w:t xml:space="preserve"> </w:t>
      </w:r>
      <w:r w:rsidR="00AB7F28" w:rsidRPr="00AB1531">
        <w:t xml:space="preserve">to show </w:t>
      </w:r>
      <w:r w:rsidR="00DA195F">
        <w:t xml:space="preserve">the </w:t>
      </w:r>
      <w:r w:rsidRPr="00AB1531">
        <w:t>rate of groundwater re</w:t>
      </w:r>
      <w:r w:rsidR="00BD7E32">
        <w:t>covery</w:t>
      </w:r>
      <w:r w:rsidRPr="00AB1531">
        <w:t>.</w:t>
      </w:r>
      <w:r w:rsidR="00AB7F28" w:rsidRPr="00AB1531">
        <w:t xml:space="preserve"> </w:t>
      </w:r>
    </w:p>
    <w:p w14:paraId="2B278D61" w14:textId="77777777" w:rsidR="00357437" w:rsidRDefault="00357437" w:rsidP="00E344F2">
      <w:pPr>
        <w:pStyle w:val="ListBullet"/>
        <w:keepNext/>
        <w:rPr>
          <w:i/>
        </w:rPr>
      </w:pPr>
      <w:r w:rsidRPr="00357437">
        <w:rPr>
          <w:i/>
        </w:rPr>
        <w:lastRenderedPageBreak/>
        <w:t>Surface water</w:t>
      </w:r>
    </w:p>
    <w:p w14:paraId="276783F4" w14:textId="77777777" w:rsidR="00A53903" w:rsidRPr="00F63C95" w:rsidRDefault="00065F7E" w:rsidP="00713069">
      <w:pPr>
        <w:pStyle w:val="ListBullet"/>
        <w:numPr>
          <w:ilvl w:val="0"/>
          <w:numId w:val="8"/>
        </w:numPr>
      </w:pPr>
      <w:r>
        <w:t xml:space="preserve">It is </w:t>
      </w:r>
      <w:r w:rsidR="00473BEC">
        <w:t>un</w:t>
      </w:r>
      <w:r>
        <w:t xml:space="preserve">clear what the current </w:t>
      </w:r>
      <w:r w:rsidR="00473BEC">
        <w:t xml:space="preserve">predicted </w:t>
      </w:r>
      <w:proofErr w:type="spellStart"/>
      <w:r>
        <w:t>baseflow</w:t>
      </w:r>
      <w:proofErr w:type="spellEnd"/>
      <w:r>
        <w:t xml:space="preserve"> contribution to </w:t>
      </w:r>
      <w:r w:rsidR="002D6B90">
        <w:t>waterways is (with the exception of Medway Rivulet</w:t>
      </w:r>
      <w:r w:rsidR="00713069">
        <w:t xml:space="preserve"> </w:t>
      </w:r>
      <w:r w:rsidR="00A71153">
        <w:t>(</w:t>
      </w:r>
      <w:r w:rsidR="00713069">
        <w:t>EIS, App. H</w:t>
      </w:r>
      <w:r w:rsidR="00A71153">
        <w:t>, p. 144 Table 7.1)</w:t>
      </w:r>
      <w:r w:rsidR="002D6B90">
        <w:t>) and what</w:t>
      </w:r>
      <w:r w:rsidR="00473BEC">
        <w:t xml:space="preserve"> </w:t>
      </w:r>
      <w:r w:rsidR="003C5A94">
        <w:t xml:space="preserve">the </w:t>
      </w:r>
      <w:r w:rsidR="00473BEC">
        <w:t>predicted</w:t>
      </w:r>
      <w:r>
        <w:t xml:space="preserve"> impact to the flow duration of the </w:t>
      </w:r>
      <w:r w:rsidR="002D6B90">
        <w:t>waterways</w:t>
      </w:r>
      <w:r>
        <w:t xml:space="preserve"> as result of </w:t>
      </w:r>
      <w:proofErr w:type="spellStart"/>
      <w:r>
        <w:t>baseflow</w:t>
      </w:r>
      <w:proofErr w:type="spellEnd"/>
      <w:r>
        <w:t xml:space="preserve"> reduction will be</w:t>
      </w:r>
      <w:r w:rsidR="00473BEC">
        <w:t xml:space="preserve"> (with the exception of Medway Rivulet and </w:t>
      </w:r>
      <w:proofErr w:type="spellStart"/>
      <w:r w:rsidR="00473BEC">
        <w:t>Oldbury</w:t>
      </w:r>
      <w:proofErr w:type="spellEnd"/>
      <w:r w:rsidR="00473BEC">
        <w:t xml:space="preserve"> Creek)</w:t>
      </w:r>
      <w:r>
        <w:t xml:space="preserve">. A reduction of </w:t>
      </w:r>
      <w:proofErr w:type="spellStart"/>
      <w:r>
        <w:t>basef</w:t>
      </w:r>
      <w:r w:rsidR="00FC68DC">
        <w:t>low</w:t>
      </w:r>
      <w:proofErr w:type="spellEnd"/>
      <w:r w:rsidR="00FC68DC">
        <w:t xml:space="preserve"> as a percentage of </w:t>
      </w:r>
      <w:proofErr w:type="spellStart"/>
      <w:r w:rsidR="00FC68DC">
        <w:t>baseflow</w:t>
      </w:r>
      <w:proofErr w:type="spellEnd"/>
      <w:r w:rsidR="00FC68DC">
        <w:t xml:space="preserve"> and the</w:t>
      </w:r>
      <w:r w:rsidR="008212D6">
        <w:t xml:space="preserve"> expected</w:t>
      </w:r>
      <w:r w:rsidR="00FC68DC">
        <w:t xml:space="preserve"> increase in zero and low flows days should also be identified </w:t>
      </w:r>
      <w:r>
        <w:t>for all waterways</w:t>
      </w:r>
      <w:r w:rsidR="002D6B90">
        <w:t xml:space="preserve"> predicted to be impacted. This is particularly important for the </w:t>
      </w:r>
      <w:proofErr w:type="spellStart"/>
      <w:r w:rsidR="002D6B90">
        <w:t>Wingecarribee</w:t>
      </w:r>
      <w:proofErr w:type="spellEnd"/>
      <w:r w:rsidR="002D6B90">
        <w:t xml:space="preserve"> River as it has the most third</w:t>
      </w:r>
      <w:r w:rsidR="009A32E5">
        <w:t>-</w:t>
      </w:r>
      <w:r w:rsidR="002D6B90">
        <w:t>party users</w:t>
      </w:r>
      <w:r w:rsidR="00713069">
        <w:t>.</w:t>
      </w:r>
      <w:r>
        <w:t xml:space="preserve"> </w:t>
      </w:r>
    </w:p>
    <w:p w14:paraId="493DE695" w14:textId="77777777" w:rsidR="00FD7A6E" w:rsidRDefault="00FD7A6E" w:rsidP="00023083">
      <w:pPr>
        <w:pStyle w:val="ListBullet"/>
        <w:keepNext/>
        <w:rPr>
          <w:i/>
        </w:rPr>
      </w:pPr>
      <w:r w:rsidRPr="00FD7A6E">
        <w:rPr>
          <w:i/>
        </w:rPr>
        <w:t>Water quality</w:t>
      </w:r>
    </w:p>
    <w:p w14:paraId="66C3ABC8" w14:textId="77777777" w:rsidR="00A606A8" w:rsidRDefault="00C32C10" w:rsidP="003D6C3C">
      <w:pPr>
        <w:pStyle w:val="ListBullet"/>
        <w:numPr>
          <w:ilvl w:val="0"/>
          <w:numId w:val="8"/>
        </w:numPr>
      </w:pPr>
      <w:r>
        <w:t xml:space="preserve">It should be demonstrated </w:t>
      </w:r>
      <w:r w:rsidR="003D6C3C">
        <w:t>how the</w:t>
      </w:r>
      <w:r>
        <w:t xml:space="preserve"> t</w:t>
      </w:r>
      <w:r w:rsidR="00A606A8" w:rsidRPr="00E41AAE">
        <w:t>arget</w:t>
      </w:r>
      <w:r w:rsidR="00A606A8">
        <w:t>ed</w:t>
      </w:r>
      <w:r w:rsidR="00A606A8" w:rsidRPr="00E41AAE">
        <w:t xml:space="preserve"> mean concentrations</w:t>
      </w:r>
      <w:r w:rsidR="003D6C3C">
        <w:t xml:space="preserve"> </w:t>
      </w:r>
      <w:r w:rsidR="00A606A8" w:rsidRPr="00E41AAE">
        <w:t>of</w:t>
      </w:r>
      <w:r w:rsidR="00A606A8">
        <w:t xml:space="preserve"> contaminants</w:t>
      </w:r>
      <w:r w:rsidR="00D01E08">
        <w:t>,</w:t>
      </w:r>
      <w:r w:rsidR="003D6C3C">
        <w:t xml:space="preserve"> used in MUSIC </w:t>
      </w:r>
      <w:r w:rsidR="001D1C82">
        <w:t xml:space="preserve">modeling </w:t>
      </w:r>
      <w:r w:rsidR="001D1C82" w:rsidRPr="00507BC9">
        <w:t xml:space="preserve">(EIS, App. </w:t>
      </w:r>
      <w:r w:rsidR="00166A98" w:rsidRPr="00507BC9">
        <w:t>E of App. E, p. 58, Table 5.8)</w:t>
      </w:r>
      <w:r w:rsidR="003D6C3C">
        <w:t xml:space="preserve"> for </w:t>
      </w:r>
      <w:r w:rsidR="00A606A8">
        <w:t>releases</w:t>
      </w:r>
      <w:r w:rsidR="003D6C3C">
        <w:t xml:space="preserve"> </w:t>
      </w:r>
      <w:r w:rsidR="00A606A8">
        <w:t xml:space="preserve">from </w:t>
      </w:r>
      <w:proofErr w:type="spellStart"/>
      <w:r w:rsidR="00A606A8">
        <w:t>stormwater</w:t>
      </w:r>
      <w:proofErr w:type="spellEnd"/>
      <w:r w:rsidR="00A606A8">
        <w:t xml:space="preserve"> b</w:t>
      </w:r>
      <w:r w:rsidR="00A606A8" w:rsidRPr="00E41AAE">
        <w:t>asins</w:t>
      </w:r>
      <w:r w:rsidR="00D01E08">
        <w:t xml:space="preserve"> (</w:t>
      </w:r>
      <w:r w:rsidR="00A606A8" w:rsidRPr="00E41AAE">
        <w:t>SB03 and SB04</w:t>
      </w:r>
      <w:r w:rsidR="00D01E08">
        <w:t>)</w:t>
      </w:r>
      <w:r w:rsidR="003D6C3C">
        <w:t xml:space="preserve"> </w:t>
      </w:r>
      <w:r w:rsidR="00A606A8" w:rsidRPr="00E41AAE">
        <w:t>contribut</w:t>
      </w:r>
      <w:r w:rsidR="003D6C3C">
        <w:t>e</w:t>
      </w:r>
      <w:r w:rsidR="00A606A8" w:rsidRPr="00E41AAE">
        <w:t xml:space="preserve"> towards the achievement of </w:t>
      </w:r>
      <w:r w:rsidR="003D6C3C">
        <w:t>the designated NSW water quality objectives</w:t>
      </w:r>
      <w:r w:rsidR="00A606A8" w:rsidRPr="00E41AAE">
        <w:t xml:space="preserve"> over time</w:t>
      </w:r>
      <w:r w:rsidR="00A606A8">
        <w:t>.</w:t>
      </w:r>
    </w:p>
    <w:p w14:paraId="7BA206B2" w14:textId="77777777" w:rsidR="00CE751F" w:rsidRPr="003A424F" w:rsidRDefault="000B0138" w:rsidP="003D6C3C">
      <w:pPr>
        <w:pStyle w:val="ListBullet"/>
        <w:numPr>
          <w:ilvl w:val="0"/>
          <w:numId w:val="8"/>
        </w:numPr>
      </w:pPr>
      <w:r w:rsidRPr="003A424F">
        <w:t xml:space="preserve">The assessment of the short-term and long-term potential for water quality impacts to aquifers and </w:t>
      </w:r>
      <w:r w:rsidR="00F52E3E" w:rsidRPr="003A424F">
        <w:t>groundwater fed surface waters</w:t>
      </w:r>
      <w:r w:rsidRPr="003A424F">
        <w:t xml:space="preserve"> as a result of coal reject emplacement in underground voids is limited. It is based on two experimental scenarios over short time frames, with conditions that may not be realistic in</w:t>
      </w:r>
      <w:r w:rsidR="0048346D" w:rsidRPr="003A424F">
        <w:t>-</w:t>
      </w:r>
      <w:r w:rsidRPr="003A424F">
        <w:t>situ</w:t>
      </w:r>
      <w:r w:rsidR="00B14241" w:rsidRPr="003A424F">
        <w:t>. U</w:t>
      </w:r>
      <w:r w:rsidRPr="003A424F">
        <w:t>ncertainty remains in the outcomes of emplacement o</w:t>
      </w:r>
      <w:r w:rsidR="00B14241" w:rsidRPr="003A424F">
        <w:t xml:space="preserve">f rejects in underground voids </w:t>
      </w:r>
      <w:r w:rsidR="00F52E3E" w:rsidRPr="003A424F">
        <w:t>and quantit</w:t>
      </w:r>
      <w:r w:rsidR="00135F99" w:rsidRPr="003A424F">
        <w:t>ies</w:t>
      </w:r>
      <w:r w:rsidR="00B14241" w:rsidRPr="003A424F">
        <w:t xml:space="preserve"> of lime</w:t>
      </w:r>
      <w:r w:rsidR="00135F99" w:rsidRPr="003A424F">
        <w:t xml:space="preserve"> required</w:t>
      </w:r>
      <w:r w:rsidR="006E29A2" w:rsidRPr="003A424F">
        <w:t xml:space="preserve"> to ameliorate the potential release of contaminants</w:t>
      </w:r>
      <w:r w:rsidR="00B14241" w:rsidRPr="003A424F">
        <w:t>.</w:t>
      </w:r>
      <w:r w:rsidR="00D241FA" w:rsidRPr="003A424F">
        <w:t xml:space="preserve"> </w:t>
      </w:r>
      <w:r w:rsidRPr="003A424F">
        <w:t xml:space="preserve"> </w:t>
      </w:r>
    </w:p>
    <w:p w14:paraId="11E7E236" w14:textId="77777777" w:rsidR="00B00138" w:rsidRPr="003A424F" w:rsidRDefault="00B00138" w:rsidP="003D6C3C">
      <w:pPr>
        <w:pStyle w:val="ListBullet"/>
        <w:numPr>
          <w:ilvl w:val="0"/>
          <w:numId w:val="8"/>
        </w:numPr>
      </w:pPr>
      <w:r w:rsidRPr="003A424F">
        <w:t xml:space="preserve">There is also uncertainty in </w:t>
      </w:r>
      <w:r w:rsidR="009E140F">
        <w:t xml:space="preserve">whether the 1% lime treatment proposed </w:t>
      </w:r>
      <w:r w:rsidR="00FB51F1" w:rsidRPr="003A424F">
        <w:t>to ameliorate the poten</w:t>
      </w:r>
      <w:r w:rsidR="009E140F">
        <w:t>tial metals released from</w:t>
      </w:r>
      <w:r w:rsidR="00FB51F1" w:rsidRPr="003A424F">
        <w:t xml:space="preserve"> the reject stockpile after rainfall</w:t>
      </w:r>
      <w:r w:rsidR="009E140F">
        <w:t xml:space="preserve">, is sufficient to bring </w:t>
      </w:r>
      <w:proofErr w:type="spellStart"/>
      <w:r w:rsidR="009E140F">
        <w:t>aluminium</w:t>
      </w:r>
      <w:proofErr w:type="spellEnd"/>
      <w:r w:rsidR="009E140F">
        <w:t xml:space="preserve"> concentrations down to background </w:t>
      </w:r>
      <w:proofErr w:type="spellStart"/>
      <w:r w:rsidR="009E140F">
        <w:t>aluminium</w:t>
      </w:r>
      <w:proofErr w:type="spellEnd"/>
      <w:r w:rsidR="009E140F">
        <w:t xml:space="preserve"> concentrations in groundwater.</w:t>
      </w:r>
    </w:p>
    <w:p w14:paraId="07DDFBBA" w14:textId="77777777" w:rsidR="00F9113E" w:rsidRDefault="00F9113E" w:rsidP="0013339A">
      <w:pPr>
        <w:pStyle w:val="ListBullet"/>
        <w:keepNext/>
        <w:rPr>
          <w:i/>
        </w:rPr>
      </w:pPr>
      <w:r>
        <w:rPr>
          <w:i/>
        </w:rPr>
        <w:t>GDEs</w:t>
      </w:r>
    </w:p>
    <w:p w14:paraId="6A0EB455" w14:textId="77777777" w:rsidR="005C434F" w:rsidRDefault="00C75519" w:rsidP="00E9216F">
      <w:pPr>
        <w:pStyle w:val="ListBullet"/>
        <w:numPr>
          <w:ilvl w:val="0"/>
          <w:numId w:val="8"/>
        </w:numPr>
      </w:pPr>
      <w:r>
        <w:t xml:space="preserve">The </w:t>
      </w:r>
      <w:r w:rsidR="005C434F">
        <w:t>assessment</w:t>
      </w:r>
      <w:r>
        <w:t xml:space="preserve"> of impacts to GDEs</w:t>
      </w:r>
      <w:r w:rsidR="005C434F">
        <w:t xml:space="preserve"> should include:</w:t>
      </w:r>
    </w:p>
    <w:p w14:paraId="51290FB2" w14:textId="77777777" w:rsidR="005C434F" w:rsidRDefault="005C434F" w:rsidP="00C75519">
      <w:pPr>
        <w:pStyle w:val="ListBullet"/>
        <w:numPr>
          <w:ilvl w:val="0"/>
          <w:numId w:val="16"/>
        </w:numPr>
      </w:pPr>
      <w:r>
        <w:t>A map of the maximum extent of predicted water table drawdown throughout</w:t>
      </w:r>
      <w:r w:rsidR="00C75519">
        <w:t xml:space="preserve"> the</w:t>
      </w:r>
      <w:r>
        <w:t xml:space="preserve"> groundwater model simulation</w:t>
      </w:r>
      <w:r w:rsidR="00C75519">
        <w:t>. This should</w:t>
      </w:r>
      <w:r>
        <w:t xml:space="preserve"> includ</w:t>
      </w:r>
      <w:r w:rsidR="00C75519">
        <w:t>e</w:t>
      </w:r>
      <w:r>
        <w:t xml:space="preserve"> </w:t>
      </w:r>
      <w:r w:rsidR="00C75519">
        <w:t xml:space="preserve">the range of predicted drawdown impacts as a result </w:t>
      </w:r>
      <w:r w:rsidR="005F78A1">
        <w:t xml:space="preserve">of </w:t>
      </w:r>
      <w:r w:rsidR="00C75519">
        <w:t xml:space="preserve">uncertainty analysis, and a contour to 0.2 m of drawdown to identify potential impacts to </w:t>
      </w:r>
      <w:r w:rsidR="00DA4AC6">
        <w:t xml:space="preserve">river </w:t>
      </w:r>
      <w:proofErr w:type="spellStart"/>
      <w:r w:rsidR="00DA4AC6">
        <w:t>baseflow</w:t>
      </w:r>
      <w:proofErr w:type="spellEnd"/>
      <w:r w:rsidR="00DA4AC6">
        <w:t xml:space="preserve"> and </w:t>
      </w:r>
      <w:r w:rsidR="00C75519">
        <w:t xml:space="preserve">terrestrial GDEs. </w:t>
      </w:r>
    </w:p>
    <w:p w14:paraId="2F4C124E" w14:textId="77777777" w:rsidR="002F26BA" w:rsidRDefault="005C434F" w:rsidP="002F26BA">
      <w:pPr>
        <w:pStyle w:val="ListBullet"/>
        <w:numPr>
          <w:ilvl w:val="0"/>
          <w:numId w:val="16"/>
        </w:numPr>
      </w:pPr>
      <w:r>
        <w:t>A</w:t>
      </w:r>
      <w:r w:rsidR="003E3D91">
        <w:t>dditional</w:t>
      </w:r>
      <w:r>
        <w:t xml:space="preserve"> </w:t>
      </w:r>
      <w:r w:rsidR="008954F5">
        <w:t>discussion</w:t>
      </w:r>
      <w:r>
        <w:t xml:space="preserve"> </w:t>
      </w:r>
      <w:r w:rsidR="003E3D91">
        <w:t>on the groundwater dependence</w:t>
      </w:r>
      <w:r>
        <w:t xml:space="preserve"> of key species, particularly EPBC</w:t>
      </w:r>
      <w:r w:rsidR="00F739ED">
        <w:t xml:space="preserve"> Act</w:t>
      </w:r>
      <w:r>
        <w:t xml:space="preserve"> listed species</w:t>
      </w:r>
      <w:r w:rsidR="00FF371B">
        <w:t xml:space="preserve"> and habitat</w:t>
      </w:r>
      <w:r w:rsidR="00920FD9">
        <w:t>’s</w:t>
      </w:r>
      <w:r w:rsidR="00FF371B">
        <w:t xml:space="preserve"> that support EPBC</w:t>
      </w:r>
      <w:r w:rsidR="00F739ED">
        <w:t xml:space="preserve"> Act</w:t>
      </w:r>
      <w:r w:rsidR="00FF371B">
        <w:t xml:space="preserve"> listed species</w:t>
      </w:r>
      <w:r>
        <w:t>.</w:t>
      </w:r>
      <w:r w:rsidR="00F3104A">
        <w:t xml:space="preserve"> </w:t>
      </w:r>
    </w:p>
    <w:p w14:paraId="146710BB" w14:textId="77777777" w:rsidR="00F739ED" w:rsidRDefault="003B13EB" w:rsidP="002F26BA">
      <w:pPr>
        <w:pStyle w:val="ListBullet"/>
        <w:numPr>
          <w:ilvl w:val="0"/>
          <w:numId w:val="16"/>
        </w:numPr>
      </w:pPr>
      <w:r>
        <w:t>I</w:t>
      </w:r>
      <w:r w:rsidR="00F739ED">
        <w:t>dentification of flora outside the project ar</w:t>
      </w:r>
      <w:r>
        <w:t>ea that is EPBC</w:t>
      </w:r>
      <w:r w:rsidR="004D5850">
        <w:t xml:space="preserve"> </w:t>
      </w:r>
      <w:r w:rsidR="00F739ED">
        <w:t xml:space="preserve">listed or </w:t>
      </w:r>
      <w:r w:rsidR="006E660F">
        <w:t>supports</w:t>
      </w:r>
      <w:r w:rsidR="00F739ED">
        <w:t xml:space="preserve"> EPBC Act listed species, and is potentially impacted by the project, either by </w:t>
      </w:r>
      <w:proofErr w:type="spellStart"/>
      <w:r w:rsidR="00F739ED">
        <w:t>baseflow</w:t>
      </w:r>
      <w:proofErr w:type="spellEnd"/>
      <w:r w:rsidR="00F739ED">
        <w:t xml:space="preserve"> reduction from drawdown or by </w:t>
      </w:r>
      <w:proofErr w:type="spellStart"/>
      <w:r w:rsidR="00F739ED">
        <w:t>stormwater</w:t>
      </w:r>
      <w:proofErr w:type="spellEnd"/>
      <w:r w:rsidR="00F739ED">
        <w:t xml:space="preserve"> </w:t>
      </w:r>
      <w:r w:rsidR="00D65414">
        <w:t xml:space="preserve">basin </w:t>
      </w:r>
      <w:r w:rsidR="00F739ED">
        <w:t>disc</w:t>
      </w:r>
      <w:r w:rsidR="006E660F">
        <w:t xml:space="preserve">harge. Additional surveys should </w:t>
      </w:r>
      <w:r w:rsidR="00A13467">
        <w:t xml:space="preserve">include </w:t>
      </w:r>
      <w:r w:rsidR="006E660F">
        <w:t>waterways</w:t>
      </w:r>
      <w:r w:rsidR="00F739ED">
        <w:t xml:space="preserve"> </w:t>
      </w:r>
      <w:r w:rsidR="00746C38">
        <w:t>downstream of the project area</w:t>
      </w:r>
      <w:r w:rsidR="006E660F">
        <w:t xml:space="preserve"> where Koala habitat has been</w:t>
      </w:r>
      <w:r w:rsidR="004D5850">
        <w:t xml:space="preserve"> surveyed inside the </w:t>
      </w:r>
      <w:r>
        <w:t xml:space="preserve">project boundary but has not been identified immediately outside the project boundary as in Figure </w:t>
      </w:r>
      <w:r w:rsidR="00A13467">
        <w:t>4.6 of the Biodiversity Assessment (EIS, App. H</w:t>
      </w:r>
      <w:r w:rsidR="00294385">
        <w:t>, p. 85</w:t>
      </w:r>
      <w:r w:rsidR="00A13467">
        <w:t>)</w:t>
      </w:r>
      <w:r w:rsidR="00F3104A">
        <w:t>:</w:t>
      </w:r>
      <w:r w:rsidR="00A13467">
        <w:t xml:space="preserve"> </w:t>
      </w:r>
      <w:proofErr w:type="spellStart"/>
      <w:r w:rsidR="00A13467">
        <w:t>Oldbury</w:t>
      </w:r>
      <w:proofErr w:type="spellEnd"/>
      <w:r w:rsidR="00A13467">
        <w:t xml:space="preserve"> Creek, Medway Rivulet, and </w:t>
      </w:r>
      <w:r w:rsidR="00746C38">
        <w:t>Belanglo C</w:t>
      </w:r>
      <w:r w:rsidR="006E660F">
        <w:t xml:space="preserve">reek. </w:t>
      </w:r>
    </w:p>
    <w:p w14:paraId="50F999F8" w14:textId="77777777" w:rsidR="007203C3" w:rsidRPr="00CF5929" w:rsidRDefault="007203C3" w:rsidP="008B346A">
      <w:pPr>
        <w:pStyle w:val="Question"/>
        <w:keepNext/>
      </w:pPr>
      <w:r w:rsidRPr="00CF5929">
        <w:t>Question 2:</w:t>
      </w:r>
      <w:r w:rsidR="00B3454A">
        <w:t xml:space="preserve"> </w:t>
      </w:r>
      <w:r w:rsidR="00B3454A" w:rsidRPr="00BA5785">
        <w:rPr>
          <w:rFonts w:eastAsia="Calibri"/>
        </w:rPr>
        <w:t>Has Hume Coal developed reasonable strategies to effect</w:t>
      </w:r>
      <w:r w:rsidR="00BA5785">
        <w:rPr>
          <w:rFonts w:eastAsia="Calibri"/>
        </w:rPr>
        <w:t>ively avoid and/or minimise the</w:t>
      </w:r>
      <w:r w:rsidR="00BA5785">
        <w:t xml:space="preserve"> </w:t>
      </w:r>
      <w:r w:rsidR="00B3454A" w:rsidRPr="00BA5785">
        <w:rPr>
          <w:rFonts w:eastAsia="Calibri"/>
        </w:rPr>
        <w:t>likelihood, extent and significance of impacts to beneficial water-related resources?</w:t>
      </w:r>
    </w:p>
    <w:p w14:paraId="1294963D" w14:textId="77777777" w:rsidR="00CF5929" w:rsidRPr="00CF5929" w:rsidRDefault="00CF5929" w:rsidP="008B346A">
      <w:pPr>
        <w:pStyle w:val="Heading4"/>
        <w:keepNext/>
      </w:pPr>
      <w:r w:rsidRPr="00CF5929">
        <w:t>Response</w:t>
      </w:r>
    </w:p>
    <w:p w14:paraId="69545F26" w14:textId="77777777" w:rsidR="00614031" w:rsidRDefault="003531CE" w:rsidP="00592123">
      <w:pPr>
        <w:pStyle w:val="ListBullet"/>
        <w:numPr>
          <w:ilvl w:val="0"/>
          <w:numId w:val="8"/>
        </w:numPr>
      </w:pPr>
      <w:r>
        <w:t xml:space="preserve">Partially. </w:t>
      </w:r>
      <w:r w:rsidR="00614031">
        <w:t xml:space="preserve">The </w:t>
      </w:r>
      <w:r w:rsidR="00614031" w:rsidRPr="00614031">
        <w:t xml:space="preserve">impacts associated with subsidence </w:t>
      </w:r>
      <w:r w:rsidR="00614031">
        <w:t>are likely to</w:t>
      </w:r>
      <w:r w:rsidR="00614031" w:rsidRPr="00614031">
        <w:t xml:space="preserve"> be </w:t>
      </w:r>
      <w:r w:rsidR="00995EF7">
        <w:t>mitigated</w:t>
      </w:r>
      <w:r w:rsidR="00614031" w:rsidRPr="00614031">
        <w:t xml:space="preserve"> with the </w:t>
      </w:r>
      <w:r w:rsidR="00614031">
        <w:t xml:space="preserve">use of </w:t>
      </w:r>
      <w:r w:rsidR="00AF2B36">
        <w:t xml:space="preserve">a </w:t>
      </w:r>
      <w:r w:rsidR="00614031">
        <w:t xml:space="preserve">non-caving </w:t>
      </w:r>
      <w:r w:rsidR="00614031" w:rsidRPr="00614031">
        <w:t>mining method.</w:t>
      </w:r>
      <w:r w:rsidR="00592123">
        <w:t xml:space="preserve"> </w:t>
      </w:r>
      <w:r w:rsidR="00614031" w:rsidRPr="00614031">
        <w:t xml:space="preserve">Mining methods that cause subsidence </w:t>
      </w:r>
      <w:r w:rsidR="00087902">
        <w:t xml:space="preserve">(i.e. longwall mining) </w:t>
      </w:r>
      <w:r w:rsidR="00614031" w:rsidRPr="00614031">
        <w:t xml:space="preserve">have </w:t>
      </w:r>
      <w:r w:rsidR="00614031" w:rsidRPr="00614031">
        <w:lastRenderedPageBreak/>
        <w:t>imp</w:t>
      </w:r>
      <w:r w:rsidR="00B968EA">
        <w:t xml:space="preserve">acted water users, including swamps and other highly </w:t>
      </w:r>
      <w:r w:rsidR="00F73E22">
        <w:t xml:space="preserve">valued GDEs, </w:t>
      </w:r>
      <w:r w:rsidR="000679F9">
        <w:t xml:space="preserve">particularly </w:t>
      </w:r>
      <w:r w:rsidR="00F73E22">
        <w:t xml:space="preserve">in the Southern </w:t>
      </w:r>
      <w:r w:rsidR="00087902">
        <w:t xml:space="preserve">and Western </w:t>
      </w:r>
      <w:r w:rsidR="00F73E22">
        <w:t>Coalfields</w:t>
      </w:r>
      <w:r w:rsidR="00614031">
        <w:t xml:space="preserve">. </w:t>
      </w:r>
      <w:r w:rsidR="00F9485A">
        <w:t>The</w:t>
      </w:r>
      <w:r w:rsidR="00614031">
        <w:t xml:space="preserve"> use of a non-caving mining method is </w:t>
      </w:r>
      <w:r w:rsidR="000679F9">
        <w:t xml:space="preserve">likely </w:t>
      </w:r>
      <w:r w:rsidR="00614031">
        <w:t xml:space="preserve">to </w:t>
      </w:r>
      <w:proofErr w:type="spellStart"/>
      <w:r w:rsidR="00614031">
        <w:t>minimise</w:t>
      </w:r>
      <w:proofErr w:type="spellEnd"/>
      <w:r w:rsidR="00322C31">
        <w:t xml:space="preserve"> subsidence</w:t>
      </w:r>
      <w:r w:rsidR="00BA778F">
        <w:t>-</w:t>
      </w:r>
      <w:r w:rsidR="00322C31">
        <w:t>related</w:t>
      </w:r>
      <w:r w:rsidR="00614031">
        <w:t xml:space="preserve"> impacts</w:t>
      </w:r>
      <w:r w:rsidR="00322C31">
        <w:t xml:space="preserve">. </w:t>
      </w:r>
      <w:r w:rsidR="00B968EA">
        <w:t xml:space="preserve">In this case the proponent has proposed an innovative </w:t>
      </w:r>
      <w:r w:rsidR="00994AE3">
        <w:t xml:space="preserve">potentially </w:t>
      </w:r>
      <w:r w:rsidR="00B968EA">
        <w:t xml:space="preserve">low impact mining method, and significantly reduced the quantity of coal that will be extracted. </w:t>
      </w:r>
      <w:r w:rsidR="00322C31">
        <w:t>H</w:t>
      </w:r>
      <w:r w:rsidR="00F9485A">
        <w:t>owever</w:t>
      </w:r>
      <w:r w:rsidR="00322C31">
        <w:t>, th</w:t>
      </w:r>
      <w:r w:rsidR="00CA2D01">
        <w:t>is</w:t>
      </w:r>
      <w:r w:rsidR="00F9485A">
        <w:t xml:space="preserve"> modification of a first workings partial extraction has not yet been used in the Sydney Basin</w:t>
      </w:r>
      <w:r w:rsidR="00D469CB">
        <w:t xml:space="preserve"> and it</w:t>
      </w:r>
      <w:r w:rsidR="00B968EA">
        <w:t xml:space="preserve"> therefore </w:t>
      </w:r>
      <w:r w:rsidR="00807FAC">
        <w:t>still needs to be proven</w:t>
      </w:r>
      <w:r w:rsidR="00B968EA">
        <w:t>.</w:t>
      </w:r>
      <w:r w:rsidR="00614031">
        <w:t xml:space="preserve"> </w:t>
      </w:r>
    </w:p>
    <w:p w14:paraId="64D32F76" w14:textId="77777777" w:rsidR="00614031" w:rsidRDefault="00E07158" w:rsidP="00E9216F">
      <w:pPr>
        <w:pStyle w:val="ListBullet"/>
        <w:numPr>
          <w:ilvl w:val="0"/>
          <w:numId w:val="8"/>
        </w:numPr>
      </w:pPr>
      <w:r>
        <w:t>While the proponent has proposed a strategy</w:t>
      </w:r>
      <w:r w:rsidRPr="00614031">
        <w:t xml:space="preserve"> to </w:t>
      </w:r>
      <w:proofErr w:type="spellStart"/>
      <w:r w:rsidRPr="00614031">
        <w:t>minimise</w:t>
      </w:r>
      <w:proofErr w:type="spellEnd"/>
      <w:r w:rsidR="00806676">
        <w:t xml:space="preserve"> the</w:t>
      </w:r>
      <w:r w:rsidRPr="00614031">
        <w:t xml:space="preserve"> impacts</w:t>
      </w:r>
      <w:r>
        <w:t xml:space="preserve"> of subsidence, strategies proposed to </w:t>
      </w:r>
      <w:proofErr w:type="spellStart"/>
      <w:r>
        <w:t>minimise</w:t>
      </w:r>
      <w:proofErr w:type="spellEnd"/>
      <w:r>
        <w:t xml:space="preserve"> impacts to </w:t>
      </w:r>
      <w:r w:rsidRPr="00614031">
        <w:t xml:space="preserve">groundwater and surface </w:t>
      </w:r>
      <w:r>
        <w:t xml:space="preserve">water </w:t>
      </w:r>
      <w:r w:rsidRPr="00614031">
        <w:t>users need further consideration</w:t>
      </w:r>
      <w:r>
        <w:t>.</w:t>
      </w:r>
      <w:r w:rsidR="00BA778F">
        <w:t xml:space="preserve"> These are discussed further in the response to Q</w:t>
      </w:r>
      <w:r w:rsidRPr="00614031">
        <w:t>uestion 3</w:t>
      </w:r>
      <w:r w:rsidR="00A05E23">
        <w:t>.</w:t>
      </w:r>
    </w:p>
    <w:p w14:paraId="14D0A8F9" w14:textId="77777777" w:rsidR="006857BE" w:rsidRDefault="006857BE" w:rsidP="00E07158">
      <w:pPr>
        <w:pStyle w:val="Question"/>
        <w:keepNext/>
      </w:pPr>
      <w:r>
        <w:t>Question 3:</w:t>
      </w:r>
      <w:r w:rsidR="00B3454A">
        <w:t xml:space="preserve"> </w:t>
      </w:r>
      <w:r w:rsidR="00B3454A" w:rsidRPr="00BA5785">
        <w:rPr>
          <w:rFonts w:eastAsia="Calibri"/>
        </w:rPr>
        <w:t xml:space="preserve">What strategies could be implemented to avoid and/or minimise the likelihood, </w:t>
      </w:r>
      <w:r w:rsidR="00BA5785">
        <w:rPr>
          <w:rFonts w:eastAsia="Calibri"/>
        </w:rPr>
        <w:t>extent and</w:t>
      </w:r>
      <w:r w:rsidR="00BA5785">
        <w:t xml:space="preserve"> </w:t>
      </w:r>
      <w:r w:rsidR="00B3454A" w:rsidRPr="00BA5785">
        <w:rPr>
          <w:rFonts w:eastAsia="Calibri"/>
        </w:rPr>
        <w:t>significance of impacts on water-related resources? And if so, what is the justi</w:t>
      </w:r>
      <w:r w:rsidR="00BA5785">
        <w:rPr>
          <w:rFonts w:eastAsia="Calibri"/>
        </w:rPr>
        <w:t>fication for these</w:t>
      </w:r>
      <w:r w:rsidR="00BA5785">
        <w:t xml:space="preserve"> </w:t>
      </w:r>
      <w:r w:rsidR="00B3454A" w:rsidRPr="00BA5785">
        <w:rPr>
          <w:rFonts w:eastAsia="Calibri"/>
        </w:rPr>
        <w:t>strategies?</w:t>
      </w:r>
    </w:p>
    <w:p w14:paraId="23EF0989" w14:textId="77777777" w:rsidR="00BB1FEB" w:rsidRPr="00BB1FEB" w:rsidRDefault="00BB1FEB" w:rsidP="00BB1FEB">
      <w:pPr>
        <w:pStyle w:val="Heading4"/>
        <w:keepNext/>
      </w:pPr>
      <w:r w:rsidRPr="00BB1FEB">
        <w:t>Response</w:t>
      </w:r>
    </w:p>
    <w:p w14:paraId="244DA5A3" w14:textId="77777777" w:rsidR="001D5A30" w:rsidRPr="00992EA4" w:rsidRDefault="001D5A30" w:rsidP="00E07158">
      <w:pPr>
        <w:pStyle w:val="ListNumber"/>
        <w:keepNext/>
        <w:rPr>
          <w:i/>
        </w:rPr>
      </w:pPr>
      <w:r w:rsidRPr="00992EA4">
        <w:rPr>
          <w:i/>
        </w:rPr>
        <w:t>Groundwater</w:t>
      </w:r>
    </w:p>
    <w:p w14:paraId="51D82206" w14:textId="77777777" w:rsidR="001D5A30" w:rsidRDefault="007C29C2" w:rsidP="00E9216F">
      <w:pPr>
        <w:pStyle w:val="ListBullet"/>
        <w:numPr>
          <w:ilvl w:val="0"/>
          <w:numId w:val="8"/>
        </w:numPr>
      </w:pPr>
      <w:r w:rsidRPr="00C12275">
        <w:t xml:space="preserve">Methodologies for “make good” provisions, including baseline monitoring, should take uncertainty analysis into account and allow for potential variations in predictions with time. </w:t>
      </w:r>
      <w:r w:rsidR="001D5A30" w:rsidRPr="00C12275">
        <w:t>A</w:t>
      </w:r>
      <w:r w:rsidR="001D5A30">
        <w:t xml:space="preserve"> total of 93 private groundwater bores </w:t>
      </w:r>
      <w:r w:rsidR="00715E99">
        <w:t>are</w:t>
      </w:r>
      <w:r w:rsidR="001D5A30">
        <w:t xml:space="preserve"> predicted to experience drawdown in excess of </w:t>
      </w:r>
      <w:r w:rsidR="00721756">
        <w:t>2 m</w:t>
      </w:r>
      <w:r w:rsidR="001D5A30">
        <w:t xml:space="preserve">. While the proponent states that “make good” arrangements will be implemented, </w:t>
      </w:r>
      <w:r w:rsidR="009322E9">
        <w:t xml:space="preserve">the methodology for baseline </w:t>
      </w:r>
      <w:r w:rsidR="00B02983">
        <w:t>assessment and</w:t>
      </w:r>
      <w:r w:rsidR="009322E9">
        <w:t xml:space="preserve"> early identification of </w:t>
      </w:r>
      <w:r w:rsidR="00B02983">
        <w:t>potential impact</w:t>
      </w:r>
      <w:r w:rsidR="00715E99">
        <w:t>s</w:t>
      </w:r>
      <w:r w:rsidR="009322E9">
        <w:t xml:space="preserve"> </w:t>
      </w:r>
      <w:r w:rsidR="004527BA">
        <w:t xml:space="preserve">to landholders’ </w:t>
      </w:r>
      <w:r w:rsidR="00B02983">
        <w:t xml:space="preserve">bores </w:t>
      </w:r>
      <w:r w:rsidR="009322E9">
        <w:t xml:space="preserve">is </w:t>
      </w:r>
      <w:r w:rsidR="00643E83">
        <w:t xml:space="preserve">reliant on </w:t>
      </w:r>
      <w:r w:rsidR="00B0363C">
        <w:t xml:space="preserve">current </w:t>
      </w:r>
      <w:r w:rsidR="00643E83">
        <w:t>model predictions of greater than 2 m drawdown</w:t>
      </w:r>
      <w:r w:rsidR="00B02983">
        <w:t xml:space="preserve">. </w:t>
      </w:r>
      <w:r w:rsidR="00B0363C">
        <w:t xml:space="preserve">Improved </w:t>
      </w:r>
      <w:r w:rsidR="00441B88">
        <w:t>understanding of impacts is</w:t>
      </w:r>
      <w:r w:rsidR="00B0363C">
        <w:t xml:space="preserve"> likely as mining progresses, which may result in different predictions of drawdown</w:t>
      </w:r>
      <w:r w:rsidR="00F9369C">
        <w:t xml:space="preserve"> and these should be used to </w:t>
      </w:r>
      <w:r w:rsidR="00D77BFB">
        <w:t>modify the</w:t>
      </w:r>
      <w:r w:rsidR="00F9369C">
        <w:t xml:space="preserve"> “make good” provisions</w:t>
      </w:r>
      <w:r w:rsidR="00B02983">
        <w:t xml:space="preserve">. </w:t>
      </w:r>
    </w:p>
    <w:p w14:paraId="6B9E28C7" w14:textId="77777777" w:rsidR="00CD282D" w:rsidRPr="00773CBC" w:rsidRDefault="001D5A30" w:rsidP="00316EB7">
      <w:pPr>
        <w:pStyle w:val="ListBullet"/>
        <w:numPr>
          <w:ilvl w:val="0"/>
          <w:numId w:val="8"/>
        </w:numPr>
      </w:pPr>
      <w:r w:rsidRPr="00773CBC">
        <w:t>The groundwater model t</w:t>
      </w:r>
      <w:r w:rsidR="00954C85">
        <w:t>echnical report and one of the peer r</w:t>
      </w:r>
      <w:r w:rsidRPr="00773CBC">
        <w:t xml:space="preserve">eviewers recommended that the groundwater model be updated to include data gathered during the initial period of mining. The EIS needs to clearly identify the timing and process proposed to undertake groundwater model reviews, including the data to be </w:t>
      </w:r>
      <w:proofErr w:type="spellStart"/>
      <w:r w:rsidRPr="00773CBC">
        <w:t>utilised</w:t>
      </w:r>
      <w:proofErr w:type="spellEnd"/>
      <w:r w:rsidRPr="00773CBC">
        <w:t>. The period of model verification was up to 6 months, (less for a number of verification data sources), si</w:t>
      </w:r>
      <w:r w:rsidR="006D4D49">
        <w:t>gnificantly shorter than the 23-</w:t>
      </w:r>
      <w:r w:rsidRPr="00773CBC">
        <w:t xml:space="preserve">year </w:t>
      </w:r>
      <w:r w:rsidR="006D4D49">
        <w:t>project period</w:t>
      </w:r>
      <w:r w:rsidRPr="00773CBC">
        <w:t xml:space="preserve">. </w:t>
      </w:r>
    </w:p>
    <w:p w14:paraId="2D8F4A03" w14:textId="77777777" w:rsidR="001D5A30" w:rsidRPr="00773CBC" w:rsidRDefault="001D5A30" w:rsidP="0063675E">
      <w:pPr>
        <w:pStyle w:val="ListBullet"/>
        <w:numPr>
          <w:ilvl w:val="1"/>
          <w:numId w:val="8"/>
        </w:numPr>
      </w:pPr>
      <w:r w:rsidRPr="00773CBC">
        <w:t xml:space="preserve">Ongoing collection of data needs to feed into progressive model </w:t>
      </w:r>
      <w:r w:rsidR="00B02983" w:rsidRPr="00773CBC">
        <w:t xml:space="preserve">updates </w:t>
      </w:r>
      <w:r w:rsidRPr="00773CBC">
        <w:t xml:space="preserve">and should be undertaken to confirm the extent and magnitude of potential impacts and support early identification of any potential further impacts to landholders, potential GDEs and river </w:t>
      </w:r>
      <w:proofErr w:type="spellStart"/>
      <w:r w:rsidRPr="00773CBC">
        <w:t>baseflows</w:t>
      </w:r>
      <w:proofErr w:type="spellEnd"/>
      <w:r w:rsidRPr="00773CBC">
        <w:t>.</w:t>
      </w:r>
    </w:p>
    <w:p w14:paraId="6D172855" w14:textId="77777777" w:rsidR="00316EB7" w:rsidRPr="00773CBC" w:rsidRDefault="00FF05EE" w:rsidP="0063675E">
      <w:pPr>
        <w:pStyle w:val="ListBullet"/>
        <w:numPr>
          <w:ilvl w:val="1"/>
          <w:numId w:val="8"/>
        </w:numPr>
      </w:pPr>
      <w:r w:rsidRPr="00773CBC">
        <w:t xml:space="preserve">Baseline </w:t>
      </w:r>
      <w:r w:rsidR="00316EB7" w:rsidRPr="00773CBC">
        <w:t>data should be used to develop an early-warning</w:t>
      </w:r>
      <w:r w:rsidRPr="00773CBC">
        <w:t xml:space="preserve"> program,</w:t>
      </w:r>
      <w:r w:rsidR="00316EB7" w:rsidRPr="00773CBC">
        <w:t xml:space="preserve"> using </w:t>
      </w:r>
      <w:r w:rsidR="001B1A12">
        <w:t>locations likely to be the most</w:t>
      </w:r>
      <w:r w:rsidR="009177FB">
        <w:t xml:space="preserve"> </w:t>
      </w:r>
      <w:r w:rsidR="00316EB7" w:rsidRPr="00773CBC">
        <w:t>sensitive</w:t>
      </w:r>
      <w:r w:rsidR="001B1A12">
        <w:t xml:space="preserve"> to changes in groundwater</w:t>
      </w:r>
      <w:r w:rsidR="00316EB7" w:rsidRPr="00773CBC">
        <w:t>, appropriate indicators and suitable monitoring pro</w:t>
      </w:r>
      <w:r w:rsidR="009936CD">
        <w:t>tocols</w:t>
      </w:r>
      <w:r w:rsidR="00316EB7" w:rsidRPr="00773CBC">
        <w:t xml:space="preserve"> that will trigger </w:t>
      </w:r>
      <w:r w:rsidR="009936CD">
        <w:t>suitable</w:t>
      </w:r>
      <w:r w:rsidR="00316EB7" w:rsidRPr="00773CBC">
        <w:t xml:space="preserve"> mitigation strategies.  </w:t>
      </w:r>
    </w:p>
    <w:p w14:paraId="2C733D84" w14:textId="77777777" w:rsidR="001D5A30" w:rsidRDefault="001D5A30" w:rsidP="00F7727C">
      <w:pPr>
        <w:pStyle w:val="ListNumber"/>
        <w:keepNext/>
        <w:rPr>
          <w:i/>
        </w:rPr>
      </w:pPr>
      <w:r>
        <w:rPr>
          <w:i/>
        </w:rPr>
        <w:t>Surface Water</w:t>
      </w:r>
    </w:p>
    <w:p w14:paraId="5C0BB583" w14:textId="77777777" w:rsidR="001D5A30" w:rsidRPr="00916F94" w:rsidRDefault="00BB7CC5" w:rsidP="00E9216F">
      <w:pPr>
        <w:pStyle w:val="ListBullet"/>
        <w:numPr>
          <w:ilvl w:val="0"/>
          <w:numId w:val="8"/>
        </w:numPr>
      </w:pPr>
      <w:r>
        <w:t>If</w:t>
      </w:r>
      <w:r w:rsidR="00722D9F">
        <w:t xml:space="preserve"> it is determined that the reduction of </w:t>
      </w:r>
      <w:proofErr w:type="spellStart"/>
      <w:r w:rsidR="00722D9F">
        <w:t>baseflow</w:t>
      </w:r>
      <w:proofErr w:type="spellEnd"/>
      <w:r w:rsidR="00722D9F">
        <w:t xml:space="preserve"> in the Lower </w:t>
      </w:r>
      <w:proofErr w:type="spellStart"/>
      <w:r w:rsidR="00722D9F">
        <w:t>Wingecarribee</w:t>
      </w:r>
      <w:proofErr w:type="spellEnd"/>
      <w:r w:rsidR="00722D9F">
        <w:t xml:space="preserve"> River results in</w:t>
      </w:r>
      <w:r>
        <w:t xml:space="preserve"> an increase of zero</w:t>
      </w:r>
      <w:r w:rsidR="00422F3F">
        <w:t>-</w:t>
      </w:r>
      <w:r w:rsidR="00722D9F">
        <w:t>flow days</w:t>
      </w:r>
      <w:r w:rsidR="00023E04">
        <w:t xml:space="preserve"> as outlined in </w:t>
      </w:r>
      <w:r w:rsidR="00422F3F">
        <w:t xml:space="preserve">the response to </w:t>
      </w:r>
      <w:r w:rsidR="00023E04">
        <w:t xml:space="preserve">Question </w:t>
      </w:r>
      <w:r w:rsidR="00F76587">
        <w:t>1</w:t>
      </w:r>
      <w:r w:rsidR="00722D9F">
        <w:t>, a</w:t>
      </w:r>
      <w:r w:rsidR="001D5A30" w:rsidRPr="00916F94">
        <w:t>n arrangement could be s</w:t>
      </w:r>
      <w:r w:rsidR="001D5A30">
        <w:t>ough</w:t>
      </w:r>
      <w:r w:rsidR="001D5A30" w:rsidRPr="00916F94">
        <w:t xml:space="preserve">t with water storage </w:t>
      </w:r>
      <w:r w:rsidR="001D5A30">
        <w:t>operators</w:t>
      </w:r>
      <w:r w:rsidR="001D5A30" w:rsidRPr="00916F94">
        <w:t xml:space="preserve"> </w:t>
      </w:r>
      <w:r w:rsidR="00461135">
        <w:t xml:space="preserve">upstream of the drawdown impact zone </w:t>
      </w:r>
      <w:r w:rsidR="001D5A30" w:rsidRPr="00916F94">
        <w:t>to ensure that environmental flow</w:t>
      </w:r>
      <w:r w:rsidR="00422F3F">
        <w:t>s</w:t>
      </w:r>
      <w:r w:rsidR="00B9264B">
        <w:t xml:space="preserve"> and water availability</w:t>
      </w:r>
      <w:r w:rsidR="001D5A30" w:rsidRPr="00916F94">
        <w:t xml:space="preserve"> in </w:t>
      </w:r>
      <w:r w:rsidR="00B9264B">
        <w:t xml:space="preserve">the Lower </w:t>
      </w:r>
      <w:proofErr w:type="spellStart"/>
      <w:r w:rsidR="001D5A30" w:rsidRPr="00916F94">
        <w:t>Win</w:t>
      </w:r>
      <w:r w:rsidR="001D5A30">
        <w:t>gecarribee</w:t>
      </w:r>
      <w:proofErr w:type="spellEnd"/>
      <w:r w:rsidR="001D5A30">
        <w:t xml:space="preserve"> River</w:t>
      </w:r>
      <w:r w:rsidR="00422F3F">
        <w:t xml:space="preserve"> are</w:t>
      </w:r>
      <w:r w:rsidR="001D5A30">
        <w:t xml:space="preserve"> maintained. The justification for this measure is uncertainty in the extent of </w:t>
      </w:r>
      <w:proofErr w:type="spellStart"/>
      <w:r w:rsidR="001D5A30">
        <w:t>baseflow</w:t>
      </w:r>
      <w:proofErr w:type="spellEnd"/>
      <w:r w:rsidR="001D5A30">
        <w:t xml:space="preserve"> reduction in waterways in the vicinity of the project. </w:t>
      </w:r>
    </w:p>
    <w:p w14:paraId="483F4425" w14:textId="77777777" w:rsidR="00785523" w:rsidRPr="00785523" w:rsidRDefault="00785523" w:rsidP="00785523">
      <w:pPr>
        <w:pStyle w:val="ListNumber"/>
        <w:keepNext/>
        <w:ind w:left="0" w:firstLine="0"/>
        <w:rPr>
          <w:i/>
        </w:rPr>
      </w:pPr>
      <w:r w:rsidRPr="00845DE7">
        <w:rPr>
          <w:i/>
        </w:rPr>
        <w:lastRenderedPageBreak/>
        <w:t>Water Quality</w:t>
      </w:r>
    </w:p>
    <w:p w14:paraId="3E262C50" w14:textId="77777777" w:rsidR="005B1FF8" w:rsidRPr="006E6F82" w:rsidRDefault="006D10E8" w:rsidP="005B1FF8">
      <w:pPr>
        <w:pStyle w:val="ListBullet"/>
        <w:numPr>
          <w:ilvl w:val="0"/>
          <w:numId w:val="8"/>
        </w:numPr>
      </w:pPr>
      <w:r w:rsidRPr="006E6F82">
        <w:t xml:space="preserve">There is uncertainty in the outcomes of emplacement of rejects in underground voids, as outlined in the response to Question 1. </w:t>
      </w:r>
      <w:r w:rsidR="003B2AED" w:rsidRPr="006E6F82">
        <w:t xml:space="preserve">The proponent should </w:t>
      </w:r>
      <w:r w:rsidR="00A3493F">
        <w:t xml:space="preserve">conduct early and ongoing </w:t>
      </w:r>
      <w:r w:rsidR="003B2AED" w:rsidRPr="006E6F82">
        <w:t>monitor</w:t>
      </w:r>
      <w:r w:rsidR="00A3493F">
        <w:t>ing of</w:t>
      </w:r>
      <w:r w:rsidR="005B1FF8" w:rsidRPr="006E6F82">
        <w:t xml:space="preserve"> the water quality within multiple underground coal fines emplacements</w:t>
      </w:r>
      <w:r w:rsidR="00A3493F">
        <w:t>. This is</w:t>
      </w:r>
      <w:r w:rsidR="005B1FF8" w:rsidRPr="006E6F82">
        <w:t xml:space="preserve"> to confirm</w:t>
      </w:r>
      <w:r w:rsidR="006E6F82" w:rsidRPr="006E6F82">
        <w:t xml:space="preserve"> both</w:t>
      </w:r>
      <w:r w:rsidR="005B1FF8" w:rsidRPr="006E6F82">
        <w:t xml:space="preserve"> the effectiveness</w:t>
      </w:r>
      <w:r w:rsidR="006E6F82" w:rsidRPr="006E6F82">
        <w:t xml:space="preserve"> and quantity </w:t>
      </w:r>
      <w:r w:rsidR="005B1FF8" w:rsidRPr="006E6F82">
        <w:t xml:space="preserve">of the limestone amendment in </w:t>
      </w:r>
      <w:r w:rsidR="00C12275" w:rsidRPr="006E6F82">
        <w:t>mitigating metals</w:t>
      </w:r>
      <w:r w:rsidR="00A34615">
        <w:t xml:space="preserve"> </w:t>
      </w:r>
      <w:proofErr w:type="spellStart"/>
      <w:r w:rsidR="00A34615">
        <w:t>mobilisation</w:t>
      </w:r>
      <w:proofErr w:type="spellEnd"/>
      <w:r w:rsidR="00C12275" w:rsidRPr="006E6F82">
        <w:t xml:space="preserve"> </w:t>
      </w:r>
      <w:r w:rsidR="005B1FF8" w:rsidRPr="006E6F82">
        <w:t>and</w:t>
      </w:r>
      <w:r w:rsidR="00C12275">
        <w:t xml:space="preserve"> </w:t>
      </w:r>
      <w:r w:rsidR="00C12275" w:rsidRPr="006E6F82">
        <w:t>acid</w:t>
      </w:r>
      <w:r w:rsidR="00C12275" w:rsidRPr="00C12275">
        <w:t xml:space="preserve"> </w:t>
      </w:r>
      <w:r w:rsidR="00A34615">
        <w:t>generation</w:t>
      </w:r>
      <w:r w:rsidR="005B1FF8" w:rsidRPr="006E6F82">
        <w:t xml:space="preserve">, and ensure that water quality parameters are within the beneficial use criteria. </w:t>
      </w:r>
      <w:r w:rsidR="006E6F82" w:rsidRPr="006E6F82">
        <w:t>Site-</w:t>
      </w:r>
      <w:r w:rsidR="000C7A4E" w:rsidRPr="006E6F82">
        <w:t>specific water quality guidelines</w:t>
      </w:r>
      <w:r w:rsidR="005B1FF8" w:rsidRPr="006E6F82">
        <w:t xml:space="preserve"> and mitigation</w:t>
      </w:r>
      <w:r w:rsidR="00A3493F">
        <w:t>/contingency</w:t>
      </w:r>
      <w:r w:rsidR="005B1FF8" w:rsidRPr="006E6F82">
        <w:t xml:space="preserve"> measures should</w:t>
      </w:r>
      <w:r w:rsidR="00A3493F">
        <w:t xml:space="preserve"> be developed where</w:t>
      </w:r>
      <w:r w:rsidR="005B1FF8" w:rsidRPr="006E6F82">
        <w:t xml:space="preserve"> the limestone amendment</w:t>
      </w:r>
      <w:r w:rsidR="003B2AED" w:rsidRPr="006E6F82">
        <w:t xml:space="preserve"> does</w:t>
      </w:r>
      <w:r w:rsidR="005B1FF8" w:rsidRPr="006E6F82">
        <w:t xml:space="preserve"> not work as predicted. </w:t>
      </w:r>
    </w:p>
    <w:p w14:paraId="597ECFFA" w14:textId="77777777" w:rsidR="001D5A30" w:rsidRDefault="001D5A30" w:rsidP="00E9216F">
      <w:pPr>
        <w:pStyle w:val="ListBullet"/>
        <w:numPr>
          <w:ilvl w:val="0"/>
          <w:numId w:val="8"/>
        </w:numPr>
      </w:pPr>
      <w:r w:rsidRPr="008E3F85">
        <w:t xml:space="preserve">The proponent states that run-off from operational areas of the site will </w:t>
      </w:r>
      <w:r w:rsidR="00E25D20">
        <w:t xml:space="preserve">be </w:t>
      </w:r>
      <w:r w:rsidRPr="008E3F85">
        <w:t>directed to project storages, and run-off from</w:t>
      </w:r>
      <w:r w:rsidR="00E25D20">
        <w:t xml:space="preserve"> high-</w:t>
      </w:r>
      <w:r w:rsidRPr="008E3F85">
        <w:t>risk coal contact areas will be transferred to the</w:t>
      </w:r>
      <w:r w:rsidR="00E25D20">
        <w:t xml:space="preserve"> </w:t>
      </w:r>
      <w:r w:rsidRPr="008E3F85">
        <w:t>PWD for storage and reuse. However</w:t>
      </w:r>
      <w:r w:rsidR="00E25D20">
        <w:t>,</w:t>
      </w:r>
      <w:r w:rsidRPr="008E3F85">
        <w:t xml:space="preserve"> the SB04 catchment that is proposed to be one of the two catchments that discharge into </w:t>
      </w:r>
      <w:proofErr w:type="spellStart"/>
      <w:r w:rsidRPr="008E3F85">
        <w:t>Oldbury</w:t>
      </w:r>
      <w:proofErr w:type="spellEnd"/>
      <w:r w:rsidRPr="008E3F85">
        <w:t xml:space="preserve"> </w:t>
      </w:r>
      <w:r w:rsidR="00724AB2" w:rsidRPr="008E3F85">
        <w:t>Creek</w:t>
      </w:r>
      <w:r w:rsidRPr="008E3F85">
        <w:t xml:space="preserve"> contains an area of active spoil.</w:t>
      </w:r>
      <w:r>
        <w:t xml:space="preserve"> </w:t>
      </w:r>
      <w:r w:rsidR="00724AB2">
        <w:t xml:space="preserve">With the information provided it is unclear how run-off from the active spoil </w:t>
      </w:r>
      <w:r w:rsidR="00ED6FCF">
        <w:t xml:space="preserve">area is managed or </w:t>
      </w:r>
      <w:r w:rsidR="00724AB2">
        <w:t xml:space="preserve">not </w:t>
      </w:r>
      <w:r w:rsidR="007C2251">
        <w:t>a</w:t>
      </w:r>
      <w:r w:rsidR="00724AB2">
        <w:t xml:space="preserve"> high-risk</w:t>
      </w:r>
      <w:r w:rsidR="0023473D">
        <w:t xml:space="preserve"> to</w:t>
      </w:r>
      <w:r w:rsidR="00724AB2">
        <w:t xml:space="preserve"> coal contact.</w:t>
      </w:r>
      <w:r w:rsidR="0023473D">
        <w:t xml:space="preserve"> </w:t>
      </w:r>
      <w:r w:rsidR="002F1BFB">
        <w:t>It is</w:t>
      </w:r>
      <w:r w:rsidR="00ED6FCF">
        <w:t xml:space="preserve"> recommend</w:t>
      </w:r>
      <w:r w:rsidR="002F1BFB">
        <w:t>ed</w:t>
      </w:r>
      <w:r w:rsidR="00ED6FCF">
        <w:t xml:space="preserve"> the</w:t>
      </w:r>
      <w:r w:rsidR="0023473D">
        <w:t xml:space="preserve"> proponent c</w:t>
      </w:r>
      <w:r w:rsidR="00CE4603">
        <w:t xml:space="preserve">hange the surface layout of the site to ensure </w:t>
      </w:r>
      <w:r>
        <w:t xml:space="preserve">active spoil </w:t>
      </w:r>
      <w:r w:rsidR="00CE4603">
        <w:t xml:space="preserve">is not contained in </w:t>
      </w:r>
      <w:proofErr w:type="spellStart"/>
      <w:r w:rsidR="00E25D20">
        <w:t>stormwater</w:t>
      </w:r>
      <w:proofErr w:type="spellEnd"/>
      <w:r w:rsidR="00E25D20">
        <w:t xml:space="preserve"> basin catchments</w:t>
      </w:r>
      <w:r w:rsidR="008E6B86">
        <w:t xml:space="preserve">. </w:t>
      </w:r>
      <w:r w:rsidR="00724AB2">
        <w:t xml:space="preserve">The justification for this measure is that it </w:t>
      </w:r>
      <w:r w:rsidR="00CE4603">
        <w:t>reduce</w:t>
      </w:r>
      <w:r w:rsidR="002F1BFB">
        <w:t>s</w:t>
      </w:r>
      <w:r>
        <w:t xml:space="preserve"> the potential for coal to interact with </w:t>
      </w:r>
      <w:r w:rsidR="0023473D">
        <w:t>run-off</w:t>
      </w:r>
      <w:r>
        <w:t xml:space="preserve"> that wi</w:t>
      </w:r>
      <w:r w:rsidR="006B4871">
        <w:t xml:space="preserve">ll potentially be discharged </w:t>
      </w:r>
      <w:r w:rsidR="002F1BFB">
        <w:t xml:space="preserve">off-site to </w:t>
      </w:r>
      <w:proofErr w:type="spellStart"/>
      <w:r>
        <w:t>Oldbury</w:t>
      </w:r>
      <w:proofErr w:type="spellEnd"/>
      <w:r>
        <w:t xml:space="preserve"> Creek.</w:t>
      </w:r>
    </w:p>
    <w:p w14:paraId="70FD9EA1" w14:textId="77777777" w:rsidR="00092D68" w:rsidRPr="00A3493F" w:rsidRDefault="006E29A2" w:rsidP="00E9216F">
      <w:pPr>
        <w:pStyle w:val="ListBullet"/>
        <w:numPr>
          <w:ilvl w:val="0"/>
          <w:numId w:val="8"/>
        </w:numPr>
      </w:pPr>
      <w:r w:rsidRPr="00A3493F">
        <w:t>The</w:t>
      </w:r>
      <w:r w:rsidR="00EC77F9">
        <w:t xml:space="preserve"> possible</w:t>
      </w:r>
      <w:r w:rsidR="00555544" w:rsidRPr="00A3493F">
        <w:t xml:space="preserve"> need for a site water treatment pl</w:t>
      </w:r>
      <w:r w:rsidR="002E0EBE">
        <w:t>ant should be determined by the</w:t>
      </w:r>
      <w:r w:rsidR="00555544" w:rsidRPr="00A3493F">
        <w:t xml:space="preserve"> </w:t>
      </w:r>
      <w:r w:rsidR="00405CC4" w:rsidRPr="00A3493F">
        <w:t>ongoing</w:t>
      </w:r>
      <w:r w:rsidR="002E0EBE">
        <w:t xml:space="preserve"> regular</w:t>
      </w:r>
      <w:r w:rsidR="00405CC4" w:rsidRPr="00A3493F">
        <w:t xml:space="preserve"> </w:t>
      </w:r>
      <w:r w:rsidR="00555544" w:rsidRPr="00A3493F">
        <w:t xml:space="preserve">refinement of the site water balance model </w:t>
      </w:r>
      <w:r w:rsidR="00F9369C" w:rsidRPr="00A3493F">
        <w:t>so that there is sufficient early warning for its construction.</w:t>
      </w:r>
    </w:p>
    <w:p w14:paraId="4CBB8D82" w14:textId="77777777" w:rsidR="001D5A30" w:rsidRDefault="00710018" w:rsidP="00BE4EB4">
      <w:pPr>
        <w:pStyle w:val="ListBullet"/>
        <w:numPr>
          <w:ilvl w:val="0"/>
          <w:numId w:val="8"/>
        </w:numPr>
      </w:pPr>
      <w:r>
        <w:t>Proposed</w:t>
      </w:r>
      <w:r w:rsidR="007A02B2">
        <w:t xml:space="preserve"> preliminary</w:t>
      </w:r>
      <w:r w:rsidR="001D5A30" w:rsidRPr="00031C05">
        <w:t xml:space="preserve"> discharge limits are based on Environment Protection Licenses for similar operations in the </w:t>
      </w:r>
      <w:proofErr w:type="spellStart"/>
      <w:r w:rsidR="001D5A30" w:rsidRPr="00031C05">
        <w:t>Illawarra</w:t>
      </w:r>
      <w:proofErr w:type="spellEnd"/>
      <w:r w:rsidR="001D5A30" w:rsidRPr="00031C05">
        <w:t xml:space="preserve"> and Southern Highlands.</w:t>
      </w:r>
      <w:r w:rsidR="00BE4EB4">
        <w:t xml:space="preserve"> </w:t>
      </w:r>
      <w:r w:rsidR="008E6B86" w:rsidRPr="008E6B86">
        <w:t>Currently it is proposed to</w:t>
      </w:r>
      <w:r w:rsidR="00F972B0">
        <w:t xml:space="preserve"> monitor discharges to </w:t>
      </w:r>
      <w:proofErr w:type="spellStart"/>
      <w:r w:rsidR="00F972B0">
        <w:t>Oldbury</w:t>
      </w:r>
      <w:proofErr w:type="spellEnd"/>
      <w:r w:rsidR="00F972B0">
        <w:t xml:space="preserve"> Creek from </w:t>
      </w:r>
      <w:r w:rsidR="00F972B0" w:rsidRPr="008E6B86">
        <w:t>SB</w:t>
      </w:r>
      <w:r w:rsidR="00F972B0">
        <w:t xml:space="preserve">03 and SB04 (after first flush) for </w:t>
      </w:r>
      <w:r w:rsidR="008E6B86" w:rsidRPr="008E6B86">
        <w:t xml:space="preserve">pH, </w:t>
      </w:r>
      <w:r>
        <w:t>total suspended solids</w:t>
      </w:r>
      <w:r w:rsidR="008E6B86" w:rsidRPr="008E6B86">
        <w:t xml:space="preserve">, </w:t>
      </w:r>
      <w:r>
        <w:t>total dissolved solids</w:t>
      </w:r>
      <w:r w:rsidR="008E6B86" w:rsidRPr="008E6B86">
        <w:t xml:space="preserve"> and oil/grease</w:t>
      </w:r>
      <w:r w:rsidR="00F972B0">
        <w:t>.</w:t>
      </w:r>
      <w:r w:rsidR="008E6B86" w:rsidRPr="008E6B86">
        <w:t xml:space="preserve"> </w:t>
      </w:r>
      <w:r w:rsidR="00B24216">
        <w:t>It is</w:t>
      </w:r>
      <w:r w:rsidR="008E6B86" w:rsidRPr="008E6B86">
        <w:t xml:space="preserve"> recommend</w:t>
      </w:r>
      <w:r w:rsidR="00B24216">
        <w:t>ed</w:t>
      </w:r>
      <w:r w:rsidR="008E6B86" w:rsidRPr="008E6B86">
        <w:t xml:space="preserve"> that</w:t>
      </w:r>
      <w:r w:rsidR="00BE4EB4">
        <w:t xml:space="preserve"> </w:t>
      </w:r>
      <w:r w:rsidR="00F972B0" w:rsidRPr="008E6B86">
        <w:t>additional contaminants</w:t>
      </w:r>
      <w:r w:rsidR="00F972B0">
        <w:t xml:space="preserve"> are monitored using </w:t>
      </w:r>
      <w:r w:rsidR="00BE4EB4">
        <w:t xml:space="preserve">site specific </w:t>
      </w:r>
      <w:r w:rsidR="00F97B86">
        <w:t>water quality guidelines</w:t>
      </w:r>
      <w:r w:rsidR="00BE4EB4">
        <w:t>.</w:t>
      </w:r>
    </w:p>
    <w:p w14:paraId="52309A5A" w14:textId="77777777" w:rsidR="00F07E6D" w:rsidRPr="00261D0E" w:rsidRDefault="001D5A30" w:rsidP="00261D0E">
      <w:pPr>
        <w:pStyle w:val="ListNumber"/>
        <w:keepNext/>
        <w:rPr>
          <w:i/>
        </w:rPr>
      </w:pPr>
      <w:r>
        <w:rPr>
          <w:i/>
        </w:rPr>
        <w:t>GDEs</w:t>
      </w:r>
    </w:p>
    <w:p w14:paraId="2D9E5EA4" w14:textId="77777777" w:rsidR="00261D0E" w:rsidRDefault="00447D67" w:rsidP="00261D0E">
      <w:pPr>
        <w:pStyle w:val="ListBullet"/>
        <w:numPr>
          <w:ilvl w:val="0"/>
          <w:numId w:val="8"/>
        </w:numPr>
      </w:pPr>
      <w:r>
        <w:t>The proponent should u</w:t>
      </w:r>
      <w:r w:rsidR="00F07E6D">
        <w:t xml:space="preserve">ndertake an updated </w:t>
      </w:r>
      <w:r w:rsidR="0025392E">
        <w:t>GDE</w:t>
      </w:r>
      <w:r w:rsidR="00261D0E">
        <w:t xml:space="preserve"> drawdown risk assessment to account for the maximum of the range of drawdown outcomes from </w:t>
      </w:r>
      <w:r w:rsidR="00432A83">
        <w:t>additional sen</w:t>
      </w:r>
      <w:r w:rsidR="00F65869">
        <w:t>si</w:t>
      </w:r>
      <w:r w:rsidR="00432A83">
        <w:t>tivity/</w:t>
      </w:r>
      <w:r w:rsidR="00261D0E">
        <w:t>uncertainty</w:t>
      </w:r>
      <w:r w:rsidR="00575B5A">
        <w:t xml:space="preserve"> analysis undertaken for the </w:t>
      </w:r>
      <w:r w:rsidR="00261D0E">
        <w:t xml:space="preserve">groundwater model. </w:t>
      </w:r>
      <w:r>
        <w:t>There should also be</w:t>
      </w:r>
      <w:r w:rsidR="00261D0E">
        <w:t xml:space="preserve"> appropriate </w:t>
      </w:r>
      <w:r w:rsidR="00F52241">
        <w:t xml:space="preserve">monitoring and </w:t>
      </w:r>
      <w:r w:rsidR="00261D0E">
        <w:t>remediation plans</w:t>
      </w:r>
      <w:r>
        <w:t xml:space="preserve"> </w:t>
      </w:r>
      <w:r w:rsidR="00261D0E">
        <w:t xml:space="preserve">in place for potential impacts and strategies for impacts where remediation </w:t>
      </w:r>
      <w:r w:rsidR="006E2F52">
        <w:t xml:space="preserve">is not feasible. </w:t>
      </w:r>
      <w:r w:rsidR="00261D0E" w:rsidRPr="00261D0E">
        <w:t>The justification for this measure is uncertainty in the identification of GDEs and uncertainty in the groundwater model para</w:t>
      </w:r>
      <w:r w:rsidR="00F52241">
        <w:t>meters and therefore drawdown.</w:t>
      </w:r>
      <w:r w:rsidR="0034526A">
        <w:t xml:space="preserve"> The monitoring and remediation</w:t>
      </w:r>
      <w:r w:rsidR="00C42364">
        <w:t>/offset</w:t>
      </w:r>
      <w:r w:rsidR="0034526A">
        <w:t xml:space="preserve"> plan should have particular regard for:</w:t>
      </w:r>
    </w:p>
    <w:p w14:paraId="2FA17B4B" w14:textId="77777777" w:rsidR="00100DF3" w:rsidRDefault="0034526A" w:rsidP="006E2F52">
      <w:pPr>
        <w:pStyle w:val="ListBullet"/>
        <w:numPr>
          <w:ilvl w:val="1"/>
          <w:numId w:val="8"/>
        </w:numPr>
      </w:pPr>
      <w:r>
        <w:t>T</w:t>
      </w:r>
      <w:r w:rsidR="006E2F52">
        <w:t xml:space="preserve">he EPBC </w:t>
      </w:r>
      <w:r w:rsidR="002948BB">
        <w:t xml:space="preserve">Act </w:t>
      </w:r>
      <w:r w:rsidR="006E2F52">
        <w:t xml:space="preserve">listed critically endangered ecological community (CEEC) of Southern Highland Shale Forest and Woodland. </w:t>
      </w:r>
    </w:p>
    <w:p w14:paraId="6103AB2F" w14:textId="77777777" w:rsidR="00100DF3" w:rsidRDefault="0034526A" w:rsidP="00DF1021">
      <w:pPr>
        <w:pStyle w:val="ListBullet"/>
        <w:numPr>
          <w:ilvl w:val="1"/>
          <w:numId w:val="8"/>
        </w:numPr>
      </w:pPr>
      <w:r>
        <w:t xml:space="preserve">The </w:t>
      </w:r>
      <w:r w:rsidR="002948BB">
        <w:t>Threaten</w:t>
      </w:r>
      <w:r w:rsidR="00493815">
        <w:t>ed</w:t>
      </w:r>
      <w:r w:rsidR="002948BB">
        <w:t xml:space="preserve"> Species Conservation (TSC) A</w:t>
      </w:r>
      <w:r w:rsidR="00100DF3">
        <w:t xml:space="preserve">ct listed </w:t>
      </w:r>
      <w:r w:rsidR="00100DF3" w:rsidRPr="00DF1021">
        <w:t>Tablelands Snow Gum, Black</w:t>
      </w:r>
      <w:r w:rsidR="007D0AA9">
        <w:t xml:space="preserve"> </w:t>
      </w:r>
      <w:proofErr w:type="spellStart"/>
      <w:r w:rsidR="00100DF3" w:rsidRPr="00DF1021">
        <w:t>Sallee</w:t>
      </w:r>
      <w:proofErr w:type="spellEnd"/>
      <w:r w:rsidR="00100DF3" w:rsidRPr="00DF1021">
        <w:t xml:space="preserve">, </w:t>
      </w:r>
      <w:proofErr w:type="spellStart"/>
      <w:r w:rsidR="00100DF3" w:rsidRPr="00DF1021">
        <w:t>Candlebark</w:t>
      </w:r>
      <w:proofErr w:type="spellEnd"/>
      <w:r w:rsidR="00100DF3" w:rsidRPr="00DF1021">
        <w:t xml:space="preserve"> and Ribbon Gum Grassy Woodland </w:t>
      </w:r>
      <w:r w:rsidR="00DF1021" w:rsidRPr="00DF1021">
        <w:t>endangered ecological community</w:t>
      </w:r>
      <w:r w:rsidR="00DF1021">
        <w:t xml:space="preserve"> (EEC).</w:t>
      </w:r>
    </w:p>
    <w:p w14:paraId="64CB1A17" w14:textId="77777777" w:rsidR="001C62F9" w:rsidRPr="00DF1021" w:rsidRDefault="001C62F9" w:rsidP="001C62F9">
      <w:pPr>
        <w:pStyle w:val="ListBullet"/>
        <w:numPr>
          <w:ilvl w:val="1"/>
          <w:numId w:val="8"/>
        </w:numPr>
      </w:pPr>
      <w:r>
        <w:t xml:space="preserve">Monitoring potential EPBC listed species (Koala) habitat within and downstream of the project area including </w:t>
      </w:r>
      <w:proofErr w:type="spellStart"/>
      <w:r>
        <w:t>Oldbury</w:t>
      </w:r>
      <w:proofErr w:type="spellEnd"/>
      <w:r>
        <w:t xml:space="preserve"> Creek, Belanglo Creek and Medway Rivulet.   </w:t>
      </w:r>
    </w:p>
    <w:p w14:paraId="5EB4D366" w14:textId="77777777" w:rsidR="00F07E6D" w:rsidRDefault="001D5A30" w:rsidP="001C62F9">
      <w:pPr>
        <w:pStyle w:val="ListBullet"/>
        <w:numPr>
          <w:ilvl w:val="1"/>
          <w:numId w:val="8"/>
        </w:numPr>
      </w:pPr>
      <w:r>
        <w:t>Monitor</w:t>
      </w:r>
      <w:r w:rsidR="002948BB">
        <w:t>ing</w:t>
      </w:r>
      <w:r>
        <w:t xml:space="preserve"> </w:t>
      </w:r>
      <w:r w:rsidR="0025392E">
        <w:t>groundwater levels</w:t>
      </w:r>
      <w:r w:rsidR="00FD6667">
        <w:t xml:space="preserve"> </w:t>
      </w:r>
      <w:r w:rsidR="00AA6F78">
        <w:t>between the project</w:t>
      </w:r>
      <w:r w:rsidR="00843314">
        <w:t xml:space="preserve"> and</w:t>
      </w:r>
      <w:r w:rsidR="00DF1021">
        <w:t xml:space="preserve"> </w:t>
      </w:r>
      <w:r w:rsidR="00493815">
        <w:t>nearby</w:t>
      </w:r>
      <w:r w:rsidR="00BF6F1D">
        <w:t xml:space="preserve"> </w:t>
      </w:r>
      <w:r w:rsidR="00DF1021">
        <w:t xml:space="preserve">high priority </w:t>
      </w:r>
      <w:r w:rsidR="000226C7">
        <w:t>GDEs</w:t>
      </w:r>
      <w:r w:rsidR="00327299">
        <w:t>, including</w:t>
      </w:r>
      <w:r w:rsidR="00DF1021">
        <w:t xml:space="preserve"> </w:t>
      </w:r>
      <w:proofErr w:type="spellStart"/>
      <w:r w:rsidR="00DF1021">
        <w:t>Paddys</w:t>
      </w:r>
      <w:proofErr w:type="spellEnd"/>
      <w:r w:rsidR="00DF1021">
        <w:t xml:space="preserve"> River Swamps</w:t>
      </w:r>
      <w:r w:rsidR="00B95BFA">
        <w:t>,</w:t>
      </w:r>
      <w:r w:rsidR="00DF1021">
        <w:t xml:space="preserve"> to</w:t>
      </w:r>
      <w:r w:rsidR="0025392E">
        <w:t xml:space="preserve"> allow early identification </w:t>
      </w:r>
      <w:r w:rsidR="00843314">
        <w:t>of potential f</w:t>
      </w:r>
      <w:r w:rsidR="00BF6F1D">
        <w:t xml:space="preserve">or impacts. </w:t>
      </w:r>
      <w:r w:rsidR="00843314">
        <w:t xml:space="preserve">  </w:t>
      </w:r>
      <w:r w:rsidR="0025392E">
        <w:t xml:space="preserve">  </w:t>
      </w:r>
    </w:p>
    <w:p w14:paraId="5A1ED13C" w14:textId="77777777" w:rsidR="001D5A30" w:rsidRDefault="001D5A30" w:rsidP="00CF07AC">
      <w:pPr>
        <w:pStyle w:val="Question"/>
        <w:keepNext/>
      </w:pPr>
      <w:r>
        <w:lastRenderedPageBreak/>
        <w:t xml:space="preserve">Question 4: </w:t>
      </w:r>
      <w:r w:rsidRPr="00BA5785">
        <w:rPr>
          <w:rFonts w:eastAsia="Calibri"/>
        </w:rPr>
        <w:t>What monitoring and/or management measures shoul</w:t>
      </w:r>
      <w:r>
        <w:rPr>
          <w:rFonts w:eastAsia="Calibri"/>
        </w:rPr>
        <w:t xml:space="preserve">d be implemented to address any </w:t>
      </w:r>
      <w:r w:rsidRPr="00BA5785">
        <w:rPr>
          <w:rFonts w:eastAsia="Calibri"/>
        </w:rPr>
        <w:t>residual</w:t>
      </w:r>
      <w:r>
        <w:t xml:space="preserve"> </w:t>
      </w:r>
      <w:r w:rsidRPr="00BA5785">
        <w:rPr>
          <w:rFonts w:eastAsia="Calibri"/>
        </w:rPr>
        <w:t>impacts on water resources?</w:t>
      </w:r>
    </w:p>
    <w:p w14:paraId="6B4DDB30" w14:textId="77777777" w:rsidR="009844BE" w:rsidRPr="009844BE" w:rsidRDefault="009844BE" w:rsidP="001D5A30">
      <w:pPr>
        <w:pStyle w:val="ListNumber"/>
        <w:rPr>
          <w:u w:val="single"/>
        </w:rPr>
      </w:pPr>
      <w:r w:rsidRPr="009844BE">
        <w:rPr>
          <w:u w:val="single"/>
        </w:rPr>
        <w:t>Response</w:t>
      </w:r>
    </w:p>
    <w:p w14:paraId="24DEABF6" w14:textId="77777777" w:rsidR="001D5A30" w:rsidRPr="00696731" w:rsidRDefault="00E9216F" w:rsidP="00696731">
      <w:pPr>
        <w:pStyle w:val="ListBullet"/>
        <w:numPr>
          <w:ilvl w:val="0"/>
          <w:numId w:val="8"/>
        </w:numPr>
      </w:pPr>
      <w:r w:rsidRPr="00696731">
        <w:t xml:space="preserve">The IESC has identified the following as </w:t>
      </w:r>
      <w:r w:rsidR="00696731">
        <w:t>potential</w:t>
      </w:r>
      <w:r w:rsidRPr="00696731">
        <w:t xml:space="preserve"> </w:t>
      </w:r>
      <w:r w:rsidR="001D5A30" w:rsidRPr="00696731">
        <w:t>residual impacts</w:t>
      </w:r>
      <w:r w:rsidR="003573DA">
        <w:t>:</w:t>
      </w:r>
      <w:r w:rsidR="001D5A30" w:rsidRPr="00696731">
        <w:t xml:space="preserve"> </w:t>
      </w:r>
    </w:p>
    <w:p w14:paraId="0D77C906" w14:textId="77777777" w:rsidR="001D5A30" w:rsidRDefault="001D5A30" w:rsidP="00773CBC">
      <w:pPr>
        <w:pStyle w:val="ListBullet"/>
        <w:numPr>
          <w:ilvl w:val="0"/>
          <w:numId w:val="19"/>
        </w:numPr>
      </w:pPr>
      <w:r>
        <w:t>Reduce</w:t>
      </w:r>
      <w:r w:rsidR="00DC6B87">
        <w:t>d</w:t>
      </w:r>
      <w:r>
        <w:t xml:space="preserve"> </w:t>
      </w:r>
      <w:r w:rsidR="0087387D">
        <w:t xml:space="preserve">surface water </w:t>
      </w:r>
      <w:r>
        <w:t xml:space="preserve">flow as a result of loss of </w:t>
      </w:r>
      <w:proofErr w:type="spellStart"/>
      <w:r>
        <w:t>baseflow</w:t>
      </w:r>
      <w:proofErr w:type="spellEnd"/>
      <w:r w:rsidR="00D33B67">
        <w:t>;</w:t>
      </w:r>
    </w:p>
    <w:p w14:paraId="476797B0" w14:textId="77777777" w:rsidR="00BC4B7C" w:rsidRDefault="00BC4B7C" w:rsidP="00773CBC">
      <w:pPr>
        <w:pStyle w:val="ListBullet"/>
        <w:numPr>
          <w:ilvl w:val="0"/>
          <w:numId w:val="19"/>
        </w:numPr>
      </w:pPr>
      <w:r>
        <w:t>Loss of water storage in Medway Dam as a result of increased drawdown</w:t>
      </w:r>
      <w:r w:rsidR="00D33B67">
        <w:t>;</w:t>
      </w:r>
    </w:p>
    <w:p w14:paraId="6C3310BA" w14:textId="77777777" w:rsidR="006B2E8B" w:rsidRDefault="006B2E8B" w:rsidP="006B2E8B">
      <w:pPr>
        <w:pStyle w:val="ListBullet"/>
        <w:numPr>
          <w:ilvl w:val="0"/>
          <w:numId w:val="19"/>
        </w:numPr>
      </w:pPr>
      <w:r>
        <w:t>Impacts to water quality as a result of emplacement of reject material in voids</w:t>
      </w:r>
      <w:r w:rsidR="00D33B67">
        <w:t>;</w:t>
      </w:r>
      <w:r>
        <w:t xml:space="preserve"> </w:t>
      </w:r>
    </w:p>
    <w:p w14:paraId="7E15AEF2" w14:textId="77777777" w:rsidR="0059634B" w:rsidRDefault="00D33B67" w:rsidP="0059634B">
      <w:pPr>
        <w:pStyle w:val="ListBullet"/>
        <w:numPr>
          <w:ilvl w:val="0"/>
          <w:numId w:val="19"/>
        </w:numPr>
      </w:pPr>
      <w:r>
        <w:t>Impacts to GDEs; and</w:t>
      </w:r>
    </w:p>
    <w:p w14:paraId="20E57207" w14:textId="77777777" w:rsidR="006B2E8B" w:rsidRDefault="00E6174A" w:rsidP="006B2E8B">
      <w:pPr>
        <w:pStyle w:val="ListBullet"/>
        <w:numPr>
          <w:ilvl w:val="0"/>
          <w:numId w:val="19"/>
        </w:numPr>
      </w:pPr>
      <w:r>
        <w:t>S</w:t>
      </w:r>
      <w:r w:rsidR="006B2E8B">
        <w:t>ubsidence</w:t>
      </w:r>
      <w:r w:rsidR="00D33B67">
        <w:t>.</w:t>
      </w:r>
    </w:p>
    <w:p w14:paraId="1D54309D" w14:textId="77777777" w:rsidR="001D5A30" w:rsidRDefault="001D5A30" w:rsidP="001D5A30">
      <w:pPr>
        <w:pStyle w:val="ListNumber"/>
        <w:rPr>
          <w:i/>
        </w:rPr>
      </w:pPr>
      <w:r>
        <w:rPr>
          <w:i/>
        </w:rPr>
        <w:t>Surface Water</w:t>
      </w:r>
    </w:p>
    <w:p w14:paraId="41D9C81C" w14:textId="77777777" w:rsidR="001D5A30" w:rsidRPr="001F556D" w:rsidRDefault="00B95BFA" w:rsidP="00E9216F">
      <w:pPr>
        <w:pStyle w:val="ListBullet"/>
        <w:numPr>
          <w:ilvl w:val="0"/>
          <w:numId w:val="8"/>
        </w:numPr>
      </w:pPr>
      <w:r>
        <w:t>The proponent should u</w:t>
      </w:r>
      <w:r w:rsidR="001D5A30">
        <w:t xml:space="preserve">ndertake surface water flow </w:t>
      </w:r>
      <w:r w:rsidR="00A353AE">
        <w:t>monitoring</w:t>
      </w:r>
      <w:r w:rsidR="001D5A30">
        <w:t xml:space="preserve"> on </w:t>
      </w:r>
      <w:proofErr w:type="spellStart"/>
      <w:r w:rsidR="001D5A30">
        <w:t>Wingecarribee</w:t>
      </w:r>
      <w:proofErr w:type="spellEnd"/>
      <w:r w:rsidR="001D5A30">
        <w:t xml:space="preserve"> River </w:t>
      </w:r>
      <w:r w:rsidR="00773CBC">
        <w:t xml:space="preserve">directly </w:t>
      </w:r>
      <w:r w:rsidR="001D5A30">
        <w:t>downstream of the project</w:t>
      </w:r>
      <w:r w:rsidR="004D5850">
        <w:t xml:space="preserve"> to monitor the potentia</w:t>
      </w:r>
      <w:r>
        <w:t xml:space="preserve">l impact of </w:t>
      </w:r>
      <w:proofErr w:type="spellStart"/>
      <w:r>
        <w:t>baseflow</w:t>
      </w:r>
      <w:proofErr w:type="spellEnd"/>
      <w:r>
        <w:t xml:space="preserve"> reduction </w:t>
      </w:r>
      <w:r w:rsidR="004D5850">
        <w:t>o</w:t>
      </w:r>
      <w:r>
        <w:t>n</w:t>
      </w:r>
      <w:r w:rsidR="004D5850">
        <w:t xml:space="preserve"> the flow regime of the river</w:t>
      </w:r>
      <w:r>
        <w:t>. C</w:t>
      </w:r>
      <w:r w:rsidR="00AA4AD8">
        <w:t xml:space="preserve">ontinuous monitoring of </w:t>
      </w:r>
      <w:r w:rsidR="00AA4AD8" w:rsidRPr="00AA4AD8">
        <w:t>Medway Dam</w:t>
      </w:r>
      <w:r w:rsidR="00AA4AD8">
        <w:t xml:space="preserve"> </w:t>
      </w:r>
      <w:r w:rsidR="00CC0CA2">
        <w:t xml:space="preserve">levels </w:t>
      </w:r>
      <w:r>
        <w:t xml:space="preserve">would </w:t>
      </w:r>
      <w:r w:rsidR="00CC0CA2">
        <w:t xml:space="preserve">enable impacts of yield loss and drawdown to be assessed.  </w:t>
      </w:r>
    </w:p>
    <w:p w14:paraId="5ADEA22D" w14:textId="77777777" w:rsidR="001D5A30" w:rsidRPr="00845DE7" w:rsidRDefault="001D5A30" w:rsidP="001D5A30">
      <w:pPr>
        <w:pStyle w:val="ListNumber"/>
        <w:rPr>
          <w:i/>
        </w:rPr>
      </w:pPr>
      <w:r w:rsidRPr="00845DE7">
        <w:rPr>
          <w:i/>
        </w:rPr>
        <w:t>Water Quality</w:t>
      </w:r>
    </w:p>
    <w:p w14:paraId="2A00878B" w14:textId="77777777" w:rsidR="00683B62" w:rsidRPr="00946D16" w:rsidRDefault="00683B62" w:rsidP="00683B62">
      <w:pPr>
        <w:pStyle w:val="ListBullet"/>
        <w:numPr>
          <w:ilvl w:val="0"/>
          <w:numId w:val="8"/>
        </w:numPr>
      </w:pPr>
      <w:r w:rsidRPr="00946D16">
        <w:t xml:space="preserve">The proponent notes a potential for an increase in aluminum and nitrate in waterways that are predicted to be impacted by a reduction of </w:t>
      </w:r>
      <w:proofErr w:type="spellStart"/>
      <w:r w:rsidRPr="00946D16">
        <w:t>bas</w:t>
      </w:r>
      <w:r w:rsidR="000B1DA3" w:rsidRPr="00946D16">
        <w:t>eflow</w:t>
      </w:r>
      <w:proofErr w:type="spellEnd"/>
      <w:r w:rsidR="000B1DA3" w:rsidRPr="00946D16">
        <w:t xml:space="preserve"> as a result of drawdown. The</w:t>
      </w:r>
      <w:r w:rsidRPr="00946D16">
        <w:t xml:space="preserve"> water quality monitoring program should include</w:t>
      </w:r>
      <w:r w:rsidR="00277BB1" w:rsidRPr="00946D16">
        <w:t xml:space="preserve"> all</w:t>
      </w:r>
      <w:r w:rsidRPr="00946D16">
        <w:t xml:space="preserve"> waterways that are predicted to experience a reduction in </w:t>
      </w:r>
      <w:proofErr w:type="spellStart"/>
      <w:r w:rsidRPr="00946D16">
        <w:t>baseflow</w:t>
      </w:r>
      <w:proofErr w:type="spellEnd"/>
      <w:r w:rsidRPr="00946D16">
        <w:t xml:space="preserve">, </w:t>
      </w:r>
      <w:r w:rsidR="00456D27" w:rsidRPr="00946D16">
        <w:t xml:space="preserve">including </w:t>
      </w:r>
      <w:r w:rsidR="007A40DA">
        <w:t xml:space="preserve">outside </w:t>
      </w:r>
      <w:r w:rsidR="00456D27" w:rsidRPr="00946D16">
        <w:t>of the project area</w:t>
      </w:r>
      <w:r w:rsidR="00277BB1" w:rsidRPr="00946D16">
        <w:t xml:space="preserve">. </w:t>
      </w:r>
      <w:r w:rsidR="00371B22" w:rsidRPr="00946D16">
        <w:t xml:space="preserve">The program should include </w:t>
      </w:r>
      <w:r w:rsidR="00277BB1" w:rsidRPr="00946D16">
        <w:t>appropriate</w:t>
      </w:r>
      <w:r w:rsidR="00371B22" w:rsidRPr="00946D16">
        <w:t xml:space="preserve"> monitoring sites </w:t>
      </w:r>
      <w:r w:rsidR="00277BB1" w:rsidRPr="00946D16">
        <w:t>for reference</w:t>
      </w:r>
      <w:r w:rsidR="00371B22" w:rsidRPr="00946D16">
        <w:t>. M</w:t>
      </w:r>
      <w:r w:rsidRPr="00946D16">
        <w:t xml:space="preserve">itigation measures should also be developed. </w:t>
      </w:r>
    </w:p>
    <w:p w14:paraId="715CA840" w14:textId="77777777" w:rsidR="001D5A30" w:rsidRDefault="001D5A30" w:rsidP="00BF6F1D">
      <w:pPr>
        <w:pStyle w:val="ListNumber"/>
        <w:keepNext/>
        <w:rPr>
          <w:i/>
        </w:rPr>
      </w:pPr>
      <w:r>
        <w:rPr>
          <w:i/>
        </w:rPr>
        <w:t>Groundwater</w:t>
      </w:r>
    </w:p>
    <w:p w14:paraId="0AAF8767" w14:textId="77777777" w:rsidR="001D5A30" w:rsidRPr="00072566" w:rsidRDefault="001D5A30" w:rsidP="00A36223">
      <w:pPr>
        <w:pStyle w:val="ListBullet"/>
        <w:numPr>
          <w:ilvl w:val="0"/>
          <w:numId w:val="8"/>
        </w:numPr>
      </w:pPr>
      <w:r w:rsidRPr="00072566">
        <w:t>The EIS states that a groundwater management plan is to be developed</w:t>
      </w:r>
      <w:r>
        <w:t xml:space="preserve"> (</w:t>
      </w:r>
      <w:r w:rsidR="004F4F01">
        <w:t xml:space="preserve">EIS, </w:t>
      </w:r>
      <w:r>
        <w:t>p. 224)</w:t>
      </w:r>
      <w:r w:rsidRPr="00072566">
        <w:t xml:space="preserve">, including incorporation of monitoring programs and establishment of triggers and responses. Details of the monitoring and management measures have not been provided. The </w:t>
      </w:r>
      <w:r>
        <w:t xml:space="preserve">additional </w:t>
      </w:r>
      <w:r w:rsidRPr="00072566">
        <w:t>groundwater management plan should include:</w:t>
      </w:r>
    </w:p>
    <w:p w14:paraId="0AEA407B" w14:textId="77777777" w:rsidR="001D5A30" w:rsidRPr="00A36223" w:rsidRDefault="001D5A30" w:rsidP="00A36223">
      <w:pPr>
        <w:pStyle w:val="ListBullet"/>
        <w:numPr>
          <w:ilvl w:val="0"/>
          <w:numId w:val="12"/>
        </w:numPr>
      </w:pPr>
      <w:r w:rsidRPr="00A36223">
        <w:t xml:space="preserve">Identification of </w:t>
      </w:r>
      <w:r w:rsidR="00745A7B">
        <w:t>GD</w:t>
      </w:r>
      <w:r w:rsidR="00994AE3">
        <w:t xml:space="preserve">Es </w:t>
      </w:r>
      <w:r w:rsidRPr="00A36223">
        <w:t xml:space="preserve">most at risk from the project and </w:t>
      </w:r>
      <w:r w:rsidR="00CB23E2" w:rsidRPr="00A36223">
        <w:t xml:space="preserve">ensure </w:t>
      </w:r>
      <w:r w:rsidRPr="00A36223">
        <w:t>location of</w:t>
      </w:r>
      <w:r w:rsidR="00CB23E2" w:rsidRPr="00A36223">
        <w:t xml:space="preserve"> appropriately sited</w:t>
      </w:r>
      <w:r w:rsidRPr="00A36223">
        <w:t xml:space="preserve"> monitoring bores to provide early warning of drawdown propagation </w:t>
      </w:r>
      <w:r w:rsidR="00F22FD6">
        <w:t>in these areas</w:t>
      </w:r>
      <w:r w:rsidRPr="00A36223">
        <w:t>.</w:t>
      </w:r>
    </w:p>
    <w:p w14:paraId="57B85BCA" w14:textId="77777777" w:rsidR="00D6176D" w:rsidRPr="00DD7AE6" w:rsidRDefault="00D6176D" w:rsidP="00A36223">
      <w:pPr>
        <w:pStyle w:val="ListBullet"/>
        <w:numPr>
          <w:ilvl w:val="0"/>
          <w:numId w:val="12"/>
        </w:numPr>
      </w:pPr>
      <w:r w:rsidRPr="00DD7AE6">
        <w:t xml:space="preserve">Details of the groundwater </w:t>
      </w:r>
      <w:r w:rsidR="00C359EA">
        <w:t>quality and</w:t>
      </w:r>
      <w:r w:rsidR="00745A7B">
        <w:t xml:space="preserve"> water table</w:t>
      </w:r>
      <w:r w:rsidR="00C359EA">
        <w:t xml:space="preserve"> level </w:t>
      </w:r>
      <w:r w:rsidRPr="00DD7AE6">
        <w:t>monitoring schedule</w:t>
      </w:r>
      <w:r w:rsidR="00745A7B">
        <w:t>,</w:t>
      </w:r>
      <w:r w:rsidR="00D54AB9" w:rsidRPr="00DD7AE6">
        <w:t xml:space="preserve"> including parameters to be measured and frequency of proposed monitoring/sampling</w:t>
      </w:r>
      <w:r w:rsidRPr="00DD7AE6">
        <w:t>.</w:t>
      </w:r>
    </w:p>
    <w:p w14:paraId="56A63B8F" w14:textId="77777777" w:rsidR="00344219" w:rsidRPr="00344219" w:rsidRDefault="00D6176D" w:rsidP="00A36223">
      <w:pPr>
        <w:pStyle w:val="ListBullet"/>
        <w:numPr>
          <w:ilvl w:val="0"/>
          <w:numId w:val="12"/>
        </w:numPr>
        <w:rPr>
          <w:rFonts w:cs="Times New Roman"/>
          <w:szCs w:val="22"/>
        </w:rPr>
      </w:pPr>
      <w:r w:rsidRPr="00A36223">
        <w:t>Identification of monitoring bores</w:t>
      </w:r>
      <w:r w:rsidR="00946D16">
        <w:t xml:space="preserve"> and sampling points</w:t>
      </w:r>
      <w:r w:rsidRPr="00A36223">
        <w:t xml:space="preserve"> to determine groundwater quality impacts from potential contamination from the coal rejects and process water used to backfill underground voids. </w:t>
      </w:r>
    </w:p>
    <w:p w14:paraId="4247BB5C" w14:textId="77777777" w:rsidR="001D5A30" w:rsidRPr="00845DE7" w:rsidRDefault="001D5A30" w:rsidP="002F6D16">
      <w:pPr>
        <w:pStyle w:val="ListNumber"/>
        <w:keepNext/>
        <w:rPr>
          <w:i/>
        </w:rPr>
      </w:pPr>
      <w:r>
        <w:rPr>
          <w:i/>
        </w:rPr>
        <w:t>GDEs</w:t>
      </w:r>
    </w:p>
    <w:p w14:paraId="54EB8D2A" w14:textId="77777777" w:rsidR="003E7B72" w:rsidRPr="00C75FE2" w:rsidRDefault="00D070F4" w:rsidP="007E56EF">
      <w:pPr>
        <w:pStyle w:val="ListBullet"/>
        <w:numPr>
          <w:ilvl w:val="0"/>
          <w:numId w:val="8"/>
        </w:numPr>
      </w:pPr>
      <w:r w:rsidRPr="00C75FE2">
        <w:t>As discussed in</w:t>
      </w:r>
      <w:r w:rsidR="009F4431" w:rsidRPr="00C75FE2">
        <w:t xml:space="preserve"> the response to</w:t>
      </w:r>
      <w:r w:rsidRPr="00C75FE2">
        <w:t xml:space="preserve"> Question 3 there is uncertainty in the identification </w:t>
      </w:r>
      <w:r w:rsidR="00F22FD6" w:rsidRPr="00C75FE2">
        <w:t xml:space="preserve">of </w:t>
      </w:r>
      <w:r w:rsidRPr="00C75FE2">
        <w:t xml:space="preserve">GDEs. It is identified that two listed </w:t>
      </w:r>
      <w:r w:rsidR="009F4431" w:rsidRPr="00C75FE2">
        <w:t>ecological communities (</w:t>
      </w:r>
      <w:r w:rsidR="007D0AA9" w:rsidRPr="00C75FE2">
        <w:t xml:space="preserve">an area of </w:t>
      </w:r>
      <w:r w:rsidRPr="00C75FE2">
        <w:t>Southern Highland Shale Forest and Woodland</w:t>
      </w:r>
      <w:r w:rsidR="007D0AA9" w:rsidRPr="00C75FE2">
        <w:t xml:space="preserve"> CEEC, an area of</w:t>
      </w:r>
      <w:r w:rsidRPr="00C75FE2">
        <w:t xml:space="preserve"> </w:t>
      </w:r>
      <w:r w:rsidR="007D0AA9" w:rsidRPr="00C75FE2">
        <w:t xml:space="preserve">Tablelands Snow Gum, Black </w:t>
      </w:r>
      <w:proofErr w:type="spellStart"/>
      <w:r w:rsidR="007D0AA9" w:rsidRPr="00C75FE2">
        <w:t>Sallee</w:t>
      </w:r>
      <w:proofErr w:type="spellEnd"/>
      <w:r w:rsidR="007D0AA9" w:rsidRPr="00C75FE2">
        <w:t xml:space="preserve">, </w:t>
      </w:r>
      <w:proofErr w:type="spellStart"/>
      <w:r w:rsidR="007D0AA9" w:rsidRPr="00C75FE2">
        <w:t>Candlebark</w:t>
      </w:r>
      <w:proofErr w:type="spellEnd"/>
      <w:r w:rsidR="007D0AA9" w:rsidRPr="00C75FE2">
        <w:t xml:space="preserve"> and Ribbon Gum Grassy Woodland</w:t>
      </w:r>
      <w:r w:rsidR="009F4431" w:rsidRPr="00C75FE2">
        <w:t>)</w:t>
      </w:r>
      <w:r w:rsidR="007D0AA9" w:rsidRPr="00C75FE2">
        <w:t xml:space="preserve"> </w:t>
      </w:r>
      <w:r w:rsidRPr="00C75FE2">
        <w:t xml:space="preserve">and </w:t>
      </w:r>
      <w:r w:rsidR="009F4431" w:rsidRPr="00C75FE2">
        <w:t xml:space="preserve">a </w:t>
      </w:r>
      <w:r w:rsidRPr="00C75FE2">
        <w:t>large a</w:t>
      </w:r>
      <w:r w:rsidR="007D0AA9" w:rsidRPr="00C75FE2">
        <w:t xml:space="preserve">rea </w:t>
      </w:r>
      <w:r w:rsidR="0045221F" w:rsidRPr="00C75FE2">
        <w:t>of Koala habitat are</w:t>
      </w:r>
      <w:r w:rsidRPr="00C75FE2">
        <w:t xml:space="preserve"> </w:t>
      </w:r>
      <w:r w:rsidR="00BD4E90" w:rsidRPr="00C75FE2">
        <w:t xml:space="preserve">located in </w:t>
      </w:r>
      <w:r w:rsidR="00B20B92" w:rsidRPr="00C75FE2">
        <w:t>area</w:t>
      </w:r>
      <w:r w:rsidR="00BD4E90" w:rsidRPr="00C75FE2">
        <w:t>s</w:t>
      </w:r>
      <w:r w:rsidR="00B20B92" w:rsidRPr="00C75FE2">
        <w:t xml:space="preserve"> predicted </w:t>
      </w:r>
      <w:r w:rsidR="00327299" w:rsidRPr="00C75FE2">
        <w:t>to be subject to drawdown of</w:t>
      </w:r>
      <w:r w:rsidR="00B20B92" w:rsidRPr="00C75FE2">
        <w:t xml:space="preserve"> greater than 10 </w:t>
      </w:r>
      <w:r w:rsidR="00BD4E90" w:rsidRPr="00C75FE2">
        <w:t>m</w:t>
      </w:r>
      <w:r w:rsidR="00327299" w:rsidRPr="00C75FE2">
        <w:t xml:space="preserve"> in places</w:t>
      </w:r>
      <w:r w:rsidR="007D0AA9" w:rsidRPr="00C75FE2">
        <w:t xml:space="preserve">. </w:t>
      </w:r>
      <w:r w:rsidR="00BD4E90" w:rsidRPr="00C75FE2">
        <w:t>Currently, there is</w:t>
      </w:r>
      <w:r w:rsidR="00B20B92" w:rsidRPr="00C75FE2">
        <w:t xml:space="preserve"> uncertainty in</w:t>
      </w:r>
      <w:r w:rsidR="003E7B72" w:rsidRPr="00C75FE2">
        <w:t>:</w:t>
      </w:r>
    </w:p>
    <w:p w14:paraId="6B936ECE" w14:textId="77777777" w:rsidR="003E7B72" w:rsidRPr="00C75FE2" w:rsidRDefault="003E7B72" w:rsidP="00BD4E90">
      <w:pPr>
        <w:pStyle w:val="ListBullet"/>
        <w:numPr>
          <w:ilvl w:val="1"/>
          <w:numId w:val="21"/>
        </w:numPr>
      </w:pPr>
      <w:r w:rsidRPr="00C75FE2">
        <w:lastRenderedPageBreak/>
        <w:t>T</w:t>
      </w:r>
      <w:r w:rsidR="00F22FD6" w:rsidRPr="00C75FE2">
        <w:t>he</w:t>
      </w:r>
      <w:r w:rsidR="00B20B92" w:rsidRPr="00C75FE2">
        <w:t xml:space="preserve"> identification of GDEs</w:t>
      </w:r>
      <w:r w:rsidR="00BD4E90" w:rsidRPr="00C75FE2">
        <w:t xml:space="preserve"> within and adjacent to the project area</w:t>
      </w:r>
      <w:r w:rsidR="00CA2E44" w:rsidRPr="00C75FE2">
        <w:t xml:space="preserve"> (e.g. see paragraph 10)</w:t>
      </w:r>
    </w:p>
    <w:p w14:paraId="120EB9EB" w14:textId="77777777" w:rsidR="003E7B72" w:rsidRPr="00C75FE2" w:rsidRDefault="003E7B72" w:rsidP="00BD4E90">
      <w:pPr>
        <w:pStyle w:val="ListBullet"/>
        <w:numPr>
          <w:ilvl w:val="1"/>
          <w:numId w:val="21"/>
        </w:numPr>
      </w:pPr>
      <w:r w:rsidRPr="00C75FE2">
        <w:t>Water requirements and resilience of GDEs</w:t>
      </w:r>
    </w:p>
    <w:p w14:paraId="59FF2132" w14:textId="77777777" w:rsidR="00D070F4" w:rsidRPr="00C75FE2" w:rsidRDefault="003E7B72" w:rsidP="00BD4E90">
      <w:pPr>
        <w:pStyle w:val="ListBullet"/>
        <w:numPr>
          <w:ilvl w:val="1"/>
          <w:numId w:val="21"/>
        </w:numPr>
      </w:pPr>
      <w:r w:rsidRPr="00C75FE2">
        <w:t>The extent of the potentiall</w:t>
      </w:r>
      <w:r w:rsidR="00CA2E44" w:rsidRPr="00C75FE2">
        <w:t>y</w:t>
      </w:r>
      <w:r w:rsidR="00A1096A" w:rsidRPr="00C75FE2">
        <w:t xml:space="preserve"> </w:t>
      </w:r>
      <w:r w:rsidR="00B20B92" w:rsidRPr="00C75FE2">
        <w:t>large areas predicted to be impacted</w:t>
      </w:r>
      <w:r w:rsidR="007A15C4" w:rsidRPr="00C75FE2">
        <w:t xml:space="preserve"> </w:t>
      </w:r>
      <w:r w:rsidR="00B20B92" w:rsidRPr="00C75FE2">
        <w:t xml:space="preserve"> </w:t>
      </w:r>
    </w:p>
    <w:p w14:paraId="2BA9572D" w14:textId="77777777" w:rsidR="001D5A30" w:rsidRDefault="001D5A30" w:rsidP="007E56EF">
      <w:pPr>
        <w:pStyle w:val="ListBullet"/>
        <w:numPr>
          <w:ilvl w:val="0"/>
          <w:numId w:val="8"/>
        </w:numPr>
      </w:pPr>
      <w:r>
        <w:t>Monitoring of the surface water flows</w:t>
      </w:r>
      <w:r w:rsidR="00F43CEB">
        <w:t xml:space="preserve"> and water quality</w:t>
      </w:r>
      <w:r>
        <w:t xml:space="preserve"> of Black Bobs Creek and </w:t>
      </w:r>
      <w:proofErr w:type="spellStart"/>
      <w:r>
        <w:t>Wingecarribee</w:t>
      </w:r>
      <w:proofErr w:type="spellEnd"/>
      <w:r>
        <w:t xml:space="preserve"> River </w:t>
      </w:r>
      <w:r w:rsidR="0047486F">
        <w:t xml:space="preserve">is required </w:t>
      </w:r>
      <w:r>
        <w:t xml:space="preserve">to identify any potential impact to the important breeding population of </w:t>
      </w:r>
      <w:r w:rsidR="00B97D31">
        <w:t>P</w:t>
      </w:r>
      <w:r>
        <w:t xml:space="preserve">latypus. </w:t>
      </w:r>
    </w:p>
    <w:p w14:paraId="1A82354A" w14:textId="77777777" w:rsidR="00D02E9C" w:rsidRDefault="0047486F" w:rsidP="007E56EF">
      <w:pPr>
        <w:pStyle w:val="ListBullet"/>
        <w:numPr>
          <w:ilvl w:val="0"/>
          <w:numId w:val="8"/>
        </w:numPr>
      </w:pPr>
      <w:r>
        <w:t>There should be m</w:t>
      </w:r>
      <w:r w:rsidR="00D02E9C">
        <w:t>onitoring of the water table and GDEs</w:t>
      </w:r>
      <w:r w:rsidR="00DE286B">
        <w:t xml:space="preserve"> (including stygofauna)</w:t>
      </w:r>
      <w:r w:rsidR="00D02E9C">
        <w:t xml:space="preserve"> at locations within the impact zone</w:t>
      </w:r>
      <w:r w:rsidR="008205FC">
        <w:t xml:space="preserve"> (including drawdown to 0.2 m)</w:t>
      </w:r>
      <w:r w:rsidR="00D02E9C">
        <w:t xml:space="preserve"> of uncertainty analysis undertaken in the groundwater model, as outlined in</w:t>
      </w:r>
      <w:r>
        <w:t xml:space="preserve"> the response to</w:t>
      </w:r>
      <w:r w:rsidR="00D02E9C">
        <w:t xml:space="preserve"> Question 3.</w:t>
      </w:r>
      <w:r w:rsidR="008205FC">
        <w:t xml:space="preserve"> Monitoring of the water table and </w:t>
      </w:r>
      <w:r>
        <w:t>GDEs should also occur outside</w:t>
      </w:r>
      <w:r w:rsidR="008205FC">
        <w:t xml:space="preserve"> the predicted</w:t>
      </w:r>
      <w:r w:rsidR="00DE286B">
        <w:t xml:space="preserve"> impact zone to provide reference data to discriminate potential impacts from </w:t>
      </w:r>
      <w:r>
        <w:t>natural</w:t>
      </w:r>
      <w:r w:rsidR="00DE286B">
        <w:t xml:space="preserve"> variation</w:t>
      </w:r>
      <w:r>
        <w:t xml:space="preserve"> in</w:t>
      </w:r>
      <w:r w:rsidR="00B02E7E">
        <w:t xml:space="preserve"> the</w:t>
      </w:r>
      <w:r>
        <w:t xml:space="preserve"> groundwater table.</w:t>
      </w:r>
    </w:p>
    <w:p w14:paraId="1043067E" w14:textId="77777777" w:rsidR="001D5A30" w:rsidRPr="00BC7710" w:rsidRDefault="001D5A30" w:rsidP="001D5A30">
      <w:pPr>
        <w:pStyle w:val="ListNumber"/>
        <w:rPr>
          <w:i/>
        </w:rPr>
      </w:pPr>
      <w:r w:rsidRPr="00BC7710">
        <w:rPr>
          <w:i/>
        </w:rPr>
        <w:t>Subsidence</w:t>
      </w:r>
    </w:p>
    <w:p w14:paraId="765CC27F" w14:textId="77777777" w:rsidR="006857BE" w:rsidRDefault="001D5A30" w:rsidP="007E56EF">
      <w:pPr>
        <w:pStyle w:val="ListBullet"/>
        <w:numPr>
          <w:ilvl w:val="0"/>
          <w:numId w:val="8"/>
        </w:numPr>
      </w:pPr>
      <w:r>
        <w:t>While the risk of su</w:t>
      </w:r>
      <w:r w:rsidR="008525D9">
        <w:t>bsidence impacts is considered</w:t>
      </w:r>
      <w:r>
        <w:t xml:space="preserve"> low, the subsidence management plan should include contingency actions should anomalous subsidence events occur. Anomalous events would be most likely to occur where faults or structural features result in reduced competence (structural integrity) within the local stratigraphy. A number of inferred or identified faults </w:t>
      </w:r>
      <w:r w:rsidR="0040169D">
        <w:t xml:space="preserve">occur </w:t>
      </w:r>
      <w:r>
        <w:t>w</w:t>
      </w:r>
      <w:r w:rsidR="00A877E7">
        <w:t>ithin the proposed project area;</w:t>
      </w:r>
      <w:r>
        <w:t xml:space="preserve"> however</w:t>
      </w:r>
      <w:r w:rsidR="00A877E7">
        <w:t>,</w:t>
      </w:r>
      <w:r>
        <w:t xml:space="preserve"> their structural parameters ha</w:t>
      </w:r>
      <w:r w:rsidR="00A47D7D">
        <w:t>ve</w:t>
      </w:r>
      <w:r>
        <w:t xml:space="preserve"> not been </w:t>
      </w:r>
      <w:proofErr w:type="spellStart"/>
      <w:r>
        <w:t>conceptualised</w:t>
      </w:r>
      <w:proofErr w:type="spellEnd"/>
      <w:r>
        <w:t xml:space="preserve"> (</w:t>
      </w:r>
      <w:r w:rsidR="00F33FDB">
        <w:t>see paragraph 3</w:t>
      </w:r>
      <w:r>
        <w:t>). Identification of specific assets at risk from anomalous subsidence should also</w:t>
      </w:r>
      <w:r w:rsidR="006857BE">
        <w:t xml:space="preserve"> </w:t>
      </w:r>
      <w:r w:rsidR="002F6D16">
        <w:t>be included.</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B451D3" w14:paraId="6B4BE9D2" w14:textId="77777777" w:rsidTr="00B1520C">
        <w:trPr>
          <w:trHeight w:val="19"/>
        </w:trPr>
        <w:tc>
          <w:tcPr>
            <w:tcW w:w="1809" w:type="dxa"/>
            <w:tcBorders>
              <w:top w:val="single" w:sz="4" w:space="0" w:color="auto"/>
              <w:bottom w:val="single" w:sz="4" w:space="0" w:color="auto"/>
            </w:tcBorders>
          </w:tcPr>
          <w:p w14:paraId="5F9E8137" w14:textId="77777777" w:rsidR="007203C3" w:rsidRPr="00EF5270" w:rsidRDefault="007203C3" w:rsidP="00D622B9">
            <w:pPr>
              <w:pStyle w:val="Heading6"/>
            </w:pPr>
            <w:r w:rsidRPr="00EF5270">
              <w:t>Date of advice</w:t>
            </w:r>
          </w:p>
        </w:tc>
        <w:tc>
          <w:tcPr>
            <w:tcW w:w="8159" w:type="dxa"/>
            <w:tcBorders>
              <w:top w:val="single" w:sz="4" w:space="0" w:color="auto"/>
              <w:bottom w:val="single" w:sz="4" w:space="0" w:color="auto"/>
            </w:tcBorders>
          </w:tcPr>
          <w:p w14:paraId="5ECFF737" w14:textId="41C9CE82" w:rsidR="007203C3" w:rsidRPr="00EF5270" w:rsidRDefault="002265DB" w:rsidP="001A277D">
            <w:pPr>
              <w:pStyle w:val="Tabletext"/>
            </w:pPr>
            <w:r w:rsidRPr="002265DB">
              <w:t>8</w:t>
            </w:r>
            <w:r w:rsidR="007203C3" w:rsidRPr="002265DB">
              <w:t xml:space="preserve"> </w:t>
            </w:r>
            <w:r w:rsidR="00264A67" w:rsidRPr="002265DB">
              <w:t>May</w:t>
            </w:r>
            <w:r w:rsidR="007203C3" w:rsidRPr="002265DB">
              <w:t xml:space="preserve"> 201</w:t>
            </w:r>
            <w:r w:rsidR="00264A67" w:rsidRPr="002265DB">
              <w:t>7</w:t>
            </w:r>
            <w:r w:rsidR="003E2135" w:rsidRPr="002265DB">
              <w:t xml:space="preserve"> </w:t>
            </w:r>
          </w:p>
        </w:tc>
      </w:tr>
      <w:tr w:rsidR="007203C3" w:rsidRPr="00CC2B33" w14:paraId="4122858A" w14:textId="77777777" w:rsidTr="00B1520C">
        <w:trPr>
          <w:trHeight w:val="161"/>
        </w:trPr>
        <w:tc>
          <w:tcPr>
            <w:tcW w:w="1809" w:type="dxa"/>
            <w:tcBorders>
              <w:top w:val="single" w:sz="4" w:space="0" w:color="auto"/>
              <w:bottom w:val="single" w:sz="4" w:space="0" w:color="auto"/>
            </w:tcBorders>
          </w:tcPr>
          <w:p w14:paraId="5A560C42" w14:textId="77777777" w:rsidR="007203C3" w:rsidRPr="00EF5270" w:rsidRDefault="007203C3" w:rsidP="00D622B9">
            <w:pPr>
              <w:pStyle w:val="Heading6"/>
            </w:pPr>
            <w:r w:rsidRPr="00EF5270">
              <w:t xml:space="preserve">Source documentation available to the </w:t>
            </w:r>
            <w:r w:rsidR="00A83DF5" w:rsidRPr="00EF5270">
              <w:t>IESC</w:t>
            </w:r>
            <w:r w:rsidRPr="00EF5270">
              <w:t xml:space="preserve"> in the formulation of this advice</w:t>
            </w:r>
          </w:p>
        </w:tc>
        <w:tc>
          <w:tcPr>
            <w:tcW w:w="8159" w:type="dxa"/>
            <w:tcBorders>
              <w:top w:val="single" w:sz="4" w:space="0" w:color="auto"/>
              <w:bottom w:val="single" w:sz="4" w:space="0" w:color="auto"/>
            </w:tcBorders>
          </w:tcPr>
          <w:p w14:paraId="32211A44" w14:textId="77777777" w:rsidR="0064162A" w:rsidRPr="0064162A" w:rsidRDefault="0064162A" w:rsidP="0064162A">
            <w:pPr>
              <w:pStyle w:val="Tabletext"/>
              <w:spacing w:after="240"/>
              <w:rPr>
                <w:color w:val="000000" w:themeColor="text1"/>
              </w:rPr>
            </w:pPr>
            <w:r w:rsidRPr="0064162A">
              <w:rPr>
                <w:color w:val="000000" w:themeColor="text1"/>
              </w:rPr>
              <w:t xml:space="preserve">Hume Coal Pty Ltd 2017. </w:t>
            </w:r>
            <w:r w:rsidRPr="0064162A">
              <w:rPr>
                <w:i/>
                <w:color w:val="000000" w:themeColor="text1"/>
              </w:rPr>
              <w:t>Hume Coal Project Environmental Impact Statement.</w:t>
            </w:r>
          </w:p>
          <w:p w14:paraId="3AF977D3" w14:textId="77777777" w:rsidR="0064162A" w:rsidRPr="0064162A" w:rsidRDefault="0064162A" w:rsidP="00D622B9">
            <w:pPr>
              <w:pStyle w:val="Tabletext"/>
              <w:rPr>
                <w:color w:val="000000" w:themeColor="text1"/>
              </w:rPr>
            </w:pPr>
            <w:r w:rsidRPr="0064162A">
              <w:rPr>
                <w:color w:val="000000" w:themeColor="text1"/>
              </w:rPr>
              <w:t xml:space="preserve">Hume Coal Pty Ltd 2015. </w:t>
            </w:r>
            <w:r w:rsidRPr="0064162A">
              <w:rPr>
                <w:i/>
                <w:color w:val="000000" w:themeColor="text1"/>
              </w:rPr>
              <w:t>Hume Coal Project Referral of Proposed Action</w:t>
            </w:r>
            <w:r>
              <w:rPr>
                <w:i/>
                <w:color w:val="000000" w:themeColor="text1"/>
              </w:rPr>
              <w:t>.</w:t>
            </w:r>
            <w:r w:rsidRPr="0064162A">
              <w:rPr>
                <w:color w:val="000000" w:themeColor="text1"/>
              </w:rPr>
              <w:t xml:space="preserve"> </w:t>
            </w:r>
          </w:p>
          <w:p w14:paraId="0F769A52" w14:textId="77777777" w:rsidR="007203C3" w:rsidRDefault="007203C3" w:rsidP="00D622B9">
            <w:pPr>
              <w:pStyle w:val="Tabletext"/>
              <w:rPr>
                <w:szCs w:val="22"/>
              </w:rPr>
            </w:pPr>
          </w:p>
          <w:p w14:paraId="540AE5E6" w14:textId="77777777" w:rsidR="00736FC1" w:rsidRPr="00EF5270" w:rsidRDefault="00736FC1" w:rsidP="00D622B9">
            <w:pPr>
              <w:pStyle w:val="Tabletext"/>
              <w:rPr>
                <w:szCs w:val="22"/>
              </w:rPr>
            </w:pPr>
          </w:p>
        </w:tc>
      </w:tr>
      <w:tr w:rsidR="007203C3" w:rsidRPr="00304CA9" w14:paraId="517CD817" w14:textId="77777777" w:rsidTr="00B1520C">
        <w:trPr>
          <w:trHeight w:val="19"/>
        </w:trPr>
        <w:tc>
          <w:tcPr>
            <w:tcW w:w="1809" w:type="dxa"/>
            <w:tcBorders>
              <w:top w:val="single" w:sz="4" w:space="0" w:color="auto"/>
              <w:bottom w:val="single" w:sz="4" w:space="0" w:color="auto"/>
            </w:tcBorders>
          </w:tcPr>
          <w:p w14:paraId="6469E8EE" w14:textId="77777777" w:rsidR="007203C3" w:rsidRPr="00EF5270" w:rsidRDefault="007203C3" w:rsidP="00D622B9">
            <w:pPr>
              <w:pStyle w:val="Heading6"/>
            </w:pPr>
            <w:r w:rsidRPr="00EF5270">
              <w:t xml:space="preserve">References cited within the </w:t>
            </w:r>
            <w:r w:rsidR="00A83DF5" w:rsidRPr="00EF5270">
              <w:t>IESC</w:t>
            </w:r>
            <w:r w:rsidRPr="00EF5270">
              <w:t>’s advice</w:t>
            </w:r>
          </w:p>
        </w:tc>
        <w:tc>
          <w:tcPr>
            <w:tcW w:w="8159" w:type="dxa"/>
            <w:tcBorders>
              <w:top w:val="single" w:sz="4" w:space="0" w:color="auto"/>
              <w:bottom w:val="single" w:sz="4" w:space="0" w:color="auto"/>
            </w:tcBorders>
          </w:tcPr>
          <w:p w14:paraId="4E19DE95" w14:textId="77777777" w:rsidR="00F657D7" w:rsidRPr="00EF5270" w:rsidRDefault="0048018F" w:rsidP="0048018F">
            <w:pPr>
              <w:pStyle w:val="Tabletext"/>
              <w:spacing w:line="240" w:lineRule="auto"/>
              <w:ind w:left="34"/>
            </w:pPr>
            <w:r w:rsidRPr="0048018F">
              <w:t xml:space="preserve">IESC. 2015. </w:t>
            </w:r>
            <w:r w:rsidRPr="0048018F">
              <w:rPr>
                <w:i/>
              </w:rPr>
              <w:t>Information Guidelines for the Independent Expert Scientific Committee advice on coal seam gas and large coal mining development proposals</w:t>
            </w:r>
            <w:r w:rsidRPr="0048018F">
              <w:t xml:space="preserve"> [Online]. Available: </w:t>
            </w:r>
            <w:hyperlink r:id="rId8" w:history="1">
              <w:r w:rsidRPr="0016131D">
                <w:rPr>
                  <w:rStyle w:val="Hyperlink"/>
                </w:rPr>
                <w:t>http://www.iesc.environment.gov.au/system/files/resources/012fa918-ee79-4131-9c8d-02c9b2de65cf/files/iesc-information-guidelines-oct-2015.pdf</w:t>
              </w:r>
            </w:hyperlink>
            <w:r w:rsidRPr="0048018F">
              <w:t>.</w:t>
            </w:r>
          </w:p>
        </w:tc>
      </w:tr>
    </w:tbl>
    <w:p w14:paraId="3D7ABBA7" w14:textId="77777777" w:rsidR="004118D4" w:rsidRDefault="004118D4" w:rsidP="00D622B9"/>
    <w:sectPr w:rsidR="004118D4" w:rsidSect="0029769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425" w:footer="42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A5193" w14:textId="77777777" w:rsidR="00DD099D" w:rsidRDefault="00DD099D" w:rsidP="00D622B9">
      <w:r>
        <w:separator/>
      </w:r>
    </w:p>
  </w:endnote>
  <w:endnote w:type="continuationSeparator" w:id="0">
    <w:p w14:paraId="16084CC8" w14:textId="77777777" w:rsidR="00DD099D" w:rsidRDefault="00DD099D" w:rsidP="00D622B9">
      <w:r>
        <w:continuationSeparator/>
      </w:r>
    </w:p>
  </w:endnote>
  <w:endnote w:type="continuationNotice" w:id="1">
    <w:p w14:paraId="737746F4" w14:textId="77777777" w:rsidR="00DD099D" w:rsidRDefault="00DD09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imes New Roman"/>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2202A" w14:textId="77777777" w:rsidR="000F2CE8" w:rsidRDefault="000F2C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C4EE6" w14:textId="77777777" w:rsidR="00C7200D" w:rsidRPr="00637239" w:rsidRDefault="00C7200D" w:rsidP="00637239">
    <w:pPr>
      <w:pStyle w:val="Footer"/>
    </w:pPr>
  </w:p>
  <w:p w14:paraId="3C2BBFF9" w14:textId="73CD8A69" w:rsidR="00C7200D" w:rsidRPr="002265DB" w:rsidRDefault="00C7200D" w:rsidP="00637239">
    <w:pPr>
      <w:pStyle w:val="Footer"/>
      <w:rPr>
        <w:sz w:val="20"/>
      </w:rPr>
    </w:pPr>
    <w:r w:rsidRPr="002265DB">
      <w:rPr>
        <w:sz w:val="20"/>
      </w:rPr>
      <w:t xml:space="preserve">Hume Coal </w:t>
    </w:r>
    <w:r w:rsidR="0033190B" w:rsidRPr="002265DB">
      <w:rPr>
        <w:sz w:val="20"/>
      </w:rPr>
      <w:t>Project</w:t>
    </w:r>
    <w:r w:rsidR="00474477">
      <w:rPr>
        <w:sz w:val="20"/>
      </w:rPr>
      <w:t xml:space="preserve"> Advice</w:t>
    </w:r>
    <w:r w:rsidRPr="002265DB">
      <w:rPr>
        <w:sz w:val="20"/>
      </w:rPr>
      <w:ptab w:relativeTo="margin" w:alignment="right" w:leader="none"/>
    </w:r>
    <w:r w:rsidR="002265DB" w:rsidRPr="002265DB">
      <w:rPr>
        <w:sz w:val="20"/>
      </w:rPr>
      <w:t>8</w:t>
    </w:r>
    <w:r w:rsidRPr="002265DB">
      <w:rPr>
        <w:sz w:val="20"/>
      </w:rPr>
      <w:t xml:space="preserve"> May 2017</w:t>
    </w:r>
  </w:p>
  <w:p w14:paraId="75707504" w14:textId="77777777" w:rsidR="00C7200D" w:rsidRPr="00637239" w:rsidRDefault="00596396" w:rsidP="00637239">
    <w:pPr>
      <w:pStyle w:val="Footer"/>
      <w:jc w:val="center"/>
      <w:rPr>
        <w:sz w:val="20"/>
      </w:rPr>
    </w:pPr>
    <w:r w:rsidRPr="00637239">
      <w:rPr>
        <w:sz w:val="20"/>
      </w:rPr>
      <w:fldChar w:fldCharType="begin"/>
    </w:r>
    <w:r w:rsidR="00C7200D" w:rsidRPr="00637239">
      <w:rPr>
        <w:sz w:val="20"/>
      </w:rPr>
      <w:instrText xml:space="preserve"> PAGE   \* MERGEFORMAT </w:instrText>
    </w:r>
    <w:r w:rsidRPr="00637239">
      <w:rPr>
        <w:sz w:val="20"/>
      </w:rPr>
      <w:fldChar w:fldCharType="separate"/>
    </w:r>
    <w:r w:rsidR="000F2CE8">
      <w:rPr>
        <w:noProof/>
        <w:sz w:val="20"/>
      </w:rPr>
      <w:t>2</w:t>
    </w:r>
    <w:r w:rsidRPr="00637239">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05DEB" w14:textId="77777777" w:rsidR="00C7200D" w:rsidRPr="00D15280" w:rsidRDefault="00C7200D" w:rsidP="00637239">
    <w:pPr>
      <w:pStyle w:val="Footer"/>
    </w:pPr>
    <w:r w:rsidRPr="00062A46">
      <w:t>Draft</w:t>
    </w:r>
    <w:r w:rsidRPr="00D15280">
      <w:t xml:space="preserve"> Advice</w:t>
    </w:r>
    <w:r>
      <w:t xml:space="preserve"> – Version </w:t>
    </w:r>
    <w:r w:rsidRPr="00062A46">
      <w:t>1</w:t>
    </w:r>
    <w:r w:rsidRPr="00D15280">
      <w:ptab w:relativeTo="margin" w:alignment="right" w:leader="none"/>
    </w:r>
    <w:r w:rsidRPr="00062A46">
      <w:rPr>
        <w:b/>
      </w:rPr>
      <w:t>DATE</w:t>
    </w:r>
  </w:p>
  <w:p w14:paraId="676FD0D8" w14:textId="77777777" w:rsidR="00C7200D" w:rsidRPr="00062A46" w:rsidRDefault="000F2CE8" w:rsidP="00637239">
    <w:pPr>
      <w:pStyle w:val="Footer"/>
    </w:pPr>
    <w:sdt>
      <w:sdtPr>
        <w:id w:val="32750052"/>
        <w:docPartObj>
          <w:docPartGallery w:val="Page Numbers (Bottom of Page)"/>
          <w:docPartUnique/>
        </w:docPartObj>
      </w:sdtPr>
      <w:sdtEndPr/>
      <w:sdtContent>
        <w:r w:rsidR="00DD099D">
          <w:fldChar w:fldCharType="begin"/>
        </w:r>
        <w:r w:rsidR="00DD099D">
          <w:instrText xml:space="preserve"> PAGE   \* MERGEFORMAT </w:instrText>
        </w:r>
        <w:r w:rsidR="00DD099D">
          <w:fldChar w:fldCharType="separate"/>
        </w:r>
        <w:r w:rsidR="00C7200D">
          <w:rPr>
            <w:noProof/>
          </w:rPr>
          <w:t>1</w:t>
        </w:r>
        <w:r w:rsidR="00DD099D">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EB8F1" w14:textId="77777777" w:rsidR="00DD099D" w:rsidRDefault="00DD099D" w:rsidP="00D622B9">
      <w:r>
        <w:separator/>
      </w:r>
    </w:p>
  </w:footnote>
  <w:footnote w:type="continuationSeparator" w:id="0">
    <w:p w14:paraId="2F67B060" w14:textId="77777777" w:rsidR="00DD099D" w:rsidRDefault="00DD099D" w:rsidP="00D622B9">
      <w:r>
        <w:continuationSeparator/>
      </w:r>
    </w:p>
  </w:footnote>
  <w:footnote w:type="continuationNotice" w:id="1">
    <w:p w14:paraId="151A50F9" w14:textId="77777777" w:rsidR="00DD099D" w:rsidRDefault="00DD099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187EF" w14:textId="29ED39ED" w:rsidR="00C7200D" w:rsidRDefault="00C7200D" w:rsidP="00D622B9">
    <w:pPr>
      <w:pStyle w:val="Classification"/>
    </w:pPr>
    <w:r>
      <w:rPr>
        <w:lang w:val="en-US"/>
      </w:rPr>
      <w:t>Error! Unknown document property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3901B" w14:textId="0CD403BB" w:rsidR="00B64116" w:rsidRDefault="00B641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A951E" w14:textId="1B9E7B4F" w:rsidR="00B64116" w:rsidRDefault="00B641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4B2D8C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6940C14"/>
    <w:multiLevelType w:val="hybridMultilevel"/>
    <w:tmpl w:val="0AEC6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C23CDE"/>
    <w:multiLevelType w:val="hybridMultilevel"/>
    <w:tmpl w:val="E532376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C79236A"/>
    <w:multiLevelType w:val="hybridMultilevel"/>
    <w:tmpl w:val="B29EE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572F0"/>
    <w:multiLevelType w:val="hybridMultilevel"/>
    <w:tmpl w:val="73FE6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6062CC"/>
    <w:multiLevelType w:val="hybridMultilevel"/>
    <w:tmpl w:val="73BA2D5A"/>
    <w:lvl w:ilvl="0" w:tplc="38DCBF36">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D4101E"/>
    <w:multiLevelType w:val="hybridMultilevel"/>
    <w:tmpl w:val="DC02C20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B440E45"/>
    <w:multiLevelType w:val="hybridMultilevel"/>
    <w:tmpl w:val="3B20C8D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5C17DA8"/>
    <w:multiLevelType w:val="hybridMultilevel"/>
    <w:tmpl w:val="73BA2D5A"/>
    <w:lvl w:ilvl="0" w:tplc="38DCBF36">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B2B3290"/>
    <w:multiLevelType w:val="hybridMultilevel"/>
    <w:tmpl w:val="055E2488"/>
    <w:lvl w:ilvl="0" w:tplc="F3E40B9C">
      <w:start w:val="1"/>
      <w:numFmt w:val="bullet"/>
      <w:lvlText w:val=""/>
      <w:lvlJc w:val="left"/>
      <w:pPr>
        <w:ind w:left="360" w:hanging="360"/>
      </w:pPr>
      <w:rPr>
        <w:rFonts w:ascii="Symbol" w:hAnsi="Symbol" w:hint="default"/>
      </w:rPr>
    </w:lvl>
    <w:lvl w:ilvl="1" w:tplc="05447F80">
      <w:start w:val="1"/>
      <w:numFmt w:val="bullet"/>
      <w:lvlText w:val=""/>
      <w:lvlJc w:val="left"/>
      <w:pPr>
        <w:ind w:left="1080" w:hanging="360"/>
      </w:pPr>
      <w:rPr>
        <w:rFonts w:ascii="Symbol" w:hAnsi="Symbol" w:hint="default"/>
      </w:rPr>
    </w:lvl>
    <w:lvl w:ilvl="2" w:tplc="22603556">
      <w:start w:val="1"/>
      <w:numFmt w:val="bullet"/>
      <w:lvlText w:val=""/>
      <w:lvlJc w:val="left"/>
      <w:pPr>
        <w:ind w:left="1800" w:hanging="360"/>
      </w:pPr>
      <w:rPr>
        <w:rFonts w:ascii="Wingdings" w:hAnsi="Wingdings" w:hint="default"/>
      </w:rPr>
    </w:lvl>
    <w:lvl w:ilvl="3" w:tplc="93E0953A" w:tentative="1">
      <w:start w:val="1"/>
      <w:numFmt w:val="bullet"/>
      <w:lvlText w:val=""/>
      <w:lvlJc w:val="left"/>
      <w:pPr>
        <w:ind w:left="2520" w:hanging="360"/>
      </w:pPr>
      <w:rPr>
        <w:rFonts w:ascii="Symbol" w:hAnsi="Symbol" w:hint="default"/>
      </w:rPr>
    </w:lvl>
    <w:lvl w:ilvl="4" w:tplc="473AC792" w:tentative="1">
      <w:start w:val="1"/>
      <w:numFmt w:val="bullet"/>
      <w:lvlText w:val="o"/>
      <w:lvlJc w:val="left"/>
      <w:pPr>
        <w:ind w:left="3240" w:hanging="360"/>
      </w:pPr>
      <w:rPr>
        <w:rFonts w:ascii="Courier New" w:hAnsi="Courier New" w:cs="Courier New" w:hint="default"/>
      </w:rPr>
    </w:lvl>
    <w:lvl w:ilvl="5" w:tplc="B84E220A" w:tentative="1">
      <w:start w:val="1"/>
      <w:numFmt w:val="bullet"/>
      <w:lvlText w:val=""/>
      <w:lvlJc w:val="left"/>
      <w:pPr>
        <w:ind w:left="3960" w:hanging="360"/>
      </w:pPr>
      <w:rPr>
        <w:rFonts w:ascii="Wingdings" w:hAnsi="Wingdings" w:hint="default"/>
      </w:rPr>
    </w:lvl>
    <w:lvl w:ilvl="6" w:tplc="3F4A65F8" w:tentative="1">
      <w:start w:val="1"/>
      <w:numFmt w:val="bullet"/>
      <w:lvlText w:val=""/>
      <w:lvlJc w:val="left"/>
      <w:pPr>
        <w:ind w:left="4680" w:hanging="360"/>
      </w:pPr>
      <w:rPr>
        <w:rFonts w:ascii="Symbol" w:hAnsi="Symbol" w:hint="default"/>
      </w:rPr>
    </w:lvl>
    <w:lvl w:ilvl="7" w:tplc="723ABEAC" w:tentative="1">
      <w:start w:val="1"/>
      <w:numFmt w:val="bullet"/>
      <w:lvlText w:val="o"/>
      <w:lvlJc w:val="left"/>
      <w:pPr>
        <w:ind w:left="5400" w:hanging="360"/>
      </w:pPr>
      <w:rPr>
        <w:rFonts w:ascii="Courier New" w:hAnsi="Courier New" w:cs="Courier New" w:hint="default"/>
      </w:rPr>
    </w:lvl>
    <w:lvl w:ilvl="8" w:tplc="5232AFDE" w:tentative="1">
      <w:start w:val="1"/>
      <w:numFmt w:val="bullet"/>
      <w:lvlText w:val=""/>
      <w:lvlJc w:val="left"/>
      <w:pPr>
        <w:ind w:left="6120" w:hanging="360"/>
      </w:pPr>
      <w:rPr>
        <w:rFonts w:ascii="Wingdings" w:hAnsi="Wingdings" w:hint="default"/>
      </w:rPr>
    </w:lvl>
  </w:abstractNum>
  <w:abstractNum w:abstractNumId="12" w15:restartNumberingAfterBreak="0">
    <w:nsid w:val="459A59B6"/>
    <w:multiLevelType w:val="hybridMultilevel"/>
    <w:tmpl w:val="5494229E"/>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5514F3"/>
    <w:multiLevelType w:val="hybridMultilevel"/>
    <w:tmpl w:val="7B3AF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DD74A2"/>
    <w:multiLevelType w:val="hybridMultilevel"/>
    <w:tmpl w:val="5494229E"/>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9639E0"/>
    <w:multiLevelType w:val="hybridMultilevel"/>
    <w:tmpl w:val="73BA2D5A"/>
    <w:lvl w:ilvl="0" w:tplc="38DCBF36">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E05545"/>
    <w:multiLevelType w:val="hybridMultilevel"/>
    <w:tmpl w:val="0502904C"/>
    <w:lvl w:ilvl="0" w:tplc="05447F80">
      <w:start w:val="1"/>
      <w:numFmt w:val="bullet"/>
      <w:lvlText w:val=""/>
      <w:lvlJc w:val="left"/>
      <w:pPr>
        <w:ind w:left="720" w:hanging="360"/>
      </w:pPr>
      <w:rPr>
        <w:rFonts w:ascii="Symbol" w:hAnsi="Symbol" w:hint="default"/>
      </w:rPr>
    </w:lvl>
    <w:lvl w:ilvl="1" w:tplc="05447F8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0C3BC5"/>
    <w:multiLevelType w:val="hybridMultilevel"/>
    <w:tmpl w:val="5494229E"/>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7602A9"/>
    <w:multiLevelType w:val="hybridMultilevel"/>
    <w:tmpl w:val="5494229E"/>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89629E"/>
    <w:multiLevelType w:val="hybridMultilevel"/>
    <w:tmpl w:val="5494229E"/>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20"/>
  </w:num>
  <w:num w:numId="2">
    <w:abstractNumId w:val="1"/>
  </w:num>
  <w:num w:numId="3">
    <w:abstractNumId w:val="10"/>
  </w:num>
  <w:num w:numId="4">
    <w:abstractNumId w:val="11"/>
  </w:num>
  <w:num w:numId="5">
    <w:abstractNumId w:val="2"/>
  </w:num>
  <w:num w:numId="6">
    <w:abstractNumId w:val="13"/>
  </w:num>
  <w:num w:numId="7">
    <w:abstractNumId w:val="16"/>
  </w:num>
  <w:num w:numId="8">
    <w:abstractNumId w:val="7"/>
  </w:num>
  <w:num w:numId="9">
    <w:abstractNumId w:val="14"/>
  </w:num>
  <w:num w:numId="10">
    <w:abstractNumId w:val="12"/>
  </w:num>
  <w:num w:numId="11">
    <w:abstractNumId w:val="19"/>
  </w:num>
  <w:num w:numId="12">
    <w:abstractNumId w:val="18"/>
  </w:num>
  <w:num w:numId="13">
    <w:abstractNumId w:val="0"/>
  </w:num>
  <w:num w:numId="14">
    <w:abstractNumId w:val="6"/>
  </w:num>
  <w:num w:numId="15">
    <w:abstractNumId w:val="17"/>
  </w:num>
  <w:num w:numId="16">
    <w:abstractNumId w:val="15"/>
  </w:num>
  <w:num w:numId="17">
    <w:abstractNumId w:val="8"/>
  </w:num>
  <w:num w:numId="18">
    <w:abstractNumId w:val="5"/>
  </w:num>
  <w:num w:numId="19">
    <w:abstractNumId w:val="9"/>
  </w:num>
  <w:num w:numId="20">
    <w:abstractNumId w:val="4"/>
  </w:num>
  <w:num w:numId="2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29F7"/>
    <w:rsid w:val="00004AEE"/>
    <w:rsid w:val="00005CAA"/>
    <w:rsid w:val="00007B99"/>
    <w:rsid w:val="00010210"/>
    <w:rsid w:val="00012D66"/>
    <w:rsid w:val="00014AD4"/>
    <w:rsid w:val="00014D4C"/>
    <w:rsid w:val="00014DA7"/>
    <w:rsid w:val="000152E8"/>
    <w:rsid w:val="00015ADA"/>
    <w:rsid w:val="00016272"/>
    <w:rsid w:val="00017A6B"/>
    <w:rsid w:val="00017F15"/>
    <w:rsid w:val="00020C99"/>
    <w:rsid w:val="000220B9"/>
    <w:rsid w:val="000226C7"/>
    <w:rsid w:val="00023083"/>
    <w:rsid w:val="000232F7"/>
    <w:rsid w:val="00023E04"/>
    <w:rsid w:val="0002707B"/>
    <w:rsid w:val="00027FD1"/>
    <w:rsid w:val="000308EC"/>
    <w:rsid w:val="00031B32"/>
    <w:rsid w:val="00034B33"/>
    <w:rsid w:val="00036610"/>
    <w:rsid w:val="0003698A"/>
    <w:rsid w:val="0004136F"/>
    <w:rsid w:val="00041EE4"/>
    <w:rsid w:val="00044B93"/>
    <w:rsid w:val="0004514A"/>
    <w:rsid w:val="000467C2"/>
    <w:rsid w:val="0004695E"/>
    <w:rsid w:val="0005148E"/>
    <w:rsid w:val="000519D6"/>
    <w:rsid w:val="00054194"/>
    <w:rsid w:val="000547F0"/>
    <w:rsid w:val="00054FC8"/>
    <w:rsid w:val="00055143"/>
    <w:rsid w:val="00060684"/>
    <w:rsid w:val="00061273"/>
    <w:rsid w:val="00062A46"/>
    <w:rsid w:val="0006314F"/>
    <w:rsid w:val="00065617"/>
    <w:rsid w:val="00065727"/>
    <w:rsid w:val="000658CE"/>
    <w:rsid w:val="00065DA7"/>
    <w:rsid w:val="00065F7E"/>
    <w:rsid w:val="0006764C"/>
    <w:rsid w:val="000679F9"/>
    <w:rsid w:val="00070A34"/>
    <w:rsid w:val="000720BE"/>
    <w:rsid w:val="00072566"/>
    <w:rsid w:val="00072EEF"/>
    <w:rsid w:val="0007380B"/>
    <w:rsid w:val="00074E7A"/>
    <w:rsid w:val="00075653"/>
    <w:rsid w:val="000759E5"/>
    <w:rsid w:val="0007601C"/>
    <w:rsid w:val="00076948"/>
    <w:rsid w:val="00076C9A"/>
    <w:rsid w:val="000800E2"/>
    <w:rsid w:val="00081C04"/>
    <w:rsid w:val="00083DE9"/>
    <w:rsid w:val="00084AC6"/>
    <w:rsid w:val="00085816"/>
    <w:rsid w:val="00086241"/>
    <w:rsid w:val="00087902"/>
    <w:rsid w:val="00091608"/>
    <w:rsid w:val="000918D4"/>
    <w:rsid w:val="0009196E"/>
    <w:rsid w:val="00091B55"/>
    <w:rsid w:val="00092D68"/>
    <w:rsid w:val="00092F92"/>
    <w:rsid w:val="0009333C"/>
    <w:rsid w:val="0009704F"/>
    <w:rsid w:val="000A0F11"/>
    <w:rsid w:val="000A1139"/>
    <w:rsid w:val="000A125A"/>
    <w:rsid w:val="000A228F"/>
    <w:rsid w:val="000A27C9"/>
    <w:rsid w:val="000A4439"/>
    <w:rsid w:val="000A4AD0"/>
    <w:rsid w:val="000A57CD"/>
    <w:rsid w:val="000A616F"/>
    <w:rsid w:val="000B0138"/>
    <w:rsid w:val="000B0609"/>
    <w:rsid w:val="000B0BA6"/>
    <w:rsid w:val="000B1DA3"/>
    <w:rsid w:val="000B1FB1"/>
    <w:rsid w:val="000B21EB"/>
    <w:rsid w:val="000B2FF3"/>
    <w:rsid w:val="000B3417"/>
    <w:rsid w:val="000B3758"/>
    <w:rsid w:val="000B4421"/>
    <w:rsid w:val="000B674A"/>
    <w:rsid w:val="000B7681"/>
    <w:rsid w:val="000B7B42"/>
    <w:rsid w:val="000C00BA"/>
    <w:rsid w:val="000C02B7"/>
    <w:rsid w:val="000C2814"/>
    <w:rsid w:val="000C331B"/>
    <w:rsid w:val="000C33D5"/>
    <w:rsid w:val="000C451B"/>
    <w:rsid w:val="000C5342"/>
    <w:rsid w:val="000C542B"/>
    <w:rsid w:val="000C5CA5"/>
    <w:rsid w:val="000C6A1B"/>
    <w:rsid w:val="000C706A"/>
    <w:rsid w:val="000C7A4E"/>
    <w:rsid w:val="000D0A92"/>
    <w:rsid w:val="000D273E"/>
    <w:rsid w:val="000D2887"/>
    <w:rsid w:val="000D2D51"/>
    <w:rsid w:val="000D6D63"/>
    <w:rsid w:val="000D706B"/>
    <w:rsid w:val="000D73B5"/>
    <w:rsid w:val="000D7810"/>
    <w:rsid w:val="000D7E87"/>
    <w:rsid w:val="000E0081"/>
    <w:rsid w:val="000E07CF"/>
    <w:rsid w:val="000E251B"/>
    <w:rsid w:val="000E55D9"/>
    <w:rsid w:val="000E6068"/>
    <w:rsid w:val="000E7C03"/>
    <w:rsid w:val="000F0593"/>
    <w:rsid w:val="000F2CE8"/>
    <w:rsid w:val="000F4533"/>
    <w:rsid w:val="000F7817"/>
    <w:rsid w:val="00100BEF"/>
    <w:rsid w:val="00100DF3"/>
    <w:rsid w:val="001027AC"/>
    <w:rsid w:val="00102E17"/>
    <w:rsid w:val="001070EA"/>
    <w:rsid w:val="0011353F"/>
    <w:rsid w:val="0011498E"/>
    <w:rsid w:val="00116F28"/>
    <w:rsid w:val="00117A45"/>
    <w:rsid w:val="001217F3"/>
    <w:rsid w:val="001224AE"/>
    <w:rsid w:val="00123035"/>
    <w:rsid w:val="00123641"/>
    <w:rsid w:val="00124766"/>
    <w:rsid w:val="0012734B"/>
    <w:rsid w:val="00131016"/>
    <w:rsid w:val="0013339A"/>
    <w:rsid w:val="001337D4"/>
    <w:rsid w:val="00133E0E"/>
    <w:rsid w:val="001340EA"/>
    <w:rsid w:val="00134FC0"/>
    <w:rsid w:val="00135C1C"/>
    <w:rsid w:val="00135DCE"/>
    <w:rsid w:val="00135F99"/>
    <w:rsid w:val="0013615D"/>
    <w:rsid w:val="00140BB6"/>
    <w:rsid w:val="00141E02"/>
    <w:rsid w:val="00142107"/>
    <w:rsid w:val="00142A88"/>
    <w:rsid w:val="00143C75"/>
    <w:rsid w:val="00147C12"/>
    <w:rsid w:val="00147EFC"/>
    <w:rsid w:val="0015032A"/>
    <w:rsid w:val="00150789"/>
    <w:rsid w:val="00150B50"/>
    <w:rsid w:val="0015244E"/>
    <w:rsid w:val="001527A1"/>
    <w:rsid w:val="001530DC"/>
    <w:rsid w:val="001530F1"/>
    <w:rsid w:val="001539AF"/>
    <w:rsid w:val="00153A9B"/>
    <w:rsid w:val="0015491D"/>
    <w:rsid w:val="00154989"/>
    <w:rsid w:val="0015502C"/>
    <w:rsid w:val="00155A9F"/>
    <w:rsid w:val="0015684F"/>
    <w:rsid w:val="00160262"/>
    <w:rsid w:val="0016186F"/>
    <w:rsid w:val="0016281C"/>
    <w:rsid w:val="00162968"/>
    <w:rsid w:val="0016433A"/>
    <w:rsid w:val="00165BD3"/>
    <w:rsid w:val="00166A98"/>
    <w:rsid w:val="0016780A"/>
    <w:rsid w:val="00167DF9"/>
    <w:rsid w:val="00170EEF"/>
    <w:rsid w:val="001713FA"/>
    <w:rsid w:val="00172A0F"/>
    <w:rsid w:val="00173EBF"/>
    <w:rsid w:val="001765DA"/>
    <w:rsid w:val="001842A2"/>
    <w:rsid w:val="00185039"/>
    <w:rsid w:val="00185407"/>
    <w:rsid w:val="001862FA"/>
    <w:rsid w:val="00186465"/>
    <w:rsid w:val="001875C9"/>
    <w:rsid w:val="00187FA8"/>
    <w:rsid w:val="00190657"/>
    <w:rsid w:val="00190C28"/>
    <w:rsid w:val="001922D0"/>
    <w:rsid w:val="001925D7"/>
    <w:rsid w:val="00192F5E"/>
    <w:rsid w:val="00193A04"/>
    <w:rsid w:val="00197772"/>
    <w:rsid w:val="001A0A97"/>
    <w:rsid w:val="001A13B6"/>
    <w:rsid w:val="001A277D"/>
    <w:rsid w:val="001A4F1D"/>
    <w:rsid w:val="001A51C8"/>
    <w:rsid w:val="001A762A"/>
    <w:rsid w:val="001B141B"/>
    <w:rsid w:val="001B1A12"/>
    <w:rsid w:val="001B1CAE"/>
    <w:rsid w:val="001B26AF"/>
    <w:rsid w:val="001B3A15"/>
    <w:rsid w:val="001B472B"/>
    <w:rsid w:val="001B4CA8"/>
    <w:rsid w:val="001C07A4"/>
    <w:rsid w:val="001C2A92"/>
    <w:rsid w:val="001C4C39"/>
    <w:rsid w:val="001C4F3D"/>
    <w:rsid w:val="001C62F9"/>
    <w:rsid w:val="001D0CDC"/>
    <w:rsid w:val="001D1783"/>
    <w:rsid w:val="001D1C82"/>
    <w:rsid w:val="001D1D82"/>
    <w:rsid w:val="001D2172"/>
    <w:rsid w:val="001D42E0"/>
    <w:rsid w:val="001D54F8"/>
    <w:rsid w:val="001D5A30"/>
    <w:rsid w:val="001E041C"/>
    <w:rsid w:val="001E07FD"/>
    <w:rsid w:val="001E1182"/>
    <w:rsid w:val="001E14C9"/>
    <w:rsid w:val="001E17C4"/>
    <w:rsid w:val="001E2FC8"/>
    <w:rsid w:val="001E7BB5"/>
    <w:rsid w:val="001F0E8B"/>
    <w:rsid w:val="001F1C15"/>
    <w:rsid w:val="001F556D"/>
    <w:rsid w:val="001F5C61"/>
    <w:rsid w:val="001F61A6"/>
    <w:rsid w:val="00200944"/>
    <w:rsid w:val="00200AB6"/>
    <w:rsid w:val="00202387"/>
    <w:rsid w:val="00202C90"/>
    <w:rsid w:val="00204BB3"/>
    <w:rsid w:val="00204E4B"/>
    <w:rsid w:val="00206240"/>
    <w:rsid w:val="00213DE8"/>
    <w:rsid w:val="0021437B"/>
    <w:rsid w:val="00216118"/>
    <w:rsid w:val="00216A0F"/>
    <w:rsid w:val="002209AB"/>
    <w:rsid w:val="00224DE3"/>
    <w:rsid w:val="002251E3"/>
    <w:rsid w:val="00225D9A"/>
    <w:rsid w:val="002262E6"/>
    <w:rsid w:val="002265DB"/>
    <w:rsid w:val="00227A95"/>
    <w:rsid w:val="00227B68"/>
    <w:rsid w:val="002316BD"/>
    <w:rsid w:val="00231AC5"/>
    <w:rsid w:val="002335E5"/>
    <w:rsid w:val="002336F3"/>
    <w:rsid w:val="0023473D"/>
    <w:rsid w:val="0023593C"/>
    <w:rsid w:val="0023745A"/>
    <w:rsid w:val="00237C27"/>
    <w:rsid w:val="00244B61"/>
    <w:rsid w:val="00244E98"/>
    <w:rsid w:val="00246394"/>
    <w:rsid w:val="002473FC"/>
    <w:rsid w:val="00247B40"/>
    <w:rsid w:val="00250B02"/>
    <w:rsid w:val="00250CAA"/>
    <w:rsid w:val="00252E3C"/>
    <w:rsid w:val="0025392E"/>
    <w:rsid w:val="00255FA2"/>
    <w:rsid w:val="00256143"/>
    <w:rsid w:val="002568B9"/>
    <w:rsid w:val="002608A3"/>
    <w:rsid w:val="00261557"/>
    <w:rsid w:val="00261D0E"/>
    <w:rsid w:val="00262198"/>
    <w:rsid w:val="00264A67"/>
    <w:rsid w:val="00264AF9"/>
    <w:rsid w:val="00267E23"/>
    <w:rsid w:val="002716F4"/>
    <w:rsid w:val="0027203F"/>
    <w:rsid w:val="00273385"/>
    <w:rsid w:val="00277426"/>
    <w:rsid w:val="00277A51"/>
    <w:rsid w:val="00277B40"/>
    <w:rsid w:val="00277BB1"/>
    <w:rsid w:val="00285156"/>
    <w:rsid w:val="002853AA"/>
    <w:rsid w:val="00285F1B"/>
    <w:rsid w:val="00286041"/>
    <w:rsid w:val="0029140D"/>
    <w:rsid w:val="00292B81"/>
    <w:rsid w:val="00293167"/>
    <w:rsid w:val="0029322E"/>
    <w:rsid w:val="002932E2"/>
    <w:rsid w:val="00294385"/>
    <w:rsid w:val="002948BB"/>
    <w:rsid w:val="00294A0A"/>
    <w:rsid w:val="0029526E"/>
    <w:rsid w:val="00296477"/>
    <w:rsid w:val="002974BC"/>
    <w:rsid w:val="0029769A"/>
    <w:rsid w:val="002A04CB"/>
    <w:rsid w:val="002A5EC3"/>
    <w:rsid w:val="002A6C34"/>
    <w:rsid w:val="002B02AE"/>
    <w:rsid w:val="002B18AE"/>
    <w:rsid w:val="002B4A8D"/>
    <w:rsid w:val="002B555B"/>
    <w:rsid w:val="002B6472"/>
    <w:rsid w:val="002B67D3"/>
    <w:rsid w:val="002C1C93"/>
    <w:rsid w:val="002C1EAA"/>
    <w:rsid w:val="002C2302"/>
    <w:rsid w:val="002C2605"/>
    <w:rsid w:val="002C2C80"/>
    <w:rsid w:val="002C3257"/>
    <w:rsid w:val="002C3738"/>
    <w:rsid w:val="002C411D"/>
    <w:rsid w:val="002C5066"/>
    <w:rsid w:val="002D0CBC"/>
    <w:rsid w:val="002D2083"/>
    <w:rsid w:val="002D30C7"/>
    <w:rsid w:val="002D3826"/>
    <w:rsid w:val="002D3E8C"/>
    <w:rsid w:val="002D4AAC"/>
    <w:rsid w:val="002D5321"/>
    <w:rsid w:val="002D5636"/>
    <w:rsid w:val="002D6B90"/>
    <w:rsid w:val="002D6C33"/>
    <w:rsid w:val="002D6C35"/>
    <w:rsid w:val="002E0D10"/>
    <w:rsid w:val="002E0EBE"/>
    <w:rsid w:val="002E1AB0"/>
    <w:rsid w:val="002E2395"/>
    <w:rsid w:val="002E6E50"/>
    <w:rsid w:val="002F045A"/>
    <w:rsid w:val="002F1BFB"/>
    <w:rsid w:val="002F26BA"/>
    <w:rsid w:val="002F3B62"/>
    <w:rsid w:val="002F5857"/>
    <w:rsid w:val="002F5E38"/>
    <w:rsid w:val="002F6D16"/>
    <w:rsid w:val="0030039D"/>
    <w:rsid w:val="003003E9"/>
    <w:rsid w:val="00300715"/>
    <w:rsid w:val="00300CF5"/>
    <w:rsid w:val="003015DF"/>
    <w:rsid w:val="0030326F"/>
    <w:rsid w:val="00304EFC"/>
    <w:rsid w:val="00305EAE"/>
    <w:rsid w:val="00307B9B"/>
    <w:rsid w:val="00310701"/>
    <w:rsid w:val="00311510"/>
    <w:rsid w:val="003138AC"/>
    <w:rsid w:val="0031463A"/>
    <w:rsid w:val="003148B7"/>
    <w:rsid w:val="00315865"/>
    <w:rsid w:val="00315980"/>
    <w:rsid w:val="00316AF8"/>
    <w:rsid w:val="00316EB7"/>
    <w:rsid w:val="00316F7F"/>
    <w:rsid w:val="00320162"/>
    <w:rsid w:val="003202A1"/>
    <w:rsid w:val="003205F3"/>
    <w:rsid w:val="0032087E"/>
    <w:rsid w:val="00321622"/>
    <w:rsid w:val="003218E8"/>
    <w:rsid w:val="00322C31"/>
    <w:rsid w:val="00322D60"/>
    <w:rsid w:val="0032531B"/>
    <w:rsid w:val="00326AFF"/>
    <w:rsid w:val="00327299"/>
    <w:rsid w:val="00330DCE"/>
    <w:rsid w:val="00331798"/>
    <w:rsid w:val="0033190B"/>
    <w:rsid w:val="00331CF9"/>
    <w:rsid w:val="00331E11"/>
    <w:rsid w:val="00334189"/>
    <w:rsid w:val="00334761"/>
    <w:rsid w:val="00337EBC"/>
    <w:rsid w:val="0034033E"/>
    <w:rsid w:val="00341DCD"/>
    <w:rsid w:val="003441C2"/>
    <w:rsid w:val="00344219"/>
    <w:rsid w:val="0034504D"/>
    <w:rsid w:val="0034526A"/>
    <w:rsid w:val="0034563E"/>
    <w:rsid w:val="00347696"/>
    <w:rsid w:val="003504CC"/>
    <w:rsid w:val="003518D6"/>
    <w:rsid w:val="003531CE"/>
    <w:rsid w:val="0035460C"/>
    <w:rsid w:val="003548DD"/>
    <w:rsid w:val="00354FC6"/>
    <w:rsid w:val="003556BD"/>
    <w:rsid w:val="003558E2"/>
    <w:rsid w:val="003573DA"/>
    <w:rsid w:val="00357437"/>
    <w:rsid w:val="00361491"/>
    <w:rsid w:val="00363E30"/>
    <w:rsid w:val="00364E6D"/>
    <w:rsid w:val="00365147"/>
    <w:rsid w:val="0037016E"/>
    <w:rsid w:val="00370E55"/>
    <w:rsid w:val="00371B22"/>
    <w:rsid w:val="00372908"/>
    <w:rsid w:val="00374C2D"/>
    <w:rsid w:val="00375793"/>
    <w:rsid w:val="00376457"/>
    <w:rsid w:val="00377B3A"/>
    <w:rsid w:val="00381738"/>
    <w:rsid w:val="00381917"/>
    <w:rsid w:val="00383020"/>
    <w:rsid w:val="00384A5B"/>
    <w:rsid w:val="00386036"/>
    <w:rsid w:val="003863A9"/>
    <w:rsid w:val="0039083A"/>
    <w:rsid w:val="00390852"/>
    <w:rsid w:val="0039261D"/>
    <w:rsid w:val="00392ECD"/>
    <w:rsid w:val="003975FD"/>
    <w:rsid w:val="003A0593"/>
    <w:rsid w:val="003A424F"/>
    <w:rsid w:val="003A5655"/>
    <w:rsid w:val="003B0621"/>
    <w:rsid w:val="003B13EB"/>
    <w:rsid w:val="003B2AED"/>
    <w:rsid w:val="003B3CAA"/>
    <w:rsid w:val="003B4758"/>
    <w:rsid w:val="003B5616"/>
    <w:rsid w:val="003B60CC"/>
    <w:rsid w:val="003B6296"/>
    <w:rsid w:val="003C02F6"/>
    <w:rsid w:val="003C1B25"/>
    <w:rsid w:val="003C2443"/>
    <w:rsid w:val="003C2D5D"/>
    <w:rsid w:val="003C31E0"/>
    <w:rsid w:val="003C5121"/>
    <w:rsid w:val="003C56BC"/>
    <w:rsid w:val="003C5A94"/>
    <w:rsid w:val="003C5DA3"/>
    <w:rsid w:val="003C724C"/>
    <w:rsid w:val="003D2686"/>
    <w:rsid w:val="003D4BCD"/>
    <w:rsid w:val="003D66E3"/>
    <w:rsid w:val="003D6B19"/>
    <w:rsid w:val="003D6C3C"/>
    <w:rsid w:val="003D78E7"/>
    <w:rsid w:val="003E01D8"/>
    <w:rsid w:val="003E2100"/>
    <w:rsid w:val="003E2135"/>
    <w:rsid w:val="003E2BDB"/>
    <w:rsid w:val="003E314C"/>
    <w:rsid w:val="003E3D91"/>
    <w:rsid w:val="003E45FA"/>
    <w:rsid w:val="003E4E27"/>
    <w:rsid w:val="003E53CA"/>
    <w:rsid w:val="003E55EA"/>
    <w:rsid w:val="003E5ED5"/>
    <w:rsid w:val="003E79E0"/>
    <w:rsid w:val="003E7B72"/>
    <w:rsid w:val="003F0CB7"/>
    <w:rsid w:val="003F0DB3"/>
    <w:rsid w:val="003F53F3"/>
    <w:rsid w:val="003F6F5B"/>
    <w:rsid w:val="00400F8F"/>
    <w:rsid w:val="004012E0"/>
    <w:rsid w:val="0040169D"/>
    <w:rsid w:val="00402BBA"/>
    <w:rsid w:val="00403197"/>
    <w:rsid w:val="0040342D"/>
    <w:rsid w:val="00403FB9"/>
    <w:rsid w:val="004053E0"/>
    <w:rsid w:val="00405CC4"/>
    <w:rsid w:val="00405E1C"/>
    <w:rsid w:val="00407040"/>
    <w:rsid w:val="004118D4"/>
    <w:rsid w:val="0041192D"/>
    <w:rsid w:val="0041275D"/>
    <w:rsid w:val="00412BEE"/>
    <w:rsid w:val="00413EE1"/>
    <w:rsid w:val="00416545"/>
    <w:rsid w:val="00416871"/>
    <w:rsid w:val="00417EAC"/>
    <w:rsid w:val="0042076C"/>
    <w:rsid w:val="0042128E"/>
    <w:rsid w:val="00422F3F"/>
    <w:rsid w:val="0042465A"/>
    <w:rsid w:val="0043235A"/>
    <w:rsid w:val="00432A83"/>
    <w:rsid w:val="00432B60"/>
    <w:rsid w:val="004333E6"/>
    <w:rsid w:val="0043568D"/>
    <w:rsid w:val="00440698"/>
    <w:rsid w:val="00441075"/>
    <w:rsid w:val="00441B88"/>
    <w:rsid w:val="004437C4"/>
    <w:rsid w:val="00445A7B"/>
    <w:rsid w:val="0044777B"/>
    <w:rsid w:val="00447D67"/>
    <w:rsid w:val="0045221F"/>
    <w:rsid w:val="004526ED"/>
    <w:rsid w:val="004527BA"/>
    <w:rsid w:val="004540E2"/>
    <w:rsid w:val="00454454"/>
    <w:rsid w:val="00454CA4"/>
    <w:rsid w:val="00456C6F"/>
    <w:rsid w:val="00456D27"/>
    <w:rsid w:val="00461135"/>
    <w:rsid w:val="0046263E"/>
    <w:rsid w:val="004627DB"/>
    <w:rsid w:val="00465623"/>
    <w:rsid w:val="00466022"/>
    <w:rsid w:val="00467924"/>
    <w:rsid w:val="004712A5"/>
    <w:rsid w:val="0047263C"/>
    <w:rsid w:val="0047266F"/>
    <w:rsid w:val="00473BEC"/>
    <w:rsid w:val="00474287"/>
    <w:rsid w:val="00474477"/>
    <w:rsid w:val="004746FA"/>
    <w:rsid w:val="0047486F"/>
    <w:rsid w:val="00474902"/>
    <w:rsid w:val="004756EB"/>
    <w:rsid w:val="00476D6B"/>
    <w:rsid w:val="0047761B"/>
    <w:rsid w:val="0048018F"/>
    <w:rsid w:val="0048263F"/>
    <w:rsid w:val="00482C9E"/>
    <w:rsid w:val="0048346D"/>
    <w:rsid w:val="00483DA1"/>
    <w:rsid w:val="0048437D"/>
    <w:rsid w:val="004861E6"/>
    <w:rsid w:val="004862E9"/>
    <w:rsid w:val="004868A9"/>
    <w:rsid w:val="004872FB"/>
    <w:rsid w:val="0049013A"/>
    <w:rsid w:val="00491B4C"/>
    <w:rsid w:val="00492C16"/>
    <w:rsid w:val="00493314"/>
    <w:rsid w:val="00493538"/>
    <w:rsid w:val="00493815"/>
    <w:rsid w:val="004949E4"/>
    <w:rsid w:val="004976FB"/>
    <w:rsid w:val="004A0678"/>
    <w:rsid w:val="004A198D"/>
    <w:rsid w:val="004A23A3"/>
    <w:rsid w:val="004A3CCD"/>
    <w:rsid w:val="004A48A3"/>
    <w:rsid w:val="004B0D92"/>
    <w:rsid w:val="004B0EC0"/>
    <w:rsid w:val="004B176A"/>
    <w:rsid w:val="004B1E36"/>
    <w:rsid w:val="004B32B2"/>
    <w:rsid w:val="004B35CF"/>
    <w:rsid w:val="004B36CB"/>
    <w:rsid w:val="004B4805"/>
    <w:rsid w:val="004B5A51"/>
    <w:rsid w:val="004B5B01"/>
    <w:rsid w:val="004B66F1"/>
    <w:rsid w:val="004B72CC"/>
    <w:rsid w:val="004B7FC1"/>
    <w:rsid w:val="004C0239"/>
    <w:rsid w:val="004C0B89"/>
    <w:rsid w:val="004C136E"/>
    <w:rsid w:val="004C21AC"/>
    <w:rsid w:val="004C3B7B"/>
    <w:rsid w:val="004C3EA0"/>
    <w:rsid w:val="004D0C11"/>
    <w:rsid w:val="004D39BE"/>
    <w:rsid w:val="004D3FD6"/>
    <w:rsid w:val="004D402A"/>
    <w:rsid w:val="004D46F2"/>
    <w:rsid w:val="004D554F"/>
    <w:rsid w:val="004D5850"/>
    <w:rsid w:val="004D74CD"/>
    <w:rsid w:val="004D7F93"/>
    <w:rsid w:val="004E2EB8"/>
    <w:rsid w:val="004E41A6"/>
    <w:rsid w:val="004E7C34"/>
    <w:rsid w:val="004F2DF5"/>
    <w:rsid w:val="004F32CC"/>
    <w:rsid w:val="004F35CC"/>
    <w:rsid w:val="004F3D69"/>
    <w:rsid w:val="004F4F01"/>
    <w:rsid w:val="004F7169"/>
    <w:rsid w:val="00500D66"/>
    <w:rsid w:val="0050122E"/>
    <w:rsid w:val="00501543"/>
    <w:rsid w:val="005032D7"/>
    <w:rsid w:val="005036A6"/>
    <w:rsid w:val="005040DD"/>
    <w:rsid w:val="005049AF"/>
    <w:rsid w:val="005058A6"/>
    <w:rsid w:val="005076D1"/>
    <w:rsid w:val="00507BC9"/>
    <w:rsid w:val="00510747"/>
    <w:rsid w:val="00511190"/>
    <w:rsid w:val="00511B5C"/>
    <w:rsid w:val="00511E3E"/>
    <w:rsid w:val="00512411"/>
    <w:rsid w:val="00514C8E"/>
    <w:rsid w:val="005162A6"/>
    <w:rsid w:val="00516A81"/>
    <w:rsid w:val="00517B70"/>
    <w:rsid w:val="00517F35"/>
    <w:rsid w:val="0052326F"/>
    <w:rsid w:val="00523A57"/>
    <w:rsid w:val="00523ED3"/>
    <w:rsid w:val="00526635"/>
    <w:rsid w:val="00526D9A"/>
    <w:rsid w:val="00526E8F"/>
    <w:rsid w:val="00530433"/>
    <w:rsid w:val="00531DBF"/>
    <w:rsid w:val="00532761"/>
    <w:rsid w:val="005337FC"/>
    <w:rsid w:val="00533BA1"/>
    <w:rsid w:val="00535AD3"/>
    <w:rsid w:val="00535B8E"/>
    <w:rsid w:val="0054223D"/>
    <w:rsid w:val="005437BA"/>
    <w:rsid w:val="00545759"/>
    <w:rsid w:val="00545BE0"/>
    <w:rsid w:val="00546867"/>
    <w:rsid w:val="0054696B"/>
    <w:rsid w:val="005500A4"/>
    <w:rsid w:val="00550726"/>
    <w:rsid w:val="005513EF"/>
    <w:rsid w:val="00554C6A"/>
    <w:rsid w:val="005554A3"/>
    <w:rsid w:val="00555544"/>
    <w:rsid w:val="00557EE7"/>
    <w:rsid w:val="00561113"/>
    <w:rsid w:val="00562E85"/>
    <w:rsid w:val="0056332F"/>
    <w:rsid w:val="00563774"/>
    <w:rsid w:val="005709A6"/>
    <w:rsid w:val="00571D13"/>
    <w:rsid w:val="00572781"/>
    <w:rsid w:val="00575B5A"/>
    <w:rsid w:val="0058026A"/>
    <w:rsid w:val="00581C39"/>
    <w:rsid w:val="0058267C"/>
    <w:rsid w:val="00582A9D"/>
    <w:rsid w:val="005834A4"/>
    <w:rsid w:val="00584F6B"/>
    <w:rsid w:val="005859BD"/>
    <w:rsid w:val="005869F4"/>
    <w:rsid w:val="0059016F"/>
    <w:rsid w:val="005903B6"/>
    <w:rsid w:val="00591560"/>
    <w:rsid w:val="005920B9"/>
    <w:rsid w:val="00592123"/>
    <w:rsid w:val="00592B20"/>
    <w:rsid w:val="00595689"/>
    <w:rsid w:val="0059634B"/>
    <w:rsid w:val="00596396"/>
    <w:rsid w:val="005A0247"/>
    <w:rsid w:val="005A0D86"/>
    <w:rsid w:val="005A126E"/>
    <w:rsid w:val="005A17C2"/>
    <w:rsid w:val="005A452F"/>
    <w:rsid w:val="005A6723"/>
    <w:rsid w:val="005A703F"/>
    <w:rsid w:val="005B140D"/>
    <w:rsid w:val="005B1FF8"/>
    <w:rsid w:val="005B3109"/>
    <w:rsid w:val="005B51E1"/>
    <w:rsid w:val="005B5C3E"/>
    <w:rsid w:val="005B5CA5"/>
    <w:rsid w:val="005C1FEA"/>
    <w:rsid w:val="005C33ED"/>
    <w:rsid w:val="005C3495"/>
    <w:rsid w:val="005C3785"/>
    <w:rsid w:val="005C42EE"/>
    <w:rsid w:val="005C434F"/>
    <w:rsid w:val="005C4C27"/>
    <w:rsid w:val="005C6631"/>
    <w:rsid w:val="005C67CC"/>
    <w:rsid w:val="005D17F7"/>
    <w:rsid w:val="005D26E6"/>
    <w:rsid w:val="005D4B18"/>
    <w:rsid w:val="005D7E29"/>
    <w:rsid w:val="005E13EA"/>
    <w:rsid w:val="005E15E0"/>
    <w:rsid w:val="005E3889"/>
    <w:rsid w:val="005E3DFC"/>
    <w:rsid w:val="005E4291"/>
    <w:rsid w:val="005E60AF"/>
    <w:rsid w:val="005E6C27"/>
    <w:rsid w:val="005E7618"/>
    <w:rsid w:val="005E7B4E"/>
    <w:rsid w:val="005F0A5A"/>
    <w:rsid w:val="005F1DEA"/>
    <w:rsid w:val="005F3002"/>
    <w:rsid w:val="005F4511"/>
    <w:rsid w:val="005F4932"/>
    <w:rsid w:val="005F4EE1"/>
    <w:rsid w:val="005F5CEB"/>
    <w:rsid w:val="005F6841"/>
    <w:rsid w:val="005F6C29"/>
    <w:rsid w:val="005F78A1"/>
    <w:rsid w:val="0060079E"/>
    <w:rsid w:val="00602847"/>
    <w:rsid w:val="00602FCB"/>
    <w:rsid w:val="00605A59"/>
    <w:rsid w:val="006060A3"/>
    <w:rsid w:val="00607FC9"/>
    <w:rsid w:val="00610955"/>
    <w:rsid w:val="0061100F"/>
    <w:rsid w:val="00614031"/>
    <w:rsid w:val="0061490C"/>
    <w:rsid w:val="00616861"/>
    <w:rsid w:val="00617681"/>
    <w:rsid w:val="006177CC"/>
    <w:rsid w:val="00621F1A"/>
    <w:rsid w:val="00622168"/>
    <w:rsid w:val="0062279C"/>
    <w:rsid w:val="00622B29"/>
    <w:rsid w:val="00622FE1"/>
    <w:rsid w:val="0062521C"/>
    <w:rsid w:val="00630A2B"/>
    <w:rsid w:val="00630BA2"/>
    <w:rsid w:val="0063283F"/>
    <w:rsid w:val="00632DC7"/>
    <w:rsid w:val="00633896"/>
    <w:rsid w:val="0063466E"/>
    <w:rsid w:val="00634E4E"/>
    <w:rsid w:val="006357FB"/>
    <w:rsid w:val="0063675E"/>
    <w:rsid w:val="00637239"/>
    <w:rsid w:val="006402F5"/>
    <w:rsid w:val="006406FC"/>
    <w:rsid w:val="00640941"/>
    <w:rsid w:val="0064162A"/>
    <w:rsid w:val="00642E5F"/>
    <w:rsid w:val="00643E83"/>
    <w:rsid w:val="0064407B"/>
    <w:rsid w:val="00646122"/>
    <w:rsid w:val="0064710D"/>
    <w:rsid w:val="00647F8D"/>
    <w:rsid w:val="00653E16"/>
    <w:rsid w:val="006541D2"/>
    <w:rsid w:val="006565EB"/>
    <w:rsid w:val="00657220"/>
    <w:rsid w:val="00657724"/>
    <w:rsid w:val="00660DC0"/>
    <w:rsid w:val="0066104B"/>
    <w:rsid w:val="006613BD"/>
    <w:rsid w:val="00661419"/>
    <w:rsid w:val="00661AAE"/>
    <w:rsid w:val="00663169"/>
    <w:rsid w:val="006633CD"/>
    <w:rsid w:val="00664687"/>
    <w:rsid w:val="006655EE"/>
    <w:rsid w:val="0066686D"/>
    <w:rsid w:val="006672E0"/>
    <w:rsid w:val="00667C10"/>
    <w:rsid w:val="00667EF4"/>
    <w:rsid w:val="00672B85"/>
    <w:rsid w:val="00672BF6"/>
    <w:rsid w:val="00673634"/>
    <w:rsid w:val="00673B97"/>
    <w:rsid w:val="006743FD"/>
    <w:rsid w:val="00674E59"/>
    <w:rsid w:val="00675E08"/>
    <w:rsid w:val="00676FCA"/>
    <w:rsid w:val="00677177"/>
    <w:rsid w:val="0068056B"/>
    <w:rsid w:val="00681C26"/>
    <w:rsid w:val="00683B62"/>
    <w:rsid w:val="00683EF3"/>
    <w:rsid w:val="006845ED"/>
    <w:rsid w:val="00684DEA"/>
    <w:rsid w:val="006857BE"/>
    <w:rsid w:val="0068612E"/>
    <w:rsid w:val="006864B1"/>
    <w:rsid w:val="00687858"/>
    <w:rsid w:val="00687C92"/>
    <w:rsid w:val="006903B7"/>
    <w:rsid w:val="00692772"/>
    <w:rsid w:val="00692CF9"/>
    <w:rsid w:val="006934F2"/>
    <w:rsid w:val="00693545"/>
    <w:rsid w:val="0069534E"/>
    <w:rsid w:val="00695F25"/>
    <w:rsid w:val="00696365"/>
    <w:rsid w:val="0069669C"/>
    <w:rsid w:val="00696731"/>
    <w:rsid w:val="00696C55"/>
    <w:rsid w:val="00697A52"/>
    <w:rsid w:val="006A073A"/>
    <w:rsid w:val="006A1200"/>
    <w:rsid w:val="006A17A5"/>
    <w:rsid w:val="006A2C5A"/>
    <w:rsid w:val="006A4211"/>
    <w:rsid w:val="006A4F4E"/>
    <w:rsid w:val="006A57EC"/>
    <w:rsid w:val="006A696A"/>
    <w:rsid w:val="006B0360"/>
    <w:rsid w:val="006B13A5"/>
    <w:rsid w:val="006B14DB"/>
    <w:rsid w:val="006B21C4"/>
    <w:rsid w:val="006B2E8B"/>
    <w:rsid w:val="006B39E2"/>
    <w:rsid w:val="006B4871"/>
    <w:rsid w:val="006B5305"/>
    <w:rsid w:val="006B583A"/>
    <w:rsid w:val="006B73E4"/>
    <w:rsid w:val="006C4A1A"/>
    <w:rsid w:val="006C4AB4"/>
    <w:rsid w:val="006C6208"/>
    <w:rsid w:val="006C74A8"/>
    <w:rsid w:val="006C7DAD"/>
    <w:rsid w:val="006D0068"/>
    <w:rsid w:val="006D0393"/>
    <w:rsid w:val="006D10E8"/>
    <w:rsid w:val="006D1A83"/>
    <w:rsid w:val="006D2E5C"/>
    <w:rsid w:val="006D4D49"/>
    <w:rsid w:val="006D5D1E"/>
    <w:rsid w:val="006D789E"/>
    <w:rsid w:val="006E059A"/>
    <w:rsid w:val="006E1CFE"/>
    <w:rsid w:val="006E23B9"/>
    <w:rsid w:val="006E29A2"/>
    <w:rsid w:val="006E2F52"/>
    <w:rsid w:val="006E31A2"/>
    <w:rsid w:val="006E34EE"/>
    <w:rsid w:val="006E660F"/>
    <w:rsid w:val="006E6D10"/>
    <w:rsid w:val="006E6F82"/>
    <w:rsid w:val="006F10C4"/>
    <w:rsid w:val="006F39C3"/>
    <w:rsid w:val="006F3D04"/>
    <w:rsid w:val="006F3E8C"/>
    <w:rsid w:val="006F40E9"/>
    <w:rsid w:val="006F5603"/>
    <w:rsid w:val="006F643B"/>
    <w:rsid w:val="00701400"/>
    <w:rsid w:val="00701DFE"/>
    <w:rsid w:val="00702D49"/>
    <w:rsid w:val="00702FF6"/>
    <w:rsid w:val="007037CF"/>
    <w:rsid w:val="00703BB8"/>
    <w:rsid w:val="00704B37"/>
    <w:rsid w:val="0070741F"/>
    <w:rsid w:val="00710018"/>
    <w:rsid w:val="00712A8B"/>
    <w:rsid w:val="00712FDE"/>
    <w:rsid w:val="00713069"/>
    <w:rsid w:val="007156F2"/>
    <w:rsid w:val="00715E99"/>
    <w:rsid w:val="00716583"/>
    <w:rsid w:val="007167C0"/>
    <w:rsid w:val="00720279"/>
    <w:rsid w:val="007203C3"/>
    <w:rsid w:val="00720481"/>
    <w:rsid w:val="00721642"/>
    <w:rsid w:val="00721756"/>
    <w:rsid w:val="00721BC7"/>
    <w:rsid w:val="00722D9F"/>
    <w:rsid w:val="007235A1"/>
    <w:rsid w:val="007247F0"/>
    <w:rsid w:val="00724AB2"/>
    <w:rsid w:val="0072510B"/>
    <w:rsid w:val="00725574"/>
    <w:rsid w:val="00725BE6"/>
    <w:rsid w:val="00725DA1"/>
    <w:rsid w:val="0072603D"/>
    <w:rsid w:val="0072781F"/>
    <w:rsid w:val="00727BBA"/>
    <w:rsid w:val="00727C18"/>
    <w:rsid w:val="00727E2F"/>
    <w:rsid w:val="0073067D"/>
    <w:rsid w:val="00730CA8"/>
    <w:rsid w:val="00731450"/>
    <w:rsid w:val="00732D9A"/>
    <w:rsid w:val="00733193"/>
    <w:rsid w:val="00733F8C"/>
    <w:rsid w:val="0073553D"/>
    <w:rsid w:val="00736FC1"/>
    <w:rsid w:val="007376B5"/>
    <w:rsid w:val="00737A77"/>
    <w:rsid w:val="00737CBA"/>
    <w:rsid w:val="00741449"/>
    <w:rsid w:val="00741A3D"/>
    <w:rsid w:val="00742790"/>
    <w:rsid w:val="00742909"/>
    <w:rsid w:val="00745A7B"/>
    <w:rsid w:val="00746C38"/>
    <w:rsid w:val="00747187"/>
    <w:rsid w:val="00747966"/>
    <w:rsid w:val="007513EB"/>
    <w:rsid w:val="00752C3D"/>
    <w:rsid w:val="00752FF8"/>
    <w:rsid w:val="00754475"/>
    <w:rsid w:val="00754C17"/>
    <w:rsid w:val="0075732A"/>
    <w:rsid w:val="007573A3"/>
    <w:rsid w:val="00760262"/>
    <w:rsid w:val="00762857"/>
    <w:rsid w:val="0076310C"/>
    <w:rsid w:val="0076723A"/>
    <w:rsid w:val="0076744F"/>
    <w:rsid w:val="00767BCE"/>
    <w:rsid w:val="00767EFC"/>
    <w:rsid w:val="007707DE"/>
    <w:rsid w:val="00770B5D"/>
    <w:rsid w:val="007713EE"/>
    <w:rsid w:val="00773CBC"/>
    <w:rsid w:val="007752F1"/>
    <w:rsid w:val="007764E7"/>
    <w:rsid w:val="00776768"/>
    <w:rsid w:val="00776A79"/>
    <w:rsid w:val="0078005F"/>
    <w:rsid w:val="0078020B"/>
    <w:rsid w:val="00781175"/>
    <w:rsid w:val="00781F74"/>
    <w:rsid w:val="00782D61"/>
    <w:rsid w:val="007849DD"/>
    <w:rsid w:val="00785523"/>
    <w:rsid w:val="00790851"/>
    <w:rsid w:val="00791024"/>
    <w:rsid w:val="007916C1"/>
    <w:rsid w:val="0079191A"/>
    <w:rsid w:val="007921C6"/>
    <w:rsid w:val="00794818"/>
    <w:rsid w:val="00796BC5"/>
    <w:rsid w:val="007A02B2"/>
    <w:rsid w:val="007A15C4"/>
    <w:rsid w:val="007A2573"/>
    <w:rsid w:val="007A3B9C"/>
    <w:rsid w:val="007A40DA"/>
    <w:rsid w:val="007A4472"/>
    <w:rsid w:val="007A4EE0"/>
    <w:rsid w:val="007B0163"/>
    <w:rsid w:val="007B047A"/>
    <w:rsid w:val="007B106C"/>
    <w:rsid w:val="007B1A4E"/>
    <w:rsid w:val="007B2EA7"/>
    <w:rsid w:val="007B3568"/>
    <w:rsid w:val="007B3D05"/>
    <w:rsid w:val="007B5503"/>
    <w:rsid w:val="007B6622"/>
    <w:rsid w:val="007B71F3"/>
    <w:rsid w:val="007B757D"/>
    <w:rsid w:val="007C0692"/>
    <w:rsid w:val="007C2251"/>
    <w:rsid w:val="007C29C2"/>
    <w:rsid w:val="007C396A"/>
    <w:rsid w:val="007C62BB"/>
    <w:rsid w:val="007C6BB3"/>
    <w:rsid w:val="007C708E"/>
    <w:rsid w:val="007C719C"/>
    <w:rsid w:val="007D0AA9"/>
    <w:rsid w:val="007D0F79"/>
    <w:rsid w:val="007D14B4"/>
    <w:rsid w:val="007D3AD7"/>
    <w:rsid w:val="007D3B79"/>
    <w:rsid w:val="007D478A"/>
    <w:rsid w:val="007D5507"/>
    <w:rsid w:val="007D71A2"/>
    <w:rsid w:val="007E2016"/>
    <w:rsid w:val="007E24F6"/>
    <w:rsid w:val="007E4EDD"/>
    <w:rsid w:val="007E56EF"/>
    <w:rsid w:val="007F399E"/>
    <w:rsid w:val="007F3EF9"/>
    <w:rsid w:val="007F6209"/>
    <w:rsid w:val="007F66D1"/>
    <w:rsid w:val="007F6AAA"/>
    <w:rsid w:val="007F7C5C"/>
    <w:rsid w:val="007F7C65"/>
    <w:rsid w:val="00800521"/>
    <w:rsid w:val="0080073D"/>
    <w:rsid w:val="00800ABF"/>
    <w:rsid w:val="00800F64"/>
    <w:rsid w:val="0080185B"/>
    <w:rsid w:val="00802F0B"/>
    <w:rsid w:val="0080324D"/>
    <w:rsid w:val="00804951"/>
    <w:rsid w:val="00806676"/>
    <w:rsid w:val="00807FAC"/>
    <w:rsid w:val="00810A67"/>
    <w:rsid w:val="00810FEA"/>
    <w:rsid w:val="008113BD"/>
    <w:rsid w:val="0081315B"/>
    <w:rsid w:val="00817EB8"/>
    <w:rsid w:val="008204A9"/>
    <w:rsid w:val="008205FC"/>
    <w:rsid w:val="00821277"/>
    <w:rsid w:val="008212D6"/>
    <w:rsid w:val="0082156C"/>
    <w:rsid w:val="00822739"/>
    <w:rsid w:val="00825B86"/>
    <w:rsid w:val="00826FD4"/>
    <w:rsid w:val="00827CE8"/>
    <w:rsid w:val="00832DD7"/>
    <w:rsid w:val="008339B3"/>
    <w:rsid w:val="00833AD4"/>
    <w:rsid w:val="00833CF7"/>
    <w:rsid w:val="008344FF"/>
    <w:rsid w:val="008346FF"/>
    <w:rsid w:val="0083515C"/>
    <w:rsid w:val="00840EAA"/>
    <w:rsid w:val="008430FF"/>
    <w:rsid w:val="00843160"/>
    <w:rsid w:val="00843314"/>
    <w:rsid w:val="00843668"/>
    <w:rsid w:val="008451DB"/>
    <w:rsid w:val="00845601"/>
    <w:rsid w:val="00845DE7"/>
    <w:rsid w:val="00846447"/>
    <w:rsid w:val="0085214B"/>
    <w:rsid w:val="008524B9"/>
    <w:rsid w:val="008525D9"/>
    <w:rsid w:val="00853B4F"/>
    <w:rsid w:val="00854B73"/>
    <w:rsid w:val="0085533C"/>
    <w:rsid w:val="00855C5C"/>
    <w:rsid w:val="00857C97"/>
    <w:rsid w:val="008607F5"/>
    <w:rsid w:val="00861842"/>
    <w:rsid w:val="0086233C"/>
    <w:rsid w:val="00862708"/>
    <w:rsid w:val="00863E63"/>
    <w:rsid w:val="00865CFA"/>
    <w:rsid w:val="008706B9"/>
    <w:rsid w:val="008717E8"/>
    <w:rsid w:val="00873425"/>
    <w:rsid w:val="0087387D"/>
    <w:rsid w:val="00876BB0"/>
    <w:rsid w:val="00880FB3"/>
    <w:rsid w:val="00883CE7"/>
    <w:rsid w:val="00884F06"/>
    <w:rsid w:val="008859CF"/>
    <w:rsid w:val="00886215"/>
    <w:rsid w:val="00886866"/>
    <w:rsid w:val="00890349"/>
    <w:rsid w:val="008906E1"/>
    <w:rsid w:val="008938F7"/>
    <w:rsid w:val="00895472"/>
    <w:rsid w:val="008954F5"/>
    <w:rsid w:val="00895FCC"/>
    <w:rsid w:val="0089606A"/>
    <w:rsid w:val="008A013A"/>
    <w:rsid w:val="008A187F"/>
    <w:rsid w:val="008A20CD"/>
    <w:rsid w:val="008A2BF1"/>
    <w:rsid w:val="008A3C96"/>
    <w:rsid w:val="008A40CA"/>
    <w:rsid w:val="008A5C45"/>
    <w:rsid w:val="008B0BBA"/>
    <w:rsid w:val="008B1627"/>
    <w:rsid w:val="008B3453"/>
    <w:rsid w:val="008B346A"/>
    <w:rsid w:val="008B3BFF"/>
    <w:rsid w:val="008B4019"/>
    <w:rsid w:val="008B505F"/>
    <w:rsid w:val="008B65C9"/>
    <w:rsid w:val="008B76C4"/>
    <w:rsid w:val="008C00AD"/>
    <w:rsid w:val="008C2D4A"/>
    <w:rsid w:val="008C310C"/>
    <w:rsid w:val="008C5620"/>
    <w:rsid w:val="008C6A05"/>
    <w:rsid w:val="008C7DBB"/>
    <w:rsid w:val="008D0595"/>
    <w:rsid w:val="008D0A4A"/>
    <w:rsid w:val="008D1384"/>
    <w:rsid w:val="008D3900"/>
    <w:rsid w:val="008D6A5E"/>
    <w:rsid w:val="008D6E1D"/>
    <w:rsid w:val="008D6EDB"/>
    <w:rsid w:val="008E07A6"/>
    <w:rsid w:val="008E36FE"/>
    <w:rsid w:val="008E5154"/>
    <w:rsid w:val="008E560B"/>
    <w:rsid w:val="008E6B86"/>
    <w:rsid w:val="008F0453"/>
    <w:rsid w:val="008F06EE"/>
    <w:rsid w:val="008F1D82"/>
    <w:rsid w:val="008F39B4"/>
    <w:rsid w:val="008F4162"/>
    <w:rsid w:val="008F4530"/>
    <w:rsid w:val="00901C1A"/>
    <w:rsid w:val="00903E02"/>
    <w:rsid w:val="0090636E"/>
    <w:rsid w:val="009110D5"/>
    <w:rsid w:val="00911C1D"/>
    <w:rsid w:val="00913175"/>
    <w:rsid w:val="00916EDB"/>
    <w:rsid w:val="00916F94"/>
    <w:rsid w:val="00917761"/>
    <w:rsid w:val="009177FB"/>
    <w:rsid w:val="00920861"/>
    <w:rsid w:val="00920FD9"/>
    <w:rsid w:val="0092297D"/>
    <w:rsid w:val="00922B13"/>
    <w:rsid w:val="009242EF"/>
    <w:rsid w:val="00924523"/>
    <w:rsid w:val="009246B3"/>
    <w:rsid w:val="00924AB9"/>
    <w:rsid w:val="00926EDF"/>
    <w:rsid w:val="009270F0"/>
    <w:rsid w:val="00927D86"/>
    <w:rsid w:val="009302AA"/>
    <w:rsid w:val="0093086A"/>
    <w:rsid w:val="009312D2"/>
    <w:rsid w:val="00932291"/>
    <w:rsid w:val="009322E9"/>
    <w:rsid w:val="00933B1B"/>
    <w:rsid w:val="0093408E"/>
    <w:rsid w:val="00940467"/>
    <w:rsid w:val="00940D44"/>
    <w:rsid w:val="00941478"/>
    <w:rsid w:val="00942491"/>
    <w:rsid w:val="00942973"/>
    <w:rsid w:val="00942B0B"/>
    <w:rsid w:val="00942C23"/>
    <w:rsid w:val="00944313"/>
    <w:rsid w:val="00945A92"/>
    <w:rsid w:val="00945E52"/>
    <w:rsid w:val="009463D2"/>
    <w:rsid w:val="00946D16"/>
    <w:rsid w:val="00947507"/>
    <w:rsid w:val="00952DDF"/>
    <w:rsid w:val="00952EC4"/>
    <w:rsid w:val="00954476"/>
    <w:rsid w:val="00954C85"/>
    <w:rsid w:val="00955DBC"/>
    <w:rsid w:val="00956C75"/>
    <w:rsid w:val="00957857"/>
    <w:rsid w:val="00961DEE"/>
    <w:rsid w:val="0096736D"/>
    <w:rsid w:val="00967659"/>
    <w:rsid w:val="00967C04"/>
    <w:rsid w:val="00972423"/>
    <w:rsid w:val="00972FB6"/>
    <w:rsid w:val="00976D9F"/>
    <w:rsid w:val="00977895"/>
    <w:rsid w:val="009812D4"/>
    <w:rsid w:val="0098166F"/>
    <w:rsid w:val="00982653"/>
    <w:rsid w:val="009844BE"/>
    <w:rsid w:val="009848C0"/>
    <w:rsid w:val="00984AE7"/>
    <w:rsid w:val="00984D9B"/>
    <w:rsid w:val="009873F4"/>
    <w:rsid w:val="00987A1B"/>
    <w:rsid w:val="00990784"/>
    <w:rsid w:val="0099122F"/>
    <w:rsid w:val="009920D8"/>
    <w:rsid w:val="00992EA4"/>
    <w:rsid w:val="009936CD"/>
    <w:rsid w:val="00994AE3"/>
    <w:rsid w:val="00995EF7"/>
    <w:rsid w:val="009A0DCB"/>
    <w:rsid w:val="009A32E5"/>
    <w:rsid w:val="009A3383"/>
    <w:rsid w:val="009A371F"/>
    <w:rsid w:val="009A3961"/>
    <w:rsid w:val="009A4184"/>
    <w:rsid w:val="009A4474"/>
    <w:rsid w:val="009A4869"/>
    <w:rsid w:val="009A4E6F"/>
    <w:rsid w:val="009A59BC"/>
    <w:rsid w:val="009A613A"/>
    <w:rsid w:val="009B29B0"/>
    <w:rsid w:val="009B38BE"/>
    <w:rsid w:val="009B4556"/>
    <w:rsid w:val="009B682F"/>
    <w:rsid w:val="009C13C0"/>
    <w:rsid w:val="009C2558"/>
    <w:rsid w:val="009C3994"/>
    <w:rsid w:val="009C3D0F"/>
    <w:rsid w:val="009C417D"/>
    <w:rsid w:val="009C6A30"/>
    <w:rsid w:val="009C7A6F"/>
    <w:rsid w:val="009D0343"/>
    <w:rsid w:val="009D3821"/>
    <w:rsid w:val="009D5329"/>
    <w:rsid w:val="009D6229"/>
    <w:rsid w:val="009D6232"/>
    <w:rsid w:val="009E140F"/>
    <w:rsid w:val="009E1B19"/>
    <w:rsid w:val="009E1D6D"/>
    <w:rsid w:val="009E439B"/>
    <w:rsid w:val="009E6643"/>
    <w:rsid w:val="009E67BE"/>
    <w:rsid w:val="009E686B"/>
    <w:rsid w:val="009E72D0"/>
    <w:rsid w:val="009E79B6"/>
    <w:rsid w:val="009F301B"/>
    <w:rsid w:val="009F35E2"/>
    <w:rsid w:val="009F438B"/>
    <w:rsid w:val="009F4431"/>
    <w:rsid w:val="009F646A"/>
    <w:rsid w:val="009F65F9"/>
    <w:rsid w:val="009F68BA"/>
    <w:rsid w:val="009F7B8E"/>
    <w:rsid w:val="00A00C2E"/>
    <w:rsid w:val="00A02F8B"/>
    <w:rsid w:val="00A04202"/>
    <w:rsid w:val="00A05E23"/>
    <w:rsid w:val="00A06277"/>
    <w:rsid w:val="00A079DC"/>
    <w:rsid w:val="00A10131"/>
    <w:rsid w:val="00A1096A"/>
    <w:rsid w:val="00A10BAB"/>
    <w:rsid w:val="00A111C2"/>
    <w:rsid w:val="00A13467"/>
    <w:rsid w:val="00A14460"/>
    <w:rsid w:val="00A17C39"/>
    <w:rsid w:val="00A20F83"/>
    <w:rsid w:val="00A21440"/>
    <w:rsid w:val="00A22F5B"/>
    <w:rsid w:val="00A23056"/>
    <w:rsid w:val="00A238AA"/>
    <w:rsid w:val="00A251F2"/>
    <w:rsid w:val="00A2532A"/>
    <w:rsid w:val="00A26C93"/>
    <w:rsid w:val="00A270E2"/>
    <w:rsid w:val="00A27AB5"/>
    <w:rsid w:val="00A308B6"/>
    <w:rsid w:val="00A30A44"/>
    <w:rsid w:val="00A31B7E"/>
    <w:rsid w:val="00A338E7"/>
    <w:rsid w:val="00A339C8"/>
    <w:rsid w:val="00A33FFC"/>
    <w:rsid w:val="00A34615"/>
    <w:rsid w:val="00A3493F"/>
    <w:rsid w:val="00A34964"/>
    <w:rsid w:val="00A353AE"/>
    <w:rsid w:val="00A35CAA"/>
    <w:rsid w:val="00A361FE"/>
    <w:rsid w:val="00A36223"/>
    <w:rsid w:val="00A36BE2"/>
    <w:rsid w:val="00A36E7F"/>
    <w:rsid w:val="00A37A99"/>
    <w:rsid w:val="00A4003E"/>
    <w:rsid w:val="00A412D3"/>
    <w:rsid w:val="00A41E65"/>
    <w:rsid w:val="00A421F5"/>
    <w:rsid w:val="00A4264B"/>
    <w:rsid w:val="00A426F9"/>
    <w:rsid w:val="00A43517"/>
    <w:rsid w:val="00A435E7"/>
    <w:rsid w:val="00A43E0A"/>
    <w:rsid w:val="00A46247"/>
    <w:rsid w:val="00A468A3"/>
    <w:rsid w:val="00A4695F"/>
    <w:rsid w:val="00A46C69"/>
    <w:rsid w:val="00A477D0"/>
    <w:rsid w:val="00A47D7D"/>
    <w:rsid w:val="00A47F07"/>
    <w:rsid w:val="00A51E20"/>
    <w:rsid w:val="00A530C7"/>
    <w:rsid w:val="00A53903"/>
    <w:rsid w:val="00A55844"/>
    <w:rsid w:val="00A55F5B"/>
    <w:rsid w:val="00A60185"/>
    <w:rsid w:val="00A606A8"/>
    <w:rsid w:val="00A611EE"/>
    <w:rsid w:val="00A622EC"/>
    <w:rsid w:val="00A62E01"/>
    <w:rsid w:val="00A63CD5"/>
    <w:rsid w:val="00A661EA"/>
    <w:rsid w:val="00A66263"/>
    <w:rsid w:val="00A6775C"/>
    <w:rsid w:val="00A70A6C"/>
    <w:rsid w:val="00A71153"/>
    <w:rsid w:val="00A75F7B"/>
    <w:rsid w:val="00A830E5"/>
    <w:rsid w:val="00A8395C"/>
    <w:rsid w:val="00A83DF5"/>
    <w:rsid w:val="00A84BF3"/>
    <w:rsid w:val="00A85BAE"/>
    <w:rsid w:val="00A861DA"/>
    <w:rsid w:val="00A87135"/>
    <w:rsid w:val="00A877E7"/>
    <w:rsid w:val="00A91123"/>
    <w:rsid w:val="00A9192A"/>
    <w:rsid w:val="00A93280"/>
    <w:rsid w:val="00A93C73"/>
    <w:rsid w:val="00A951EA"/>
    <w:rsid w:val="00A961A6"/>
    <w:rsid w:val="00A967CB"/>
    <w:rsid w:val="00A96C1F"/>
    <w:rsid w:val="00A96F5C"/>
    <w:rsid w:val="00A973E1"/>
    <w:rsid w:val="00A973F9"/>
    <w:rsid w:val="00A97AA9"/>
    <w:rsid w:val="00A97F71"/>
    <w:rsid w:val="00AA1C65"/>
    <w:rsid w:val="00AA2494"/>
    <w:rsid w:val="00AA2548"/>
    <w:rsid w:val="00AA3B6E"/>
    <w:rsid w:val="00AA4AD8"/>
    <w:rsid w:val="00AA58C4"/>
    <w:rsid w:val="00AA6F78"/>
    <w:rsid w:val="00AB1037"/>
    <w:rsid w:val="00AB11C8"/>
    <w:rsid w:val="00AB1531"/>
    <w:rsid w:val="00AB1BD2"/>
    <w:rsid w:val="00AB2248"/>
    <w:rsid w:val="00AB2483"/>
    <w:rsid w:val="00AB3BFF"/>
    <w:rsid w:val="00AB4EAD"/>
    <w:rsid w:val="00AB7F28"/>
    <w:rsid w:val="00AC08A8"/>
    <w:rsid w:val="00AC41C3"/>
    <w:rsid w:val="00AC469A"/>
    <w:rsid w:val="00AC52B2"/>
    <w:rsid w:val="00AC5B7C"/>
    <w:rsid w:val="00AD20F6"/>
    <w:rsid w:val="00AD4750"/>
    <w:rsid w:val="00AD4AFA"/>
    <w:rsid w:val="00AD56C8"/>
    <w:rsid w:val="00AD58F2"/>
    <w:rsid w:val="00AE04CB"/>
    <w:rsid w:val="00AE0963"/>
    <w:rsid w:val="00AE0F1D"/>
    <w:rsid w:val="00AE25F5"/>
    <w:rsid w:val="00AE5712"/>
    <w:rsid w:val="00AE5F11"/>
    <w:rsid w:val="00AE72B7"/>
    <w:rsid w:val="00AE77ED"/>
    <w:rsid w:val="00AF2B36"/>
    <w:rsid w:val="00AF33DC"/>
    <w:rsid w:val="00AF377D"/>
    <w:rsid w:val="00AF41F1"/>
    <w:rsid w:val="00AF4931"/>
    <w:rsid w:val="00AF5EA3"/>
    <w:rsid w:val="00AF6573"/>
    <w:rsid w:val="00AF65FE"/>
    <w:rsid w:val="00AF7555"/>
    <w:rsid w:val="00AF7690"/>
    <w:rsid w:val="00AF7802"/>
    <w:rsid w:val="00B00138"/>
    <w:rsid w:val="00B01899"/>
    <w:rsid w:val="00B0197D"/>
    <w:rsid w:val="00B02983"/>
    <w:rsid w:val="00B02E7E"/>
    <w:rsid w:val="00B0338A"/>
    <w:rsid w:val="00B0363C"/>
    <w:rsid w:val="00B04C5A"/>
    <w:rsid w:val="00B0512A"/>
    <w:rsid w:val="00B0529F"/>
    <w:rsid w:val="00B05BAE"/>
    <w:rsid w:val="00B05D52"/>
    <w:rsid w:val="00B05FBF"/>
    <w:rsid w:val="00B07E73"/>
    <w:rsid w:val="00B10FDA"/>
    <w:rsid w:val="00B11A1A"/>
    <w:rsid w:val="00B13B19"/>
    <w:rsid w:val="00B1418B"/>
    <w:rsid w:val="00B14241"/>
    <w:rsid w:val="00B151A0"/>
    <w:rsid w:val="00B1520C"/>
    <w:rsid w:val="00B1560E"/>
    <w:rsid w:val="00B20B92"/>
    <w:rsid w:val="00B21195"/>
    <w:rsid w:val="00B21302"/>
    <w:rsid w:val="00B21B02"/>
    <w:rsid w:val="00B22B3D"/>
    <w:rsid w:val="00B24216"/>
    <w:rsid w:val="00B24B22"/>
    <w:rsid w:val="00B25310"/>
    <w:rsid w:val="00B27A9C"/>
    <w:rsid w:val="00B318E2"/>
    <w:rsid w:val="00B328DF"/>
    <w:rsid w:val="00B32F8F"/>
    <w:rsid w:val="00B3454A"/>
    <w:rsid w:val="00B349F7"/>
    <w:rsid w:val="00B35D3A"/>
    <w:rsid w:val="00B36C4B"/>
    <w:rsid w:val="00B401B7"/>
    <w:rsid w:val="00B410A1"/>
    <w:rsid w:val="00B42C1C"/>
    <w:rsid w:val="00B42FA6"/>
    <w:rsid w:val="00B4300C"/>
    <w:rsid w:val="00B4539C"/>
    <w:rsid w:val="00B46841"/>
    <w:rsid w:val="00B4690F"/>
    <w:rsid w:val="00B47C42"/>
    <w:rsid w:val="00B50642"/>
    <w:rsid w:val="00B50CF7"/>
    <w:rsid w:val="00B510B1"/>
    <w:rsid w:val="00B5189D"/>
    <w:rsid w:val="00B524F8"/>
    <w:rsid w:val="00B53CA8"/>
    <w:rsid w:val="00B54DE9"/>
    <w:rsid w:val="00B553EC"/>
    <w:rsid w:val="00B55870"/>
    <w:rsid w:val="00B56A77"/>
    <w:rsid w:val="00B56C3A"/>
    <w:rsid w:val="00B57519"/>
    <w:rsid w:val="00B57961"/>
    <w:rsid w:val="00B60059"/>
    <w:rsid w:val="00B61011"/>
    <w:rsid w:val="00B61C73"/>
    <w:rsid w:val="00B64116"/>
    <w:rsid w:val="00B66422"/>
    <w:rsid w:val="00B7025A"/>
    <w:rsid w:val="00B725ED"/>
    <w:rsid w:val="00B72C24"/>
    <w:rsid w:val="00B774B0"/>
    <w:rsid w:val="00B77732"/>
    <w:rsid w:val="00B80D6D"/>
    <w:rsid w:val="00B81A6F"/>
    <w:rsid w:val="00B81E8A"/>
    <w:rsid w:val="00B81FB6"/>
    <w:rsid w:val="00B90534"/>
    <w:rsid w:val="00B90C2B"/>
    <w:rsid w:val="00B9154F"/>
    <w:rsid w:val="00B91D49"/>
    <w:rsid w:val="00B9264B"/>
    <w:rsid w:val="00B93DD0"/>
    <w:rsid w:val="00B95BFA"/>
    <w:rsid w:val="00B968EA"/>
    <w:rsid w:val="00B97732"/>
    <w:rsid w:val="00B97D31"/>
    <w:rsid w:val="00BA02C9"/>
    <w:rsid w:val="00BA0849"/>
    <w:rsid w:val="00BA12CA"/>
    <w:rsid w:val="00BA3ADA"/>
    <w:rsid w:val="00BA45F4"/>
    <w:rsid w:val="00BA56D7"/>
    <w:rsid w:val="00BA5785"/>
    <w:rsid w:val="00BA65A8"/>
    <w:rsid w:val="00BA6A29"/>
    <w:rsid w:val="00BA6A97"/>
    <w:rsid w:val="00BA6D19"/>
    <w:rsid w:val="00BA7108"/>
    <w:rsid w:val="00BA7461"/>
    <w:rsid w:val="00BA778F"/>
    <w:rsid w:val="00BA7DA9"/>
    <w:rsid w:val="00BB1B5B"/>
    <w:rsid w:val="00BB1FEB"/>
    <w:rsid w:val="00BB3D1C"/>
    <w:rsid w:val="00BB45CE"/>
    <w:rsid w:val="00BB7CC5"/>
    <w:rsid w:val="00BB7CD7"/>
    <w:rsid w:val="00BC3619"/>
    <w:rsid w:val="00BC4215"/>
    <w:rsid w:val="00BC4B7C"/>
    <w:rsid w:val="00BC4ED9"/>
    <w:rsid w:val="00BD0396"/>
    <w:rsid w:val="00BD1A6F"/>
    <w:rsid w:val="00BD4A0B"/>
    <w:rsid w:val="00BD4E85"/>
    <w:rsid w:val="00BD4E90"/>
    <w:rsid w:val="00BD5B71"/>
    <w:rsid w:val="00BD5F1F"/>
    <w:rsid w:val="00BD6341"/>
    <w:rsid w:val="00BD660B"/>
    <w:rsid w:val="00BD66E2"/>
    <w:rsid w:val="00BD718F"/>
    <w:rsid w:val="00BD7E32"/>
    <w:rsid w:val="00BE2A81"/>
    <w:rsid w:val="00BE3595"/>
    <w:rsid w:val="00BE458E"/>
    <w:rsid w:val="00BE4B6F"/>
    <w:rsid w:val="00BE4EB4"/>
    <w:rsid w:val="00BE5758"/>
    <w:rsid w:val="00BE5C11"/>
    <w:rsid w:val="00BE655D"/>
    <w:rsid w:val="00BE68E2"/>
    <w:rsid w:val="00BE6D3C"/>
    <w:rsid w:val="00BE7852"/>
    <w:rsid w:val="00BF11F6"/>
    <w:rsid w:val="00BF6D87"/>
    <w:rsid w:val="00BF6F1D"/>
    <w:rsid w:val="00BF74A6"/>
    <w:rsid w:val="00BF755A"/>
    <w:rsid w:val="00BF7CEE"/>
    <w:rsid w:val="00C00AD8"/>
    <w:rsid w:val="00C0195C"/>
    <w:rsid w:val="00C03880"/>
    <w:rsid w:val="00C1045A"/>
    <w:rsid w:val="00C118A9"/>
    <w:rsid w:val="00C12275"/>
    <w:rsid w:val="00C135CF"/>
    <w:rsid w:val="00C148B1"/>
    <w:rsid w:val="00C151EB"/>
    <w:rsid w:val="00C16E21"/>
    <w:rsid w:val="00C22F1F"/>
    <w:rsid w:val="00C2683F"/>
    <w:rsid w:val="00C27FFE"/>
    <w:rsid w:val="00C3184D"/>
    <w:rsid w:val="00C32B0E"/>
    <w:rsid w:val="00C32C10"/>
    <w:rsid w:val="00C3347B"/>
    <w:rsid w:val="00C359EA"/>
    <w:rsid w:val="00C36399"/>
    <w:rsid w:val="00C36E9A"/>
    <w:rsid w:val="00C401BE"/>
    <w:rsid w:val="00C40B12"/>
    <w:rsid w:val="00C420FB"/>
    <w:rsid w:val="00C42364"/>
    <w:rsid w:val="00C43084"/>
    <w:rsid w:val="00C447E8"/>
    <w:rsid w:val="00C44E43"/>
    <w:rsid w:val="00C45EEA"/>
    <w:rsid w:val="00C46AB2"/>
    <w:rsid w:val="00C4714E"/>
    <w:rsid w:val="00C47F86"/>
    <w:rsid w:val="00C50941"/>
    <w:rsid w:val="00C525B3"/>
    <w:rsid w:val="00C5348F"/>
    <w:rsid w:val="00C5504F"/>
    <w:rsid w:val="00C55946"/>
    <w:rsid w:val="00C55991"/>
    <w:rsid w:val="00C55A78"/>
    <w:rsid w:val="00C55F6C"/>
    <w:rsid w:val="00C56CAB"/>
    <w:rsid w:val="00C57AB2"/>
    <w:rsid w:val="00C57F78"/>
    <w:rsid w:val="00C60A74"/>
    <w:rsid w:val="00C63376"/>
    <w:rsid w:val="00C655F7"/>
    <w:rsid w:val="00C66CB4"/>
    <w:rsid w:val="00C67021"/>
    <w:rsid w:val="00C7200D"/>
    <w:rsid w:val="00C7458D"/>
    <w:rsid w:val="00C74F97"/>
    <w:rsid w:val="00C75519"/>
    <w:rsid w:val="00C75FE2"/>
    <w:rsid w:val="00C76A08"/>
    <w:rsid w:val="00C77281"/>
    <w:rsid w:val="00C803D7"/>
    <w:rsid w:val="00C81819"/>
    <w:rsid w:val="00C826F0"/>
    <w:rsid w:val="00C8276E"/>
    <w:rsid w:val="00C83AD1"/>
    <w:rsid w:val="00C842AC"/>
    <w:rsid w:val="00C85B7B"/>
    <w:rsid w:val="00C85BE6"/>
    <w:rsid w:val="00C92AD5"/>
    <w:rsid w:val="00C93152"/>
    <w:rsid w:val="00C93FD9"/>
    <w:rsid w:val="00C941AD"/>
    <w:rsid w:val="00C94756"/>
    <w:rsid w:val="00C94C9B"/>
    <w:rsid w:val="00C96183"/>
    <w:rsid w:val="00C96688"/>
    <w:rsid w:val="00C97799"/>
    <w:rsid w:val="00CA0723"/>
    <w:rsid w:val="00CA16D0"/>
    <w:rsid w:val="00CA2D01"/>
    <w:rsid w:val="00CA2E44"/>
    <w:rsid w:val="00CA3C61"/>
    <w:rsid w:val="00CA4542"/>
    <w:rsid w:val="00CA58AD"/>
    <w:rsid w:val="00CA644E"/>
    <w:rsid w:val="00CA6C2B"/>
    <w:rsid w:val="00CA7138"/>
    <w:rsid w:val="00CB1690"/>
    <w:rsid w:val="00CB23E2"/>
    <w:rsid w:val="00CB3134"/>
    <w:rsid w:val="00CB6F55"/>
    <w:rsid w:val="00CC0CA2"/>
    <w:rsid w:val="00CC233B"/>
    <w:rsid w:val="00CC27E7"/>
    <w:rsid w:val="00CC2B33"/>
    <w:rsid w:val="00CC4365"/>
    <w:rsid w:val="00CC5B1C"/>
    <w:rsid w:val="00CC7444"/>
    <w:rsid w:val="00CD11B0"/>
    <w:rsid w:val="00CD275A"/>
    <w:rsid w:val="00CD282D"/>
    <w:rsid w:val="00CD4253"/>
    <w:rsid w:val="00CD4599"/>
    <w:rsid w:val="00CD4B62"/>
    <w:rsid w:val="00CD55EE"/>
    <w:rsid w:val="00CD5E0E"/>
    <w:rsid w:val="00CE19F8"/>
    <w:rsid w:val="00CE19FF"/>
    <w:rsid w:val="00CE4603"/>
    <w:rsid w:val="00CE5D59"/>
    <w:rsid w:val="00CE71C2"/>
    <w:rsid w:val="00CE751F"/>
    <w:rsid w:val="00CF07AC"/>
    <w:rsid w:val="00CF2242"/>
    <w:rsid w:val="00CF2428"/>
    <w:rsid w:val="00CF42D5"/>
    <w:rsid w:val="00CF4EDA"/>
    <w:rsid w:val="00CF53A5"/>
    <w:rsid w:val="00CF562A"/>
    <w:rsid w:val="00CF56E6"/>
    <w:rsid w:val="00CF57D5"/>
    <w:rsid w:val="00CF5929"/>
    <w:rsid w:val="00CF5A62"/>
    <w:rsid w:val="00CF6AEB"/>
    <w:rsid w:val="00CF7718"/>
    <w:rsid w:val="00D00281"/>
    <w:rsid w:val="00D0153D"/>
    <w:rsid w:val="00D01E08"/>
    <w:rsid w:val="00D01E11"/>
    <w:rsid w:val="00D021CB"/>
    <w:rsid w:val="00D02E9C"/>
    <w:rsid w:val="00D047CF"/>
    <w:rsid w:val="00D05011"/>
    <w:rsid w:val="00D070F4"/>
    <w:rsid w:val="00D07F3D"/>
    <w:rsid w:val="00D10AD6"/>
    <w:rsid w:val="00D10C4C"/>
    <w:rsid w:val="00D10F1A"/>
    <w:rsid w:val="00D115CC"/>
    <w:rsid w:val="00D116F8"/>
    <w:rsid w:val="00D124D4"/>
    <w:rsid w:val="00D12CE1"/>
    <w:rsid w:val="00D14C2A"/>
    <w:rsid w:val="00D15280"/>
    <w:rsid w:val="00D1664E"/>
    <w:rsid w:val="00D16F8E"/>
    <w:rsid w:val="00D17596"/>
    <w:rsid w:val="00D210D3"/>
    <w:rsid w:val="00D22640"/>
    <w:rsid w:val="00D241FA"/>
    <w:rsid w:val="00D263F3"/>
    <w:rsid w:val="00D26979"/>
    <w:rsid w:val="00D26D3A"/>
    <w:rsid w:val="00D33B67"/>
    <w:rsid w:val="00D350D9"/>
    <w:rsid w:val="00D3535A"/>
    <w:rsid w:val="00D3710D"/>
    <w:rsid w:val="00D37D9E"/>
    <w:rsid w:val="00D40E02"/>
    <w:rsid w:val="00D441B2"/>
    <w:rsid w:val="00D45C91"/>
    <w:rsid w:val="00D45EE3"/>
    <w:rsid w:val="00D469CB"/>
    <w:rsid w:val="00D50259"/>
    <w:rsid w:val="00D5042C"/>
    <w:rsid w:val="00D50618"/>
    <w:rsid w:val="00D509E9"/>
    <w:rsid w:val="00D521F3"/>
    <w:rsid w:val="00D53B1C"/>
    <w:rsid w:val="00D54AB9"/>
    <w:rsid w:val="00D60A32"/>
    <w:rsid w:val="00D60FF4"/>
    <w:rsid w:val="00D61714"/>
    <w:rsid w:val="00D6176D"/>
    <w:rsid w:val="00D620BE"/>
    <w:rsid w:val="00D622B9"/>
    <w:rsid w:val="00D63493"/>
    <w:rsid w:val="00D64F81"/>
    <w:rsid w:val="00D652C8"/>
    <w:rsid w:val="00D65414"/>
    <w:rsid w:val="00D656FF"/>
    <w:rsid w:val="00D73238"/>
    <w:rsid w:val="00D77BFB"/>
    <w:rsid w:val="00D80FF7"/>
    <w:rsid w:val="00D82448"/>
    <w:rsid w:val="00D83615"/>
    <w:rsid w:val="00D83AAD"/>
    <w:rsid w:val="00D86F42"/>
    <w:rsid w:val="00D8708A"/>
    <w:rsid w:val="00D87E79"/>
    <w:rsid w:val="00D90E37"/>
    <w:rsid w:val="00D9159B"/>
    <w:rsid w:val="00D9176F"/>
    <w:rsid w:val="00D952E0"/>
    <w:rsid w:val="00D97037"/>
    <w:rsid w:val="00D97C39"/>
    <w:rsid w:val="00D97DFC"/>
    <w:rsid w:val="00DA195F"/>
    <w:rsid w:val="00DA1B12"/>
    <w:rsid w:val="00DA2C11"/>
    <w:rsid w:val="00DA4AC6"/>
    <w:rsid w:val="00DA4F90"/>
    <w:rsid w:val="00DA54C9"/>
    <w:rsid w:val="00DA6739"/>
    <w:rsid w:val="00DA6CAE"/>
    <w:rsid w:val="00DB0AAF"/>
    <w:rsid w:val="00DB1A9E"/>
    <w:rsid w:val="00DB1EFF"/>
    <w:rsid w:val="00DB31D6"/>
    <w:rsid w:val="00DB3296"/>
    <w:rsid w:val="00DB3BF1"/>
    <w:rsid w:val="00DB4005"/>
    <w:rsid w:val="00DB44AD"/>
    <w:rsid w:val="00DB44E2"/>
    <w:rsid w:val="00DB587A"/>
    <w:rsid w:val="00DB61F1"/>
    <w:rsid w:val="00DC325B"/>
    <w:rsid w:val="00DC34EB"/>
    <w:rsid w:val="00DC48CB"/>
    <w:rsid w:val="00DC4E2E"/>
    <w:rsid w:val="00DC5A02"/>
    <w:rsid w:val="00DC6B87"/>
    <w:rsid w:val="00DC78C0"/>
    <w:rsid w:val="00DD099D"/>
    <w:rsid w:val="00DD1AA3"/>
    <w:rsid w:val="00DD263B"/>
    <w:rsid w:val="00DD3607"/>
    <w:rsid w:val="00DD3EF4"/>
    <w:rsid w:val="00DD6E7C"/>
    <w:rsid w:val="00DD7AE6"/>
    <w:rsid w:val="00DE16AD"/>
    <w:rsid w:val="00DE286B"/>
    <w:rsid w:val="00DE2C10"/>
    <w:rsid w:val="00DE4362"/>
    <w:rsid w:val="00DF1021"/>
    <w:rsid w:val="00DF14C9"/>
    <w:rsid w:val="00DF1E5B"/>
    <w:rsid w:val="00DF2275"/>
    <w:rsid w:val="00DF2BC4"/>
    <w:rsid w:val="00DF34FF"/>
    <w:rsid w:val="00DF3F5E"/>
    <w:rsid w:val="00DF5653"/>
    <w:rsid w:val="00DF6186"/>
    <w:rsid w:val="00DF6D71"/>
    <w:rsid w:val="00DF79F3"/>
    <w:rsid w:val="00E01C2F"/>
    <w:rsid w:val="00E0578F"/>
    <w:rsid w:val="00E0596E"/>
    <w:rsid w:val="00E060B9"/>
    <w:rsid w:val="00E06F66"/>
    <w:rsid w:val="00E07158"/>
    <w:rsid w:val="00E13910"/>
    <w:rsid w:val="00E13E1B"/>
    <w:rsid w:val="00E2111A"/>
    <w:rsid w:val="00E21678"/>
    <w:rsid w:val="00E24712"/>
    <w:rsid w:val="00E25739"/>
    <w:rsid w:val="00E25D20"/>
    <w:rsid w:val="00E268E8"/>
    <w:rsid w:val="00E270CE"/>
    <w:rsid w:val="00E304C4"/>
    <w:rsid w:val="00E30FE8"/>
    <w:rsid w:val="00E31288"/>
    <w:rsid w:val="00E3264D"/>
    <w:rsid w:val="00E33880"/>
    <w:rsid w:val="00E344AA"/>
    <w:rsid w:val="00E344F2"/>
    <w:rsid w:val="00E356E5"/>
    <w:rsid w:val="00E361C9"/>
    <w:rsid w:val="00E36F81"/>
    <w:rsid w:val="00E378A8"/>
    <w:rsid w:val="00E40B9B"/>
    <w:rsid w:val="00E41AAE"/>
    <w:rsid w:val="00E45765"/>
    <w:rsid w:val="00E46E35"/>
    <w:rsid w:val="00E5098C"/>
    <w:rsid w:val="00E526AD"/>
    <w:rsid w:val="00E52E36"/>
    <w:rsid w:val="00E54C10"/>
    <w:rsid w:val="00E54D41"/>
    <w:rsid w:val="00E54ECD"/>
    <w:rsid w:val="00E574EF"/>
    <w:rsid w:val="00E57CD8"/>
    <w:rsid w:val="00E57E07"/>
    <w:rsid w:val="00E60213"/>
    <w:rsid w:val="00E6174A"/>
    <w:rsid w:val="00E62EAD"/>
    <w:rsid w:val="00E64148"/>
    <w:rsid w:val="00E644E8"/>
    <w:rsid w:val="00E654B1"/>
    <w:rsid w:val="00E661B2"/>
    <w:rsid w:val="00E6657B"/>
    <w:rsid w:val="00E673A5"/>
    <w:rsid w:val="00E71170"/>
    <w:rsid w:val="00E74D29"/>
    <w:rsid w:val="00E806FF"/>
    <w:rsid w:val="00E80710"/>
    <w:rsid w:val="00E8076E"/>
    <w:rsid w:val="00E80BD8"/>
    <w:rsid w:val="00E81ADE"/>
    <w:rsid w:val="00E81CF9"/>
    <w:rsid w:val="00E835DE"/>
    <w:rsid w:val="00E83C74"/>
    <w:rsid w:val="00E83CEE"/>
    <w:rsid w:val="00E8412D"/>
    <w:rsid w:val="00E84C20"/>
    <w:rsid w:val="00E857AF"/>
    <w:rsid w:val="00E90208"/>
    <w:rsid w:val="00E90DDB"/>
    <w:rsid w:val="00E91CAD"/>
    <w:rsid w:val="00E91F18"/>
    <w:rsid w:val="00E9216F"/>
    <w:rsid w:val="00E9226D"/>
    <w:rsid w:val="00E933E6"/>
    <w:rsid w:val="00E93647"/>
    <w:rsid w:val="00E96424"/>
    <w:rsid w:val="00E96647"/>
    <w:rsid w:val="00E97749"/>
    <w:rsid w:val="00E97C31"/>
    <w:rsid w:val="00EA10B3"/>
    <w:rsid w:val="00EA1EC4"/>
    <w:rsid w:val="00EA21CF"/>
    <w:rsid w:val="00EA2A91"/>
    <w:rsid w:val="00EA2FB0"/>
    <w:rsid w:val="00EA348A"/>
    <w:rsid w:val="00EA416C"/>
    <w:rsid w:val="00EA4790"/>
    <w:rsid w:val="00EA5941"/>
    <w:rsid w:val="00EA7E5C"/>
    <w:rsid w:val="00EB0865"/>
    <w:rsid w:val="00EB5F2A"/>
    <w:rsid w:val="00EB60CE"/>
    <w:rsid w:val="00EB629E"/>
    <w:rsid w:val="00EB7D53"/>
    <w:rsid w:val="00EC1C8D"/>
    <w:rsid w:val="00EC37F0"/>
    <w:rsid w:val="00EC427A"/>
    <w:rsid w:val="00EC596B"/>
    <w:rsid w:val="00EC77F9"/>
    <w:rsid w:val="00ED2C45"/>
    <w:rsid w:val="00ED386A"/>
    <w:rsid w:val="00ED441F"/>
    <w:rsid w:val="00ED5EEB"/>
    <w:rsid w:val="00ED6FCF"/>
    <w:rsid w:val="00EE13C5"/>
    <w:rsid w:val="00EE2995"/>
    <w:rsid w:val="00EE3146"/>
    <w:rsid w:val="00EE31BA"/>
    <w:rsid w:val="00EE56E1"/>
    <w:rsid w:val="00EE5C89"/>
    <w:rsid w:val="00EF0A30"/>
    <w:rsid w:val="00EF338D"/>
    <w:rsid w:val="00EF4107"/>
    <w:rsid w:val="00EF50BB"/>
    <w:rsid w:val="00EF50FB"/>
    <w:rsid w:val="00EF5270"/>
    <w:rsid w:val="00EF71E4"/>
    <w:rsid w:val="00F00192"/>
    <w:rsid w:val="00F01DF6"/>
    <w:rsid w:val="00F027B8"/>
    <w:rsid w:val="00F03148"/>
    <w:rsid w:val="00F0340D"/>
    <w:rsid w:val="00F035F2"/>
    <w:rsid w:val="00F04272"/>
    <w:rsid w:val="00F044A0"/>
    <w:rsid w:val="00F059A6"/>
    <w:rsid w:val="00F07E6D"/>
    <w:rsid w:val="00F12521"/>
    <w:rsid w:val="00F13E94"/>
    <w:rsid w:val="00F14736"/>
    <w:rsid w:val="00F14A04"/>
    <w:rsid w:val="00F2064D"/>
    <w:rsid w:val="00F22FD6"/>
    <w:rsid w:val="00F23756"/>
    <w:rsid w:val="00F23C5F"/>
    <w:rsid w:val="00F2459F"/>
    <w:rsid w:val="00F2464C"/>
    <w:rsid w:val="00F2523A"/>
    <w:rsid w:val="00F25FFA"/>
    <w:rsid w:val="00F26E16"/>
    <w:rsid w:val="00F30517"/>
    <w:rsid w:val="00F30708"/>
    <w:rsid w:val="00F3104A"/>
    <w:rsid w:val="00F310D2"/>
    <w:rsid w:val="00F31E11"/>
    <w:rsid w:val="00F3263A"/>
    <w:rsid w:val="00F33D9A"/>
    <w:rsid w:val="00F33F8B"/>
    <w:rsid w:val="00F33FDB"/>
    <w:rsid w:val="00F3443C"/>
    <w:rsid w:val="00F34E90"/>
    <w:rsid w:val="00F368F8"/>
    <w:rsid w:val="00F36F3D"/>
    <w:rsid w:val="00F37C48"/>
    <w:rsid w:val="00F433BD"/>
    <w:rsid w:val="00F43CEB"/>
    <w:rsid w:val="00F44580"/>
    <w:rsid w:val="00F44E57"/>
    <w:rsid w:val="00F4659F"/>
    <w:rsid w:val="00F477BD"/>
    <w:rsid w:val="00F50333"/>
    <w:rsid w:val="00F50CFB"/>
    <w:rsid w:val="00F52241"/>
    <w:rsid w:val="00F52E3E"/>
    <w:rsid w:val="00F53491"/>
    <w:rsid w:val="00F54656"/>
    <w:rsid w:val="00F55386"/>
    <w:rsid w:val="00F56411"/>
    <w:rsid w:val="00F57A10"/>
    <w:rsid w:val="00F60181"/>
    <w:rsid w:val="00F603BB"/>
    <w:rsid w:val="00F63C95"/>
    <w:rsid w:val="00F63D19"/>
    <w:rsid w:val="00F64807"/>
    <w:rsid w:val="00F653D5"/>
    <w:rsid w:val="00F657D7"/>
    <w:rsid w:val="00F65869"/>
    <w:rsid w:val="00F65A1C"/>
    <w:rsid w:val="00F669A9"/>
    <w:rsid w:val="00F66F50"/>
    <w:rsid w:val="00F67471"/>
    <w:rsid w:val="00F70B72"/>
    <w:rsid w:val="00F716A0"/>
    <w:rsid w:val="00F739ED"/>
    <w:rsid w:val="00F73E22"/>
    <w:rsid w:val="00F76127"/>
    <w:rsid w:val="00F7628B"/>
    <w:rsid w:val="00F76587"/>
    <w:rsid w:val="00F76C57"/>
    <w:rsid w:val="00F7727C"/>
    <w:rsid w:val="00F77432"/>
    <w:rsid w:val="00F81162"/>
    <w:rsid w:val="00F82A7D"/>
    <w:rsid w:val="00F82FF8"/>
    <w:rsid w:val="00F8330D"/>
    <w:rsid w:val="00F84305"/>
    <w:rsid w:val="00F8485C"/>
    <w:rsid w:val="00F85B7B"/>
    <w:rsid w:val="00F85D70"/>
    <w:rsid w:val="00F87149"/>
    <w:rsid w:val="00F874B9"/>
    <w:rsid w:val="00F87FFE"/>
    <w:rsid w:val="00F90337"/>
    <w:rsid w:val="00F9113E"/>
    <w:rsid w:val="00F9138D"/>
    <w:rsid w:val="00F91940"/>
    <w:rsid w:val="00F92002"/>
    <w:rsid w:val="00F9369C"/>
    <w:rsid w:val="00F9485A"/>
    <w:rsid w:val="00F954C9"/>
    <w:rsid w:val="00F95B67"/>
    <w:rsid w:val="00F969C9"/>
    <w:rsid w:val="00F972B0"/>
    <w:rsid w:val="00F97B86"/>
    <w:rsid w:val="00FA1B52"/>
    <w:rsid w:val="00FA3455"/>
    <w:rsid w:val="00FA39F7"/>
    <w:rsid w:val="00FA4CF0"/>
    <w:rsid w:val="00FA4DCD"/>
    <w:rsid w:val="00FA61AA"/>
    <w:rsid w:val="00FA69A4"/>
    <w:rsid w:val="00FB1279"/>
    <w:rsid w:val="00FB1495"/>
    <w:rsid w:val="00FB51F1"/>
    <w:rsid w:val="00FC0587"/>
    <w:rsid w:val="00FC2093"/>
    <w:rsid w:val="00FC20F8"/>
    <w:rsid w:val="00FC3EBA"/>
    <w:rsid w:val="00FC45E7"/>
    <w:rsid w:val="00FC4F68"/>
    <w:rsid w:val="00FC5499"/>
    <w:rsid w:val="00FC6439"/>
    <w:rsid w:val="00FC68DC"/>
    <w:rsid w:val="00FC752A"/>
    <w:rsid w:val="00FD1694"/>
    <w:rsid w:val="00FD2134"/>
    <w:rsid w:val="00FD45FE"/>
    <w:rsid w:val="00FD5A2E"/>
    <w:rsid w:val="00FD6667"/>
    <w:rsid w:val="00FD7636"/>
    <w:rsid w:val="00FD7A6E"/>
    <w:rsid w:val="00FE1B1B"/>
    <w:rsid w:val="00FE295F"/>
    <w:rsid w:val="00FE313F"/>
    <w:rsid w:val="00FE3229"/>
    <w:rsid w:val="00FE3C90"/>
    <w:rsid w:val="00FE3CE0"/>
    <w:rsid w:val="00FE40F7"/>
    <w:rsid w:val="00FE74C3"/>
    <w:rsid w:val="00FE7E22"/>
    <w:rsid w:val="00FF05EE"/>
    <w:rsid w:val="00FF215C"/>
    <w:rsid w:val="00FF371B"/>
    <w:rsid w:val="00FF3753"/>
    <w:rsid w:val="00FF39D2"/>
    <w:rsid w:val="00FF49E8"/>
    <w:rsid w:val="00FF6456"/>
    <w:rsid w:val="00FF672F"/>
    <w:rsid w:val="00FF681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4CC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D622B9"/>
    <w:pPr>
      <w:jc w:val="center"/>
      <w:outlineLvl w:val="0"/>
    </w:pPr>
    <w:rPr>
      <w:b/>
      <w:sz w:val="24"/>
    </w:rPr>
  </w:style>
  <w:style w:type="paragraph" w:styleId="Heading2">
    <w:name w:val="heading 2"/>
    <w:basedOn w:val="Header"/>
    <w:next w:val="Normal"/>
    <w:link w:val="Heading2Char"/>
    <w:uiPriority w:val="9"/>
    <w:qFormat/>
    <w:rsid w:val="00704B37"/>
    <w:pPr>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186465"/>
    <w:pPr>
      <w:spacing w:before="200"/>
      <w:outlineLvl w:val="2"/>
    </w:pPr>
    <w:rPr>
      <w:sz w:val="20"/>
    </w:rPr>
  </w:style>
  <w:style w:type="paragraph" w:styleId="Heading4">
    <w:name w:val="heading 4"/>
    <w:basedOn w:val="PlainText"/>
    <w:next w:val="Normal"/>
    <w:link w:val="Heading4Char"/>
    <w:uiPriority w:val="9"/>
    <w:qFormat/>
    <w:rsid w:val="00186465"/>
    <w:pPr>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186465"/>
    <w:pPr>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ind w:left="0" w:firstLine="0"/>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D622B9"/>
    <w:rPr>
      <w:rFonts w:eastAsia="Times New Roman" w:cs="Arial"/>
      <w:b/>
      <w:sz w:val="24"/>
      <w:lang w:eastAsia="en-US"/>
    </w:rPr>
  </w:style>
  <w:style w:type="character" w:customStyle="1" w:styleId="Heading2Char">
    <w:name w:val="Heading 2 Char"/>
    <w:basedOn w:val="DefaultParagraphFont"/>
    <w:link w:val="Heading2"/>
    <w:uiPriority w:val="9"/>
    <w:rsid w:val="00704B37"/>
    <w:rPr>
      <w:rFonts w:eastAsia="Times New Roman" w:cs="Arial"/>
      <w:b/>
      <w:szCs w:val="24"/>
    </w:rPr>
  </w:style>
  <w:style w:type="character" w:customStyle="1" w:styleId="Heading3Char">
    <w:name w:val="Heading 3 Char"/>
    <w:basedOn w:val="DefaultParagraphFont"/>
    <w:link w:val="Heading3"/>
    <w:uiPriority w:val="9"/>
    <w:rsid w:val="00186465"/>
    <w:rPr>
      <w:rFonts w:eastAsia="Times New Roman" w:cs="Arial"/>
      <w:b/>
      <w:lang w:eastAsia="en-US"/>
    </w:rPr>
  </w:style>
  <w:style w:type="character" w:customStyle="1" w:styleId="Heading4Char">
    <w:name w:val="Heading 4 Char"/>
    <w:basedOn w:val="DefaultParagraphFont"/>
    <w:link w:val="Heading4"/>
    <w:uiPriority w:val="9"/>
    <w:rsid w:val="00186465"/>
    <w:rPr>
      <w:rFonts w:eastAsia="Times New Roman" w:cs="Arial"/>
      <w:u w:val="single"/>
      <w:lang w:eastAsia="en-US"/>
    </w:rPr>
  </w:style>
  <w:style w:type="paragraph" w:styleId="ListBullet">
    <w:name w:val="List Bullet"/>
    <w:basedOn w:val="Normal"/>
    <w:uiPriority w:val="99"/>
    <w:unhideWhenUsed/>
    <w:qFormat/>
    <w:rsid w:val="00D441B2"/>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ind w:left="369" w:hanging="369"/>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ind w:left="369" w:hanging="369"/>
    </w:pPr>
  </w:style>
  <w:style w:type="paragraph" w:styleId="ListNumber2">
    <w:name w:val="List Number 2"/>
    <w:basedOn w:val="Normal"/>
    <w:uiPriority w:val="99"/>
    <w:qFormat/>
    <w:rsid w:val="00186465"/>
    <w:pPr>
      <w:ind w:left="709" w:hanging="283"/>
    </w:pPr>
  </w:style>
  <w:style w:type="paragraph" w:styleId="ListNumber3">
    <w:name w:val="List Number 3"/>
    <w:basedOn w:val="Normal"/>
    <w:uiPriority w:val="99"/>
    <w:qFormat/>
    <w:rsid w:val="009E79B6"/>
    <w:pPr>
      <w:ind w:left="993" w:hanging="284"/>
    </w:pPr>
  </w:style>
  <w:style w:type="paragraph" w:styleId="ListNumber4">
    <w:name w:val="List Number 4"/>
    <w:basedOn w:val="Normal"/>
    <w:uiPriority w:val="99"/>
    <w:rsid w:val="00005CAA"/>
    <w:pPr>
      <w:ind w:left="1476" w:hanging="369"/>
    </w:pPr>
  </w:style>
  <w:style w:type="paragraph" w:styleId="ListNumber5">
    <w:name w:val="List Number 5"/>
    <w:basedOn w:val="Normal"/>
    <w:uiPriority w:val="99"/>
    <w:rsid w:val="00005CAA"/>
    <w:pPr>
      <w:ind w:left="1845" w:hanging="369"/>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186465"/>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semiHidden/>
    <w:unhideWhenUsed/>
    <w:rsid w:val="003E2135"/>
  </w:style>
  <w:style w:type="character" w:customStyle="1" w:styleId="CommentTextChar">
    <w:name w:val="Comment Text Char"/>
    <w:basedOn w:val="DefaultParagraphFont"/>
    <w:link w:val="CommentText"/>
    <w:uiPriority w:val="99"/>
    <w:semiHidden/>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character" w:styleId="FollowedHyperlink">
    <w:name w:val="FollowedHyperlink"/>
    <w:basedOn w:val="DefaultParagraphFont"/>
    <w:uiPriority w:val="99"/>
    <w:semiHidden/>
    <w:unhideWhenUsed/>
    <w:rsid w:val="00A339C8"/>
    <w:rPr>
      <w:color w:val="800080" w:themeColor="followedHyperlink"/>
      <w:u w:val="single"/>
    </w:rPr>
  </w:style>
  <w:style w:type="paragraph" w:customStyle="1" w:styleId="xmsolistbullet">
    <w:name w:val="x_msolistbullet"/>
    <w:basedOn w:val="Normal"/>
    <w:rsid w:val="00634E4E"/>
    <w:pPr>
      <w:autoSpaceDE/>
      <w:autoSpaceDN/>
      <w:adjustRightInd/>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378011">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243106126">
      <w:bodyDiv w:val="1"/>
      <w:marLeft w:val="0"/>
      <w:marRight w:val="0"/>
      <w:marTop w:val="0"/>
      <w:marBottom w:val="0"/>
      <w:divBdr>
        <w:top w:val="none" w:sz="0" w:space="0" w:color="auto"/>
        <w:left w:val="none" w:sz="0" w:space="0" w:color="auto"/>
        <w:bottom w:val="none" w:sz="0" w:space="0" w:color="auto"/>
        <w:right w:val="none" w:sz="0" w:space="0" w:color="auto"/>
      </w:divBdr>
      <w:divsChild>
        <w:div w:id="1612781898">
          <w:marLeft w:val="0"/>
          <w:marRight w:val="0"/>
          <w:marTop w:val="0"/>
          <w:marBottom w:val="0"/>
          <w:divBdr>
            <w:top w:val="none" w:sz="0" w:space="0" w:color="auto"/>
            <w:left w:val="none" w:sz="0" w:space="0" w:color="auto"/>
            <w:bottom w:val="none" w:sz="0" w:space="0" w:color="auto"/>
            <w:right w:val="none" w:sz="0" w:space="0" w:color="auto"/>
          </w:divBdr>
          <w:divsChild>
            <w:div w:id="1608007363">
              <w:marLeft w:val="0"/>
              <w:marRight w:val="0"/>
              <w:marTop w:val="0"/>
              <w:marBottom w:val="0"/>
              <w:divBdr>
                <w:top w:val="none" w:sz="0" w:space="0" w:color="auto"/>
                <w:left w:val="none" w:sz="0" w:space="0" w:color="auto"/>
                <w:bottom w:val="none" w:sz="0" w:space="0" w:color="auto"/>
                <w:right w:val="none" w:sz="0" w:space="0" w:color="auto"/>
              </w:divBdr>
              <w:divsChild>
                <w:div w:id="358893128">
                  <w:marLeft w:val="0"/>
                  <w:marRight w:val="0"/>
                  <w:marTop w:val="0"/>
                  <w:marBottom w:val="0"/>
                  <w:divBdr>
                    <w:top w:val="none" w:sz="0" w:space="0" w:color="auto"/>
                    <w:left w:val="none" w:sz="0" w:space="0" w:color="auto"/>
                    <w:bottom w:val="none" w:sz="0" w:space="0" w:color="auto"/>
                    <w:right w:val="none" w:sz="0" w:space="0" w:color="auto"/>
                  </w:divBdr>
                  <w:divsChild>
                    <w:div w:id="705064781">
                      <w:marLeft w:val="0"/>
                      <w:marRight w:val="0"/>
                      <w:marTop w:val="0"/>
                      <w:marBottom w:val="0"/>
                      <w:divBdr>
                        <w:top w:val="none" w:sz="0" w:space="0" w:color="auto"/>
                        <w:left w:val="none" w:sz="0" w:space="0" w:color="auto"/>
                        <w:bottom w:val="none" w:sz="0" w:space="0" w:color="auto"/>
                        <w:right w:val="none" w:sz="0" w:space="0" w:color="auto"/>
                      </w:divBdr>
                      <w:divsChild>
                        <w:div w:id="1731684280">
                          <w:marLeft w:val="0"/>
                          <w:marRight w:val="0"/>
                          <w:marTop w:val="0"/>
                          <w:marBottom w:val="0"/>
                          <w:divBdr>
                            <w:top w:val="none" w:sz="0" w:space="0" w:color="auto"/>
                            <w:left w:val="none" w:sz="0" w:space="0" w:color="auto"/>
                            <w:bottom w:val="none" w:sz="0" w:space="0" w:color="auto"/>
                            <w:right w:val="none" w:sz="0" w:space="0" w:color="auto"/>
                          </w:divBdr>
                          <w:divsChild>
                            <w:div w:id="1918400586">
                              <w:marLeft w:val="15"/>
                              <w:marRight w:val="195"/>
                              <w:marTop w:val="0"/>
                              <w:marBottom w:val="0"/>
                              <w:divBdr>
                                <w:top w:val="none" w:sz="0" w:space="0" w:color="auto"/>
                                <w:left w:val="none" w:sz="0" w:space="0" w:color="auto"/>
                                <w:bottom w:val="none" w:sz="0" w:space="0" w:color="auto"/>
                                <w:right w:val="none" w:sz="0" w:space="0" w:color="auto"/>
                              </w:divBdr>
                              <w:divsChild>
                                <w:div w:id="1506162528">
                                  <w:marLeft w:val="0"/>
                                  <w:marRight w:val="0"/>
                                  <w:marTop w:val="0"/>
                                  <w:marBottom w:val="0"/>
                                  <w:divBdr>
                                    <w:top w:val="none" w:sz="0" w:space="0" w:color="auto"/>
                                    <w:left w:val="none" w:sz="0" w:space="0" w:color="auto"/>
                                    <w:bottom w:val="none" w:sz="0" w:space="0" w:color="auto"/>
                                    <w:right w:val="none" w:sz="0" w:space="0" w:color="auto"/>
                                  </w:divBdr>
                                  <w:divsChild>
                                    <w:div w:id="1324511192">
                                      <w:marLeft w:val="0"/>
                                      <w:marRight w:val="0"/>
                                      <w:marTop w:val="0"/>
                                      <w:marBottom w:val="0"/>
                                      <w:divBdr>
                                        <w:top w:val="none" w:sz="0" w:space="0" w:color="auto"/>
                                        <w:left w:val="none" w:sz="0" w:space="0" w:color="auto"/>
                                        <w:bottom w:val="none" w:sz="0" w:space="0" w:color="auto"/>
                                        <w:right w:val="none" w:sz="0" w:space="0" w:color="auto"/>
                                      </w:divBdr>
                                      <w:divsChild>
                                        <w:div w:id="1967660993">
                                          <w:marLeft w:val="0"/>
                                          <w:marRight w:val="0"/>
                                          <w:marTop w:val="0"/>
                                          <w:marBottom w:val="0"/>
                                          <w:divBdr>
                                            <w:top w:val="none" w:sz="0" w:space="0" w:color="auto"/>
                                            <w:left w:val="none" w:sz="0" w:space="0" w:color="auto"/>
                                            <w:bottom w:val="none" w:sz="0" w:space="0" w:color="auto"/>
                                            <w:right w:val="none" w:sz="0" w:space="0" w:color="auto"/>
                                          </w:divBdr>
                                          <w:divsChild>
                                            <w:div w:id="928541753">
                                              <w:marLeft w:val="0"/>
                                              <w:marRight w:val="0"/>
                                              <w:marTop w:val="0"/>
                                              <w:marBottom w:val="0"/>
                                              <w:divBdr>
                                                <w:top w:val="none" w:sz="0" w:space="0" w:color="auto"/>
                                                <w:left w:val="none" w:sz="0" w:space="0" w:color="auto"/>
                                                <w:bottom w:val="none" w:sz="0" w:space="0" w:color="auto"/>
                                                <w:right w:val="none" w:sz="0" w:space="0" w:color="auto"/>
                                              </w:divBdr>
                                              <w:divsChild>
                                                <w:div w:id="918514690">
                                                  <w:marLeft w:val="0"/>
                                                  <w:marRight w:val="0"/>
                                                  <w:marTop w:val="0"/>
                                                  <w:marBottom w:val="0"/>
                                                  <w:divBdr>
                                                    <w:top w:val="none" w:sz="0" w:space="0" w:color="auto"/>
                                                    <w:left w:val="none" w:sz="0" w:space="0" w:color="auto"/>
                                                    <w:bottom w:val="none" w:sz="0" w:space="0" w:color="auto"/>
                                                    <w:right w:val="none" w:sz="0" w:space="0" w:color="auto"/>
                                                  </w:divBdr>
                                                  <w:divsChild>
                                                    <w:div w:id="806436219">
                                                      <w:marLeft w:val="0"/>
                                                      <w:marRight w:val="0"/>
                                                      <w:marTop w:val="0"/>
                                                      <w:marBottom w:val="0"/>
                                                      <w:divBdr>
                                                        <w:top w:val="none" w:sz="0" w:space="0" w:color="auto"/>
                                                        <w:left w:val="none" w:sz="0" w:space="0" w:color="auto"/>
                                                        <w:bottom w:val="none" w:sz="0" w:space="0" w:color="auto"/>
                                                        <w:right w:val="none" w:sz="0" w:space="0" w:color="auto"/>
                                                      </w:divBdr>
                                                      <w:divsChild>
                                                        <w:div w:id="1374161091">
                                                          <w:marLeft w:val="0"/>
                                                          <w:marRight w:val="0"/>
                                                          <w:marTop w:val="0"/>
                                                          <w:marBottom w:val="0"/>
                                                          <w:divBdr>
                                                            <w:top w:val="none" w:sz="0" w:space="0" w:color="auto"/>
                                                            <w:left w:val="none" w:sz="0" w:space="0" w:color="auto"/>
                                                            <w:bottom w:val="none" w:sz="0" w:space="0" w:color="auto"/>
                                                            <w:right w:val="none" w:sz="0" w:space="0" w:color="auto"/>
                                                          </w:divBdr>
                                                          <w:divsChild>
                                                            <w:div w:id="1866167830">
                                                              <w:marLeft w:val="0"/>
                                                              <w:marRight w:val="0"/>
                                                              <w:marTop w:val="0"/>
                                                              <w:marBottom w:val="0"/>
                                                              <w:divBdr>
                                                                <w:top w:val="none" w:sz="0" w:space="0" w:color="auto"/>
                                                                <w:left w:val="none" w:sz="0" w:space="0" w:color="auto"/>
                                                                <w:bottom w:val="none" w:sz="0" w:space="0" w:color="auto"/>
                                                                <w:right w:val="none" w:sz="0" w:space="0" w:color="auto"/>
                                                              </w:divBdr>
                                                              <w:divsChild>
                                                                <w:div w:id="708797266">
                                                                  <w:marLeft w:val="0"/>
                                                                  <w:marRight w:val="0"/>
                                                                  <w:marTop w:val="0"/>
                                                                  <w:marBottom w:val="0"/>
                                                                  <w:divBdr>
                                                                    <w:top w:val="none" w:sz="0" w:space="0" w:color="auto"/>
                                                                    <w:left w:val="none" w:sz="0" w:space="0" w:color="auto"/>
                                                                    <w:bottom w:val="none" w:sz="0" w:space="0" w:color="auto"/>
                                                                    <w:right w:val="none" w:sz="0" w:space="0" w:color="auto"/>
                                                                  </w:divBdr>
                                                                  <w:divsChild>
                                                                    <w:div w:id="1854031277">
                                                                      <w:marLeft w:val="405"/>
                                                                      <w:marRight w:val="0"/>
                                                                      <w:marTop w:val="0"/>
                                                                      <w:marBottom w:val="0"/>
                                                                      <w:divBdr>
                                                                        <w:top w:val="none" w:sz="0" w:space="0" w:color="auto"/>
                                                                        <w:left w:val="none" w:sz="0" w:space="0" w:color="auto"/>
                                                                        <w:bottom w:val="none" w:sz="0" w:space="0" w:color="auto"/>
                                                                        <w:right w:val="none" w:sz="0" w:space="0" w:color="auto"/>
                                                                      </w:divBdr>
                                                                      <w:divsChild>
                                                                        <w:div w:id="1734087127">
                                                                          <w:marLeft w:val="0"/>
                                                                          <w:marRight w:val="0"/>
                                                                          <w:marTop w:val="0"/>
                                                                          <w:marBottom w:val="0"/>
                                                                          <w:divBdr>
                                                                            <w:top w:val="none" w:sz="0" w:space="0" w:color="auto"/>
                                                                            <w:left w:val="none" w:sz="0" w:space="0" w:color="auto"/>
                                                                            <w:bottom w:val="none" w:sz="0" w:space="0" w:color="auto"/>
                                                                            <w:right w:val="none" w:sz="0" w:space="0" w:color="auto"/>
                                                                          </w:divBdr>
                                                                          <w:divsChild>
                                                                            <w:div w:id="201020191">
                                                                              <w:marLeft w:val="0"/>
                                                                              <w:marRight w:val="0"/>
                                                                              <w:marTop w:val="0"/>
                                                                              <w:marBottom w:val="0"/>
                                                                              <w:divBdr>
                                                                                <w:top w:val="none" w:sz="0" w:space="0" w:color="auto"/>
                                                                                <w:left w:val="none" w:sz="0" w:space="0" w:color="auto"/>
                                                                                <w:bottom w:val="none" w:sz="0" w:space="0" w:color="auto"/>
                                                                                <w:right w:val="none" w:sz="0" w:space="0" w:color="auto"/>
                                                                              </w:divBdr>
                                                                              <w:divsChild>
                                                                                <w:div w:id="1147355141">
                                                                                  <w:marLeft w:val="0"/>
                                                                                  <w:marRight w:val="0"/>
                                                                                  <w:marTop w:val="60"/>
                                                                                  <w:marBottom w:val="0"/>
                                                                                  <w:divBdr>
                                                                                    <w:top w:val="none" w:sz="0" w:space="0" w:color="auto"/>
                                                                                    <w:left w:val="none" w:sz="0" w:space="0" w:color="auto"/>
                                                                                    <w:bottom w:val="none" w:sz="0" w:space="0" w:color="auto"/>
                                                                                    <w:right w:val="none" w:sz="0" w:space="0" w:color="auto"/>
                                                                                  </w:divBdr>
                                                                                  <w:divsChild>
                                                                                    <w:div w:id="1744176123">
                                                                                      <w:marLeft w:val="0"/>
                                                                                      <w:marRight w:val="0"/>
                                                                                      <w:marTop w:val="0"/>
                                                                                      <w:marBottom w:val="0"/>
                                                                                      <w:divBdr>
                                                                                        <w:top w:val="none" w:sz="0" w:space="0" w:color="auto"/>
                                                                                        <w:left w:val="none" w:sz="0" w:space="0" w:color="auto"/>
                                                                                        <w:bottom w:val="none" w:sz="0" w:space="0" w:color="auto"/>
                                                                                        <w:right w:val="none" w:sz="0" w:space="0" w:color="auto"/>
                                                                                      </w:divBdr>
                                                                                      <w:divsChild>
                                                                                        <w:div w:id="882249882">
                                                                                          <w:marLeft w:val="0"/>
                                                                                          <w:marRight w:val="0"/>
                                                                                          <w:marTop w:val="0"/>
                                                                                          <w:marBottom w:val="0"/>
                                                                                          <w:divBdr>
                                                                                            <w:top w:val="none" w:sz="0" w:space="0" w:color="auto"/>
                                                                                            <w:left w:val="none" w:sz="0" w:space="0" w:color="auto"/>
                                                                                            <w:bottom w:val="none" w:sz="0" w:space="0" w:color="auto"/>
                                                                                            <w:right w:val="none" w:sz="0" w:space="0" w:color="auto"/>
                                                                                          </w:divBdr>
                                                                                          <w:divsChild>
                                                                                            <w:div w:id="356082910">
                                                                                              <w:marLeft w:val="0"/>
                                                                                              <w:marRight w:val="0"/>
                                                                                              <w:marTop w:val="0"/>
                                                                                              <w:marBottom w:val="0"/>
                                                                                              <w:divBdr>
                                                                                                <w:top w:val="none" w:sz="0" w:space="0" w:color="auto"/>
                                                                                                <w:left w:val="none" w:sz="0" w:space="0" w:color="auto"/>
                                                                                                <w:bottom w:val="none" w:sz="0" w:space="0" w:color="auto"/>
                                                                                                <w:right w:val="none" w:sz="0" w:space="0" w:color="auto"/>
                                                                                              </w:divBdr>
                                                                                              <w:divsChild>
                                                                                                <w:div w:id="1120760984">
                                                                                                  <w:marLeft w:val="0"/>
                                                                                                  <w:marRight w:val="0"/>
                                                                                                  <w:marTop w:val="0"/>
                                                                                                  <w:marBottom w:val="0"/>
                                                                                                  <w:divBdr>
                                                                                                    <w:top w:val="none" w:sz="0" w:space="0" w:color="auto"/>
                                                                                                    <w:left w:val="none" w:sz="0" w:space="0" w:color="auto"/>
                                                                                                    <w:bottom w:val="none" w:sz="0" w:space="0" w:color="auto"/>
                                                                                                    <w:right w:val="none" w:sz="0" w:space="0" w:color="auto"/>
                                                                                                  </w:divBdr>
                                                                                                  <w:divsChild>
                                                                                                    <w:div w:id="220482100">
                                                                                                      <w:marLeft w:val="0"/>
                                                                                                      <w:marRight w:val="0"/>
                                                                                                      <w:marTop w:val="0"/>
                                                                                                      <w:marBottom w:val="0"/>
                                                                                                      <w:divBdr>
                                                                                                        <w:top w:val="none" w:sz="0" w:space="0" w:color="auto"/>
                                                                                                        <w:left w:val="none" w:sz="0" w:space="0" w:color="auto"/>
                                                                                                        <w:bottom w:val="none" w:sz="0" w:space="0" w:color="auto"/>
                                                                                                        <w:right w:val="none" w:sz="0" w:space="0" w:color="auto"/>
                                                                                                      </w:divBdr>
                                                                                                      <w:divsChild>
                                                                                                        <w:div w:id="830373307">
                                                                                                          <w:marLeft w:val="0"/>
                                                                                                          <w:marRight w:val="0"/>
                                                                                                          <w:marTop w:val="0"/>
                                                                                                          <w:marBottom w:val="0"/>
                                                                                                          <w:divBdr>
                                                                                                            <w:top w:val="none" w:sz="0" w:space="0" w:color="auto"/>
                                                                                                            <w:left w:val="none" w:sz="0" w:space="0" w:color="auto"/>
                                                                                                            <w:bottom w:val="none" w:sz="0" w:space="0" w:color="auto"/>
                                                                                                            <w:right w:val="none" w:sz="0" w:space="0" w:color="auto"/>
                                                                                                          </w:divBdr>
                                                                                                          <w:divsChild>
                                                                                                            <w:div w:id="864945330">
                                                                                                              <w:marLeft w:val="0"/>
                                                                                                              <w:marRight w:val="0"/>
                                                                                                              <w:marTop w:val="0"/>
                                                                                                              <w:marBottom w:val="0"/>
                                                                                                              <w:divBdr>
                                                                                                                <w:top w:val="none" w:sz="0" w:space="0" w:color="auto"/>
                                                                                                                <w:left w:val="none" w:sz="0" w:space="0" w:color="auto"/>
                                                                                                                <w:bottom w:val="none" w:sz="0" w:space="0" w:color="auto"/>
                                                                                                                <w:right w:val="none" w:sz="0" w:space="0" w:color="auto"/>
                                                                                                              </w:divBdr>
                                                                                                              <w:divsChild>
                                                                                                                <w:div w:id="5676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sc.environment.gov.au/system/files/resources/012fa918-ee79-4131-9c8d-02c9b2de65cf/files/iesc-information-guidelines-oct-2015.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F7C46DE2.dotm</Template>
  <TotalTime>0</TotalTime>
  <Pages>9</Pages>
  <Words>4072</Words>
  <Characters>23214</Characters>
  <Application>Microsoft Office Word</Application>
  <DocSecurity>4</DocSecurity>
  <Lines>193</Lines>
  <Paragraphs>54</Paragraphs>
  <ScaleCrop>false</ScaleCrop>
  <LinksUpToDate>false</LinksUpToDate>
  <CharactersWithSpaces>27232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 IESC 2017-083: Hume Coal Project (EPBC 2015/7526) – New Development</dc:title>
  <dc:creator/>
  <cp:lastModifiedBy/>
  <cp:revision>1</cp:revision>
  <dcterms:created xsi:type="dcterms:W3CDTF">2017-05-18T01:43:00Z</dcterms:created>
  <dcterms:modified xsi:type="dcterms:W3CDTF">2017-05-18T01:43:00Z</dcterms:modified>
</cp:coreProperties>
</file>