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E17F4A" w:rsidRDefault="00F027B8" w:rsidP="00277A51">
      <w:pPr>
        <w:pStyle w:val="Header"/>
        <w:suppressLineNumbers/>
      </w:pPr>
      <w:r w:rsidRPr="00E17F4A">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E17F4A" w:rsidRDefault="00F027B8" w:rsidP="00277A51">
      <w:pPr>
        <w:pStyle w:val="Header"/>
        <w:suppressLineNumbers/>
      </w:pPr>
    </w:p>
    <w:p w:rsidR="00F027B8" w:rsidRPr="00E17F4A" w:rsidRDefault="00F027B8" w:rsidP="00277A51">
      <w:pPr>
        <w:pStyle w:val="Header"/>
        <w:suppressLineNumbers/>
      </w:pPr>
    </w:p>
    <w:p w:rsidR="00F027B8" w:rsidRPr="00E17F4A" w:rsidRDefault="00F027B8" w:rsidP="00277A51">
      <w:pPr>
        <w:pStyle w:val="Header"/>
        <w:suppressLineNumbers/>
      </w:pPr>
    </w:p>
    <w:p w:rsidR="00F027B8" w:rsidRPr="00E17F4A" w:rsidRDefault="00F027B8" w:rsidP="00277A51">
      <w:pPr>
        <w:pStyle w:val="Heading1"/>
        <w:suppressLineNumbers/>
      </w:pPr>
    </w:p>
    <w:p w:rsidR="001765DA" w:rsidRPr="00E17F4A" w:rsidRDefault="00F027B8" w:rsidP="00277A51">
      <w:pPr>
        <w:pStyle w:val="Heading1"/>
        <w:suppressLineNumbers/>
      </w:pPr>
      <w:bookmarkStart w:id="0" w:name="OLE_LINK5"/>
      <w:bookmarkStart w:id="1" w:name="OLE_LINK6"/>
      <w:r w:rsidRPr="00E17F4A">
        <w:t>Advi</w:t>
      </w:r>
      <w:r w:rsidR="001765DA" w:rsidRPr="00E17F4A">
        <w:t>ce to decision maker on coal mining</w:t>
      </w:r>
      <w:r w:rsidR="00E21678" w:rsidRPr="00E17F4A">
        <w:t xml:space="preserve"> project </w:t>
      </w:r>
    </w:p>
    <w:p w:rsidR="004861E6" w:rsidRPr="00E17F4A" w:rsidRDefault="00D10C4C" w:rsidP="00277A51">
      <w:pPr>
        <w:pStyle w:val="Heading2"/>
        <w:suppressLineNumbers/>
      </w:pPr>
      <w:r w:rsidRPr="00E17F4A">
        <w:t xml:space="preserve">IESC </w:t>
      </w:r>
      <w:r w:rsidR="00C43084" w:rsidRPr="00E17F4A">
        <w:t>201</w:t>
      </w:r>
      <w:r w:rsidR="00DF4BED" w:rsidRPr="00E17F4A">
        <w:t>5</w:t>
      </w:r>
      <w:r w:rsidR="00CC27E7" w:rsidRPr="00E17F4A">
        <w:t>-</w:t>
      </w:r>
      <w:r w:rsidRPr="00E17F4A">
        <w:t>0</w:t>
      </w:r>
      <w:r w:rsidR="00DF4BED" w:rsidRPr="00E17F4A">
        <w:t>69</w:t>
      </w:r>
      <w:r w:rsidR="001765DA" w:rsidRPr="00E17F4A">
        <w:t>:</w:t>
      </w:r>
      <w:r w:rsidR="002974BC" w:rsidRPr="00E17F4A">
        <w:t xml:space="preserve"> </w:t>
      </w:r>
      <w:r w:rsidR="00DF4BED" w:rsidRPr="00E17F4A">
        <w:rPr>
          <w:rFonts w:ascii="Arial Bold" w:hAnsi="Arial Bold"/>
        </w:rPr>
        <w:t>Drayton South Coal Project</w:t>
      </w:r>
      <w:r w:rsidR="00C803D7" w:rsidRPr="00E17F4A">
        <w:t xml:space="preserve"> </w:t>
      </w:r>
      <w:r w:rsidR="00D83AAD" w:rsidRPr="00E17F4A">
        <w:t>(EPBC</w:t>
      </w:r>
      <w:r w:rsidR="007B047A" w:rsidRPr="00E17F4A">
        <w:t xml:space="preserve"> </w:t>
      </w:r>
      <w:r w:rsidR="00DF4BED" w:rsidRPr="00E17F4A">
        <w:t>2014/7402</w:t>
      </w:r>
      <w:r w:rsidR="00D83AAD" w:rsidRPr="00E17F4A">
        <w:t xml:space="preserve">) </w:t>
      </w:r>
      <w:r w:rsidR="00C803D7" w:rsidRPr="00E17F4A">
        <w:t>–</w:t>
      </w:r>
      <w:r w:rsidR="00DF4BED" w:rsidRPr="00E17F4A">
        <w:t xml:space="preserve"> </w:t>
      </w:r>
      <w:r w:rsidR="00C803D7" w:rsidRPr="00E17F4A">
        <w:t>Expansion</w:t>
      </w:r>
      <w:r w:rsidR="003E2135" w:rsidRPr="00E17F4A">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E17F4A" w:rsidTr="009110D5">
        <w:trPr>
          <w:trHeight w:val="563"/>
        </w:trPr>
        <w:tc>
          <w:tcPr>
            <w:tcW w:w="1809" w:type="dxa"/>
            <w:tcBorders>
              <w:top w:val="single" w:sz="4" w:space="0" w:color="auto"/>
              <w:bottom w:val="single" w:sz="4" w:space="0" w:color="auto"/>
            </w:tcBorders>
          </w:tcPr>
          <w:bookmarkEnd w:id="0"/>
          <w:bookmarkEnd w:id="1"/>
          <w:p w:rsidR="001765DA" w:rsidRPr="00E17F4A" w:rsidRDefault="001765DA" w:rsidP="00277A51">
            <w:pPr>
              <w:pStyle w:val="Heading6"/>
              <w:suppressLineNumbers/>
            </w:pPr>
            <w:r w:rsidRPr="00E17F4A">
              <w:t>Requesting agency</w:t>
            </w:r>
          </w:p>
        </w:tc>
        <w:tc>
          <w:tcPr>
            <w:tcW w:w="8159" w:type="dxa"/>
            <w:tcBorders>
              <w:top w:val="single" w:sz="4" w:space="0" w:color="auto"/>
              <w:bottom w:val="single" w:sz="4" w:space="0" w:color="auto"/>
            </w:tcBorders>
          </w:tcPr>
          <w:p w:rsidR="00B1520C" w:rsidRPr="00E17F4A" w:rsidRDefault="00B1520C" w:rsidP="00277A51">
            <w:pPr>
              <w:pStyle w:val="Tabletext"/>
              <w:suppressLineNumbers/>
            </w:pPr>
            <w:r w:rsidRPr="00E17F4A">
              <w:t xml:space="preserve">The </w:t>
            </w:r>
            <w:r w:rsidR="00C43084" w:rsidRPr="00E17F4A">
              <w:t xml:space="preserve">Australian Government </w:t>
            </w:r>
            <w:r w:rsidR="001765DA" w:rsidRPr="00E17F4A">
              <w:t>Dep</w:t>
            </w:r>
            <w:bookmarkStart w:id="2" w:name="_GoBack"/>
            <w:bookmarkEnd w:id="2"/>
            <w:r w:rsidR="001765DA" w:rsidRPr="00E17F4A">
              <w:t xml:space="preserve">artment of </w:t>
            </w:r>
            <w:r w:rsidR="00616861" w:rsidRPr="00E17F4A">
              <w:t>the</w:t>
            </w:r>
            <w:r w:rsidR="001765DA" w:rsidRPr="00E17F4A">
              <w:t xml:space="preserve"> Environment</w:t>
            </w:r>
            <w:r w:rsidRPr="00E17F4A">
              <w:t xml:space="preserve"> </w:t>
            </w:r>
          </w:p>
          <w:p w:rsidR="001765DA" w:rsidRPr="00E17F4A" w:rsidRDefault="00B1520C" w:rsidP="00277A51">
            <w:pPr>
              <w:pStyle w:val="Tabletext"/>
              <w:suppressLineNumbers/>
            </w:pPr>
            <w:r w:rsidRPr="00E17F4A">
              <w:t xml:space="preserve">The </w:t>
            </w:r>
            <w:r w:rsidR="00C43084" w:rsidRPr="00E17F4A">
              <w:t xml:space="preserve">New South Wales </w:t>
            </w:r>
            <w:r w:rsidRPr="00E17F4A">
              <w:t xml:space="preserve">Department of Planning and </w:t>
            </w:r>
            <w:r w:rsidR="004B5A51" w:rsidRPr="00E17F4A">
              <w:t>Environment</w:t>
            </w:r>
            <w:r w:rsidR="003E2BDB" w:rsidRPr="00E17F4A">
              <w:t xml:space="preserve"> </w:t>
            </w:r>
          </w:p>
          <w:p w:rsidR="003E2BDB" w:rsidRPr="00E17F4A" w:rsidRDefault="003E2BDB" w:rsidP="00277A51">
            <w:pPr>
              <w:pStyle w:val="Tabletext"/>
              <w:suppressLineNumbers/>
            </w:pPr>
          </w:p>
        </w:tc>
      </w:tr>
      <w:tr w:rsidR="001765DA" w:rsidRPr="00E17F4A" w:rsidTr="009110D5">
        <w:trPr>
          <w:trHeight w:val="19"/>
        </w:trPr>
        <w:tc>
          <w:tcPr>
            <w:tcW w:w="1809" w:type="dxa"/>
            <w:tcBorders>
              <w:top w:val="single" w:sz="4" w:space="0" w:color="auto"/>
              <w:bottom w:val="single" w:sz="4" w:space="0" w:color="auto"/>
            </w:tcBorders>
          </w:tcPr>
          <w:p w:rsidR="001765DA" w:rsidRPr="00E17F4A" w:rsidRDefault="001765DA" w:rsidP="00277A51">
            <w:pPr>
              <w:pStyle w:val="Heading6"/>
              <w:suppressLineNumbers/>
            </w:pPr>
            <w:r w:rsidRPr="00E17F4A">
              <w:t>Date of request</w:t>
            </w:r>
          </w:p>
        </w:tc>
        <w:tc>
          <w:tcPr>
            <w:tcW w:w="8159" w:type="dxa"/>
            <w:tcBorders>
              <w:top w:val="single" w:sz="4" w:space="0" w:color="auto"/>
              <w:bottom w:val="single" w:sz="4" w:space="0" w:color="auto"/>
            </w:tcBorders>
          </w:tcPr>
          <w:p w:rsidR="001765DA" w:rsidRPr="00E17F4A" w:rsidRDefault="00DF4BED" w:rsidP="007B2F67">
            <w:pPr>
              <w:pStyle w:val="Tabletext"/>
              <w:suppressLineNumbers/>
            </w:pPr>
            <w:r w:rsidRPr="00E17F4A">
              <w:t>12</w:t>
            </w:r>
            <w:r w:rsidR="00A10BAB" w:rsidRPr="00E17F4A">
              <w:t xml:space="preserve"> </w:t>
            </w:r>
            <w:r w:rsidR="007B2F67" w:rsidRPr="00E17F4A">
              <w:t>June</w:t>
            </w:r>
            <w:r w:rsidR="00A10BAB" w:rsidRPr="00E17F4A">
              <w:t xml:space="preserve"> </w:t>
            </w:r>
            <w:r w:rsidR="00716583" w:rsidRPr="00E17F4A">
              <w:t>201</w:t>
            </w:r>
            <w:r w:rsidR="007B2F67" w:rsidRPr="00E17F4A">
              <w:t>5</w:t>
            </w:r>
            <w:r w:rsidR="00E21678" w:rsidRPr="00E17F4A">
              <w:rPr>
                <w:b/>
              </w:rPr>
              <w:t xml:space="preserve"> </w:t>
            </w:r>
          </w:p>
        </w:tc>
      </w:tr>
      <w:tr w:rsidR="00185039" w:rsidRPr="00E17F4A" w:rsidTr="009110D5">
        <w:trPr>
          <w:trHeight w:val="19"/>
        </w:trPr>
        <w:tc>
          <w:tcPr>
            <w:tcW w:w="1809" w:type="dxa"/>
            <w:tcBorders>
              <w:top w:val="single" w:sz="4" w:space="0" w:color="auto"/>
              <w:bottom w:val="single" w:sz="4" w:space="0" w:color="auto"/>
            </w:tcBorders>
          </w:tcPr>
          <w:p w:rsidR="00185039" w:rsidRPr="00E17F4A" w:rsidRDefault="00185039" w:rsidP="00277A51">
            <w:pPr>
              <w:pStyle w:val="Heading6"/>
              <w:suppressLineNumbers/>
            </w:pPr>
            <w:r w:rsidRPr="00E17F4A">
              <w:t>Date request accepted</w:t>
            </w:r>
          </w:p>
        </w:tc>
        <w:tc>
          <w:tcPr>
            <w:tcW w:w="8159" w:type="dxa"/>
            <w:tcBorders>
              <w:top w:val="single" w:sz="4" w:space="0" w:color="auto"/>
              <w:bottom w:val="single" w:sz="4" w:space="0" w:color="auto"/>
            </w:tcBorders>
          </w:tcPr>
          <w:p w:rsidR="00185039" w:rsidRPr="00E17F4A" w:rsidRDefault="00DF4BED" w:rsidP="007B2F67">
            <w:pPr>
              <w:pStyle w:val="Tabletext"/>
              <w:suppressLineNumbers/>
            </w:pPr>
            <w:r w:rsidRPr="00E17F4A">
              <w:t>16</w:t>
            </w:r>
            <w:r w:rsidR="00185039" w:rsidRPr="00E17F4A">
              <w:t xml:space="preserve"> </w:t>
            </w:r>
            <w:r w:rsidR="007B2F67" w:rsidRPr="00E17F4A">
              <w:t>June</w:t>
            </w:r>
            <w:r w:rsidR="00185039" w:rsidRPr="00E17F4A">
              <w:t xml:space="preserve"> 201</w:t>
            </w:r>
            <w:r w:rsidR="007B2F67" w:rsidRPr="00E17F4A">
              <w:t>5</w:t>
            </w:r>
            <w:r w:rsidR="00185039" w:rsidRPr="00E17F4A">
              <w:rPr>
                <w:b/>
                <w:lang w:eastAsia="en-AU"/>
              </w:rPr>
              <w:t xml:space="preserve"> </w:t>
            </w:r>
          </w:p>
        </w:tc>
      </w:tr>
      <w:tr w:rsidR="00062A46" w:rsidRPr="00E17F4A" w:rsidTr="009110D5">
        <w:trPr>
          <w:trHeight w:val="19"/>
        </w:trPr>
        <w:tc>
          <w:tcPr>
            <w:tcW w:w="1809" w:type="dxa"/>
            <w:tcBorders>
              <w:top w:val="single" w:sz="4" w:space="0" w:color="auto"/>
              <w:bottom w:val="single" w:sz="4" w:space="0" w:color="auto"/>
            </w:tcBorders>
          </w:tcPr>
          <w:p w:rsidR="00062A46" w:rsidRPr="00E17F4A" w:rsidRDefault="00062A46" w:rsidP="00277A51">
            <w:pPr>
              <w:pStyle w:val="Heading6"/>
              <w:suppressLineNumbers/>
            </w:pPr>
            <w:r w:rsidRPr="00E17F4A">
              <w:t xml:space="preserve">Advice stage </w:t>
            </w:r>
          </w:p>
        </w:tc>
        <w:tc>
          <w:tcPr>
            <w:tcW w:w="8159" w:type="dxa"/>
            <w:tcBorders>
              <w:top w:val="single" w:sz="4" w:space="0" w:color="auto"/>
              <w:bottom w:val="single" w:sz="4" w:space="0" w:color="auto"/>
            </w:tcBorders>
          </w:tcPr>
          <w:p w:rsidR="00062A46" w:rsidRPr="00E17F4A" w:rsidRDefault="00062A46" w:rsidP="00277A51">
            <w:pPr>
              <w:pStyle w:val="Tabletext"/>
              <w:suppressLineNumbers/>
              <w:rPr>
                <w:lang w:eastAsia="en-AU"/>
              </w:rPr>
            </w:pPr>
            <w:r w:rsidRPr="00E17F4A">
              <w:rPr>
                <w:lang w:eastAsia="en-AU"/>
              </w:rPr>
              <w:t xml:space="preserve">Assessment </w:t>
            </w:r>
          </w:p>
        </w:tc>
      </w:tr>
    </w:tbl>
    <w:p w:rsidR="00A622EC" w:rsidRPr="00E17F4A" w:rsidRDefault="00A622EC" w:rsidP="00D622B9">
      <w:pPr>
        <w:pStyle w:val="Heading3"/>
      </w:pPr>
      <w:r w:rsidRPr="00E17F4A">
        <w:t>Context</w:t>
      </w:r>
    </w:p>
    <w:p w:rsidR="00A622EC" w:rsidRPr="00E17F4A" w:rsidRDefault="00A622EC" w:rsidP="00D622B9">
      <w:r w:rsidRPr="00E17F4A">
        <w:t xml:space="preserve">The Independent Expert Scientific Committee on Coal Seam Gas and Large Coal Mining Development (the IESC) was requested by the Australian Government Department of the Environment </w:t>
      </w:r>
      <w:r w:rsidR="001748AC" w:rsidRPr="00E17F4A">
        <w:t>and</w:t>
      </w:r>
      <w:r w:rsidRPr="00E17F4A">
        <w:t xml:space="preserve"> </w:t>
      </w:r>
      <w:r w:rsidR="00D441B2" w:rsidRPr="00E17F4A">
        <w:t>t</w:t>
      </w:r>
      <w:r w:rsidRPr="00E17F4A">
        <w:t>he New South Wa</w:t>
      </w:r>
      <w:r w:rsidR="00400F8F" w:rsidRPr="00E17F4A">
        <w:t>les Department of Planning and Environment</w:t>
      </w:r>
      <w:r w:rsidRPr="00E17F4A">
        <w:t xml:space="preserve"> </w:t>
      </w:r>
      <w:r w:rsidR="001748AC" w:rsidRPr="00E17F4A">
        <w:t>to provide advice on Anglo American Metallurgical Coal</w:t>
      </w:r>
      <w:r w:rsidR="004B5A51" w:rsidRPr="00E17F4A">
        <w:t xml:space="preserve">’s </w:t>
      </w:r>
      <w:r w:rsidR="001748AC" w:rsidRPr="00E17F4A">
        <w:t>Drayton South Coal Project</w:t>
      </w:r>
      <w:r w:rsidR="004B5A51" w:rsidRPr="00E17F4A">
        <w:t xml:space="preserve"> </w:t>
      </w:r>
      <w:r w:rsidRPr="00E17F4A">
        <w:t xml:space="preserve">in </w:t>
      </w:r>
      <w:r w:rsidR="001748AC" w:rsidRPr="00E17F4A">
        <w:t>New South Wales</w:t>
      </w:r>
      <w:r w:rsidRPr="00E17F4A">
        <w:t>.</w:t>
      </w:r>
    </w:p>
    <w:p w:rsidR="001748AC" w:rsidRPr="00E17F4A" w:rsidRDefault="001748AC" w:rsidP="001748AC">
      <w:pPr>
        <w:pStyle w:val="AdviceText"/>
      </w:pPr>
      <w:r w:rsidRPr="00E17F4A">
        <w:t>The IESC has previously provided advice to the Commonwealth Department of Sustainability, Environment, Water, Population and Communities on the initial project proposal for the Drayton South Coal Project</w:t>
      </w:r>
      <w:r w:rsidR="006E356F" w:rsidRPr="00E17F4A">
        <w:t xml:space="preserve">, EPBC 2011/5911 </w:t>
      </w:r>
      <w:r w:rsidRPr="00E17F4A">
        <w:t>(</w:t>
      </w:r>
      <w:r w:rsidR="00501C8D" w:rsidRPr="00E17F4A">
        <w:t xml:space="preserve">IESC 2012-010, </w:t>
      </w:r>
      <w:r w:rsidRPr="00E17F4A">
        <w:t>1 February 2013). The previous advice was provided prior to the introduction of the ‘water trigger’ and should be read in this context.</w:t>
      </w:r>
      <w:r w:rsidR="00E73CFD" w:rsidRPr="00E17F4A">
        <w:t xml:space="preserve"> The IESC </w:t>
      </w:r>
      <w:r w:rsidR="00D7513A" w:rsidRPr="00E17F4A">
        <w:t xml:space="preserve">further </w:t>
      </w:r>
      <w:r w:rsidR="00E73CFD" w:rsidRPr="00E17F4A">
        <w:t xml:space="preserve">provided advice to the New South Wales Mining and Petroleum Gateway Panel on the current </w:t>
      </w:r>
      <w:r w:rsidR="00D7513A" w:rsidRPr="00E17F4A">
        <w:t xml:space="preserve">(retracted) </w:t>
      </w:r>
      <w:r w:rsidR="00E73CFD" w:rsidRPr="00E17F4A">
        <w:t>project proposal</w:t>
      </w:r>
      <w:r w:rsidR="00D7513A" w:rsidRPr="00E17F4A">
        <w:t xml:space="preserve"> on 23 February 201</w:t>
      </w:r>
      <w:r w:rsidR="006E356F" w:rsidRPr="00E17F4A">
        <w:t>5</w:t>
      </w:r>
      <w:r w:rsidR="00501C8D" w:rsidRPr="00E17F4A">
        <w:t xml:space="preserve"> (IESC 2015-064)</w:t>
      </w:r>
      <w:r w:rsidR="009A10F9" w:rsidRPr="00E17F4A">
        <w:t xml:space="preserve">. </w:t>
      </w:r>
    </w:p>
    <w:p w:rsidR="00A622EC" w:rsidRPr="00E17F4A" w:rsidRDefault="00A622EC" w:rsidP="00D622B9">
      <w:r w:rsidRPr="00E17F4A">
        <w:t>This advice draws upon aspects of information in the Draft</w:t>
      </w:r>
      <w:r w:rsidR="00637239" w:rsidRPr="00E17F4A">
        <w:t xml:space="preserve"> Environmental Impact Statement</w:t>
      </w:r>
      <w:r w:rsidR="001748AC" w:rsidRPr="00E17F4A">
        <w:t>,</w:t>
      </w:r>
      <w:r w:rsidR="001748AC" w:rsidRPr="00E17F4A">
        <w:rPr>
          <w:b/>
          <w:color w:val="FF0000"/>
        </w:rPr>
        <w:t xml:space="preserve"> </w:t>
      </w:r>
      <w:r w:rsidRPr="00E17F4A">
        <w:t>together with the expert deliberations of the IESC. The project documentation and information accessed by the IESC are listed in the source documentation at the end of this advice.</w:t>
      </w:r>
    </w:p>
    <w:p w:rsidR="001748AC" w:rsidRPr="00E17F4A" w:rsidRDefault="001748AC" w:rsidP="001748AC">
      <w:pPr>
        <w:pStyle w:val="AdviceText"/>
      </w:pPr>
      <w:r w:rsidRPr="00E17F4A">
        <w:t xml:space="preserve">The currently proposed Drayton South Coal Project (the proposed project) is an extension to the existing Drayton Coal Mine and is located approximately 13 kilometres south of Muswellbrook in the Hunter Valley. </w:t>
      </w:r>
      <w:r w:rsidR="006E356F" w:rsidRPr="00E17F4A">
        <w:t>The existing Mt Arthur coal mine is located about three kilometres north of the proposed project.</w:t>
      </w:r>
    </w:p>
    <w:p w:rsidR="001748AC" w:rsidRPr="00E17F4A" w:rsidRDefault="001748AC" w:rsidP="001748AC">
      <w:pPr>
        <w:pStyle w:val="AdviceText"/>
      </w:pPr>
      <w:r w:rsidRPr="00E17F4A">
        <w:t>The proposed project will produce up to seven million tonnes per annum of thermal coal for</w:t>
      </w:r>
      <w:r w:rsidR="002D3ADC" w:rsidRPr="00E17F4A">
        <w:t xml:space="preserve"> a</w:t>
      </w:r>
      <w:r w:rsidRPr="00E17F4A">
        <w:t xml:space="preserve"> further 15 years, mining a resource of approximately 75 million tonnes. The proposed project will result in direct impacts to approximately 1470.9 hectares of land and the creation of a final void lake. It will require construction of a transport corridor to the new mining area; realignment of a section of </w:t>
      </w:r>
      <w:proofErr w:type="spellStart"/>
      <w:r w:rsidRPr="00E17F4A">
        <w:t>Edderton</w:t>
      </w:r>
      <w:proofErr w:type="spellEnd"/>
      <w:r w:rsidRPr="00E17F4A">
        <w:t xml:space="preserve"> Road; and installation of water management infrastructure. </w:t>
      </w:r>
    </w:p>
    <w:p w:rsidR="003838E9" w:rsidRPr="00E17F4A" w:rsidRDefault="003838E9" w:rsidP="00D622B9">
      <w:pPr>
        <w:pStyle w:val="Heading4"/>
      </w:pPr>
    </w:p>
    <w:p w:rsidR="008C00AD" w:rsidRPr="00E17F4A" w:rsidRDefault="008C00AD" w:rsidP="00D622B9">
      <w:pPr>
        <w:pStyle w:val="Heading4"/>
      </w:pPr>
      <w:r w:rsidRPr="00E17F4A">
        <w:lastRenderedPageBreak/>
        <w:t>Key potential impacts</w:t>
      </w:r>
    </w:p>
    <w:p w:rsidR="004553C5" w:rsidRPr="00E17F4A" w:rsidRDefault="00E5141C" w:rsidP="00535D56">
      <w:pPr>
        <w:pStyle w:val="Heading4"/>
        <w:rPr>
          <w:u w:val="none"/>
        </w:rPr>
      </w:pPr>
      <w:r w:rsidRPr="00E17F4A">
        <w:rPr>
          <w:u w:val="none"/>
        </w:rPr>
        <w:t xml:space="preserve">The key </w:t>
      </w:r>
      <w:r w:rsidR="00501C8D" w:rsidRPr="00E17F4A">
        <w:rPr>
          <w:u w:val="none"/>
        </w:rPr>
        <w:t xml:space="preserve">potential </w:t>
      </w:r>
      <w:r w:rsidRPr="00E17F4A">
        <w:rPr>
          <w:u w:val="none"/>
        </w:rPr>
        <w:t>impacts resulting from the proposed project are predominantly of local importance and are likely to be similar in scale and significance to the impacts resulting from the existing Drayton Mine</w:t>
      </w:r>
      <w:r w:rsidR="00535D56" w:rsidRPr="00E17F4A">
        <w:rPr>
          <w:u w:val="none"/>
        </w:rPr>
        <w:t xml:space="preserve"> and </w:t>
      </w:r>
      <w:r w:rsidR="00466DD4" w:rsidRPr="00E17F4A">
        <w:rPr>
          <w:u w:val="none"/>
        </w:rPr>
        <w:t xml:space="preserve">the </w:t>
      </w:r>
      <w:r w:rsidR="00535D56" w:rsidRPr="00E17F4A">
        <w:rPr>
          <w:u w:val="none"/>
        </w:rPr>
        <w:t>Mt Arthur Coal Mine</w:t>
      </w:r>
      <w:r w:rsidRPr="00E17F4A">
        <w:rPr>
          <w:u w:val="none"/>
        </w:rPr>
        <w:t>. Noting the above, the proposed project will contrib</w:t>
      </w:r>
      <w:r w:rsidR="000C46C7">
        <w:rPr>
          <w:u w:val="none"/>
        </w:rPr>
        <w:t>ute to regional, mining-related and</w:t>
      </w:r>
      <w:r w:rsidRPr="00E17F4A">
        <w:rPr>
          <w:u w:val="none"/>
        </w:rPr>
        <w:t xml:space="preserve"> cumulative impacts</w:t>
      </w:r>
      <w:r w:rsidR="006A5DC8" w:rsidRPr="00E17F4A">
        <w:rPr>
          <w:u w:val="none"/>
        </w:rPr>
        <w:t xml:space="preserve"> </w:t>
      </w:r>
      <w:r w:rsidRPr="00E17F4A">
        <w:rPr>
          <w:u w:val="none"/>
        </w:rPr>
        <w:t>to water resources within the Hunter Valley</w:t>
      </w:r>
      <w:r w:rsidR="006A5DC8" w:rsidRPr="00E17F4A">
        <w:rPr>
          <w:u w:val="none"/>
        </w:rPr>
        <w:t>, including increased salt loads</w:t>
      </w:r>
      <w:r w:rsidRPr="00E17F4A">
        <w:rPr>
          <w:u w:val="none"/>
        </w:rPr>
        <w:t xml:space="preserve">. </w:t>
      </w:r>
      <w:r w:rsidR="000364D3" w:rsidRPr="00E17F4A">
        <w:rPr>
          <w:u w:val="none"/>
        </w:rPr>
        <w:t>P</w:t>
      </w:r>
      <w:r w:rsidRPr="00E17F4A">
        <w:rPr>
          <w:u w:val="none"/>
        </w:rPr>
        <w:t xml:space="preserve">otential impacts include </w:t>
      </w:r>
      <w:r w:rsidR="0092342E" w:rsidRPr="00E17F4A">
        <w:rPr>
          <w:u w:val="none"/>
        </w:rPr>
        <w:t>reduced</w:t>
      </w:r>
      <w:r w:rsidRPr="00E17F4A">
        <w:rPr>
          <w:u w:val="none"/>
        </w:rPr>
        <w:t xml:space="preserve"> stream flow </w:t>
      </w:r>
      <w:r w:rsidR="0092342E" w:rsidRPr="00E17F4A">
        <w:rPr>
          <w:u w:val="none"/>
        </w:rPr>
        <w:t>in</w:t>
      </w:r>
      <w:r w:rsidRPr="00E17F4A">
        <w:rPr>
          <w:u w:val="none"/>
        </w:rPr>
        <w:t xml:space="preserve"> Saddlers Creek and a resulting decline in riparian </w:t>
      </w:r>
      <w:r w:rsidR="00F83F5A" w:rsidRPr="00E17F4A">
        <w:rPr>
          <w:u w:val="none"/>
        </w:rPr>
        <w:t>vegetation,</w:t>
      </w:r>
      <w:r w:rsidR="00535D56" w:rsidRPr="00E17F4A">
        <w:rPr>
          <w:u w:val="none"/>
        </w:rPr>
        <w:t xml:space="preserve"> and increased salinity in the Saddlers Creek alluvium and Hunter River alluvium resulting from long-term </w:t>
      </w:r>
      <w:r w:rsidR="00F83F5A" w:rsidRPr="00E17F4A">
        <w:rPr>
          <w:u w:val="none"/>
        </w:rPr>
        <w:t xml:space="preserve">groundwater </w:t>
      </w:r>
      <w:r w:rsidR="00535D56" w:rsidRPr="00E17F4A">
        <w:rPr>
          <w:u w:val="none"/>
        </w:rPr>
        <w:t>seepage from the final landform.</w:t>
      </w:r>
      <w:r w:rsidRPr="00E17F4A">
        <w:rPr>
          <w:u w:val="none"/>
        </w:rPr>
        <w:t xml:space="preserve"> </w:t>
      </w:r>
    </w:p>
    <w:p w:rsidR="004B5A51" w:rsidRPr="00E17F4A" w:rsidRDefault="004B5A51" w:rsidP="00D622B9">
      <w:pPr>
        <w:pStyle w:val="Heading4"/>
      </w:pPr>
      <w:r w:rsidRPr="00E17F4A">
        <w:t>Assessment against information guidelines</w:t>
      </w:r>
    </w:p>
    <w:p w:rsidR="00A622EC" w:rsidRPr="00E17F4A" w:rsidRDefault="00A622EC" w:rsidP="00D622B9">
      <w:r w:rsidRPr="00E17F4A">
        <w:t>The IESC, in line with its Information Guidelines</w:t>
      </w:r>
      <w:r w:rsidR="00277A51" w:rsidRPr="00E17F4A">
        <w:t xml:space="preserve"> </w:t>
      </w:r>
      <w:r w:rsidR="00EF78DD" w:rsidRPr="00E17F4A">
        <w:fldChar w:fldCharType="begin"/>
      </w:r>
      <w:r w:rsidR="00EC37F0" w:rsidRPr="00E17F4A">
        <w:instrText xml:space="preserve"> ADDIN EN.CITE &lt;EndNote&gt;&lt;Cite&gt;&lt;Author&gt;IESC&lt;/Author&gt;&lt;Year&gt;2014&lt;/Year&gt;&lt;RecNum&gt;1617&lt;/RecNum&gt;&lt;DisplayText&gt;(IESC, 2014)&lt;/DisplayText&gt;&lt;record&gt;&lt;rec-number&gt;1617&lt;/rec-number&gt;&lt;foreign-keys&gt;&lt;key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Independent Expert Scientific Committee advice on coal seam gas and large coal mining development proposals&lt;/title&gt;&lt;/titles&gt;&lt;dates&gt;&lt;year&gt;2014&lt;/year&gt;&lt;pub-dates&gt;&lt;date&gt;27 June&lt;/date&gt;&lt;/pub-dates&gt;&lt;/dates&gt;&lt;urls&gt;&lt;related-urls&gt;&lt;url&gt;http://iesc.environment.gov.au/pubs/iesc-information-guidelines.pdf&lt;/url&gt;&lt;/related-urls&gt;&lt;/urls&gt;&lt;/record&gt;&lt;/Cite&gt;&lt;/EndNote&gt;</w:instrText>
      </w:r>
      <w:r w:rsidR="00EF78DD" w:rsidRPr="00E17F4A">
        <w:fldChar w:fldCharType="separate"/>
      </w:r>
      <w:r w:rsidR="004D74CD" w:rsidRPr="00E17F4A">
        <w:rPr>
          <w:noProof/>
        </w:rPr>
        <w:t>(</w:t>
      </w:r>
      <w:hyperlink w:anchor="_ENREF_1" w:tooltip="IESC, 2014 #1617" w:history="1">
        <w:r w:rsidR="00EC37F0" w:rsidRPr="00E17F4A">
          <w:rPr>
            <w:noProof/>
          </w:rPr>
          <w:t>IESC, 2014</w:t>
        </w:r>
      </w:hyperlink>
      <w:r w:rsidR="004D74CD" w:rsidRPr="00E17F4A">
        <w:rPr>
          <w:noProof/>
        </w:rPr>
        <w:t>)</w:t>
      </w:r>
      <w:r w:rsidR="00EF78DD" w:rsidRPr="00E17F4A">
        <w:fldChar w:fldCharType="end"/>
      </w:r>
      <w:r w:rsidRPr="00E17F4A">
        <w:t>, has considered whether the proposed project assessment has used the following:</w:t>
      </w:r>
    </w:p>
    <w:p w:rsidR="00A622EC" w:rsidRPr="00E17F4A" w:rsidRDefault="00A622EC" w:rsidP="00D622B9">
      <w:pPr>
        <w:pStyle w:val="Heading5"/>
      </w:pPr>
      <w:r w:rsidRPr="00E17F4A">
        <w:t>Relevant data and information: key conclusions</w:t>
      </w:r>
    </w:p>
    <w:p w:rsidR="00A622EC" w:rsidRPr="00E17F4A" w:rsidRDefault="0024649C" w:rsidP="00D622B9">
      <w:pPr>
        <w:rPr>
          <w:color w:val="FF0000"/>
        </w:rPr>
      </w:pPr>
      <w:r w:rsidRPr="00E17F4A">
        <w:t xml:space="preserve">Inadequate baseline information for Saddlers Creek creates uncertainty in identifying the </w:t>
      </w:r>
      <w:r w:rsidR="00501C8D" w:rsidRPr="00E17F4A">
        <w:t xml:space="preserve">potential </w:t>
      </w:r>
      <w:r w:rsidRPr="00E17F4A">
        <w:t xml:space="preserve">surface water quality and quantity impacts to Saddlers Creek, and to the Hunter River. The change to baseflow in Saddlers Creek has been predicted on an annual scale and does not consider the importance of baseflow during </w:t>
      </w:r>
      <w:r w:rsidR="004655D1">
        <w:t>naturally occurring</w:t>
      </w:r>
      <w:r w:rsidRPr="00E17F4A">
        <w:t xml:space="preserve"> low</w:t>
      </w:r>
      <w:r w:rsidR="00FA164C" w:rsidRPr="00E17F4A">
        <w:t>-</w:t>
      </w:r>
      <w:r w:rsidRPr="00E17F4A">
        <w:t>flow periods.</w:t>
      </w:r>
      <w:r w:rsidR="00466DD4" w:rsidRPr="00E17F4A">
        <w:t xml:space="preserve"> </w:t>
      </w:r>
    </w:p>
    <w:p w:rsidR="00A622EC" w:rsidRPr="00E17F4A" w:rsidRDefault="00A622EC" w:rsidP="00D622B9">
      <w:pPr>
        <w:pStyle w:val="Heading5"/>
      </w:pPr>
      <w:r w:rsidRPr="00E17F4A">
        <w:t>Application of appropriate methodologies: key conclusions</w:t>
      </w:r>
    </w:p>
    <w:p w:rsidR="00D94B6F" w:rsidRPr="00E17F4A" w:rsidRDefault="00664119" w:rsidP="00D94B6F">
      <w:pPr>
        <w:pStyle w:val="ListBullet"/>
        <w:numPr>
          <w:ilvl w:val="0"/>
          <w:numId w:val="0"/>
        </w:numPr>
        <w:autoSpaceDE/>
        <w:autoSpaceDN/>
        <w:adjustRightInd/>
      </w:pPr>
      <w:r w:rsidRPr="00E17F4A">
        <w:rPr>
          <w:color w:val="000000"/>
          <w:lang w:eastAsia="en-AU"/>
        </w:rPr>
        <w:t>The conceptual and numerical groundwater modelling assessment provide</w:t>
      </w:r>
      <w:r w:rsidR="00DE5805" w:rsidRPr="00E17F4A">
        <w:rPr>
          <w:color w:val="000000"/>
          <w:lang w:eastAsia="en-AU"/>
        </w:rPr>
        <w:t>s</w:t>
      </w:r>
      <w:r w:rsidRPr="00E17F4A">
        <w:rPr>
          <w:color w:val="000000"/>
          <w:lang w:eastAsia="en-AU"/>
        </w:rPr>
        <w:t xml:space="preserve"> </w:t>
      </w:r>
      <w:r w:rsidR="004655D1">
        <w:rPr>
          <w:color w:val="000000"/>
          <w:lang w:eastAsia="en-AU"/>
        </w:rPr>
        <w:t>reliable</w:t>
      </w:r>
      <w:r w:rsidR="004655D1" w:rsidRPr="00E17F4A">
        <w:rPr>
          <w:color w:val="000000"/>
          <w:lang w:eastAsia="en-AU"/>
        </w:rPr>
        <w:t xml:space="preserve"> </w:t>
      </w:r>
      <w:r w:rsidRPr="00E17F4A">
        <w:rPr>
          <w:color w:val="000000"/>
          <w:lang w:eastAsia="en-AU"/>
        </w:rPr>
        <w:t>estimates of the potential impacts to groundwater resources of Saddlers Creek and the Hunter River.</w:t>
      </w:r>
      <w:r w:rsidRPr="00E17F4A">
        <w:t xml:space="preserve"> </w:t>
      </w:r>
      <w:r w:rsidR="00DE5805" w:rsidRPr="00E17F4A">
        <w:t xml:space="preserve">Transient calibration of the proponent’s groundwater numerical model has been undertaken as per the previous </w:t>
      </w:r>
      <w:r w:rsidR="00D45A14" w:rsidRPr="00E17F4A">
        <w:t xml:space="preserve">IESC </w:t>
      </w:r>
      <w:r w:rsidR="00DE5805" w:rsidRPr="00E17F4A">
        <w:t>advice (IESC 2015-064)</w:t>
      </w:r>
      <w:r w:rsidRPr="00E17F4A">
        <w:rPr>
          <w:lang w:eastAsia="en-AU"/>
        </w:rPr>
        <w:t xml:space="preserve"> </w:t>
      </w:r>
      <w:r w:rsidR="004655D1" w:rsidRPr="00E17F4A">
        <w:t xml:space="preserve">and the </w:t>
      </w:r>
      <w:r w:rsidR="004655D1" w:rsidRPr="00E17F4A">
        <w:rPr>
          <w:color w:val="000000"/>
          <w:lang w:eastAsia="en-AU"/>
        </w:rPr>
        <w:t xml:space="preserve">conceptual and numerical groundwater </w:t>
      </w:r>
      <w:r w:rsidR="004655D1" w:rsidRPr="00E17F4A">
        <w:t xml:space="preserve">models have been peer reviewed. </w:t>
      </w:r>
      <w:r w:rsidR="004655D1">
        <w:rPr>
          <w:lang w:eastAsia="en-AU"/>
        </w:rPr>
        <w:t>This</w:t>
      </w:r>
      <w:r w:rsidR="004655D1" w:rsidRPr="00E17F4A">
        <w:rPr>
          <w:lang w:eastAsia="en-AU"/>
        </w:rPr>
        <w:t xml:space="preserve"> </w:t>
      </w:r>
      <w:r w:rsidRPr="00E17F4A">
        <w:rPr>
          <w:lang w:eastAsia="en-AU"/>
        </w:rPr>
        <w:t>increases confidence in predictions of the scale and lateral extent of potential impacts</w:t>
      </w:r>
      <w:r w:rsidR="004655D1">
        <w:rPr>
          <w:lang w:eastAsia="en-AU"/>
        </w:rPr>
        <w:t>.</w:t>
      </w:r>
      <w:r w:rsidR="00DE5805" w:rsidRPr="00E17F4A">
        <w:t xml:space="preserve"> </w:t>
      </w:r>
    </w:p>
    <w:p w:rsidR="000364D3" w:rsidRPr="00E17F4A" w:rsidRDefault="000364D3" w:rsidP="000364D3">
      <w:pPr>
        <w:pStyle w:val="Heading5"/>
      </w:pPr>
      <w:r w:rsidRPr="00E17F4A">
        <w:t>Reasonable values and parameters in evaluation: key conclusions</w:t>
      </w:r>
    </w:p>
    <w:p w:rsidR="000364D3" w:rsidRPr="00E17F4A" w:rsidRDefault="006A5DC8" w:rsidP="000364D3">
      <w:r w:rsidRPr="00E17F4A">
        <w:t>Following issues raised in the previous advice (IESC 2015-064), s</w:t>
      </w:r>
      <w:r w:rsidR="00B44699" w:rsidRPr="00E17F4A">
        <w:t xml:space="preserve">ensitivity analysis of the </w:t>
      </w:r>
      <w:r w:rsidRPr="00E17F4A">
        <w:t xml:space="preserve">revised </w:t>
      </w:r>
      <w:r w:rsidR="00EE5ACD" w:rsidRPr="00E17F4A">
        <w:t xml:space="preserve">numerical </w:t>
      </w:r>
      <w:r w:rsidR="00B44699" w:rsidRPr="00E17F4A">
        <w:t>groundwater model considered a greater range of parameter values than used in the 2012 groundwater assessment</w:t>
      </w:r>
      <w:r w:rsidRPr="00E17F4A">
        <w:t>. This improves the understanding of the range of</w:t>
      </w:r>
      <w:r w:rsidR="002C61F3" w:rsidRPr="00E17F4A">
        <w:t xml:space="preserve"> </w:t>
      </w:r>
      <w:r w:rsidR="00EE5ACD" w:rsidRPr="00E17F4A">
        <w:t xml:space="preserve">potential </w:t>
      </w:r>
      <w:r w:rsidR="002C61F3" w:rsidRPr="00E17F4A">
        <w:t xml:space="preserve">groundwater impacts. </w:t>
      </w:r>
    </w:p>
    <w:p w:rsidR="007203C3" w:rsidRPr="00E17F4A" w:rsidRDefault="007203C3" w:rsidP="00D622B9">
      <w:pPr>
        <w:pStyle w:val="Heading3"/>
      </w:pPr>
      <w:r w:rsidRPr="00E17F4A">
        <w:t>Advice</w:t>
      </w:r>
    </w:p>
    <w:p w:rsidR="007203C3" w:rsidRPr="00E17F4A" w:rsidRDefault="007203C3" w:rsidP="007203C3">
      <w:pPr>
        <w:pStyle w:val="Default"/>
        <w:spacing w:after="200" w:line="276" w:lineRule="auto"/>
        <w:rPr>
          <w:rFonts w:ascii="Arial" w:eastAsia="Times New Roman" w:hAnsi="Arial" w:cs="Arial"/>
          <w:color w:val="auto"/>
          <w:sz w:val="20"/>
          <w:szCs w:val="20"/>
          <w:lang w:eastAsia="en-US"/>
        </w:rPr>
      </w:pPr>
      <w:r w:rsidRPr="00E17F4A">
        <w:rPr>
          <w:rFonts w:ascii="Arial" w:eastAsia="Times New Roman" w:hAnsi="Arial" w:cs="Arial"/>
          <w:color w:val="auto"/>
          <w:sz w:val="20"/>
          <w:szCs w:val="20"/>
          <w:lang w:eastAsia="en-US"/>
        </w:rPr>
        <w:t xml:space="preserve">The </w:t>
      </w:r>
      <w:r w:rsidR="00CF562A" w:rsidRPr="00E17F4A">
        <w:rPr>
          <w:rFonts w:ascii="Arial" w:eastAsia="Times New Roman" w:hAnsi="Arial" w:cs="Arial"/>
          <w:color w:val="auto"/>
          <w:sz w:val="20"/>
          <w:szCs w:val="20"/>
          <w:lang w:eastAsia="en-US"/>
        </w:rPr>
        <w:t>IESC</w:t>
      </w:r>
      <w:r w:rsidR="00B43F50" w:rsidRPr="00E17F4A">
        <w:rPr>
          <w:rFonts w:ascii="Arial" w:eastAsia="Times New Roman" w:hAnsi="Arial" w:cs="Arial"/>
          <w:color w:val="auto"/>
          <w:sz w:val="20"/>
          <w:szCs w:val="20"/>
          <w:lang w:eastAsia="en-US"/>
        </w:rPr>
        <w:t>’s advice</w:t>
      </w:r>
      <w:r w:rsidRPr="00E17F4A">
        <w:rPr>
          <w:rFonts w:ascii="Arial" w:eastAsia="Times New Roman" w:hAnsi="Arial" w:cs="Arial"/>
          <w:color w:val="auto"/>
          <w:sz w:val="20"/>
          <w:szCs w:val="20"/>
          <w:lang w:eastAsia="en-US"/>
        </w:rPr>
        <w:t xml:space="preserve"> in response to the </w:t>
      </w:r>
      <w:r w:rsidR="00E57CD8" w:rsidRPr="00E17F4A">
        <w:rPr>
          <w:rFonts w:ascii="Arial" w:eastAsia="Times New Roman" w:hAnsi="Arial" w:cs="Arial"/>
          <w:color w:val="auto"/>
          <w:sz w:val="20"/>
          <w:szCs w:val="20"/>
          <w:lang w:eastAsia="en-US"/>
        </w:rPr>
        <w:t xml:space="preserve">requesting </w:t>
      </w:r>
      <w:r w:rsidR="00D441B2" w:rsidRPr="00E17F4A">
        <w:rPr>
          <w:rFonts w:ascii="Arial" w:eastAsia="Times New Roman" w:hAnsi="Arial" w:cs="Arial"/>
          <w:color w:val="auto"/>
          <w:sz w:val="20"/>
          <w:szCs w:val="20"/>
          <w:lang w:eastAsia="en-US"/>
        </w:rPr>
        <w:t>agencies’</w:t>
      </w:r>
      <w:r w:rsidRPr="00E17F4A">
        <w:rPr>
          <w:rFonts w:ascii="Arial" w:eastAsia="Times New Roman" w:hAnsi="Arial" w:cs="Arial"/>
          <w:color w:val="auto"/>
          <w:sz w:val="20"/>
          <w:szCs w:val="20"/>
          <w:lang w:eastAsia="en-US"/>
        </w:rPr>
        <w:t xml:space="preserve"> specific questions is provided below. </w:t>
      </w:r>
    </w:p>
    <w:p w:rsidR="007203C3" w:rsidRPr="00E17F4A" w:rsidRDefault="007203C3" w:rsidP="00D622B9">
      <w:pPr>
        <w:pStyle w:val="Question"/>
        <w:rPr>
          <w:lang w:eastAsia="en-AU"/>
        </w:rPr>
      </w:pPr>
      <w:r w:rsidRPr="00E17F4A">
        <w:t xml:space="preserve">Question 1: </w:t>
      </w:r>
      <w:r w:rsidR="00BD1EB2" w:rsidRPr="00E17F4A">
        <w:t>To what extent does the IESC’s previous advice to the Commonwealth Department on the original Drayton South Coal Project (2011/5911) continue to apply to the current project? Does the current project present a varied risk profile (including likelihood, extent and significance) of impacts to significant water related assets?</w:t>
      </w:r>
    </w:p>
    <w:p w:rsidR="007203C3" w:rsidRPr="00E17F4A" w:rsidRDefault="00CF5929" w:rsidP="00D622B9">
      <w:pPr>
        <w:pStyle w:val="Heading4"/>
      </w:pPr>
      <w:r w:rsidRPr="00E17F4A">
        <w:t>Response</w:t>
      </w:r>
    </w:p>
    <w:p w:rsidR="004D5228" w:rsidRPr="00E17F4A" w:rsidRDefault="00EC0CD3" w:rsidP="00D622B9">
      <w:pPr>
        <w:pStyle w:val="ListNumber"/>
        <w:ind w:left="426" w:hanging="426"/>
        <w:rPr>
          <w:lang w:eastAsia="en-AU"/>
        </w:rPr>
      </w:pPr>
      <w:r w:rsidRPr="00E17F4A">
        <w:rPr>
          <w:lang w:eastAsia="en-AU"/>
        </w:rPr>
        <w:t xml:space="preserve">Some matters raised in the previous advice </w:t>
      </w:r>
      <w:r w:rsidR="004655D1">
        <w:rPr>
          <w:lang w:eastAsia="en-AU"/>
        </w:rPr>
        <w:t>(</w:t>
      </w:r>
      <w:r w:rsidRPr="00E17F4A">
        <w:rPr>
          <w:lang w:eastAsia="en-AU"/>
        </w:rPr>
        <w:t>IESC 2012-010</w:t>
      </w:r>
      <w:r w:rsidR="004655D1">
        <w:rPr>
          <w:lang w:eastAsia="en-AU"/>
        </w:rPr>
        <w:t>)</w:t>
      </w:r>
      <w:r w:rsidRPr="00E17F4A">
        <w:rPr>
          <w:lang w:eastAsia="en-AU"/>
        </w:rPr>
        <w:t xml:space="preserve"> no</w:t>
      </w:r>
      <w:r w:rsidR="00E55EC2">
        <w:rPr>
          <w:lang w:eastAsia="en-AU"/>
        </w:rPr>
        <w:t xml:space="preserve"> </w:t>
      </w:r>
      <w:r w:rsidRPr="00E17F4A">
        <w:rPr>
          <w:lang w:eastAsia="en-AU"/>
        </w:rPr>
        <w:t>longe</w:t>
      </w:r>
      <w:r w:rsidR="00466DD4" w:rsidRPr="00E17F4A">
        <w:rPr>
          <w:lang w:eastAsia="en-AU"/>
        </w:rPr>
        <w:t xml:space="preserve">r apply to the current project, including </w:t>
      </w:r>
      <w:r w:rsidRPr="00E17F4A">
        <w:rPr>
          <w:lang w:eastAsia="en-AU"/>
        </w:rPr>
        <w:t>discharge</w:t>
      </w:r>
      <w:r w:rsidR="00466DD4" w:rsidRPr="00E17F4A">
        <w:rPr>
          <w:lang w:eastAsia="en-AU"/>
        </w:rPr>
        <w:t>s of mine-affected water to the Hunter River</w:t>
      </w:r>
      <w:r w:rsidRPr="00E17F4A">
        <w:rPr>
          <w:lang w:eastAsia="en-AU"/>
        </w:rPr>
        <w:t xml:space="preserve"> and </w:t>
      </w:r>
      <w:r w:rsidR="00466DD4" w:rsidRPr="00E17F4A">
        <w:rPr>
          <w:lang w:eastAsia="en-AU"/>
        </w:rPr>
        <w:t xml:space="preserve">the requirement for a regional water balance model. </w:t>
      </w:r>
      <w:r w:rsidRPr="00E17F4A">
        <w:rPr>
          <w:lang w:eastAsia="en-AU"/>
        </w:rPr>
        <w:t>All other matters outlined in the previous advice continue to apply to the current project, although</w:t>
      </w:r>
      <w:r w:rsidR="00FA164C" w:rsidRPr="00E17F4A">
        <w:rPr>
          <w:lang w:eastAsia="en-AU"/>
        </w:rPr>
        <w:t xml:space="preserve"> the</w:t>
      </w:r>
      <w:r w:rsidR="006C1709" w:rsidRPr="00E17F4A">
        <w:rPr>
          <w:lang w:eastAsia="en-AU"/>
        </w:rPr>
        <w:t xml:space="preserve"> modelling</w:t>
      </w:r>
      <w:r w:rsidR="004655D1">
        <w:rPr>
          <w:lang w:eastAsia="en-AU"/>
        </w:rPr>
        <w:t xml:space="preserve"> results</w:t>
      </w:r>
      <w:r w:rsidR="006C1709" w:rsidRPr="00E17F4A">
        <w:rPr>
          <w:lang w:eastAsia="en-AU"/>
        </w:rPr>
        <w:t xml:space="preserve"> </w:t>
      </w:r>
      <w:r w:rsidR="00E55EC2">
        <w:rPr>
          <w:lang w:eastAsia="en-AU"/>
        </w:rPr>
        <w:t>of</w:t>
      </w:r>
      <w:r w:rsidR="00E55EC2" w:rsidRPr="00E17F4A">
        <w:rPr>
          <w:lang w:eastAsia="en-AU"/>
        </w:rPr>
        <w:t xml:space="preserve"> </w:t>
      </w:r>
      <w:r w:rsidRPr="00E17F4A">
        <w:rPr>
          <w:lang w:eastAsia="en-AU"/>
        </w:rPr>
        <w:t>the re</w:t>
      </w:r>
      <w:r w:rsidR="00FA164C" w:rsidRPr="00E17F4A">
        <w:rPr>
          <w:lang w:eastAsia="en-AU"/>
        </w:rPr>
        <w:t>vised</w:t>
      </w:r>
      <w:r w:rsidRPr="00E17F4A">
        <w:rPr>
          <w:lang w:eastAsia="en-AU"/>
        </w:rPr>
        <w:t xml:space="preserve"> mine plan</w:t>
      </w:r>
      <w:r w:rsidR="00FA164C" w:rsidRPr="00E17F4A">
        <w:rPr>
          <w:lang w:eastAsia="en-AU"/>
        </w:rPr>
        <w:t xml:space="preserve"> </w:t>
      </w:r>
      <w:r w:rsidR="004655D1">
        <w:rPr>
          <w:lang w:eastAsia="en-AU"/>
        </w:rPr>
        <w:t>suggests</w:t>
      </w:r>
      <w:r w:rsidR="004655D1" w:rsidRPr="00E17F4A">
        <w:rPr>
          <w:lang w:eastAsia="en-AU"/>
        </w:rPr>
        <w:t xml:space="preserve"> </w:t>
      </w:r>
      <w:r w:rsidR="004F3361" w:rsidRPr="00E17F4A">
        <w:rPr>
          <w:lang w:eastAsia="en-AU"/>
        </w:rPr>
        <w:t>a</w:t>
      </w:r>
      <w:r w:rsidR="00466DD4" w:rsidRPr="00E17F4A">
        <w:rPr>
          <w:lang w:eastAsia="en-AU"/>
        </w:rPr>
        <w:t xml:space="preserve">n increased </w:t>
      </w:r>
      <w:r w:rsidR="004F3361" w:rsidRPr="00E17F4A">
        <w:rPr>
          <w:lang w:eastAsia="en-AU"/>
        </w:rPr>
        <w:t xml:space="preserve">risk </w:t>
      </w:r>
      <w:r w:rsidR="00466DD4" w:rsidRPr="00E17F4A">
        <w:rPr>
          <w:lang w:eastAsia="en-AU"/>
        </w:rPr>
        <w:t>of</w:t>
      </w:r>
      <w:r w:rsidR="007350FA" w:rsidRPr="00E17F4A">
        <w:rPr>
          <w:lang w:eastAsia="en-AU"/>
        </w:rPr>
        <w:t xml:space="preserve"> local</w:t>
      </w:r>
      <w:r w:rsidR="007350FA" w:rsidRPr="00E17F4A">
        <w:rPr>
          <w:lang w:eastAsia="en-AU"/>
        </w:rPr>
        <w:noBreakHyphen/>
      </w:r>
      <w:proofErr w:type="spellStart"/>
      <w:r w:rsidR="007350FA" w:rsidRPr="00E17F4A">
        <w:rPr>
          <w:lang w:eastAsia="en-AU"/>
        </w:rPr>
        <w:t>scale</w:t>
      </w:r>
      <w:proofErr w:type="spellEnd"/>
      <w:r w:rsidR="00466DD4" w:rsidRPr="00E17F4A">
        <w:rPr>
          <w:lang w:eastAsia="en-AU"/>
        </w:rPr>
        <w:t xml:space="preserve"> water quality and quantity impacts to Saddlers Creek</w:t>
      </w:r>
      <w:r w:rsidR="00D97F23">
        <w:rPr>
          <w:lang w:eastAsia="en-AU"/>
        </w:rPr>
        <w:t>.</w:t>
      </w:r>
      <w:r w:rsidR="004F3361" w:rsidRPr="00E17F4A">
        <w:rPr>
          <w:lang w:eastAsia="en-AU"/>
        </w:rPr>
        <w:t xml:space="preserve">                                                                                                                                                                                                                                                                                                                                                                                                                                                                                                                                                                                                                                                                                                                                                                                                                                                                                                                                                                                                                                                                                                                                                                                                                                                                                                                                                                                                                                                                                                                                                                                                                                                                                                                                                                                                                                                                                                                                                                                                                                                                                                                                                                                                                                                                                                                                                                                                                                                                                                                                                                                                                                                                                                                                                                                                                                                                                                                                                                                                                                                                                                                                                                                                                                                                                                                                                                                                                                                                                                                                                                                                                </w:t>
      </w:r>
      <w:r w:rsidR="00466DD4" w:rsidRPr="00E17F4A">
        <w:rPr>
          <w:lang w:eastAsia="en-AU"/>
        </w:rPr>
        <w:t xml:space="preserve">                               </w:t>
      </w:r>
    </w:p>
    <w:p w:rsidR="00CD7369" w:rsidRPr="00E17F4A" w:rsidRDefault="00CD7369" w:rsidP="00D622B9">
      <w:pPr>
        <w:pStyle w:val="Heading4"/>
      </w:pPr>
    </w:p>
    <w:p w:rsidR="00CF5929" w:rsidRPr="00E17F4A" w:rsidRDefault="00CF5929" w:rsidP="00D622B9">
      <w:pPr>
        <w:pStyle w:val="Heading4"/>
      </w:pPr>
      <w:r w:rsidRPr="00E17F4A">
        <w:lastRenderedPageBreak/>
        <w:t>Explanation</w:t>
      </w:r>
    </w:p>
    <w:p w:rsidR="004D5228" w:rsidRPr="00E17F4A" w:rsidRDefault="00FF4301" w:rsidP="00E20810">
      <w:pPr>
        <w:pStyle w:val="ListNumber"/>
        <w:ind w:left="426" w:hanging="426"/>
        <w:rPr>
          <w:lang w:eastAsia="en-AU"/>
        </w:rPr>
      </w:pPr>
      <w:r w:rsidRPr="00E17F4A">
        <w:rPr>
          <w:lang w:eastAsia="en-AU"/>
        </w:rPr>
        <w:t xml:space="preserve">A smaller area of </w:t>
      </w:r>
      <w:r w:rsidR="00815337">
        <w:rPr>
          <w:lang w:eastAsia="en-AU"/>
        </w:rPr>
        <w:t xml:space="preserve">the </w:t>
      </w:r>
      <w:r w:rsidR="00815337" w:rsidRPr="00E17F4A">
        <w:rPr>
          <w:lang w:eastAsia="en-AU"/>
        </w:rPr>
        <w:t xml:space="preserve">catchment contributing </w:t>
      </w:r>
      <w:r w:rsidR="00815337">
        <w:rPr>
          <w:lang w:eastAsia="en-AU"/>
        </w:rPr>
        <w:t xml:space="preserve">to </w:t>
      </w:r>
      <w:r w:rsidRPr="00E17F4A">
        <w:rPr>
          <w:lang w:eastAsia="en-AU"/>
        </w:rPr>
        <w:t xml:space="preserve">Saddlers Creek will be impacted by the </w:t>
      </w:r>
      <w:r w:rsidR="0016274B" w:rsidRPr="00E17F4A">
        <w:rPr>
          <w:lang w:eastAsia="en-AU"/>
        </w:rPr>
        <w:t xml:space="preserve">currently proposed project </w:t>
      </w:r>
      <w:r w:rsidR="00433ECE" w:rsidRPr="00E17F4A">
        <w:rPr>
          <w:lang w:eastAsia="en-AU"/>
        </w:rPr>
        <w:t xml:space="preserve">compared to the previous project, meaning </w:t>
      </w:r>
      <w:r w:rsidR="00293BD1">
        <w:rPr>
          <w:lang w:eastAsia="en-AU"/>
        </w:rPr>
        <w:t>overland flow</w:t>
      </w:r>
      <w:r w:rsidR="00293BD1" w:rsidRPr="00E17F4A">
        <w:rPr>
          <w:lang w:eastAsia="en-AU"/>
        </w:rPr>
        <w:t xml:space="preserve"> </w:t>
      </w:r>
      <w:r w:rsidR="00433ECE" w:rsidRPr="00E17F4A">
        <w:rPr>
          <w:lang w:eastAsia="en-AU"/>
        </w:rPr>
        <w:t>to Saddlers Creek will not be reduced as much as previously predicted</w:t>
      </w:r>
      <w:r w:rsidR="004D5228" w:rsidRPr="00E17F4A">
        <w:rPr>
          <w:lang w:eastAsia="en-AU"/>
        </w:rPr>
        <w:t>.</w:t>
      </w:r>
      <w:r w:rsidR="00B9165F" w:rsidRPr="00E17F4A">
        <w:rPr>
          <w:lang w:eastAsia="en-AU"/>
        </w:rPr>
        <w:t xml:space="preserve"> </w:t>
      </w:r>
      <w:r w:rsidR="004D5228" w:rsidRPr="00E17F4A">
        <w:rPr>
          <w:lang w:eastAsia="en-AU"/>
        </w:rPr>
        <w:t>H</w:t>
      </w:r>
      <w:r w:rsidR="0016274B" w:rsidRPr="00E17F4A">
        <w:rPr>
          <w:lang w:eastAsia="en-AU"/>
        </w:rPr>
        <w:t>owever</w:t>
      </w:r>
      <w:r w:rsidR="00DC6F8A" w:rsidRPr="00E17F4A">
        <w:rPr>
          <w:lang w:eastAsia="en-AU"/>
        </w:rPr>
        <w:t xml:space="preserve"> </w:t>
      </w:r>
      <w:r w:rsidR="00664119" w:rsidRPr="00E17F4A">
        <w:rPr>
          <w:lang w:eastAsia="en-AU"/>
        </w:rPr>
        <w:t>baseflow provides a greater contribution to stream flow in Saddlers Creek</w:t>
      </w:r>
      <w:r w:rsidR="00293BD1">
        <w:rPr>
          <w:lang w:eastAsia="en-AU"/>
        </w:rPr>
        <w:t xml:space="preserve"> than overland flow</w:t>
      </w:r>
      <w:r w:rsidR="00664119" w:rsidRPr="00E17F4A">
        <w:rPr>
          <w:lang w:eastAsia="en-AU"/>
        </w:rPr>
        <w:t>.</w:t>
      </w:r>
      <w:r w:rsidR="00433ECE" w:rsidRPr="00E17F4A">
        <w:rPr>
          <w:lang w:eastAsia="en-AU"/>
        </w:rPr>
        <w:t xml:space="preserve"> T</w:t>
      </w:r>
      <w:r w:rsidR="0016274B" w:rsidRPr="00E17F4A">
        <w:rPr>
          <w:lang w:eastAsia="en-AU"/>
        </w:rPr>
        <w:t>he groundwater modelling</w:t>
      </w:r>
      <w:r w:rsidR="006817F6" w:rsidRPr="00E17F4A">
        <w:rPr>
          <w:lang w:eastAsia="en-AU"/>
        </w:rPr>
        <w:t xml:space="preserve">, which incorporates the </w:t>
      </w:r>
      <w:r w:rsidRPr="00E17F4A">
        <w:rPr>
          <w:lang w:eastAsia="en-AU"/>
        </w:rPr>
        <w:t xml:space="preserve">revised </w:t>
      </w:r>
      <w:r w:rsidR="006817F6" w:rsidRPr="00E17F4A">
        <w:rPr>
          <w:lang w:eastAsia="en-AU"/>
        </w:rPr>
        <w:t xml:space="preserve">mine plan and </w:t>
      </w:r>
      <w:r w:rsidR="00E20810" w:rsidRPr="00E17F4A">
        <w:rPr>
          <w:lang w:eastAsia="en-AU"/>
        </w:rPr>
        <w:t>revised storage parameter values</w:t>
      </w:r>
      <w:r w:rsidR="003550C5" w:rsidRPr="00E17F4A">
        <w:rPr>
          <w:lang w:eastAsia="en-AU"/>
        </w:rPr>
        <w:t xml:space="preserve"> resulting from transient calibration of the groundwater model</w:t>
      </w:r>
      <w:r w:rsidR="00E20810" w:rsidRPr="00E17F4A">
        <w:rPr>
          <w:lang w:eastAsia="en-AU"/>
        </w:rPr>
        <w:t>,</w:t>
      </w:r>
      <w:r w:rsidR="0016274B" w:rsidRPr="00E17F4A">
        <w:rPr>
          <w:lang w:eastAsia="en-AU"/>
        </w:rPr>
        <w:t xml:space="preserve"> predicts greater reductions in baseflow than previously predicted. </w:t>
      </w:r>
    </w:p>
    <w:p w:rsidR="00CD7369" w:rsidRPr="00E17F4A" w:rsidRDefault="00664119" w:rsidP="004C08BD">
      <w:pPr>
        <w:pStyle w:val="ListNumber"/>
        <w:ind w:left="426" w:hanging="426"/>
        <w:rPr>
          <w:lang w:eastAsia="en-AU"/>
        </w:rPr>
      </w:pPr>
      <w:r w:rsidRPr="00E17F4A">
        <w:rPr>
          <w:lang w:eastAsia="en-AU"/>
        </w:rPr>
        <w:t xml:space="preserve">The revised numerical groundwater modelling underwent transient calibration as recommended in the previous IESC advice (IESC 2015-064), which </w:t>
      </w:r>
      <w:r w:rsidR="00433ECE" w:rsidRPr="00E17F4A">
        <w:rPr>
          <w:lang w:eastAsia="en-AU"/>
        </w:rPr>
        <w:t>increases</w:t>
      </w:r>
      <w:r w:rsidRPr="00E17F4A">
        <w:rPr>
          <w:lang w:eastAsia="en-AU"/>
        </w:rPr>
        <w:t xml:space="preserve"> model complexity, i</w:t>
      </w:r>
      <w:r w:rsidR="00433ECE" w:rsidRPr="00E17F4A">
        <w:rPr>
          <w:lang w:eastAsia="en-AU"/>
        </w:rPr>
        <w:t>mproves</w:t>
      </w:r>
      <w:r w:rsidRPr="00E17F4A">
        <w:rPr>
          <w:lang w:eastAsia="en-AU"/>
        </w:rPr>
        <w:t xml:space="preserve"> confidence in predictions of the scale and lateral extent of potential impacts and aligns with best modelling practi</w:t>
      </w:r>
      <w:r w:rsidR="00D45A14" w:rsidRPr="00E17F4A">
        <w:rPr>
          <w:lang w:eastAsia="en-AU"/>
        </w:rPr>
        <w:t>c</w:t>
      </w:r>
      <w:r w:rsidRPr="00E17F4A">
        <w:rPr>
          <w:lang w:eastAsia="en-AU"/>
        </w:rPr>
        <w:t xml:space="preserve">e guidelines (Barnett et </w:t>
      </w:r>
      <w:r w:rsidR="00293BD1">
        <w:rPr>
          <w:lang w:eastAsia="en-AU"/>
        </w:rPr>
        <w:t>a</w:t>
      </w:r>
      <w:r w:rsidR="00293BD1" w:rsidRPr="00E17F4A">
        <w:rPr>
          <w:lang w:eastAsia="en-AU"/>
        </w:rPr>
        <w:t>l</w:t>
      </w:r>
      <w:r w:rsidR="00293BD1">
        <w:rPr>
          <w:lang w:eastAsia="en-AU"/>
        </w:rPr>
        <w:t>.</w:t>
      </w:r>
      <w:r w:rsidR="00076DEC" w:rsidRPr="00E17F4A">
        <w:rPr>
          <w:lang w:eastAsia="en-AU"/>
        </w:rPr>
        <w:t>,</w:t>
      </w:r>
      <w:r w:rsidRPr="00E17F4A">
        <w:rPr>
          <w:lang w:eastAsia="en-AU"/>
        </w:rPr>
        <w:t xml:space="preserve"> 2012). </w:t>
      </w:r>
    </w:p>
    <w:p w:rsidR="00C01F83" w:rsidRPr="00E17F4A" w:rsidRDefault="00C01F83" w:rsidP="004C08BD">
      <w:pPr>
        <w:pStyle w:val="ListNumber"/>
        <w:ind w:left="426" w:hanging="426"/>
        <w:rPr>
          <w:lang w:eastAsia="en-AU"/>
        </w:rPr>
      </w:pPr>
      <w:r w:rsidRPr="00E17F4A">
        <w:rPr>
          <w:lang w:eastAsia="en-AU"/>
        </w:rPr>
        <w:t xml:space="preserve">Reduction of flow in Saddlers Creek due to the cumulative reduction in catchment </w:t>
      </w:r>
      <w:r w:rsidR="00A904DE" w:rsidRPr="00E17F4A">
        <w:rPr>
          <w:lang w:eastAsia="en-AU"/>
        </w:rPr>
        <w:t xml:space="preserve">runoff </w:t>
      </w:r>
      <w:r w:rsidRPr="00E17F4A">
        <w:rPr>
          <w:lang w:eastAsia="en-AU"/>
        </w:rPr>
        <w:t xml:space="preserve">and baseflow is likely to alter the geomorphic characteristics, habitats and ecological values and is highly likely to adversely affect groundwater dependent riparian vegetation. </w:t>
      </w:r>
    </w:p>
    <w:p w:rsidR="00C01F83" w:rsidRPr="00E17F4A" w:rsidRDefault="00C01F83" w:rsidP="004C08BD">
      <w:pPr>
        <w:pStyle w:val="ListNumber"/>
        <w:ind w:left="426" w:hanging="426"/>
        <w:rPr>
          <w:lang w:eastAsia="en-AU"/>
        </w:rPr>
      </w:pPr>
      <w:r w:rsidRPr="00E17F4A">
        <w:rPr>
          <w:lang w:eastAsia="en-AU"/>
        </w:rPr>
        <w:t>It is likely that baseflow plays an important ecological role in extending stream flow during dry periods</w:t>
      </w:r>
      <w:r w:rsidR="00533360" w:rsidRPr="00E17F4A">
        <w:rPr>
          <w:lang w:eastAsia="en-AU"/>
        </w:rPr>
        <w:t xml:space="preserve"> and</w:t>
      </w:r>
      <w:r w:rsidRPr="00E17F4A">
        <w:rPr>
          <w:lang w:eastAsia="en-AU"/>
        </w:rPr>
        <w:t xml:space="preserve"> </w:t>
      </w:r>
      <w:r w:rsidR="00293BD1">
        <w:rPr>
          <w:lang w:eastAsia="en-AU"/>
        </w:rPr>
        <w:t xml:space="preserve">in </w:t>
      </w:r>
      <w:r w:rsidR="00533360" w:rsidRPr="00E17F4A">
        <w:rPr>
          <w:lang w:eastAsia="en-AU"/>
        </w:rPr>
        <w:t>providing refuge pool</w:t>
      </w:r>
      <w:r w:rsidR="00FA164C" w:rsidRPr="00E17F4A">
        <w:rPr>
          <w:lang w:eastAsia="en-AU"/>
        </w:rPr>
        <w:t>s</w:t>
      </w:r>
      <w:r w:rsidR="00533360" w:rsidRPr="00E17F4A">
        <w:rPr>
          <w:lang w:eastAsia="en-AU"/>
        </w:rPr>
        <w:t xml:space="preserve"> for aquatic fauna</w:t>
      </w:r>
      <w:r w:rsidR="00FA164C" w:rsidRPr="00E17F4A">
        <w:rPr>
          <w:lang w:eastAsia="en-AU"/>
        </w:rPr>
        <w:t>. T</w:t>
      </w:r>
      <w:r w:rsidRPr="00E17F4A">
        <w:rPr>
          <w:lang w:eastAsia="en-AU"/>
        </w:rPr>
        <w:t xml:space="preserve">he reduction in baseflow is highly likely to </w:t>
      </w:r>
      <w:r w:rsidR="00293BD1">
        <w:rPr>
          <w:lang w:eastAsia="en-AU"/>
        </w:rPr>
        <w:t>impair</w:t>
      </w:r>
      <w:r w:rsidR="00293BD1" w:rsidRPr="00E17F4A">
        <w:rPr>
          <w:lang w:eastAsia="en-AU"/>
        </w:rPr>
        <w:t xml:space="preserve"> </w:t>
      </w:r>
      <w:r w:rsidR="006436BA" w:rsidRPr="00E17F4A">
        <w:rPr>
          <w:lang w:eastAsia="en-AU"/>
        </w:rPr>
        <w:t xml:space="preserve">these processes and </w:t>
      </w:r>
      <w:r w:rsidRPr="00E17F4A">
        <w:rPr>
          <w:lang w:eastAsia="en-AU"/>
        </w:rPr>
        <w:t xml:space="preserve">adversely affect groundwater dependent vegetation and associated water-dependent ecosystems. </w:t>
      </w:r>
    </w:p>
    <w:p w:rsidR="00CD7369" w:rsidRPr="00E17F4A" w:rsidRDefault="00664119">
      <w:pPr>
        <w:pStyle w:val="ListNumber"/>
        <w:ind w:left="426" w:hanging="426"/>
        <w:rPr>
          <w:lang w:eastAsia="en-AU"/>
        </w:rPr>
      </w:pPr>
      <w:r w:rsidRPr="00E17F4A">
        <w:rPr>
          <w:lang w:eastAsia="en-AU"/>
        </w:rPr>
        <w:t xml:space="preserve">The more robust </w:t>
      </w:r>
      <w:r w:rsidR="00293BD1">
        <w:rPr>
          <w:lang w:eastAsia="en-AU"/>
        </w:rPr>
        <w:t xml:space="preserve">transient </w:t>
      </w:r>
      <w:r w:rsidRPr="00E17F4A">
        <w:rPr>
          <w:lang w:eastAsia="en-AU"/>
        </w:rPr>
        <w:t xml:space="preserve">groundwater numerical modelling undertaken for the current proposal indicates that the hydraulic gradients in the long term will result in </w:t>
      </w:r>
      <w:r w:rsidR="00A904DE" w:rsidRPr="00E17F4A">
        <w:rPr>
          <w:lang w:eastAsia="en-AU"/>
        </w:rPr>
        <w:t xml:space="preserve">groundwater </w:t>
      </w:r>
      <w:r w:rsidRPr="00E17F4A">
        <w:rPr>
          <w:lang w:eastAsia="en-AU"/>
        </w:rPr>
        <w:t xml:space="preserve">through-flow within the </w:t>
      </w:r>
      <w:proofErr w:type="spellStart"/>
      <w:r w:rsidRPr="00E17F4A">
        <w:rPr>
          <w:lang w:eastAsia="en-AU"/>
        </w:rPr>
        <w:t>Whynot</w:t>
      </w:r>
      <w:proofErr w:type="spellEnd"/>
      <w:r w:rsidRPr="00E17F4A">
        <w:rPr>
          <w:lang w:eastAsia="en-AU"/>
        </w:rPr>
        <w:t xml:space="preserve"> spoil and void. This through-flow may result in an increased risk of saline seepage to the Hunter River, Saddlers Creek and their tributaries compared to the </w:t>
      </w:r>
      <w:r w:rsidR="00293BD1">
        <w:rPr>
          <w:lang w:eastAsia="en-AU"/>
        </w:rPr>
        <w:t xml:space="preserve">modelling predictions undertaken for the </w:t>
      </w:r>
      <w:r w:rsidRPr="00E17F4A">
        <w:rPr>
          <w:lang w:eastAsia="en-AU"/>
        </w:rPr>
        <w:t>original proposal.</w:t>
      </w:r>
    </w:p>
    <w:p w:rsidR="00437FD5" w:rsidRDefault="00664119" w:rsidP="004F4897">
      <w:pPr>
        <w:pStyle w:val="ListNumber"/>
        <w:ind w:left="426" w:hanging="426"/>
        <w:rPr>
          <w:lang w:eastAsia="en-AU"/>
        </w:rPr>
      </w:pPr>
      <w:r w:rsidRPr="00E17F4A">
        <w:rPr>
          <w:lang w:eastAsia="en-AU"/>
        </w:rPr>
        <w:t>The assessment of the final landform should consider the likelihood of the generation of saline seeps in nearby tributaries (including ephemeral creeks developed as part of site rehabilitation) and should also include a</w:t>
      </w:r>
      <w:r w:rsidR="004A33F8" w:rsidRPr="00E17F4A">
        <w:rPr>
          <w:lang w:eastAsia="en-AU"/>
        </w:rPr>
        <w:t xml:space="preserve"> sensitivity and</w:t>
      </w:r>
      <w:r w:rsidRPr="00E17F4A">
        <w:rPr>
          <w:lang w:eastAsia="en-AU"/>
        </w:rPr>
        <w:t xml:space="preserve"> uncertainty analysis of potential travel times</w:t>
      </w:r>
      <w:r w:rsidR="00EE5ACD" w:rsidRPr="00E17F4A">
        <w:rPr>
          <w:lang w:eastAsia="en-AU"/>
        </w:rPr>
        <w:t xml:space="preserve"> of saline void water</w:t>
      </w:r>
      <w:r w:rsidRPr="00E17F4A">
        <w:rPr>
          <w:lang w:eastAsia="en-AU"/>
        </w:rPr>
        <w:t xml:space="preserve"> using a range of potential hydraulic conductivity and porosity values to better inform these potential risks. </w:t>
      </w:r>
    </w:p>
    <w:p w:rsidR="004F3361" w:rsidRPr="00E17F4A" w:rsidRDefault="004F3361" w:rsidP="00AC7FBF">
      <w:pPr>
        <w:pStyle w:val="ListNumber"/>
        <w:ind w:left="426" w:hanging="426"/>
        <w:rPr>
          <w:lang w:eastAsia="en-AU"/>
        </w:rPr>
      </w:pPr>
      <w:r w:rsidRPr="00E17F4A">
        <w:rPr>
          <w:lang w:eastAsia="en-AU"/>
        </w:rPr>
        <w:t xml:space="preserve">The proposed project will result in a smaller disturbance area than the previously proposed project. The proposed project will remove 22 ha of </w:t>
      </w:r>
      <w:r w:rsidR="00664119" w:rsidRPr="00E17F4A">
        <w:rPr>
          <w:lang w:eastAsia="en-AU"/>
        </w:rPr>
        <w:t>partially groundwater dependent,</w:t>
      </w:r>
      <w:r w:rsidR="00FA164C" w:rsidRPr="00E17F4A">
        <w:rPr>
          <w:lang w:eastAsia="en-AU"/>
        </w:rPr>
        <w:t xml:space="preserve"> </w:t>
      </w:r>
      <w:r w:rsidRPr="00E17F4A">
        <w:rPr>
          <w:lang w:eastAsia="en-AU"/>
        </w:rPr>
        <w:t>E</w:t>
      </w:r>
      <w:r w:rsidR="00B96B12" w:rsidRPr="00E17F4A">
        <w:rPr>
          <w:lang w:eastAsia="en-AU"/>
        </w:rPr>
        <w:t xml:space="preserve">nvironmental </w:t>
      </w:r>
      <w:r w:rsidRPr="00E17F4A">
        <w:rPr>
          <w:lang w:eastAsia="en-AU"/>
        </w:rPr>
        <w:t>P</w:t>
      </w:r>
      <w:r w:rsidR="00B96B12" w:rsidRPr="00E17F4A">
        <w:rPr>
          <w:lang w:eastAsia="en-AU"/>
        </w:rPr>
        <w:t xml:space="preserve">rotection and Biodiversity </w:t>
      </w:r>
      <w:r w:rsidRPr="00E17F4A">
        <w:rPr>
          <w:lang w:eastAsia="en-AU"/>
        </w:rPr>
        <w:t>C</w:t>
      </w:r>
      <w:r w:rsidR="00B96B12" w:rsidRPr="00E17F4A">
        <w:rPr>
          <w:lang w:eastAsia="en-AU"/>
        </w:rPr>
        <w:t>onservation (EPBC)</w:t>
      </w:r>
      <w:r w:rsidRPr="00E17F4A">
        <w:rPr>
          <w:lang w:eastAsia="en-AU"/>
        </w:rPr>
        <w:t xml:space="preserve"> Act-listed Critically Endangered Box-</w:t>
      </w:r>
      <w:r w:rsidR="007C1F59" w:rsidRPr="00E17F4A">
        <w:rPr>
          <w:lang w:eastAsia="en-AU"/>
        </w:rPr>
        <w:t>G</w:t>
      </w:r>
      <w:r w:rsidRPr="00E17F4A">
        <w:rPr>
          <w:lang w:eastAsia="en-AU"/>
        </w:rPr>
        <w:t xml:space="preserve">um </w:t>
      </w:r>
      <w:r w:rsidR="007C1F59" w:rsidRPr="00E17F4A">
        <w:rPr>
          <w:lang w:eastAsia="en-AU"/>
        </w:rPr>
        <w:t>W</w:t>
      </w:r>
      <w:r w:rsidRPr="00E17F4A">
        <w:rPr>
          <w:lang w:eastAsia="en-AU"/>
        </w:rPr>
        <w:t>oodland (</w:t>
      </w:r>
      <w:r w:rsidR="007C1F59" w:rsidRPr="00E17F4A">
        <w:rPr>
          <w:lang w:eastAsia="en-AU"/>
        </w:rPr>
        <w:t>Upper Hunter White Box-Ironbark Grassy Woodland and Hunter Floodplain Red Gum Woodland), a decrease of</w:t>
      </w:r>
      <w:r w:rsidR="00533360" w:rsidRPr="00E17F4A">
        <w:rPr>
          <w:lang w:eastAsia="en-AU"/>
        </w:rPr>
        <w:t xml:space="preserve"> 80 </w:t>
      </w:r>
      <w:r w:rsidRPr="00E17F4A">
        <w:rPr>
          <w:lang w:eastAsia="en-AU"/>
        </w:rPr>
        <w:t>per cent</w:t>
      </w:r>
      <w:r w:rsidR="007C1F59" w:rsidRPr="00E17F4A">
        <w:rPr>
          <w:lang w:eastAsia="en-AU"/>
        </w:rPr>
        <w:t xml:space="preserve"> compared to the original proposal. </w:t>
      </w:r>
      <w:r w:rsidRPr="00E17F4A">
        <w:rPr>
          <w:lang w:eastAsia="en-AU"/>
        </w:rPr>
        <w:t xml:space="preserve">Despite the reduction in disturbance of vegetation, the proposed project is still likely to result in significant impacts to </w:t>
      </w:r>
      <w:r w:rsidR="007C1F59" w:rsidRPr="00E17F4A">
        <w:rPr>
          <w:lang w:eastAsia="en-AU"/>
        </w:rPr>
        <w:t>ecological communities</w:t>
      </w:r>
      <w:r w:rsidRPr="00E17F4A">
        <w:rPr>
          <w:lang w:eastAsia="en-AU"/>
        </w:rPr>
        <w:t>, including Box-</w:t>
      </w:r>
      <w:r w:rsidR="007C1F59" w:rsidRPr="00E17F4A">
        <w:rPr>
          <w:lang w:eastAsia="en-AU"/>
        </w:rPr>
        <w:t>G</w:t>
      </w:r>
      <w:r w:rsidRPr="00E17F4A">
        <w:rPr>
          <w:lang w:eastAsia="en-AU"/>
        </w:rPr>
        <w:t xml:space="preserve">um </w:t>
      </w:r>
      <w:r w:rsidR="007C1F59" w:rsidRPr="00E17F4A">
        <w:rPr>
          <w:lang w:eastAsia="en-AU"/>
        </w:rPr>
        <w:t>W</w:t>
      </w:r>
      <w:r w:rsidRPr="00E17F4A">
        <w:rPr>
          <w:lang w:eastAsia="en-AU"/>
        </w:rPr>
        <w:t>oodland, by</w:t>
      </w:r>
      <w:r w:rsidR="000C15F1">
        <w:rPr>
          <w:lang w:eastAsia="en-AU"/>
        </w:rPr>
        <w:t xml:space="preserve"> lowering the groundwater table,</w:t>
      </w:r>
      <w:r w:rsidRPr="00E17F4A">
        <w:rPr>
          <w:lang w:eastAsia="en-AU"/>
        </w:rPr>
        <w:t xml:space="preserve"> exacerbating the degree of fragmentation of communities, reducing connectivity and habitat for fauna, and placing remaining vegetation under additional stress. </w:t>
      </w:r>
    </w:p>
    <w:p w:rsidR="007203C3" w:rsidRPr="00E17F4A" w:rsidRDefault="007203C3" w:rsidP="00D622B9">
      <w:pPr>
        <w:pStyle w:val="Question"/>
      </w:pPr>
      <w:r w:rsidRPr="00E17F4A">
        <w:t>Question 2:</w:t>
      </w:r>
      <w:r w:rsidR="00BD1EB2" w:rsidRPr="00E17F4A">
        <w:rPr>
          <w:lang w:eastAsia="en-AU"/>
        </w:rPr>
        <w:t xml:space="preserve"> Does the current EIS contain sufficient information to inform a sound assessment of potential cumulative impacts to significant water-related assets?</w:t>
      </w:r>
    </w:p>
    <w:p w:rsidR="00CF5929" w:rsidRPr="00E17F4A" w:rsidRDefault="00CF5929" w:rsidP="00D622B9">
      <w:pPr>
        <w:pStyle w:val="Heading4"/>
      </w:pPr>
      <w:r w:rsidRPr="00E17F4A">
        <w:t>Response</w:t>
      </w:r>
    </w:p>
    <w:p w:rsidR="009110D5" w:rsidRPr="00E17F4A" w:rsidRDefault="00FA164C" w:rsidP="00AC7FBF">
      <w:pPr>
        <w:pStyle w:val="ListNumber"/>
        <w:ind w:left="426" w:hanging="426"/>
        <w:rPr>
          <w:lang w:eastAsia="en-AU"/>
        </w:rPr>
      </w:pPr>
      <w:r w:rsidRPr="00E17F4A">
        <w:rPr>
          <w:lang w:eastAsia="en-AU"/>
        </w:rPr>
        <w:t>No, the</w:t>
      </w:r>
      <w:r w:rsidR="007C390E" w:rsidRPr="00E17F4A">
        <w:rPr>
          <w:lang w:eastAsia="en-AU"/>
        </w:rPr>
        <w:t xml:space="preserve"> cumulative impacts to Saddlers Creek, the Hunter River, the associated alluvium and the underlying Permian groundwater system cannot be assessed from the information provided. </w:t>
      </w:r>
    </w:p>
    <w:p w:rsidR="00891945" w:rsidRDefault="00891945" w:rsidP="00D622B9">
      <w:pPr>
        <w:pStyle w:val="Heading4"/>
      </w:pPr>
    </w:p>
    <w:p w:rsidR="00CF5929" w:rsidRPr="00E17F4A" w:rsidRDefault="00CF5929" w:rsidP="00D622B9">
      <w:pPr>
        <w:pStyle w:val="Heading4"/>
      </w:pPr>
      <w:r w:rsidRPr="00E17F4A">
        <w:t>Explanation</w:t>
      </w:r>
    </w:p>
    <w:p w:rsidR="002D6BDE" w:rsidRPr="00E17F4A" w:rsidRDefault="00BC268A" w:rsidP="00AC7FBF">
      <w:pPr>
        <w:pStyle w:val="ListNumber"/>
        <w:ind w:left="426" w:hanging="426"/>
        <w:rPr>
          <w:lang w:eastAsia="en-AU"/>
        </w:rPr>
      </w:pPr>
      <w:r w:rsidRPr="00E17F4A">
        <w:rPr>
          <w:lang w:eastAsia="en-AU"/>
        </w:rPr>
        <w:t>As discussed in the previous advice</w:t>
      </w:r>
      <w:r w:rsidR="00501C8D" w:rsidRPr="00E17F4A">
        <w:rPr>
          <w:lang w:eastAsia="en-AU"/>
        </w:rPr>
        <w:t xml:space="preserve"> </w:t>
      </w:r>
      <w:r w:rsidR="00346A25" w:rsidRPr="00E17F4A">
        <w:rPr>
          <w:lang w:eastAsia="en-AU"/>
        </w:rPr>
        <w:t>(</w:t>
      </w:r>
      <w:r w:rsidR="00501C8D" w:rsidRPr="00E17F4A">
        <w:rPr>
          <w:lang w:eastAsia="en-AU"/>
        </w:rPr>
        <w:t>IESC 2015-064</w:t>
      </w:r>
      <w:r w:rsidR="00346A25" w:rsidRPr="00E17F4A">
        <w:rPr>
          <w:lang w:eastAsia="en-AU"/>
        </w:rPr>
        <w:t>)</w:t>
      </w:r>
      <w:r w:rsidR="00DA3816" w:rsidRPr="00E17F4A">
        <w:rPr>
          <w:lang w:eastAsia="en-AU"/>
        </w:rPr>
        <w:t>,</w:t>
      </w:r>
      <w:r w:rsidRPr="00E17F4A">
        <w:rPr>
          <w:lang w:eastAsia="en-AU"/>
        </w:rPr>
        <w:t xml:space="preserve"> the groundwater modelling does not include impacts to water resources from the adjacent Mt Arthur mine or other groundwater users. </w:t>
      </w:r>
      <w:r w:rsidR="00664119" w:rsidRPr="00E17F4A">
        <w:rPr>
          <w:lang w:eastAsia="en-AU"/>
        </w:rPr>
        <w:t>Instead, the assessment</w:t>
      </w:r>
      <w:r w:rsidR="00FA164C" w:rsidRPr="00E17F4A">
        <w:rPr>
          <w:lang w:eastAsia="en-AU"/>
        </w:rPr>
        <w:t xml:space="preserve"> </w:t>
      </w:r>
      <w:r w:rsidRPr="00E17F4A">
        <w:rPr>
          <w:lang w:eastAsia="en-AU"/>
        </w:rPr>
        <w:t xml:space="preserve">of cumulative impacts to the Saddlers Creek alluvium has been </w:t>
      </w:r>
      <w:r w:rsidR="00664119" w:rsidRPr="00E17F4A">
        <w:rPr>
          <w:lang w:eastAsia="en-AU"/>
        </w:rPr>
        <w:t>estimated</w:t>
      </w:r>
      <w:r w:rsidR="00FA164C" w:rsidRPr="00E17F4A">
        <w:rPr>
          <w:lang w:eastAsia="en-AU"/>
        </w:rPr>
        <w:t xml:space="preserve"> </w:t>
      </w:r>
      <w:r w:rsidRPr="00E17F4A">
        <w:rPr>
          <w:lang w:eastAsia="en-AU"/>
        </w:rPr>
        <w:t xml:space="preserve">by adding together the individual predicted loss estimates resulting from dewatering of adjacent mines which were derived utilising differing models with differing parameterisation. This </w:t>
      </w:r>
      <w:r w:rsidR="00FA164C" w:rsidRPr="00E17F4A">
        <w:rPr>
          <w:lang w:eastAsia="en-AU"/>
        </w:rPr>
        <w:t xml:space="preserve">limits </w:t>
      </w:r>
      <w:r w:rsidRPr="00E17F4A">
        <w:rPr>
          <w:lang w:eastAsia="en-AU"/>
        </w:rPr>
        <w:t xml:space="preserve">confidence in </w:t>
      </w:r>
      <w:r w:rsidR="00FA164C" w:rsidRPr="00E17F4A">
        <w:rPr>
          <w:lang w:eastAsia="en-AU"/>
        </w:rPr>
        <w:t xml:space="preserve">estimates </w:t>
      </w:r>
      <w:r w:rsidRPr="00E17F4A">
        <w:rPr>
          <w:lang w:eastAsia="en-AU"/>
        </w:rPr>
        <w:t xml:space="preserve">of cumulative impacts. </w:t>
      </w:r>
    </w:p>
    <w:p w:rsidR="00B96B12" w:rsidRPr="00E17F4A" w:rsidRDefault="00B96B12" w:rsidP="00AC7FBF">
      <w:pPr>
        <w:pStyle w:val="ListNumber"/>
        <w:ind w:left="426" w:hanging="426"/>
        <w:rPr>
          <w:lang w:eastAsia="en-AU"/>
        </w:rPr>
      </w:pPr>
      <w:r w:rsidRPr="00E17F4A">
        <w:rPr>
          <w:lang w:eastAsia="en-AU"/>
        </w:rPr>
        <w:t>The cumulative reduction in flow</w:t>
      </w:r>
      <w:r w:rsidR="00FA164C" w:rsidRPr="00E17F4A">
        <w:rPr>
          <w:lang w:eastAsia="en-AU"/>
        </w:rPr>
        <w:t xml:space="preserve"> in Saddlers Creek</w:t>
      </w:r>
      <w:r w:rsidRPr="00E17F4A">
        <w:rPr>
          <w:lang w:eastAsia="en-AU"/>
        </w:rPr>
        <w:t xml:space="preserve"> has not been quantified in the assessment documentation. </w:t>
      </w:r>
    </w:p>
    <w:p w:rsidR="007203C3" w:rsidRPr="00E17F4A" w:rsidRDefault="00AD764B" w:rsidP="00AC7FBF">
      <w:pPr>
        <w:pStyle w:val="ListNumber"/>
        <w:ind w:left="426" w:hanging="426"/>
        <w:rPr>
          <w:lang w:eastAsia="en-AU"/>
        </w:rPr>
      </w:pPr>
      <w:r w:rsidRPr="00E17F4A">
        <w:rPr>
          <w:lang w:eastAsia="en-AU"/>
        </w:rPr>
        <w:t>The</w:t>
      </w:r>
      <w:r w:rsidR="00B96B12" w:rsidRPr="00E17F4A">
        <w:rPr>
          <w:lang w:eastAsia="en-AU"/>
        </w:rPr>
        <w:t xml:space="preserve"> degree of groundwater dependency</w:t>
      </w:r>
      <w:r w:rsidRPr="00E17F4A">
        <w:rPr>
          <w:lang w:eastAsia="en-AU"/>
        </w:rPr>
        <w:t xml:space="preserve"> and the impacts of cumulative groundwater drawdown on the Saddlers Creek riparian vegetation have not </w:t>
      </w:r>
      <w:r w:rsidR="00B96B12" w:rsidRPr="00E17F4A">
        <w:rPr>
          <w:lang w:eastAsia="en-AU"/>
        </w:rPr>
        <w:t xml:space="preserve">been </w:t>
      </w:r>
      <w:r w:rsidRPr="00E17F4A">
        <w:rPr>
          <w:lang w:eastAsia="en-AU"/>
        </w:rPr>
        <w:t xml:space="preserve">assessed. </w:t>
      </w:r>
      <w:r w:rsidR="00B96B12" w:rsidRPr="00E17F4A">
        <w:rPr>
          <w:lang w:eastAsia="en-AU"/>
        </w:rPr>
        <w:t xml:space="preserve">The proponent states </w:t>
      </w:r>
      <w:r w:rsidR="00FC59B7" w:rsidRPr="00E17F4A">
        <w:rPr>
          <w:lang w:eastAsia="en-AU"/>
        </w:rPr>
        <w:t xml:space="preserve">(EIS, App. M, p. M-159) </w:t>
      </w:r>
      <w:r w:rsidR="00B96B12" w:rsidRPr="00E17F4A">
        <w:rPr>
          <w:lang w:eastAsia="en-AU"/>
        </w:rPr>
        <w:t xml:space="preserve">that a high proportion of </w:t>
      </w:r>
      <w:r w:rsidR="002D6BDE" w:rsidRPr="00E17F4A">
        <w:rPr>
          <w:lang w:eastAsia="en-AU"/>
        </w:rPr>
        <w:t xml:space="preserve">the </w:t>
      </w:r>
      <w:r w:rsidR="00B96B12" w:rsidRPr="00E17F4A">
        <w:rPr>
          <w:lang w:eastAsia="en-AU"/>
        </w:rPr>
        <w:t xml:space="preserve">water sustaining riparian vegetation is likely to be supplied by surface water flows and </w:t>
      </w:r>
      <w:r w:rsidR="000C15F1">
        <w:rPr>
          <w:lang w:eastAsia="en-AU"/>
        </w:rPr>
        <w:t>direct rainfall</w:t>
      </w:r>
      <w:r w:rsidR="00B96B12" w:rsidRPr="00E17F4A">
        <w:rPr>
          <w:lang w:eastAsia="en-AU"/>
        </w:rPr>
        <w:t xml:space="preserve"> and therefore will not be significantly impacted by groundwater drawdown. This does not consider the importance of </w:t>
      </w:r>
      <w:r w:rsidR="00FA164C" w:rsidRPr="00E17F4A">
        <w:rPr>
          <w:lang w:eastAsia="en-AU"/>
        </w:rPr>
        <w:t xml:space="preserve">groundwater </w:t>
      </w:r>
      <w:r w:rsidR="00B96B12" w:rsidRPr="00E17F4A">
        <w:rPr>
          <w:lang w:eastAsia="en-AU"/>
        </w:rPr>
        <w:t xml:space="preserve">in maintaining </w:t>
      </w:r>
      <w:r w:rsidR="00FA164C" w:rsidRPr="00E17F4A">
        <w:rPr>
          <w:lang w:eastAsia="en-AU"/>
        </w:rPr>
        <w:t>baseflow</w:t>
      </w:r>
      <w:r w:rsidR="00B96B12" w:rsidRPr="00E17F4A">
        <w:rPr>
          <w:lang w:eastAsia="en-AU"/>
        </w:rPr>
        <w:t xml:space="preserve"> in Saddlers Creek </w:t>
      </w:r>
      <w:r w:rsidR="00FA164C" w:rsidRPr="00E17F4A">
        <w:rPr>
          <w:lang w:eastAsia="en-AU"/>
        </w:rPr>
        <w:t xml:space="preserve">during </w:t>
      </w:r>
      <w:r w:rsidR="00B96B12" w:rsidRPr="00E17F4A">
        <w:rPr>
          <w:lang w:eastAsia="en-AU"/>
        </w:rPr>
        <w:t>dry periods</w:t>
      </w:r>
      <w:r w:rsidR="00FA164C" w:rsidRPr="00E17F4A">
        <w:rPr>
          <w:lang w:eastAsia="en-AU"/>
        </w:rPr>
        <w:t>.</w:t>
      </w:r>
      <w:r w:rsidR="00B96B12" w:rsidRPr="00E17F4A">
        <w:rPr>
          <w:lang w:eastAsia="en-AU"/>
        </w:rPr>
        <w:t xml:space="preserve"> </w:t>
      </w:r>
    </w:p>
    <w:p w:rsidR="004F1D1C" w:rsidRPr="00E17F4A" w:rsidRDefault="00BD1EB2" w:rsidP="004F1D1C">
      <w:pPr>
        <w:pBdr>
          <w:top w:val="single" w:sz="4" w:space="1" w:color="auto"/>
          <w:left w:val="single" w:sz="4" w:space="4" w:color="auto"/>
          <w:bottom w:val="single" w:sz="4" w:space="1" w:color="auto"/>
          <w:right w:val="single" w:sz="4" w:space="4" w:color="auto"/>
        </w:pBdr>
        <w:rPr>
          <w:lang w:eastAsia="en-AU"/>
        </w:rPr>
      </w:pPr>
      <w:r w:rsidRPr="00E17F4A">
        <w:t>Question 3:</w:t>
      </w:r>
      <w:r w:rsidRPr="00E17F4A">
        <w:rPr>
          <w:lang w:eastAsia="en-AU"/>
        </w:rPr>
        <w:t xml:space="preserve"> </w:t>
      </w:r>
      <w:r w:rsidR="004F1D1C" w:rsidRPr="00E17F4A">
        <w:rPr>
          <w:lang w:eastAsia="en-AU"/>
        </w:rPr>
        <w:t>If not, what additional information could be reasonably required to inform this assessment?</w:t>
      </w:r>
    </w:p>
    <w:p w:rsidR="00BD1EB2" w:rsidRPr="00E17F4A" w:rsidRDefault="00BD1EB2" w:rsidP="00BD1EB2">
      <w:pPr>
        <w:pStyle w:val="Heading4"/>
      </w:pPr>
      <w:r w:rsidRPr="00E17F4A">
        <w:t>Response</w:t>
      </w:r>
    </w:p>
    <w:p w:rsidR="007C390E" w:rsidRPr="00E17F4A" w:rsidRDefault="002C61F3" w:rsidP="00AC7FBF">
      <w:pPr>
        <w:pStyle w:val="ListNumber"/>
        <w:ind w:left="426" w:hanging="426"/>
        <w:rPr>
          <w:lang w:eastAsia="en-AU"/>
        </w:rPr>
      </w:pPr>
      <w:r w:rsidRPr="00E17F4A">
        <w:rPr>
          <w:lang w:eastAsia="en-AU"/>
        </w:rPr>
        <w:t>As per the</w:t>
      </w:r>
      <w:r w:rsidR="007C390E" w:rsidRPr="00E17F4A">
        <w:rPr>
          <w:lang w:eastAsia="en-AU"/>
        </w:rPr>
        <w:t xml:space="preserve"> previous advice</w:t>
      </w:r>
      <w:r w:rsidR="00522793" w:rsidRPr="00E17F4A">
        <w:rPr>
          <w:lang w:eastAsia="en-AU"/>
        </w:rPr>
        <w:t xml:space="preserve"> (IESC 2015-064)</w:t>
      </w:r>
      <w:r w:rsidR="007C390E" w:rsidRPr="00E17F4A">
        <w:rPr>
          <w:lang w:eastAsia="en-AU"/>
        </w:rPr>
        <w:t xml:space="preserve">, a sub-regional groundwater </w:t>
      </w:r>
      <w:r w:rsidR="001E47A7" w:rsidRPr="00E17F4A">
        <w:rPr>
          <w:lang w:eastAsia="en-AU"/>
        </w:rPr>
        <w:t xml:space="preserve">numerical </w:t>
      </w:r>
      <w:r w:rsidR="007C390E" w:rsidRPr="00E17F4A">
        <w:rPr>
          <w:lang w:eastAsia="en-AU"/>
        </w:rPr>
        <w:t>model including all mines and major water users in the vicinity would better assess spatial and temporal cumulative impacts to water resources and dependent ecosystems in the vicinity of the proposed project. The model would need to be updated on a regular basis and be informed by ongoing dedicated monitoring to validate and reduce uncertainty in model predictions.</w:t>
      </w:r>
    </w:p>
    <w:p w:rsidR="007C390E" w:rsidRPr="00E17F4A" w:rsidRDefault="00FA164C" w:rsidP="00AC7FBF">
      <w:pPr>
        <w:pStyle w:val="ListNumber"/>
        <w:ind w:left="426" w:hanging="426"/>
        <w:rPr>
          <w:lang w:eastAsia="en-AU"/>
        </w:rPr>
      </w:pPr>
      <w:r w:rsidRPr="00E17F4A">
        <w:rPr>
          <w:lang w:eastAsia="en-AU"/>
        </w:rPr>
        <w:t>B</w:t>
      </w:r>
      <w:r w:rsidR="007C390E" w:rsidRPr="00E17F4A">
        <w:rPr>
          <w:lang w:eastAsia="en-AU"/>
        </w:rPr>
        <w:t>aseline data on the magnitude and variability of surface flows (including baseflow) in Saddlers Creek is required in order to quantify the impacts of the proposed project and enable the impacts from the proposed project to be differentiated from impacts as a result of other groundwater users and/or climatic conditions.</w:t>
      </w:r>
      <w:r w:rsidR="00172299" w:rsidRPr="00E17F4A">
        <w:rPr>
          <w:lang w:eastAsia="en-AU"/>
        </w:rPr>
        <w:t xml:space="preserve"> </w:t>
      </w:r>
      <w:r w:rsidR="007C390E" w:rsidRPr="00E17F4A">
        <w:rPr>
          <w:lang w:eastAsia="en-AU"/>
        </w:rPr>
        <w:t>An assessment of the likely impacts to Saddlers Creek should include an assessment of the cumulative reduction in flow, the increase in no</w:t>
      </w:r>
      <w:r w:rsidR="007C390E" w:rsidRPr="00E17F4A">
        <w:rPr>
          <w:lang w:eastAsia="en-AU"/>
        </w:rPr>
        <w:noBreakHyphen/>
      </w:r>
      <w:proofErr w:type="spellStart"/>
      <w:r w:rsidR="007C390E" w:rsidRPr="00E17F4A">
        <w:rPr>
          <w:lang w:eastAsia="en-AU"/>
        </w:rPr>
        <w:t>flow</w:t>
      </w:r>
      <w:proofErr w:type="spellEnd"/>
      <w:r w:rsidR="007C390E" w:rsidRPr="00E17F4A">
        <w:rPr>
          <w:lang w:eastAsia="en-AU"/>
        </w:rPr>
        <w:t xml:space="preserve"> periods</w:t>
      </w:r>
      <w:r w:rsidR="0065354D" w:rsidRPr="00E17F4A">
        <w:rPr>
          <w:lang w:eastAsia="en-AU"/>
        </w:rPr>
        <w:t>,</w:t>
      </w:r>
      <w:r w:rsidR="007C390E" w:rsidRPr="00E17F4A">
        <w:rPr>
          <w:lang w:eastAsia="en-AU"/>
        </w:rPr>
        <w:t xml:space="preserve"> and the impact on </w:t>
      </w:r>
      <w:r w:rsidR="00891945" w:rsidRPr="00E17F4A">
        <w:rPr>
          <w:lang w:eastAsia="en-AU"/>
        </w:rPr>
        <w:t>in</w:t>
      </w:r>
      <w:r w:rsidR="00891945" w:rsidRPr="00E17F4A">
        <w:rPr>
          <w:lang w:eastAsia="en-AU"/>
        </w:rPr>
        <w:noBreakHyphen/>
      </w:r>
      <w:proofErr w:type="spellStart"/>
      <w:r w:rsidR="00891945" w:rsidRPr="00E17F4A">
        <w:rPr>
          <w:lang w:eastAsia="en-AU"/>
        </w:rPr>
        <w:t>stream</w:t>
      </w:r>
      <w:proofErr w:type="spellEnd"/>
      <w:r w:rsidR="00891945" w:rsidRPr="00E17F4A">
        <w:rPr>
          <w:lang w:eastAsia="en-AU"/>
        </w:rPr>
        <w:t xml:space="preserve"> fauna </w:t>
      </w:r>
      <w:r w:rsidR="00891945">
        <w:rPr>
          <w:lang w:eastAsia="en-AU"/>
        </w:rPr>
        <w:t xml:space="preserve">and </w:t>
      </w:r>
      <w:r w:rsidR="0065354D" w:rsidRPr="00E17F4A">
        <w:rPr>
          <w:lang w:eastAsia="en-AU"/>
        </w:rPr>
        <w:t>EPBC</w:t>
      </w:r>
      <w:r w:rsidR="00533360" w:rsidRPr="00E17F4A">
        <w:rPr>
          <w:lang w:eastAsia="en-AU"/>
        </w:rPr>
        <w:t xml:space="preserve"> Act-listed Critically Endangered </w:t>
      </w:r>
      <w:r w:rsidR="0065354D" w:rsidRPr="00E17F4A">
        <w:rPr>
          <w:lang w:eastAsia="en-AU"/>
        </w:rPr>
        <w:t>riparian vegetation</w:t>
      </w:r>
      <w:r w:rsidR="00891945">
        <w:rPr>
          <w:lang w:eastAsia="en-AU"/>
        </w:rPr>
        <w:t>.</w:t>
      </w:r>
      <w:r w:rsidR="0065354D" w:rsidRPr="00E17F4A">
        <w:rPr>
          <w:lang w:eastAsia="en-AU"/>
        </w:rPr>
        <w:t xml:space="preserve"> </w:t>
      </w:r>
    </w:p>
    <w:p w:rsidR="00BD1EB2" w:rsidRPr="00E17F4A" w:rsidRDefault="007C390E" w:rsidP="00AC7FBF">
      <w:pPr>
        <w:pStyle w:val="ListNumber"/>
        <w:ind w:left="426" w:hanging="426"/>
        <w:rPr>
          <w:lang w:eastAsia="en-AU"/>
        </w:rPr>
      </w:pPr>
      <w:r w:rsidRPr="00E17F4A">
        <w:rPr>
          <w:lang w:eastAsia="en-AU"/>
        </w:rPr>
        <w:t>The cumulative impacts on groundwater-dependent vegetation communities including riparian vegetation along Saddlers Creek would be better informed through a study to determine the depth to groundwater</w:t>
      </w:r>
      <w:r w:rsidR="00DA3816" w:rsidRPr="00E17F4A">
        <w:rPr>
          <w:lang w:eastAsia="en-AU"/>
        </w:rPr>
        <w:t xml:space="preserve"> </w:t>
      </w:r>
      <w:r w:rsidR="00664119" w:rsidRPr="00E17F4A">
        <w:rPr>
          <w:lang w:eastAsia="en-AU"/>
        </w:rPr>
        <w:t>(spatially and temporally),</w:t>
      </w:r>
      <w:r w:rsidRPr="00E17F4A">
        <w:rPr>
          <w:lang w:eastAsia="en-AU"/>
        </w:rPr>
        <w:t xml:space="preserve"> degree of groundwater dependency, and </w:t>
      </w:r>
      <w:r w:rsidR="00A1632D" w:rsidRPr="00E17F4A">
        <w:rPr>
          <w:lang w:eastAsia="en-AU"/>
        </w:rPr>
        <w:t xml:space="preserve">the </w:t>
      </w:r>
      <w:r w:rsidRPr="00E17F4A">
        <w:rPr>
          <w:lang w:eastAsia="en-AU"/>
        </w:rPr>
        <w:t xml:space="preserve">reduction in groundwater and surface water availability </w:t>
      </w:r>
      <w:r w:rsidR="00A1632D" w:rsidRPr="00E17F4A">
        <w:rPr>
          <w:lang w:eastAsia="en-AU"/>
        </w:rPr>
        <w:t>from</w:t>
      </w:r>
      <w:r w:rsidRPr="00E17F4A">
        <w:rPr>
          <w:lang w:eastAsia="en-AU"/>
        </w:rPr>
        <w:t xml:space="preserve"> the proposed project and</w:t>
      </w:r>
      <w:r w:rsidR="00172299" w:rsidRPr="00E17F4A">
        <w:rPr>
          <w:lang w:eastAsia="en-AU"/>
        </w:rPr>
        <w:t xml:space="preserve"> the</w:t>
      </w:r>
      <w:r w:rsidR="00D94860">
        <w:rPr>
          <w:lang w:eastAsia="en-AU"/>
        </w:rPr>
        <w:t xml:space="preserve"> Mt </w:t>
      </w:r>
      <w:r w:rsidRPr="00E17F4A">
        <w:rPr>
          <w:lang w:eastAsia="en-AU"/>
        </w:rPr>
        <w:t>Arthur</w:t>
      </w:r>
      <w:r w:rsidR="00172299" w:rsidRPr="00E17F4A">
        <w:rPr>
          <w:lang w:eastAsia="en-AU"/>
        </w:rPr>
        <w:t xml:space="preserve"> mine</w:t>
      </w:r>
      <w:r w:rsidRPr="00E17F4A">
        <w:rPr>
          <w:lang w:eastAsia="en-AU"/>
        </w:rPr>
        <w:t xml:space="preserve">. </w:t>
      </w:r>
    </w:p>
    <w:p w:rsidR="00BD1EB2" w:rsidRPr="00E17F4A" w:rsidRDefault="00BD1EB2" w:rsidP="00BD1EB2">
      <w:pPr>
        <w:pStyle w:val="Question"/>
      </w:pPr>
      <w:r w:rsidRPr="00E17F4A">
        <w:t>Question 4:</w:t>
      </w:r>
      <w:r w:rsidRPr="00E17F4A">
        <w:rPr>
          <w:lang w:eastAsia="en-AU"/>
        </w:rPr>
        <w:t xml:space="preserve"> </w:t>
      </w:r>
      <w:r w:rsidR="004F1D1C" w:rsidRPr="00E17F4A">
        <w:rPr>
          <w:lang w:eastAsia="en-AU"/>
        </w:rPr>
        <w:t>Do the groundwater and surface water assessments, including the numerical models therein, provide reasonable estimations of the likely impacts to water resources (including water quality and quantity), with particular reference to Saddlers Creek and the Hunter River?</w:t>
      </w:r>
    </w:p>
    <w:p w:rsidR="00BD1EB2" w:rsidRPr="00E17F4A" w:rsidRDefault="00BD1EB2" w:rsidP="00BD1EB2">
      <w:pPr>
        <w:pStyle w:val="Heading4"/>
      </w:pPr>
      <w:r w:rsidRPr="00E17F4A">
        <w:t>Response</w:t>
      </w:r>
    </w:p>
    <w:p w:rsidR="005E1678" w:rsidRPr="00E17F4A" w:rsidRDefault="005E1678" w:rsidP="00AC7FBF">
      <w:pPr>
        <w:pStyle w:val="ListNumber"/>
        <w:ind w:left="426" w:hanging="426"/>
        <w:rPr>
          <w:lang w:eastAsia="en-AU"/>
        </w:rPr>
      </w:pPr>
      <w:r w:rsidRPr="00E17F4A">
        <w:rPr>
          <w:lang w:eastAsia="en-AU"/>
        </w:rPr>
        <w:t>The numerical groundwater modelling for the revised project plan, which incorporate</w:t>
      </w:r>
      <w:r w:rsidR="00CD7369" w:rsidRPr="00E17F4A">
        <w:rPr>
          <w:lang w:eastAsia="en-AU"/>
        </w:rPr>
        <w:t>s</w:t>
      </w:r>
      <w:r w:rsidRPr="00E17F4A">
        <w:rPr>
          <w:lang w:eastAsia="en-AU"/>
        </w:rPr>
        <w:t xml:space="preserve"> transient calibration</w:t>
      </w:r>
      <w:r w:rsidR="00CD7369" w:rsidRPr="00E17F4A">
        <w:rPr>
          <w:lang w:eastAsia="en-AU"/>
        </w:rPr>
        <w:t xml:space="preserve"> and </w:t>
      </w:r>
      <w:r w:rsidR="002C120A" w:rsidRPr="00E17F4A">
        <w:rPr>
          <w:lang w:eastAsia="en-AU"/>
        </w:rPr>
        <w:t xml:space="preserve">more robust </w:t>
      </w:r>
      <w:r w:rsidR="00CD7369" w:rsidRPr="00E17F4A">
        <w:rPr>
          <w:lang w:eastAsia="en-AU"/>
        </w:rPr>
        <w:t xml:space="preserve">sensitivity analysis as recommended </w:t>
      </w:r>
      <w:r w:rsidR="00534304" w:rsidRPr="00E17F4A">
        <w:rPr>
          <w:lang w:eastAsia="en-AU"/>
        </w:rPr>
        <w:t>in</w:t>
      </w:r>
      <w:r w:rsidR="00CD7369" w:rsidRPr="00E17F4A">
        <w:rPr>
          <w:lang w:eastAsia="en-AU"/>
        </w:rPr>
        <w:t xml:space="preserve"> the previous IESC advice (IESC 2015-064)</w:t>
      </w:r>
      <w:r w:rsidRPr="00E17F4A">
        <w:rPr>
          <w:lang w:eastAsia="en-AU"/>
        </w:rPr>
        <w:t>,</w:t>
      </w:r>
      <w:r w:rsidR="002C120A" w:rsidRPr="00E17F4A">
        <w:rPr>
          <w:lang w:eastAsia="en-AU"/>
        </w:rPr>
        <w:t xml:space="preserve"> </w:t>
      </w:r>
      <w:r w:rsidR="00CD7369" w:rsidRPr="00E17F4A">
        <w:rPr>
          <w:lang w:eastAsia="en-AU"/>
        </w:rPr>
        <w:t xml:space="preserve">increases the confidence in the predictions of impacts to groundwater resources. </w:t>
      </w:r>
    </w:p>
    <w:p w:rsidR="00CB777F" w:rsidRPr="00E17F4A" w:rsidRDefault="005E1678" w:rsidP="00AC7FBF">
      <w:pPr>
        <w:pStyle w:val="ListNumber"/>
        <w:ind w:left="426" w:hanging="426"/>
        <w:rPr>
          <w:lang w:eastAsia="en-AU"/>
        </w:rPr>
      </w:pPr>
      <w:r w:rsidRPr="00E17F4A">
        <w:rPr>
          <w:lang w:eastAsia="en-AU"/>
        </w:rPr>
        <w:t xml:space="preserve">Some matters </w:t>
      </w:r>
      <w:proofErr w:type="gramStart"/>
      <w:r w:rsidRPr="00E17F4A">
        <w:rPr>
          <w:lang w:eastAsia="en-AU"/>
        </w:rPr>
        <w:t>raised</w:t>
      </w:r>
      <w:proofErr w:type="gramEnd"/>
      <w:r w:rsidRPr="00E17F4A">
        <w:rPr>
          <w:lang w:eastAsia="en-AU"/>
        </w:rPr>
        <w:t xml:space="preserve"> in the previous IESC advices (IESC 2013-010 and IESC 2015-064)</w:t>
      </w:r>
      <w:r w:rsidR="00CD7369" w:rsidRPr="00E17F4A">
        <w:rPr>
          <w:lang w:eastAsia="en-AU"/>
        </w:rPr>
        <w:t>, particularly with respect to surface water resources,</w:t>
      </w:r>
      <w:r w:rsidRPr="00E17F4A">
        <w:rPr>
          <w:lang w:eastAsia="en-AU"/>
        </w:rPr>
        <w:t xml:space="preserve"> have not been addressed. F</w:t>
      </w:r>
      <w:r w:rsidR="00664119" w:rsidRPr="00E17F4A">
        <w:rPr>
          <w:lang w:eastAsia="en-AU"/>
        </w:rPr>
        <w:t>urther information is required on the following matters</w:t>
      </w:r>
      <w:r w:rsidR="00460720" w:rsidRPr="00E17F4A">
        <w:rPr>
          <w:lang w:eastAsia="en-AU"/>
        </w:rPr>
        <w:t>:</w:t>
      </w:r>
    </w:p>
    <w:p w:rsidR="00437FD5" w:rsidRDefault="00664119" w:rsidP="00B36764">
      <w:pPr>
        <w:pStyle w:val="ListNumber3"/>
        <w:ind w:left="709" w:hanging="283"/>
        <w:rPr>
          <w:lang w:eastAsia="en-AU"/>
        </w:rPr>
      </w:pPr>
      <w:bookmarkStart w:id="3" w:name="_Ref416685073"/>
      <w:r w:rsidRPr="00E17F4A">
        <w:rPr>
          <w:lang w:eastAsia="en-AU"/>
        </w:rPr>
        <w:t xml:space="preserve">An assessment of the potential for shallow saline groundwater seepage from the final void lake and the </w:t>
      </w:r>
      <w:proofErr w:type="spellStart"/>
      <w:r w:rsidRPr="00E17F4A">
        <w:rPr>
          <w:lang w:eastAsia="en-AU"/>
        </w:rPr>
        <w:t>Whynot</w:t>
      </w:r>
      <w:proofErr w:type="spellEnd"/>
      <w:r w:rsidRPr="00E17F4A">
        <w:rPr>
          <w:lang w:eastAsia="en-AU"/>
        </w:rPr>
        <w:t xml:space="preserve"> spoil area </w:t>
      </w:r>
      <w:r w:rsidR="00460720" w:rsidRPr="00E17F4A">
        <w:rPr>
          <w:lang w:eastAsia="en-AU"/>
        </w:rPr>
        <w:t xml:space="preserve">through the regolith </w:t>
      </w:r>
      <w:r w:rsidRPr="00E17F4A">
        <w:rPr>
          <w:lang w:eastAsia="en-AU"/>
        </w:rPr>
        <w:t>towards the Hunter River, including the travel times, volume of seepage and salt loads of that seepage</w:t>
      </w:r>
      <w:r w:rsidR="00460720" w:rsidRPr="00E17F4A">
        <w:rPr>
          <w:lang w:eastAsia="en-AU"/>
        </w:rPr>
        <w:t>.</w:t>
      </w:r>
      <w:r w:rsidRPr="00E17F4A">
        <w:rPr>
          <w:lang w:eastAsia="en-AU"/>
        </w:rPr>
        <w:t xml:space="preserve"> </w:t>
      </w:r>
    </w:p>
    <w:p w:rsidR="00437FD5" w:rsidRDefault="00460720" w:rsidP="00B36764">
      <w:pPr>
        <w:pStyle w:val="ListNumber3"/>
        <w:ind w:left="709" w:hanging="283"/>
        <w:rPr>
          <w:lang w:eastAsia="en-AU"/>
        </w:rPr>
      </w:pPr>
      <w:r w:rsidRPr="00E17F4A">
        <w:rPr>
          <w:lang w:eastAsia="en-AU"/>
        </w:rPr>
        <w:t>An</w:t>
      </w:r>
      <w:r w:rsidR="00664119" w:rsidRPr="00E17F4A">
        <w:rPr>
          <w:lang w:eastAsia="en-AU"/>
        </w:rPr>
        <w:t xml:space="preserve"> assessment of the potential impacts of </w:t>
      </w:r>
      <w:r w:rsidRPr="00E17F4A">
        <w:rPr>
          <w:lang w:eastAsia="en-AU"/>
        </w:rPr>
        <w:t>shallow</w:t>
      </w:r>
      <w:r w:rsidR="00664119" w:rsidRPr="00E17F4A">
        <w:rPr>
          <w:lang w:eastAsia="en-AU"/>
        </w:rPr>
        <w:t xml:space="preserve"> seepage on any groundwater dependent vegetation located on the flow path between the proposed mine and the Hunter River. </w:t>
      </w:r>
    </w:p>
    <w:p w:rsidR="00437FD5" w:rsidRDefault="00DE5805" w:rsidP="00B36764">
      <w:pPr>
        <w:pStyle w:val="ListNumber3"/>
        <w:ind w:left="709" w:hanging="283"/>
        <w:rPr>
          <w:lang w:eastAsia="en-AU"/>
        </w:rPr>
      </w:pPr>
      <w:r w:rsidRPr="00E17F4A">
        <w:rPr>
          <w:lang w:eastAsia="en-AU"/>
        </w:rPr>
        <w:t xml:space="preserve">An assessment of potential travel times, volume of seepage and salt loads from the </w:t>
      </w:r>
      <w:proofErr w:type="spellStart"/>
      <w:r w:rsidRPr="00E17F4A">
        <w:rPr>
          <w:lang w:eastAsia="en-AU"/>
        </w:rPr>
        <w:t>Blakefield</w:t>
      </w:r>
      <w:proofErr w:type="spellEnd"/>
      <w:r w:rsidRPr="00E17F4A">
        <w:rPr>
          <w:lang w:eastAsia="en-AU"/>
        </w:rPr>
        <w:t xml:space="preserve"> mining area to the Saddlers Creek alluvium; and the impacts of salt, metals and</w:t>
      </w:r>
      <w:r w:rsidRPr="00B36764">
        <w:rPr>
          <w:lang w:eastAsia="en-AU"/>
        </w:rPr>
        <w:t xml:space="preserve"> </w:t>
      </w:r>
      <w:r w:rsidRPr="00E17F4A">
        <w:rPr>
          <w:lang w:eastAsia="en-AU"/>
        </w:rPr>
        <w:t>polycyclic aromatic hydrocarbons (PAHs) on the alluvium, Saddlers Creek and associated water</w:t>
      </w:r>
      <w:r w:rsidR="00CD7369" w:rsidRPr="00E17F4A">
        <w:rPr>
          <w:lang w:eastAsia="en-AU"/>
        </w:rPr>
        <w:noBreakHyphen/>
      </w:r>
      <w:proofErr w:type="spellStart"/>
      <w:r w:rsidRPr="00E17F4A">
        <w:rPr>
          <w:lang w:eastAsia="en-AU"/>
        </w:rPr>
        <w:t>dependent</w:t>
      </w:r>
      <w:proofErr w:type="spellEnd"/>
      <w:r w:rsidRPr="00E17F4A">
        <w:rPr>
          <w:lang w:eastAsia="en-AU"/>
        </w:rPr>
        <w:t xml:space="preserve"> assets over the long</w:t>
      </w:r>
      <w:r w:rsidRPr="00E17F4A">
        <w:rPr>
          <w:lang w:eastAsia="en-AU"/>
        </w:rPr>
        <w:noBreakHyphen/>
        <w:t>term.</w:t>
      </w:r>
    </w:p>
    <w:p w:rsidR="00437FD5" w:rsidRDefault="008E622A" w:rsidP="00B36764">
      <w:pPr>
        <w:pStyle w:val="ListNumber3"/>
        <w:ind w:left="709" w:hanging="283"/>
        <w:rPr>
          <w:lang w:eastAsia="en-AU"/>
        </w:rPr>
      </w:pPr>
      <w:r w:rsidRPr="00E17F4A">
        <w:rPr>
          <w:lang w:eastAsia="en-AU"/>
        </w:rPr>
        <w:t xml:space="preserve">Current quantitative flow regime data (including seasonal, climatic high and low flow periods and contribution of baseflow) </w:t>
      </w:r>
      <w:r w:rsidR="002C33CA" w:rsidRPr="00E17F4A">
        <w:rPr>
          <w:lang w:eastAsia="en-AU"/>
        </w:rPr>
        <w:t>for</w:t>
      </w:r>
      <w:r w:rsidRPr="00E17F4A">
        <w:rPr>
          <w:lang w:eastAsia="en-AU"/>
        </w:rPr>
        <w:t xml:space="preserve"> Saddlers Creek and an assessment of the groundwater dependence</w:t>
      </w:r>
      <w:r w:rsidR="00B52C90" w:rsidRPr="00E17F4A">
        <w:rPr>
          <w:lang w:eastAsia="en-AU"/>
        </w:rPr>
        <w:t xml:space="preserve"> of,</w:t>
      </w:r>
      <w:r w:rsidRPr="00E17F4A">
        <w:rPr>
          <w:lang w:eastAsia="en-AU"/>
        </w:rPr>
        <w:t xml:space="preserve"> and likely</w:t>
      </w:r>
      <w:r w:rsidR="002C120A" w:rsidRPr="00E17F4A">
        <w:rPr>
          <w:lang w:eastAsia="en-AU"/>
        </w:rPr>
        <w:t xml:space="preserve"> </w:t>
      </w:r>
      <w:r w:rsidRPr="00E17F4A">
        <w:rPr>
          <w:lang w:eastAsia="en-AU"/>
        </w:rPr>
        <w:t>impacts to</w:t>
      </w:r>
      <w:r w:rsidR="00B52C90" w:rsidRPr="00E17F4A">
        <w:rPr>
          <w:lang w:eastAsia="en-AU"/>
        </w:rPr>
        <w:t>,</w:t>
      </w:r>
      <w:r w:rsidRPr="00E17F4A">
        <w:rPr>
          <w:lang w:eastAsia="en-AU"/>
        </w:rPr>
        <w:t xml:space="preserve"> Saddlers Creek riparian vegetation. </w:t>
      </w:r>
    </w:p>
    <w:p w:rsidR="00437FD5" w:rsidRDefault="00B53D59" w:rsidP="00B36764">
      <w:pPr>
        <w:pStyle w:val="ListNumber3"/>
        <w:ind w:left="709" w:hanging="283"/>
        <w:rPr>
          <w:lang w:eastAsia="en-AU"/>
        </w:rPr>
      </w:pPr>
      <w:r w:rsidRPr="00E17F4A">
        <w:rPr>
          <w:lang w:eastAsia="en-AU"/>
        </w:rPr>
        <w:t>An assessment of p</w:t>
      </w:r>
      <w:r w:rsidR="006F5041" w:rsidRPr="00E17F4A">
        <w:rPr>
          <w:lang w:eastAsia="en-AU"/>
        </w:rPr>
        <w:t xml:space="preserve">otential seepage of </w:t>
      </w:r>
      <w:proofErr w:type="spellStart"/>
      <w:r w:rsidR="006F5041" w:rsidRPr="00E17F4A">
        <w:rPr>
          <w:lang w:eastAsia="en-AU"/>
        </w:rPr>
        <w:t>leachate</w:t>
      </w:r>
      <w:proofErr w:type="spellEnd"/>
      <w:r w:rsidR="006F5041" w:rsidRPr="00E17F4A">
        <w:rPr>
          <w:lang w:eastAsia="en-AU"/>
        </w:rPr>
        <w:t xml:space="preserve"> from the proposed emplacement of </w:t>
      </w:r>
      <w:r w:rsidRPr="00E17F4A">
        <w:rPr>
          <w:lang w:eastAsia="en-AU"/>
        </w:rPr>
        <w:t>tai</w:t>
      </w:r>
      <w:r w:rsidR="00D94E67">
        <w:rPr>
          <w:lang w:eastAsia="en-AU"/>
        </w:rPr>
        <w:t>lings from the proposed project</w:t>
      </w:r>
      <w:r w:rsidR="006F5041" w:rsidRPr="00E17F4A">
        <w:rPr>
          <w:lang w:eastAsia="en-AU"/>
        </w:rPr>
        <w:t xml:space="preserve"> tailings in the existing Drayton Mine North Void towards the catchment of Ramrod Creek. Groundwater quality and groundwater levels must be monitored near the tailings and reject emplacement areas located at the Drayton Mine to confirm if seepage is migrating away from the emplacement areas.</w:t>
      </w:r>
    </w:p>
    <w:p w:rsidR="00437FD5" w:rsidRDefault="00D57BF9" w:rsidP="00B36764">
      <w:pPr>
        <w:pStyle w:val="ListNumber3"/>
        <w:ind w:left="709" w:hanging="283"/>
        <w:rPr>
          <w:lang w:eastAsia="en-AU"/>
        </w:rPr>
      </w:pPr>
      <w:r w:rsidRPr="00D57BF9">
        <w:rPr>
          <w:lang w:eastAsia="en-AU"/>
        </w:rPr>
        <w:t>An assessment of ecological assets beyond the proposed project boundary, including the Upper Hunter White-Box Ironbark Grassy Woodland, to determine g</w:t>
      </w:r>
      <w:r w:rsidR="00660B11" w:rsidRPr="00660B11">
        <w:rPr>
          <w:lang w:eastAsia="en-AU"/>
        </w:rPr>
        <w:t>roundwater dependence (either fully or partially); their current condition; and how these assets may be impacted by both the proposed project and any cumulative impacts.</w:t>
      </w:r>
      <w:bookmarkEnd w:id="3"/>
    </w:p>
    <w:p w:rsidR="00BD1EB2" w:rsidRPr="00E17F4A" w:rsidRDefault="00BD1EB2" w:rsidP="00BD1EB2">
      <w:pPr>
        <w:pStyle w:val="Heading4"/>
      </w:pPr>
      <w:r w:rsidRPr="00E17F4A">
        <w:t>Explanation</w:t>
      </w:r>
    </w:p>
    <w:p w:rsidR="007E01AD" w:rsidRPr="00E17F4A" w:rsidRDefault="007E01AD" w:rsidP="00AC7FBF">
      <w:pPr>
        <w:pStyle w:val="ListNumber"/>
        <w:ind w:left="426" w:hanging="426"/>
        <w:rPr>
          <w:lang w:eastAsia="en-AU"/>
        </w:rPr>
      </w:pPr>
      <w:r w:rsidRPr="00E17F4A">
        <w:rPr>
          <w:lang w:eastAsia="en-AU"/>
        </w:rPr>
        <w:t>It is likely that the local-scale impact on Saddlers Creek flows will be substantial and that</w:t>
      </w:r>
      <w:r w:rsidR="00967C2F">
        <w:rPr>
          <w:lang w:eastAsia="en-AU"/>
        </w:rPr>
        <w:t xml:space="preserve"> </w:t>
      </w:r>
      <w:r w:rsidRPr="00E17F4A">
        <w:rPr>
          <w:lang w:eastAsia="en-AU"/>
        </w:rPr>
        <w:t xml:space="preserve">cumulative impacts from adjacent mines will exacerbate this effect. Inadequate baseline stream flow data make it difficult to </w:t>
      </w:r>
      <w:r w:rsidR="00231479" w:rsidRPr="00E17F4A">
        <w:rPr>
          <w:lang w:eastAsia="en-AU"/>
        </w:rPr>
        <w:t xml:space="preserve">quantify </w:t>
      </w:r>
      <w:r w:rsidRPr="00E17F4A">
        <w:rPr>
          <w:lang w:eastAsia="en-AU"/>
        </w:rPr>
        <w:t xml:space="preserve">the magnitude of impacts to Saddlers Creek and its riparian vegetation. There is a potential risk to water quality in Saddlers Creek from uncontrolled spills and releases from sediment dams, and from seepage from the </w:t>
      </w:r>
      <w:proofErr w:type="spellStart"/>
      <w:r w:rsidRPr="00E17F4A">
        <w:rPr>
          <w:lang w:eastAsia="en-AU"/>
        </w:rPr>
        <w:t>Blakefield</w:t>
      </w:r>
      <w:proofErr w:type="spellEnd"/>
      <w:r w:rsidRPr="00E17F4A">
        <w:rPr>
          <w:lang w:eastAsia="en-AU"/>
        </w:rPr>
        <w:t xml:space="preserve"> mining area, noting that Saddlers Creek is a moderately disturbed ecosystem and baseline water quality </w:t>
      </w:r>
      <w:r w:rsidR="00F90DFD">
        <w:rPr>
          <w:lang w:eastAsia="en-AU"/>
        </w:rPr>
        <w:t>substantially exceeds ANZECC and ARMCANZ (2000) default trigger values for electrical conductivity.</w:t>
      </w:r>
    </w:p>
    <w:p w:rsidR="00FF2EE3" w:rsidRDefault="001009AA" w:rsidP="00FF2EE3">
      <w:pPr>
        <w:pStyle w:val="ListNumber"/>
        <w:ind w:left="426" w:hanging="426"/>
        <w:rPr>
          <w:lang w:eastAsia="en-AU"/>
        </w:rPr>
      </w:pPr>
      <w:r w:rsidRPr="00E17F4A">
        <w:rPr>
          <w:lang w:eastAsia="en-AU"/>
        </w:rPr>
        <w:t>No assessment</w:t>
      </w:r>
      <w:r w:rsidR="00C52E5A" w:rsidRPr="00E17F4A">
        <w:rPr>
          <w:lang w:eastAsia="en-AU"/>
        </w:rPr>
        <w:t xml:space="preserve"> has been undertaken</w:t>
      </w:r>
      <w:r w:rsidRPr="00E17F4A">
        <w:rPr>
          <w:lang w:eastAsia="en-AU"/>
        </w:rPr>
        <w:t xml:space="preserve"> of the</w:t>
      </w:r>
      <w:r w:rsidR="00C52E5A" w:rsidRPr="00E17F4A">
        <w:rPr>
          <w:lang w:eastAsia="en-AU"/>
        </w:rPr>
        <w:t xml:space="preserve"> potential</w:t>
      </w:r>
      <w:r w:rsidRPr="00E17F4A">
        <w:rPr>
          <w:lang w:eastAsia="en-AU"/>
        </w:rPr>
        <w:t xml:space="preserve"> impact of the project on the EPBC-listed Critical</w:t>
      </w:r>
      <w:r w:rsidR="00C52E5A" w:rsidRPr="00E17F4A">
        <w:rPr>
          <w:lang w:eastAsia="en-AU"/>
        </w:rPr>
        <w:t>ly</w:t>
      </w:r>
      <w:r w:rsidRPr="00E17F4A">
        <w:rPr>
          <w:lang w:eastAsia="en-AU"/>
        </w:rPr>
        <w:t xml:space="preserve"> Endangered </w:t>
      </w:r>
      <w:r w:rsidR="003223B2" w:rsidRPr="00E17F4A">
        <w:rPr>
          <w:lang w:eastAsia="en-AU"/>
        </w:rPr>
        <w:t xml:space="preserve">Upper Hunter White Box-Ironbark Grassy Woodland community mapped outside the project boundary but within the predicted zone of drawdown. </w:t>
      </w:r>
      <w:r w:rsidR="001E2CED" w:rsidRPr="00E17F4A">
        <w:rPr>
          <w:lang w:eastAsia="en-AU"/>
        </w:rPr>
        <w:t>The</w:t>
      </w:r>
      <w:r w:rsidR="00066887" w:rsidRPr="00E17F4A">
        <w:rPr>
          <w:lang w:eastAsia="en-AU"/>
        </w:rPr>
        <w:t xml:space="preserve"> </w:t>
      </w:r>
      <w:r w:rsidR="003223B2" w:rsidRPr="00E17F4A">
        <w:rPr>
          <w:lang w:eastAsia="en-AU"/>
        </w:rPr>
        <w:t xml:space="preserve">depth to groundwater </w:t>
      </w:r>
      <w:r w:rsidR="00066887" w:rsidRPr="00E17F4A">
        <w:rPr>
          <w:lang w:eastAsia="en-AU"/>
        </w:rPr>
        <w:t>in this region has not been provided</w:t>
      </w:r>
      <w:r w:rsidR="001E2CED" w:rsidRPr="00E17F4A">
        <w:rPr>
          <w:lang w:eastAsia="en-AU"/>
        </w:rPr>
        <w:t>.</w:t>
      </w:r>
      <w:r w:rsidR="004C08BD">
        <w:rPr>
          <w:lang w:eastAsia="en-AU"/>
        </w:rPr>
        <w:t xml:space="preserve"> </w:t>
      </w:r>
    </w:p>
    <w:p w:rsidR="00BD1EB2" w:rsidRPr="00E17F4A" w:rsidRDefault="007C390E" w:rsidP="00FF2EE3">
      <w:pPr>
        <w:pStyle w:val="ListNumber"/>
        <w:ind w:left="426" w:hanging="426"/>
        <w:rPr>
          <w:lang w:eastAsia="en-AU"/>
        </w:rPr>
      </w:pPr>
      <w:r w:rsidRPr="00E17F4A">
        <w:rPr>
          <w:lang w:eastAsia="en-AU"/>
        </w:rPr>
        <w:t>Although th</w:t>
      </w:r>
      <w:r w:rsidR="00066887" w:rsidRPr="00E17F4A">
        <w:rPr>
          <w:lang w:eastAsia="en-AU"/>
        </w:rPr>
        <w:t xml:space="preserve">is vegetation </w:t>
      </w:r>
      <w:r w:rsidRPr="00E17F4A">
        <w:rPr>
          <w:lang w:eastAsia="en-AU"/>
        </w:rPr>
        <w:t>may not have complete dependence on groundwater, by definition (Richardson et al., 2011), GDEs include ecosystems that opportunistically use groundwater and potential impacts should be considered for all GDEs.</w:t>
      </w:r>
      <w:r w:rsidR="004C08BD">
        <w:rPr>
          <w:lang w:eastAsia="en-AU"/>
        </w:rPr>
        <w:t xml:space="preserve"> </w:t>
      </w:r>
      <w:r w:rsidR="007E01AD" w:rsidRPr="00E17F4A">
        <w:rPr>
          <w:lang w:eastAsia="en-AU"/>
        </w:rPr>
        <w:t xml:space="preserve">Techniques from the Australian GDE Toolbox (Richardson et al., 2011) should be applied to confirm groundwater use by vegetation and other biota and identify groundwater discharge to </w:t>
      </w:r>
      <w:r w:rsidR="00066887" w:rsidRPr="00E17F4A">
        <w:rPr>
          <w:lang w:eastAsia="en-AU"/>
        </w:rPr>
        <w:t xml:space="preserve">the </w:t>
      </w:r>
      <w:r w:rsidR="007E01AD" w:rsidRPr="00E17F4A">
        <w:rPr>
          <w:lang w:eastAsia="en-AU"/>
        </w:rPr>
        <w:t>surface</w:t>
      </w:r>
      <w:r w:rsidR="00066887" w:rsidRPr="00E17F4A">
        <w:rPr>
          <w:lang w:eastAsia="en-AU"/>
        </w:rPr>
        <w:t>.</w:t>
      </w:r>
    </w:p>
    <w:p w:rsidR="00274098" w:rsidRDefault="00274098" w:rsidP="00274098">
      <w:pPr>
        <w:pStyle w:val="ListNumber3"/>
        <w:numPr>
          <w:ilvl w:val="0"/>
          <w:numId w:val="0"/>
        </w:numPr>
        <w:ind w:left="709"/>
        <w:rPr>
          <w:lang w:eastAsia="en-AU"/>
        </w:rPr>
      </w:pPr>
    </w:p>
    <w:p w:rsidR="00FF2EE3" w:rsidRPr="00E17F4A" w:rsidRDefault="00FF2EE3" w:rsidP="00274098">
      <w:pPr>
        <w:pStyle w:val="ListNumber3"/>
        <w:numPr>
          <w:ilvl w:val="0"/>
          <w:numId w:val="0"/>
        </w:numPr>
        <w:ind w:left="709"/>
        <w:rPr>
          <w:lang w:eastAsia="en-AU"/>
        </w:rPr>
      </w:pPr>
    </w:p>
    <w:p w:rsidR="00BD1EB2" w:rsidRPr="00E17F4A" w:rsidRDefault="00BD1EB2" w:rsidP="00BD1EB2">
      <w:pPr>
        <w:pStyle w:val="Question"/>
      </w:pPr>
      <w:r w:rsidRPr="00E17F4A">
        <w:t>Question 5:</w:t>
      </w:r>
      <w:r w:rsidRPr="00E17F4A">
        <w:rPr>
          <w:lang w:eastAsia="en-AU"/>
        </w:rPr>
        <w:t xml:space="preserve"> </w:t>
      </w:r>
      <w:r w:rsidR="004F1D1C" w:rsidRPr="00E17F4A">
        <w:rPr>
          <w:lang w:eastAsia="en-AU"/>
        </w:rPr>
        <w:t>Has the revised proposal included reasonable strategies to effectively avoid, mitigate or reduce the likelihood, extent or significance of impacts to significant water-related assets?</w:t>
      </w:r>
    </w:p>
    <w:p w:rsidR="00BD1EB2" w:rsidRPr="00E17F4A" w:rsidRDefault="00BD1EB2" w:rsidP="00BD1EB2">
      <w:pPr>
        <w:pStyle w:val="Heading4"/>
      </w:pPr>
      <w:r w:rsidRPr="00E17F4A">
        <w:t>Response</w:t>
      </w:r>
    </w:p>
    <w:p w:rsidR="007C390E" w:rsidRPr="00E17F4A" w:rsidRDefault="007C390E" w:rsidP="00AC7FBF">
      <w:pPr>
        <w:pStyle w:val="ListNumber"/>
        <w:ind w:left="426" w:hanging="426"/>
        <w:rPr>
          <w:lang w:eastAsia="en-AU"/>
        </w:rPr>
      </w:pPr>
      <w:r w:rsidRPr="00E17F4A">
        <w:rPr>
          <w:lang w:eastAsia="en-AU"/>
        </w:rPr>
        <w:t xml:space="preserve">Opportunities to avoid impacts to water resources are limited by the size of the extension, noting that </w:t>
      </w:r>
      <w:r w:rsidR="001E2CED" w:rsidRPr="00E17F4A">
        <w:rPr>
          <w:lang w:eastAsia="en-AU"/>
        </w:rPr>
        <w:t xml:space="preserve">the </w:t>
      </w:r>
      <w:r w:rsidRPr="00E17F4A">
        <w:rPr>
          <w:lang w:eastAsia="en-AU"/>
        </w:rPr>
        <w:t>mine plan has been retracted twice previously to minimise the</w:t>
      </w:r>
      <w:r w:rsidR="00660746" w:rsidRPr="00E17F4A">
        <w:rPr>
          <w:lang w:eastAsia="en-AU"/>
        </w:rPr>
        <w:t xml:space="preserve"> non-water related</w:t>
      </w:r>
      <w:r w:rsidRPr="00E17F4A">
        <w:rPr>
          <w:lang w:eastAsia="en-AU"/>
        </w:rPr>
        <w:t xml:space="preserve"> impacts to the </w:t>
      </w:r>
      <w:proofErr w:type="spellStart"/>
      <w:r w:rsidRPr="00E17F4A">
        <w:rPr>
          <w:lang w:eastAsia="en-AU"/>
        </w:rPr>
        <w:t>Coolmore</w:t>
      </w:r>
      <w:proofErr w:type="spellEnd"/>
      <w:r w:rsidRPr="00E17F4A">
        <w:rPr>
          <w:lang w:eastAsia="en-AU"/>
        </w:rPr>
        <w:t xml:space="preserve"> and Woodlands horse studs. The project area will not encroach within the 150 m buffer zone of the Hunter River alluvium, or within 40 m of the Saddlers Creek bed or bank.</w:t>
      </w:r>
    </w:p>
    <w:p w:rsidR="007C390E" w:rsidRPr="00E17F4A" w:rsidRDefault="007C390E" w:rsidP="00AC7FBF">
      <w:pPr>
        <w:pStyle w:val="ListNumber"/>
        <w:ind w:left="426" w:hanging="426"/>
        <w:rPr>
          <w:lang w:eastAsia="en-AU"/>
        </w:rPr>
      </w:pPr>
      <w:r w:rsidRPr="00E17F4A">
        <w:rPr>
          <w:lang w:eastAsia="en-AU"/>
        </w:rPr>
        <w:t xml:space="preserve">Most mitigation measures are proposed to be implemented through management plans which have not been included within the assessment documentation. </w:t>
      </w:r>
      <w:r w:rsidR="00993B51" w:rsidRPr="00E17F4A">
        <w:rPr>
          <w:lang w:eastAsia="en-AU"/>
        </w:rPr>
        <w:t>Without these, i</w:t>
      </w:r>
      <w:r w:rsidRPr="00E17F4A">
        <w:rPr>
          <w:lang w:eastAsia="en-AU"/>
        </w:rPr>
        <w:t xml:space="preserve">t is not possible to determine how effective the measures would be at mitigating or reducing impacts from the </w:t>
      </w:r>
      <w:r w:rsidR="00660746" w:rsidRPr="00E17F4A">
        <w:rPr>
          <w:lang w:eastAsia="en-AU"/>
        </w:rPr>
        <w:t>proposed project.</w:t>
      </w:r>
    </w:p>
    <w:p w:rsidR="007C390E" w:rsidRPr="00E17F4A" w:rsidRDefault="0091312C" w:rsidP="00AC7FBF">
      <w:pPr>
        <w:pStyle w:val="ListNumber"/>
        <w:ind w:left="426" w:hanging="426"/>
        <w:rPr>
          <w:lang w:eastAsia="en-AU"/>
        </w:rPr>
      </w:pPr>
      <w:r w:rsidRPr="00E17F4A">
        <w:rPr>
          <w:lang w:eastAsia="en-AU"/>
        </w:rPr>
        <w:t>P</w:t>
      </w:r>
      <w:r w:rsidR="007C390E" w:rsidRPr="00E17F4A">
        <w:rPr>
          <w:lang w:eastAsia="en-AU"/>
        </w:rPr>
        <w:t>ropose</w:t>
      </w:r>
      <w:r w:rsidR="00B803AB" w:rsidRPr="00E17F4A">
        <w:rPr>
          <w:lang w:eastAsia="en-AU"/>
        </w:rPr>
        <w:t>d</w:t>
      </w:r>
      <w:r w:rsidR="007C390E" w:rsidRPr="00E17F4A">
        <w:rPr>
          <w:lang w:eastAsia="en-AU"/>
        </w:rPr>
        <w:t xml:space="preserve"> mitigation options if impacts to groundwater quality and quantity are more extensiv</w:t>
      </w:r>
      <w:r w:rsidRPr="00E17F4A">
        <w:rPr>
          <w:lang w:eastAsia="en-AU"/>
        </w:rPr>
        <w:t>e or significant than predicted</w:t>
      </w:r>
      <w:r w:rsidR="007C390E" w:rsidRPr="00E17F4A">
        <w:rPr>
          <w:lang w:eastAsia="en-AU"/>
        </w:rPr>
        <w:t xml:space="preserve"> includ</w:t>
      </w:r>
      <w:r w:rsidRPr="00E17F4A">
        <w:rPr>
          <w:lang w:eastAsia="en-AU"/>
        </w:rPr>
        <w:t>e</w:t>
      </w:r>
      <w:r w:rsidR="007C390E" w:rsidRPr="00E17F4A">
        <w:rPr>
          <w:lang w:eastAsia="en-AU"/>
        </w:rPr>
        <w:t xml:space="preserve">: injection of water into the depressurised aquifers, grouting and cut off measures, sourcing of additional water from other sources or treatment of mine water. No information has been provided on these potential mitigation measures and their effectiveness cannot be assessed. </w:t>
      </w:r>
    </w:p>
    <w:p w:rsidR="00BD1EB2" w:rsidRPr="00E17F4A" w:rsidRDefault="007C390E" w:rsidP="00707E2E">
      <w:pPr>
        <w:pStyle w:val="ListNumber"/>
        <w:ind w:left="426" w:hanging="426"/>
        <w:rPr>
          <w:lang w:eastAsia="en-AU"/>
        </w:rPr>
      </w:pPr>
      <w:r w:rsidRPr="00E17F4A">
        <w:rPr>
          <w:lang w:eastAsia="en-AU"/>
        </w:rPr>
        <w:t xml:space="preserve">The proponent indicates that spoil will be shaped in a manner that promotes free drainage away from the northern and western mining areas but does not provide any detail on </w:t>
      </w:r>
      <w:r w:rsidR="00C379E3" w:rsidRPr="00E17F4A">
        <w:rPr>
          <w:lang w:eastAsia="en-AU"/>
        </w:rPr>
        <w:t>how the</w:t>
      </w:r>
      <w:r w:rsidRPr="00E17F4A">
        <w:rPr>
          <w:lang w:eastAsia="en-AU"/>
        </w:rPr>
        <w:t xml:space="preserve"> placement of the spoil will achieve this.</w:t>
      </w:r>
    </w:p>
    <w:p w:rsidR="00BD1EB2" w:rsidRPr="00E17F4A" w:rsidRDefault="00BD1EB2" w:rsidP="00BD1EB2">
      <w:pPr>
        <w:pStyle w:val="Question"/>
      </w:pPr>
      <w:r w:rsidRPr="00E17F4A">
        <w:t>Question 6:</w:t>
      </w:r>
      <w:r w:rsidRPr="00E17F4A">
        <w:rPr>
          <w:lang w:eastAsia="en-AU"/>
        </w:rPr>
        <w:t xml:space="preserve"> </w:t>
      </w:r>
      <w:r w:rsidR="004F1D1C" w:rsidRPr="00E17F4A">
        <w:rPr>
          <w:lang w:eastAsia="en-AU"/>
        </w:rPr>
        <w:t xml:space="preserve">Would the IESC recommend any other strategies available to avoid, mitigate or remediate the likelihood, extent or significance of these impacts? </w:t>
      </w:r>
      <w:proofErr w:type="gramStart"/>
      <w:r w:rsidR="004F1D1C" w:rsidRPr="00E17F4A">
        <w:rPr>
          <w:lang w:eastAsia="en-AU"/>
        </w:rPr>
        <w:t>And if so, why?</w:t>
      </w:r>
      <w:proofErr w:type="gramEnd"/>
    </w:p>
    <w:p w:rsidR="00BD1EB2" w:rsidRPr="00E17F4A" w:rsidRDefault="00BD1EB2" w:rsidP="00BD1EB2">
      <w:pPr>
        <w:pStyle w:val="Heading4"/>
      </w:pPr>
      <w:r w:rsidRPr="00E17F4A">
        <w:t>Response</w:t>
      </w:r>
    </w:p>
    <w:p w:rsidR="00B53D59" w:rsidRPr="00E17F4A" w:rsidRDefault="00664119" w:rsidP="00AC7FBF">
      <w:pPr>
        <w:pStyle w:val="ListNumber"/>
        <w:ind w:left="426" w:hanging="426"/>
        <w:rPr>
          <w:lang w:eastAsia="en-AU"/>
        </w:rPr>
      </w:pPr>
      <w:bookmarkStart w:id="4" w:name="_Ref416684450"/>
      <w:r w:rsidRPr="00E17F4A">
        <w:rPr>
          <w:lang w:eastAsia="en-AU"/>
        </w:rPr>
        <w:t>Yes, the IESC recommends additional strategies to avoid, mitigate and remediate the impacts, including the following:</w:t>
      </w:r>
    </w:p>
    <w:p w:rsidR="00437FD5" w:rsidRDefault="00DE5805" w:rsidP="00B36764">
      <w:pPr>
        <w:pStyle w:val="ListNumber3"/>
        <w:ind w:left="709" w:hanging="283"/>
        <w:rPr>
          <w:lang w:eastAsia="en-AU"/>
        </w:rPr>
      </w:pPr>
      <w:r w:rsidRPr="00E17F4A">
        <w:rPr>
          <w:lang w:eastAsia="en-AU"/>
        </w:rPr>
        <w:t xml:space="preserve">The </w:t>
      </w:r>
      <w:r w:rsidR="00DD1A21" w:rsidRPr="00E17F4A">
        <w:rPr>
          <w:lang w:eastAsia="en-AU"/>
        </w:rPr>
        <w:t xml:space="preserve">Saddlers Creek </w:t>
      </w:r>
      <w:r w:rsidRPr="00E17F4A">
        <w:rPr>
          <w:lang w:eastAsia="en-AU"/>
        </w:rPr>
        <w:t xml:space="preserve">restoration programme must consider the impact of reduced baseflow </w:t>
      </w:r>
      <w:r w:rsidR="00891945">
        <w:rPr>
          <w:lang w:eastAsia="en-AU"/>
        </w:rPr>
        <w:t xml:space="preserve">and altered water quality </w:t>
      </w:r>
      <w:r w:rsidRPr="00E17F4A">
        <w:rPr>
          <w:lang w:eastAsia="en-AU"/>
        </w:rPr>
        <w:t xml:space="preserve">on the current riparian vegetation and likely success of establishing new riparian vegetation along Saddlers Creek. Ongoing monitoring of the condition of riparian vegetation is required to determine if additional mitigation measures should be implemented. </w:t>
      </w:r>
    </w:p>
    <w:p w:rsidR="00437FD5" w:rsidRDefault="00DE5805" w:rsidP="00B36764">
      <w:pPr>
        <w:pStyle w:val="ListNumber3"/>
        <w:ind w:left="709" w:hanging="283"/>
        <w:rPr>
          <w:lang w:eastAsia="en-AU"/>
        </w:rPr>
      </w:pPr>
      <w:r w:rsidRPr="00E17F4A">
        <w:rPr>
          <w:lang w:eastAsia="en-AU"/>
        </w:rPr>
        <w:t>The rehabilitation management plan should consider and address</w:t>
      </w:r>
      <w:r w:rsidR="00DD1A21" w:rsidRPr="00E17F4A">
        <w:rPr>
          <w:lang w:eastAsia="en-AU"/>
        </w:rPr>
        <w:t xml:space="preserve"> potential ‘worst-case’ scenarios</w:t>
      </w:r>
      <w:r w:rsidRPr="00E17F4A">
        <w:rPr>
          <w:lang w:eastAsia="en-AU"/>
        </w:rPr>
        <w:t xml:space="preserve">, such as greater than predicted seepage from the final void and the </w:t>
      </w:r>
      <w:proofErr w:type="spellStart"/>
      <w:r w:rsidRPr="00E17F4A">
        <w:rPr>
          <w:lang w:eastAsia="en-AU"/>
        </w:rPr>
        <w:t>Blakefield</w:t>
      </w:r>
      <w:proofErr w:type="spellEnd"/>
      <w:r w:rsidRPr="00E17F4A">
        <w:rPr>
          <w:lang w:eastAsia="en-AU"/>
        </w:rPr>
        <w:t xml:space="preserve"> mining area reaching Saddlers Creek, the Hunter River or its tributaries.</w:t>
      </w:r>
      <w:bookmarkEnd w:id="4"/>
      <w:r w:rsidRPr="00E17F4A">
        <w:rPr>
          <w:lang w:eastAsia="en-AU"/>
        </w:rPr>
        <w:t xml:space="preserve"> </w:t>
      </w:r>
    </w:p>
    <w:p w:rsidR="00437FD5" w:rsidRDefault="007C390E" w:rsidP="00B36764">
      <w:pPr>
        <w:pStyle w:val="ListNumber3"/>
        <w:ind w:left="709" w:hanging="283"/>
        <w:rPr>
          <w:lang w:eastAsia="en-AU"/>
        </w:rPr>
      </w:pPr>
      <w:r w:rsidRPr="00E17F4A">
        <w:rPr>
          <w:lang w:eastAsia="en-AU"/>
        </w:rPr>
        <w:t>Management of the tai</w:t>
      </w:r>
      <w:r w:rsidR="00DE5805" w:rsidRPr="00E17F4A">
        <w:rPr>
          <w:lang w:eastAsia="en-AU"/>
        </w:rPr>
        <w:t>lings and rejects emplacement area should include a monitoring program to ensure that key water quality parameters remain within</w:t>
      </w:r>
      <w:r w:rsidR="00CA243E">
        <w:rPr>
          <w:lang w:eastAsia="en-AU"/>
        </w:rPr>
        <w:t xml:space="preserve"> an</w:t>
      </w:r>
      <w:r w:rsidR="00DE5805" w:rsidRPr="00E17F4A">
        <w:rPr>
          <w:lang w:eastAsia="en-AU"/>
        </w:rPr>
        <w:t xml:space="preserve"> appropriate </w:t>
      </w:r>
      <w:r w:rsidR="00CA243E">
        <w:rPr>
          <w:lang w:eastAsia="en-AU"/>
        </w:rPr>
        <w:t>range of values</w:t>
      </w:r>
      <w:r w:rsidR="00DE5805" w:rsidRPr="00E17F4A">
        <w:rPr>
          <w:lang w:eastAsia="en-AU"/>
        </w:rPr>
        <w:t xml:space="preserve">. A closure strategy for the emplacement areas </w:t>
      </w:r>
      <w:r w:rsidR="00664119" w:rsidRPr="00E17F4A">
        <w:rPr>
          <w:lang w:eastAsia="en-AU"/>
        </w:rPr>
        <w:t>could</w:t>
      </w:r>
      <w:r w:rsidR="00DE5805" w:rsidRPr="00E17F4A">
        <w:rPr>
          <w:lang w:eastAsia="en-AU"/>
        </w:rPr>
        <w:t xml:space="preserve"> also consider options for a cover (i.e. capping) system.</w:t>
      </w:r>
    </w:p>
    <w:p w:rsidR="00437FD5" w:rsidRDefault="00DE5805" w:rsidP="00B36764">
      <w:pPr>
        <w:pStyle w:val="ListNumber3"/>
        <w:ind w:left="709" w:hanging="283"/>
        <w:rPr>
          <w:lang w:eastAsia="en-AU"/>
        </w:rPr>
      </w:pPr>
      <w:r w:rsidRPr="00E17F4A">
        <w:rPr>
          <w:lang w:eastAsia="en-AU"/>
        </w:rPr>
        <w:t>The Water Management Plan should include a strategy to reduce the risk of spills from sediment dams impacting water quality in Saddlers Creek and the Hunter River including:</w:t>
      </w:r>
    </w:p>
    <w:p w:rsidR="00437FD5" w:rsidRDefault="00DE5805" w:rsidP="00B36764">
      <w:pPr>
        <w:pStyle w:val="ListNumber2"/>
        <w:numPr>
          <w:ilvl w:val="8"/>
          <w:numId w:val="12"/>
        </w:numPr>
        <w:ind w:left="1134"/>
        <w:rPr>
          <w:lang w:eastAsia="en-AU"/>
        </w:rPr>
      </w:pPr>
      <w:r w:rsidRPr="00E17F4A">
        <w:rPr>
          <w:lang w:eastAsia="en-AU"/>
        </w:rPr>
        <w:t>The location of particular sediment dams or water storages that are considered most at risk of regular spills</w:t>
      </w:r>
      <w:r w:rsidR="002C2151" w:rsidRPr="00E17F4A">
        <w:rPr>
          <w:lang w:eastAsia="en-AU"/>
        </w:rPr>
        <w:t>.</w:t>
      </w:r>
    </w:p>
    <w:p w:rsidR="00437FD5" w:rsidRDefault="00DE5805" w:rsidP="00B36764">
      <w:pPr>
        <w:pStyle w:val="ListNumber2"/>
        <w:numPr>
          <w:ilvl w:val="8"/>
          <w:numId w:val="12"/>
        </w:numPr>
        <w:ind w:left="1134"/>
        <w:rPr>
          <w:lang w:eastAsia="en-AU"/>
        </w:rPr>
      </w:pPr>
      <w:r w:rsidRPr="00E17F4A">
        <w:rPr>
          <w:lang w:eastAsia="en-AU"/>
        </w:rPr>
        <w:t>Water quality monitoring of the full range of contaminants (including PAHs) prior to, during and following spills, consistent with the recent findings of Krogh et al. (2013), to provide evidence that spills have negligible impacts on the downstream water resources, including the Hunter River</w:t>
      </w:r>
      <w:r w:rsidR="002C2151" w:rsidRPr="00E17F4A">
        <w:rPr>
          <w:lang w:eastAsia="en-AU"/>
        </w:rPr>
        <w:t>.</w:t>
      </w:r>
    </w:p>
    <w:p w:rsidR="00437FD5" w:rsidRDefault="00DE5805" w:rsidP="00B36764">
      <w:pPr>
        <w:pStyle w:val="ListNumber2"/>
        <w:numPr>
          <w:ilvl w:val="8"/>
          <w:numId w:val="12"/>
        </w:numPr>
        <w:ind w:left="1134"/>
        <w:rPr>
          <w:lang w:eastAsia="en-AU"/>
        </w:rPr>
      </w:pPr>
      <w:r w:rsidRPr="00E17F4A">
        <w:rPr>
          <w:lang w:eastAsia="en-AU"/>
        </w:rPr>
        <w:t>Alternative options, including redesign of dams and their storage capacity to avoid predicted bi-annual spills, or mitigate their impacts. Contingency measures should be developed to prevent the release of sediment dam water in extreme rainfall events if the water quality, particularly salt load and total suspended solids, is not suitable for release.</w:t>
      </w:r>
    </w:p>
    <w:p w:rsidR="00BD1EB2" w:rsidRPr="00E17F4A" w:rsidRDefault="00BD1EB2" w:rsidP="00BD1EB2">
      <w:pPr>
        <w:pStyle w:val="Question"/>
      </w:pPr>
      <w:r w:rsidRPr="00E17F4A">
        <w:t>Question 7:</w:t>
      </w:r>
      <w:r w:rsidRPr="00E17F4A">
        <w:rPr>
          <w:lang w:eastAsia="en-AU"/>
        </w:rPr>
        <w:t xml:space="preserve"> </w:t>
      </w:r>
      <w:r w:rsidR="004F1D1C" w:rsidRPr="00E17F4A">
        <w:rPr>
          <w:lang w:eastAsia="en-AU"/>
        </w:rPr>
        <w:t>What are the key features of a monitoring and management regime that would address any remaining key uncertainties and minimise the risks of the project to water-related assets?</w:t>
      </w:r>
    </w:p>
    <w:p w:rsidR="00BD1EB2" w:rsidRPr="00E17F4A" w:rsidRDefault="00BD1EB2" w:rsidP="00BD1EB2">
      <w:pPr>
        <w:pStyle w:val="Heading4"/>
      </w:pPr>
      <w:r w:rsidRPr="00E17F4A">
        <w:t>Response</w:t>
      </w:r>
    </w:p>
    <w:p w:rsidR="005E473D" w:rsidRPr="00E17F4A" w:rsidRDefault="005E473D" w:rsidP="005E473D">
      <w:pPr>
        <w:pStyle w:val="ListNumber"/>
        <w:ind w:left="426" w:hanging="426"/>
      </w:pPr>
      <w:bookmarkStart w:id="5" w:name="_Ref416967948"/>
      <w:r w:rsidRPr="00E17F4A">
        <w:t xml:space="preserve">Suggested expansions to surface water and groundwater monitoring spatial </w:t>
      </w:r>
      <w:r w:rsidR="00664119" w:rsidRPr="00E17F4A">
        <w:t>and temporal</w:t>
      </w:r>
      <w:r w:rsidR="00B0452E" w:rsidRPr="00E17F4A">
        <w:t xml:space="preserve"> </w:t>
      </w:r>
      <w:r w:rsidRPr="00E17F4A">
        <w:t xml:space="preserve">coverage are identified below. </w:t>
      </w:r>
      <w:r w:rsidR="00CA243E">
        <w:t>S</w:t>
      </w:r>
      <w:r w:rsidRPr="00E17F4A">
        <w:t xml:space="preserve">urface water and groundwater monitoring should be presented as part of a water </w:t>
      </w:r>
      <w:r w:rsidR="00CA243E" w:rsidRPr="00E17F4A">
        <w:t>m</w:t>
      </w:r>
      <w:r w:rsidR="00CA243E">
        <w:t>anagement</w:t>
      </w:r>
      <w:r w:rsidR="00CA243E" w:rsidRPr="00E17F4A">
        <w:t xml:space="preserve"> </w:t>
      </w:r>
      <w:r w:rsidRPr="00E17F4A">
        <w:t>plan and should be consistent with the National Water Quality Management Strategy (ANZECC and ARMCANZ, 2000). Where additional sites have been identified, monitoring should begin immediately to establish baseline conditions before mining commences.</w:t>
      </w:r>
      <w:bookmarkEnd w:id="5"/>
    </w:p>
    <w:p w:rsidR="00BD1EB2" w:rsidRPr="00E17F4A" w:rsidRDefault="00BD1EB2" w:rsidP="00BD1EB2">
      <w:pPr>
        <w:pStyle w:val="Heading4"/>
      </w:pPr>
      <w:r w:rsidRPr="00E17F4A">
        <w:t>Explanation</w:t>
      </w:r>
    </w:p>
    <w:p w:rsidR="00DD763B" w:rsidRPr="00E17F4A" w:rsidRDefault="00DD763B" w:rsidP="00AC7FBF">
      <w:pPr>
        <w:pStyle w:val="ListNumber"/>
        <w:ind w:left="426" w:hanging="426"/>
        <w:rPr>
          <w:lang w:eastAsia="en-AU"/>
        </w:rPr>
      </w:pPr>
      <w:r w:rsidRPr="00E17F4A">
        <w:rPr>
          <w:lang w:eastAsia="en-AU"/>
        </w:rPr>
        <w:t>The groundwater monitoring programme would be improved through the addition of the following:</w:t>
      </w:r>
    </w:p>
    <w:p w:rsidR="00DD763B" w:rsidRPr="00E17F4A" w:rsidRDefault="00DD763B" w:rsidP="00AC7FBF">
      <w:pPr>
        <w:pStyle w:val="ListNumber3"/>
        <w:ind w:left="709" w:hanging="283"/>
        <w:rPr>
          <w:lang w:eastAsia="en-AU"/>
        </w:rPr>
      </w:pPr>
      <w:r w:rsidRPr="00E17F4A">
        <w:rPr>
          <w:lang w:eastAsia="en-AU"/>
        </w:rPr>
        <w:t xml:space="preserve">Additional monitoring bores targeting the shallower layers between the project area and the Hunter River alluvium to identify any potential impacts from shallow saline groundwater seepage from the </w:t>
      </w:r>
      <w:r w:rsidR="00D56BD5" w:rsidRPr="00E17F4A">
        <w:rPr>
          <w:lang w:eastAsia="en-AU"/>
        </w:rPr>
        <w:t xml:space="preserve">final </w:t>
      </w:r>
      <w:r w:rsidRPr="00E17F4A">
        <w:rPr>
          <w:lang w:eastAsia="en-AU"/>
        </w:rPr>
        <w:t xml:space="preserve">void </w:t>
      </w:r>
      <w:r w:rsidR="00D56BD5" w:rsidRPr="00E17F4A">
        <w:rPr>
          <w:lang w:eastAsia="en-AU"/>
        </w:rPr>
        <w:t>lake</w:t>
      </w:r>
      <w:r w:rsidR="009653CE" w:rsidRPr="00E17F4A">
        <w:rPr>
          <w:lang w:eastAsia="en-AU"/>
        </w:rPr>
        <w:t xml:space="preserve">, the </w:t>
      </w:r>
      <w:proofErr w:type="spellStart"/>
      <w:r w:rsidR="009653CE" w:rsidRPr="00E17F4A">
        <w:rPr>
          <w:lang w:eastAsia="en-AU"/>
        </w:rPr>
        <w:t>Whynot</w:t>
      </w:r>
      <w:proofErr w:type="spellEnd"/>
      <w:r w:rsidR="009653CE" w:rsidRPr="00E17F4A">
        <w:rPr>
          <w:lang w:eastAsia="en-AU"/>
        </w:rPr>
        <w:t xml:space="preserve"> spoil area or the </w:t>
      </w:r>
      <w:proofErr w:type="spellStart"/>
      <w:r w:rsidR="009653CE" w:rsidRPr="00E17F4A">
        <w:rPr>
          <w:lang w:eastAsia="en-AU"/>
        </w:rPr>
        <w:t>Blakefield</w:t>
      </w:r>
      <w:proofErr w:type="spellEnd"/>
      <w:r w:rsidR="009653CE" w:rsidRPr="00E17F4A">
        <w:rPr>
          <w:lang w:eastAsia="en-AU"/>
        </w:rPr>
        <w:t xml:space="preserve"> spoil area</w:t>
      </w:r>
      <w:r w:rsidR="00D56BD5" w:rsidRPr="00E17F4A">
        <w:rPr>
          <w:lang w:eastAsia="en-AU"/>
        </w:rPr>
        <w:t xml:space="preserve"> </w:t>
      </w:r>
      <w:r w:rsidRPr="00E17F4A">
        <w:rPr>
          <w:lang w:eastAsia="en-AU"/>
        </w:rPr>
        <w:t xml:space="preserve">towards the Hunter River. </w:t>
      </w:r>
    </w:p>
    <w:p w:rsidR="00DD763B" w:rsidRPr="00E17F4A" w:rsidRDefault="00DD763B" w:rsidP="00AC7FBF">
      <w:pPr>
        <w:pStyle w:val="ListNumber3"/>
        <w:ind w:left="709" w:hanging="283"/>
        <w:rPr>
          <w:lang w:eastAsia="en-AU"/>
        </w:rPr>
      </w:pPr>
      <w:r w:rsidRPr="00E17F4A">
        <w:rPr>
          <w:lang w:eastAsia="en-AU"/>
        </w:rPr>
        <w:t>Additional monitoring bores in the Saddlers Creek alluvium, such as</w:t>
      </w:r>
      <w:r w:rsidR="00421A14" w:rsidRPr="00E17F4A">
        <w:rPr>
          <w:lang w:eastAsia="en-AU"/>
        </w:rPr>
        <w:t xml:space="preserve"> near</w:t>
      </w:r>
      <w:r w:rsidRPr="00E17F4A">
        <w:rPr>
          <w:lang w:eastAsia="en-AU"/>
        </w:rPr>
        <w:t xml:space="preserve"> </w:t>
      </w:r>
      <w:proofErr w:type="spellStart"/>
      <w:r w:rsidRPr="00E17F4A">
        <w:rPr>
          <w:lang w:eastAsia="en-AU"/>
        </w:rPr>
        <w:t>Bowfield</w:t>
      </w:r>
      <w:proofErr w:type="spellEnd"/>
      <w:r w:rsidRPr="00E17F4A">
        <w:rPr>
          <w:lang w:eastAsia="en-AU"/>
        </w:rPr>
        <w:t xml:space="preserve"> Well and/or </w:t>
      </w:r>
      <w:proofErr w:type="spellStart"/>
      <w:r w:rsidRPr="00E17F4A">
        <w:rPr>
          <w:lang w:eastAsia="en-AU"/>
        </w:rPr>
        <w:t>Bowfield</w:t>
      </w:r>
      <w:proofErr w:type="spellEnd"/>
      <w:r w:rsidRPr="00E17F4A">
        <w:rPr>
          <w:lang w:eastAsia="en-AU"/>
        </w:rPr>
        <w:t xml:space="preserve"> House Well</w:t>
      </w:r>
      <w:r w:rsidR="005E473D" w:rsidRPr="00E17F4A">
        <w:rPr>
          <w:lang w:eastAsia="en-AU"/>
        </w:rPr>
        <w:t>,</w:t>
      </w:r>
      <w:r w:rsidRPr="00E17F4A">
        <w:rPr>
          <w:lang w:eastAsia="en-AU"/>
        </w:rPr>
        <w:t xml:space="preserve"> to identify the extent and magnitude of potential groundwater drawdown impacts, </w:t>
      </w:r>
      <w:r w:rsidR="0065354D" w:rsidRPr="00E17F4A">
        <w:rPr>
          <w:lang w:eastAsia="en-AU"/>
        </w:rPr>
        <w:t>improve estimates of</w:t>
      </w:r>
      <w:r w:rsidRPr="00E17F4A">
        <w:rPr>
          <w:lang w:eastAsia="en-AU"/>
        </w:rPr>
        <w:t xml:space="preserve"> mine take from alluvium and monitor any water quality impacts from potential seepages from the </w:t>
      </w:r>
      <w:proofErr w:type="spellStart"/>
      <w:r w:rsidRPr="00E17F4A">
        <w:rPr>
          <w:lang w:eastAsia="en-AU"/>
        </w:rPr>
        <w:t>Blakefield</w:t>
      </w:r>
      <w:proofErr w:type="spellEnd"/>
      <w:r w:rsidRPr="00E17F4A">
        <w:rPr>
          <w:lang w:eastAsia="en-AU"/>
        </w:rPr>
        <w:t xml:space="preserve"> mining area. </w:t>
      </w:r>
    </w:p>
    <w:p w:rsidR="005E473D" w:rsidRPr="00E17F4A" w:rsidRDefault="005E473D" w:rsidP="00AC7FBF">
      <w:pPr>
        <w:pStyle w:val="ListNumber3"/>
        <w:ind w:left="709" w:hanging="283"/>
        <w:rPr>
          <w:lang w:eastAsia="en-AU"/>
        </w:rPr>
      </w:pPr>
      <w:r w:rsidRPr="00E17F4A">
        <w:rPr>
          <w:lang w:eastAsia="en-AU"/>
        </w:rPr>
        <w:t>I</w:t>
      </w:r>
      <w:r w:rsidR="00DD763B" w:rsidRPr="00E17F4A">
        <w:rPr>
          <w:lang w:eastAsia="en-AU"/>
        </w:rPr>
        <w:t xml:space="preserve">nstallation of monitoring bores </w:t>
      </w:r>
      <w:r w:rsidRPr="00E17F4A">
        <w:rPr>
          <w:lang w:eastAsia="en-AU"/>
        </w:rPr>
        <w:t xml:space="preserve">near the tailings and rejects emplacements at Drayton Mine </w:t>
      </w:r>
      <w:r w:rsidR="00DD763B" w:rsidRPr="00E17F4A">
        <w:rPr>
          <w:lang w:eastAsia="en-AU"/>
        </w:rPr>
        <w:t>capable of detecting the movement of seepage water away from the emplacement areas.</w:t>
      </w:r>
      <w:r w:rsidRPr="00E17F4A">
        <w:rPr>
          <w:lang w:eastAsia="en-AU"/>
        </w:rPr>
        <w:t xml:space="preserve"> </w:t>
      </w:r>
    </w:p>
    <w:p w:rsidR="00DD763B" w:rsidRPr="00E17F4A" w:rsidRDefault="005E473D" w:rsidP="00AC7FBF">
      <w:pPr>
        <w:pStyle w:val="ListNumber3"/>
        <w:ind w:left="709" w:hanging="283"/>
        <w:rPr>
          <w:lang w:eastAsia="en-AU"/>
        </w:rPr>
      </w:pPr>
      <w:r w:rsidRPr="00E17F4A">
        <w:rPr>
          <w:lang w:eastAsia="en-AU"/>
        </w:rPr>
        <w:t xml:space="preserve">Established </w:t>
      </w:r>
      <w:r w:rsidR="00421A14" w:rsidRPr="00E17F4A">
        <w:rPr>
          <w:lang w:eastAsia="en-AU"/>
        </w:rPr>
        <w:t xml:space="preserve">identification and </w:t>
      </w:r>
      <w:r w:rsidRPr="00E17F4A">
        <w:rPr>
          <w:lang w:eastAsia="en-AU"/>
        </w:rPr>
        <w:t>monitoring regimes for GDEs, in particular along Saddlers Creek</w:t>
      </w:r>
      <w:r w:rsidR="004D6C13">
        <w:rPr>
          <w:lang w:eastAsia="en-AU"/>
        </w:rPr>
        <w:t>,</w:t>
      </w:r>
      <w:r w:rsidR="00CA243E">
        <w:rPr>
          <w:lang w:eastAsia="en-AU"/>
        </w:rPr>
        <w:t xml:space="preserve"> </w:t>
      </w:r>
      <w:r w:rsidR="00D57BF9">
        <w:rPr>
          <w:lang w:eastAsia="en-AU"/>
        </w:rPr>
        <w:t>as per</w:t>
      </w:r>
      <w:r w:rsidR="00D36944">
        <w:rPr>
          <w:lang w:eastAsia="en-AU"/>
        </w:rPr>
        <w:t xml:space="preserve"> techniques outlined in Richardson et al. (2011)</w:t>
      </w:r>
      <w:r w:rsidRPr="00E17F4A">
        <w:rPr>
          <w:lang w:eastAsia="en-AU"/>
        </w:rPr>
        <w:t xml:space="preserve">. </w:t>
      </w:r>
      <w:r w:rsidR="00664119" w:rsidRPr="00E17F4A">
        <w:rPr>
          <w:lang w:eastAsia="en-AU"/>
        </w:rPr>
        <w:t xml:space="preserve">Identification, </w:t>
      </w:r>
      <w:r w:rsidR="00CA243E">
        <w:rPr>
          <w:lang w:eastAsia="en-AU"/>
        </w:rPr>
        <w:t>finer-scale</w:t>
      </w:r>
      <w:r w:rsidR="00CA243E" w:rsidRPr="00E17F4A">
        <w:rPr>
          <w:lang w:eastAsia="en-AU"/>
        </w:rPr>
        <w:t xml:space="preserve"> </w:t>
      </w:r>
      <w:r w:rsidRPr="00E17F4A">
        <w:rPr>
          <w:lang w:eastAsia="en-AU"/>
        </w:rPr>
        <w:t>mapping and ongoing monitoring of</w:t>
      </w:r>
      <w:r w:rsidR="00A465B3" w:rsidRPr="00E17F4A">
        <w:rPr>
          <w:lang w:eastAsia="en-AU"/>
        </w:rPr>
        <w:t xml:space="preserve"> potential</w:t>
      </w:r>
      <w:r w:rsidRPr="00E17F4A">
        <w:rPr>
          <w:lang w:eastAsia="en-AU"/>
        </w:rPr>
        <w:t xml:space="preserve"> GDEs that occur outside of the project boundary</w:t>
      </w:r>
      <w:r w:rsidR="00660746" w:rsidRPr="00E17F4A">
        <w:rPr>
          <w:lang w:eastAsia="en-AU"/>
        </w:rPr>
        <w:t xml:space="preserve"> and </w:t>
      </w:r>
      <w:r w:rsidRPr="00E17F4A">
        <w:rPr>
          <w:lang w:eastAsia="en-AU"/>
        </w:rPr>
        <w:t>may be i</w:t>
      </w:r>
      <w:r w:rsidR="00660746" w:rsidRPr="00E17F4A">
        <w:rPr>
          <w:lang w:eastAsia="en-AU"/>
        </w:rPr>
        <w:t>mpacted by the proposed project</w:t>
      </w:r>
      <w:r w:rsidRPr="00E17F4A">
        <w:rPr>
          <w:lang w:eastAsia="en-AU"/>
        </w:rPr>
        <w:t xml:space="preserve"> </w:t>
      </w:r>
      <w:proofErr w:type="gramStart"/>
      <w:r w:rsidRPr="00E17F4A">
        <w:rPr>
          <w:lang w:eastAsia="en-AU"/>
        </w:rPr>
        <w:t>is</w:t>
      </w:r>
      <w:proofErr w:type="gramEnd"/>
      <w:r w:rsidRPr="00E17F4A">
        <w:rPr>
          <w:lang w:eastAsia="en-AU"/>
        </w:rPr>
        <w:t xml:space="preserve"> also needed to determine the extent of the potential impacts of the proposed project.</w:t>
      </w:r>
    </w:p>
    <w:p w:rsidR="00DD763B" w:rsidRPr="00E17F4A" w:rsidRDefault="00DD763B" w:rsidP="00AC7FBF">
      <w:pPr>
        <w:pStyle w:val="ListNumber"/>
        <w:ind w:left="426" w:hanging="426"/>
        <w:rPr>
          <w:lang w:eastAsia="en-AU"/>
        </w:rPr>
      </w:pPr>
      <w:r w:rsidRPr="00E17F4A">
        <w:rPr>
          <w:lang w:eastAsia="en-AU"/>
        </w:rPr>
        <w:t>The surface water monitoring programme would be improved through the addition of the following:</w:t>
      </w:r>
    </w:p>
    <w:p w:rsidR="00DD763B" w:rsidRPr="00E17F4A" w:rsidRDefault="00DD763B" w:rsidP="00AC7FBF">
      <w:pPr>
        <w:pStyle w:val="ListNumber3"/>
        <w:ind w:left="709" w:hanging="283"/>
        <w:rPr>
          <w:lang w:eastAsia="en-AU"/>
        </w:rPr>
      </w:pPr>
      <w:r w:rsidRPr="00E17F4A">
        <w:rPr>
          <w:lang w:eastAsia="en-AU"/>
        </w:rPr>
        <w:t>Continuous monitoring of flow to establish the flow regime in Saddlers Creek and monitor any changes to flow resulting from the proposed project.</w:t>
      </w:r>
    </w:p>
    <w:p w:rsidR="00DD763B" w:rsidRPr="00E17F4A" w:rsidRDefault="00DD763B" w:rsidP="00AC7FBF">
      <w:pPr>
        <w:pStyle w:val="ListNumber3"/>
        <w:ind w:left="709" w:hanging="283"/>
        <w:rPr>
          <w:lang w:eastAsia="en-AU"/>
        </w:rPr>
      </w:pPr>
      <w:r w:rsidRPr="00E17F4A">
        <w:rPr>
          <w:lang w:eastAsia="en-AU"/>
        </w:rPr>
        <w:t>Event-based water quality monitoring and continuous monitoring of electrical conductivity (EC) in Saddlers Creek to provide context for water quality measurements.</w:t>
      </w:r>
    </w:p>
    <w:p w:rsidR="0059723A" w:rsidRPr="00E17F4A" w:rsidRDefault="00664119" w:rsidP="0059723A">
      <w:pPr>
        <w:pStyle w:val="ListNumber3"/>
        <w:ind w:left="709" w:hanging="283"/>
        <w:rPr>
          <w:lang w:eastAsia="en-AU"/>
        </w:rPr>
      </w:pPr>
      <w:r w:rsidRPr="00E17F4A">
        <w:rPr>
          <w:lang w:eastAsia="en-AU"/>
        </w:rPr>
        <w:t xml:space="preserve">Water quality monitoring in Saddlers Creek at locations W1102 (Drayton Mine) and W1 (upstream of confluence with Hunter River) to distinguish impacts from the current proposal from other mining impacts. </w:t>
      </w:r>
    </w:p>
    <w:p w:rsidR="00DD763B" w:rsidRPr="00E17F4A" w:rsidRDefault="00437FD5" w:rsidP="00AC7FBF">
      <w:pPr>
        <w:pStyle w:val="ListNumber3"/>
        <w:ind w:left="709" w:hanging="283"/>
        <w:rPr>
          <w:lang w:eastAsia="en-AU"/>
        </w:rPr>
      </w:pPr>
      <w:r>
        <w:rPr>
          <w:lang w:eastAsia="en-AU"/>
        </w:rPr>
        <w:t>I</w:t>
      </w:r>
      <w:r w:rsidR="00D36944">
        <w:rPr>
          <w:lang w:eastAsia="en-AU"/>
        </w:rPr>
        <w:t>nclusion</w:t>
      </w:r>
      <w:r w:rsidR="00D36944" w:rsidRPr="00E17F4A">
        <w:rPr>
          <w:lang w:eastAsia="en-AU"/>
        </w:rPr>
        <w:t xml:space="preserve"> </w:t>
      </w:r>
      <w:r w:rsidR="00DD763B" w:rsidRPr="00E17F4A">
        <w:rPr>
          <w:lang w:eastAsia="en-AU"/>
        </w:rPr>
        <w:t>of selenium</w:t>
      </w:r>
      <w:r w:rsidR="00D36944">
        <w:rPr>
          <w:lang w:eastAsia="en-AU"/>
        </w:rPr>
        <w:t xml:space="preserve">, </w:t>
      </w:r>
      <w:r w:rsidR="00DD763B" w:rsidRPr="00E17F4A">
        <w:rPr>
          <w:lang w:eastAsia="en-AU"/>
        </w:rPr>
        <w:t xml:space="preserve">molybdenum </w:t>
      </w:r>
      <w:r w:rsidR="00D36944">
        <w:rPr>
          <w:lang w:eastAsia="en-AU"/>
        </w:rPr>
        <w:t xml:space="preserve">and PAHs </w:t>
      </w:r>
      <w:r w:rsidR="00DD763B" w:rsidRPr="00E17F4A">
        <w:rPr>
          <w:lang w:eastAsia="en-AU"/>
        </w:rPr>
        <w:t xml:space="preserve">to the suite of </w:t>
      </w:r>
      <w:r w:rsidR="00D36944">
        <w:rPr>
          <w:lang w:eastAsia="en-AU"/>
        </w:rPr>
        <w:t>parameters</w:t>
      </w:r>
      <w:r w:rsidR="00DD763B" w:rsidRPr="00E17F4A">
        <w:rPr>
          <w:lang w:eastAsia="en-AU"/>
        </w:rPr>
        <w:t xml:space="preserve"> tested on a regular basis in Saddlers Creek to determine whether runoff from overburden emplacement areas presents any risk to water resources or water-related assets.</w:t>
      </w:r>
    </w:p>
    <w:p w:rsidR="00DD763B" w:rsidRPr="00E17F4A" w:rsidRDefault="00DD763B" w:rsidP="00AC7FBF">
      <w:pPr>
        <w:pStyle w:val="ListNumber3"/>
        <w:ind w:left="709" w:hanging="283"/>
        <w:rPr>
          <w:lang w:eastAsia="en-AU"/>
        </w:rPr>
      </w:pPr>
      <w:r w:rsidRPr="00E17F4A">
        <w:rPr>
          <w:lang w:eastAsia="en-AU"/>
        </w:rPr>
        <w:t xml:space="preserve">Validation of </w:t>
      </w:r>
      <w:r w:rsidR="00246DCB" w:rsidRPr="00E17F4A">
        <w:rPr>
          <w:lang w:eastAsia="en-AU"/>
        </w:rPr>
        <w:t xml:space="preserve">the </w:t>
      </w:r>
      <w:r w:rsidRPr="00E17F4A">
        <w:rPr>
          <w:lang w:eastAsia="en-AU"/>
        </w:rPr>
        <w:t>surface water quality data set and determination of appropriate local water quality objectives and trigger values.</w:t>
      </w:r>
    </w:p>
    <w:p w:rsidR="00BD1EB2" w:rsidRPr="00E17F4A" w:rsidRDefault="00DD763B" w:rsidP="00AC7FBF">
      <w:pPr>
        <w:pStyle w:val="ListNumber3"/>
        <w:ind w:left="709" w:hanging="283"/>
        <w:rPr>
          <w:lang w:eastAsia="en-AU"/>
        </w:rPr>
      </w:pPr>
      <w:r w:rsidRPr="00E17F4A">
        <w:rPr>
          <w:lang w:eastAsia="en-AU"/>
        </w:rPr>
        <w:t>Water quality monitoring in Ramrod Creek to assess any additional impacts from disposing tailings and coal reject materials from the proposed project.</w:t>
      </w:r>
    </w:p>
    <w:p w:rsidR="00BD1EB2" w:rsidRPr="00E17F4A" w:rsidRDefault="00637609" w:rsidP="00AC7FBF">
      <w:pPr>
        <w:pStyle w:val="ListNumber3"/>
        <w:numPr>
          <w:ilvl w:val="0"/>
          <w:numId w:val="0"/>
        </w:numPr>
        <w:rPr>
          <w:i/>
          <w:lang w:eastAsia="en-AU"/>
        </w:rPr>
      </w:pPr>
      <w:r w:rsidRPr="00E17F4A">
        <w:rPr>
          <w:i/>
          <w:lang w:eastAsia="en-AU"/>
        </w:rPr>
        <w:t>Other matters</w:t>
      </w:r>
    </w:p>
    <w:p w:rsidR="007203C3" w:rsidRPr="00E17F4A" w:rsidRDefault="007203C3" w:rsidP="002C3257">
      <w:pPr>
        <w:pStyle w:val="ListNumber"/>
        <w:ind w:left="426" w:hanging="426"/>
        <w:rPr>
          <w:lang w:eastAsia="en-AU"/>
        </w:rPr>
      </w:pPr>
      <w:r w:rsidRPr="00E17F4A">
        <w:rPr>
          <w:lang w:eastAsia="en-AU"/>
        </w:rPr>
        <w:t xml:space="preserve">The </w:t>
      </w:r>
      <w:r w:rsidR="003E1181" w:rsidRPr="00E17F4A">
        <w:rPr>
          <w:lang w:eastAsia="en-AU"/>
        </w:rPr>
        <w:t>Northern Sydney Basin bioregion</w:t>
      </w:r>
      <w:r w:rsidRPr="00E17F4A">
        <w:rPr>
          <w:lang w:eastAsia="en-AU"/>
        </w:rPr>
        <w:t xml:space="preserve">, which includes the </w:t>
      </w:r>
      <w:r w:rsidR="003E1181" w:rsidRPr="00E17F4A">
        <w:rPr>
          <w:lang w:eastAsia="en-AU"/>
        </w:rPr>
        <w:t>Hunter</w:t>
      </w:r>
      <w:r w:rsidR="002C3257" w:rsidRPr="00E17F4A">
        <w:rPr>
          <w:lang w:eastAsia="en-AU"/>
        </w:rPr>
        <w:t xml:space="preserve"> </w:t>
      </w:r>
      <w:r w:rsidRPr="00E17F4A">
        <w:rPr>
          <w:lang w:eastAsia="en-AU"/>
        </w:rPr>
        <w:t>subregion</w:t>
      </w:r>
      <w:r w:rsidR="002C3257" w:rsidRPr="00E17F4A">
        <w:rPr>
          <w:lang w:eastAsia="en-AU"/>
        </w:rPr>
        <w:t>,</w:t>
      </w:r>
      <w:r w:rsidRPr="00E17F4A">
        <w:rPr>
          <w:lang w:eastAsia="en-AU"/>
        </w:rPr>
        <w:t xml:space="preserve"> has been identified as a Bioregional Assessment priority region. </w:t>
      </w:r>
      <w:r w:rsidR="002C3257" w:rsidRPr="00E17F4A">
        <w:rPr>
          <w:lang w:eastAsia="en-AU"/>
        </w:rPr>
        <w:t>Data and relevant information from the proposed project should be made accessible to this Bioregional Assessment and related research projects.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E17F4A" w:rsidTr="00B1520C">
        <w:trPr>
          <w:trHeight w:val="19"/>
        </w:trPr>
        <w:tc>
          <w:tcPr>
            <w:tcW w:w="1809" w:type="dxa"/>
            <w:tcBorders>
              <w:top w:val="single" w:sz="4" w:space="0" w:color="auto"/>
              <w:bottom w:val="single" w:sz="4" w:space="0" w:color="auto"/>
            </w:tcBorders>
          </w:tcPr>
          <w:p w:rsidR="007203C3" w:rsidRPr="00E17F4A" w:rsidRDefault="007203C3" w:rsidP="00D622B9">
            <w:pPr>
              <w:pStyle w:val="Heading6"/>
            </w:pPr>
            <w:r w:rsidRPr="00E17F4A">
              <w:t>Date of advice</w:t>
            </w:r>
          </w:p>
        </w:tc>
        <w:tc>
          <w:tcPr>
            <w:tcW w:w="8159" w:type="dxa"/>
            <w:tcBorders>
              <w:top w:val="single" w:sz="4" w:space="0" w:color="auto"/>
              <w:bottom w:val="single" w:sz="4" w:space="0" w:color="auto"/>
            </w:tcBorders>
          </w:tcPr>
          <w:p w:rsidR="007203C3" w:rsidRPr="00E17F4A" w:rsidRDefault="00A07DA7" w:rsidP="00C6495C">
            <w:pPr>
              <w:pStyle w:val="Tabletext"/>
            </w:pPr>
            <w:r>
              <w:t>24</w:t>
            </w:r>
            <w:r w:rsidR="007203C3" w:rsidRPr="00E17F4A">
              <w:rPr>
                <w:color w:val="FF0000"/>
              </w:rPr>
              <w:t xml:space="preserve"> </w:t>
            </w:r>
            <w:r w:rsidR="00C6495C" w:rsidRPr="00E17F4A">
              <w:t>July</w:t>
            </w:r>
            <w:r w:rsidR="007203C3" w:rsidRPr="00E17F4A">
              <w:t xml:space="preserve"> 201</w:t>
            </w:r>
            <w:r w:rsidR="00C6495C" w:rsidRPr="00E17F4A">
              <w:t>5</w:t>
            </w:r>
            <w:r w:rsidR="003E2135" w:rsidRPr="00E17F4A">
              <w:t xml:space="preserve"> </w:t>
            </w:r>
          </w:p>
        </w:tc>
      </w:tr>
      <w:tr w:rsidR="007203C3" w:rsidRPr="00E17F4A" w:rsidTr="00534304">
        <w:trPr>
          <w:trHeight w:val="4692"/>
        </w:trPr>
        <w:tc>
          <w:tcPr>
            <w:tcW w:w="1809" w:type="dxa"/>
            <w:tcBorders>
              <w:top w:val="single" w:sz="4" w:space="0" w:color="auto"/>
              <w:bottom w:val="single" w:sz="4" w:space="0" w:color="auto"/>
            </w:tcBorders>
          </w:tcPr>
          <w:p w:rsidR="007203C3" w:rsidRPr="00E17F4A" w:rsidRDefault="007203C3" w:rsidP="00D622B9">
            <w:pPr>
              <w:pStyle w:val="Heading6"/>
            </w:pPr>
            <w:r w:rsidRPr="00E17F4A">
              <w:t xml:space="preserve">Source documentation available to the </w:t>
            </w:r>
            <w:r w:rsidR="00A83DF5" w:rsidRPr="00E17F4A">
              <w:t>IESC</w:t>
            </w:r>
            <w:r w:rsidRPr="00E17F4A">
              <w:t xml:space="preserve"> in the formulation of this advice</w:t>
            </w:r>
          </w:p>
        </w:tc>
        <w:tc>
          <w:tcPr>
            <w:tcW w:w="8159" w:type="dxa"/>
            <w:tcBorders>
              <w:top w:val="single" w:sz="4" w:space="0" w:color="auto"/>
              <w:bottom w:val="single" w:sz="4" w:space="0" w:color="auto"/>
            </w:tcBorders>
          </w:tcPr>
          <w:p w:rsidR="00501C8D" w:rsidRPr="00E17F4A" w:rsidRDefault="00501C8D" w:rsidP="00501C8D">
            <w:pPr>
              <w:pStyle w:val="ListBullet5"/>
              <w:rPr>
                <w:color w:val="000000" w:themeColor="text1"/>
              </w:rPr>
            </w:pPr>
            <w:r w:rsidRPr="00E17F4A">
              <w:rPr>
                <w:color w:val="000000" w:themeColor="text1"/>
              </w:rPr>
              <w:t>AGE 2012. Report on Drayton South Coal Project, Groundwater Impact Assessment. Project No. G1544 October 2012.</w:t>
            </w:r>
          </w:p>
          <w:p w:rsidR="00C6495C" w:rsidRPr="00E17F4A" w:rsidRDefault="00C6495C" w:rsidP="00C6495C">
            <w:pPr>
              <w:pStyle w:val="ListBullet5"/>
              <w:rPr>
                <w:color w:val="000000" w:themeColor="text1"/>
              </w:rPr>
            </w:pPr>
            <w:r w:rsidRPr="00E17F4A">
              <w:rPr>
                <w:color w:val="000000" w:themeColor="text1"/>
              </w:rPr>
              <w:t>Hansen Bailey 2015. Drayton South Coal Project. Environmental Impact Assessment for Anglo American Coal May 2015.</w:t>
            </w:r>
          </w:p>
          <w:p w:rsidR="0061572D" w:rsidRPr="00E17F4A" w:rsidRDefault="0061572D" w:rsidP="0061572D">
            <w:pPr>
              <w:pStyle w:val="ListBullet5"/>
              <w:rPr>
                <w:color w:val="000000" w:themeColor="text1"/>
              </w:rPr>
            </w:pPr>
            <w:r w:rsidRPr="00E17F4A">
              <w:rPr>
                <w:color w:val="000000" w:themeColor="text1"/>
              </w:rPr>
              <w:t>Hansen Bailey 2015. Drayton South Coal Project. Gateway Certificate Application for Anglo American Coal January 2015.</w:t>
            </w:r>
          </w:p>
          <w:p w:rsidR="00501C8D" w:rsidRPr="00E17F4A" w:rsidRDefault="00326C5B" w:rsidP="0061572D">
            <w:pPr>
              <w:pStyle w:val="ListBullet5"/>
              <w:rPr>
                <w:color w:val="000000" w:themeColor="text1"/>
              </w:rPr>
            </w:pPr>
            <w:r w:rsidRPr="00E17F4A">
              <w:rPr>
                <w:color w:val="000000" w:themeColor="text1"/>
              </w:rPr>
              <w:t>IESC 2012-010</w:t>
            </w:r>
            <w:r w:rsidR="00501C8D" w:rsidRPr="00E17F4A">
              <w:rPr>
                <w:color w:val="000000" w:themeColor="text1"/>
              </w:rPr>
              <w:t>.</w:t>
            </w:r>
            <w:r w:rsidRPr="00E17F4A">
              <w:rPr>
                <w:color w:val="000000" w:themeColor="text1"/>
              </w:rPr>
              <w:t xml:space="preserve"> Advice on Drayton South Coal Mine available at: </w:t>
            </w:r>
            <w:hyperlink r:id="rId8" w:history="1">
              <w:r w:rsidRPr="00E17F4A">
                <w:rPr>
                  <w:rStyle w:val="Hyperlink"/>
                </w:rPr>
                <w:t>http://iesc.environment.gov.au/committee-advice/proposals/drayton-south-coal-mine-project-advice</w:t>
              </w:r>
            </w:hyperlink>
          </w:p>
          <w:p w:rsidR="00501C8D" w:rsidRPr="00E17F4A" w:rsidRDefault="00501C8D" w:rsidP="0061572D">
            <w:pPr>
              <w:pStyle w:val="ListBullet5"/>
              <w:rPr>
                <w:color w:val="000000" w:themeColor="text1"/>
              </w:rPr>
            </w:pPr>
            <w:r w:rsidRPr="00E17F4A">
              <w:rPr>
                <w:color w:val="000000" w:themeColor="text1"/>
              </w:rPr>
              <w:t>IESC 2015</w:t>
            </w:r>
            <w:r w:rsidR="00326C5B" w:rsidRPr="00E17F4A">
              <w:rPr>
                <w:color w:val="000000" w:themeColor="text1"/>
              </w:rPr>
              <w:t>-064</w:t>
            </w:r>
            <w:r w:rsidRPr="00E17F4A">
              <w:rPr>
                <w:color w:val="000000" w:themeColor="text1"/>
              </w:rPr>
              <w:t xml:space="preserve">. </w:t>
            </w:r>
            <w:r w:rsidR="00326C5B" w:rsidRPr="00E17F4A">
              <w:rPr>
                <w:color w:val="000000" w:themeColor="text1"/>
              </w:rPr>
              <w:t>Advice on Drayton South Coal Expansion Project – GA 6914 available at:</w:t>
            </w:r>
            <w:r w:rsidR="00326C5B" w:rsidRPr="00E17F4A">
              <w:t xml:space="preserve"> </w:t>
            </w:r>
            <w:hyperlink r:id="rId9" w:history="1">
              <w:r w:rsidR="00326C5B" w:rsidRPr="00E17F4A">
                <w:rPr>
                  <w:rStyle w:val="Hyperlink"/>
                </w:rPr>
                <w:t>http://iesc.environment.gov.au/committee-advice/proposals/drayton-south-coal-project-advice</w:t>
              </w:r>
            </w:hyperlink>
          </w:p>
          <w:p w:rsidR="007203C3" w:rsidRPr="00E17F4A" w:rsidRDefault="00E81084" w:rsidP="0061572D">
            <w:pPr>
              <w:pStyle w:val="ListBullet5"/>
              <w:rPr>
                <w:color w:val="000000" w:themeColor="text1"/>
              </w:rPr>
            </w:pPr>
            <w:r w:rsidRPr="00E17F4A">
              <w:rPr>
                <w:color w:val="000000" w:themeColor="text1"/>
              </w:rPr>
              <w:t>WRM 2012. Surface Water Impact Assessment, Drayton South Coal Project.</w:t>
            </w:r>
            <w:r w:rsidR="0061572D" w:rsidRPr="00E17F4A">
              <w:rPr>
                <w:color w:val="000000" w:themeColor="text1"/>
              </w:rPr>
              <w:t xml:space="preserve"> October 2012.</w:t>
            </w:r>
          </w:p>
        </w:tc>
      </w:tr>
      <w:tr w:rsidR="007203C3" w:rsidRPr="00304CA9" w:rsidTr="00B1520C">
        <w:trPr>
          <w:trHeight w:val="19"/>
        </w:trPr>
        <w:tc>
          <w:tcPr>
            <w:tcW w:w="1809" w:type="dxa"/>
            <w:tcBorders>
              <w:top w:val="single" w:sz="4" w:space="0" w:color="auto"/>
              <w:bottom w:val="single" w:sz="4" w:space="0" w:color="auto"/>
            </w:tcBorders>
          </w:tcPr>
          <w:p w:rsidR="007203C3" w:rsidRPr="00E17F4A" w:rsidRDefault="007203C3" w:rsidP="00D622B9">
            <w:pPr>
              <w:pStyle w:val="Heading6"/>
            </w:pPr>
            <w:r w:rsidRPr="00E17F4A">
              <w:t xml:space="preserve">References cited within the </w:t>
            </w:r>
            <w:r w:rsidR="00A83DF5" w:rsidRPr="00E17F4A">
              <w:t>IESC</w:t>
            </w:r>
            <w:r w:rsidRPr="00E17F4A">
              <w:t>’s advice</w:t>
            </w:r>
          </w:p>
        </w:tc>
        <w:tc>
          <w:tcPr>
            <w:tcW w:w="8159" w:type="dxa"/>
            <w:tcBorders>
              <w:top w:val="single" w:sz="4" w:space="0" w:color="auto"/>
              <w:bottom w:val="single" w:sz="4" w:space="0" w:color="auto"/>
            </w:tcBorders>
          </w:tcPr>
          <w:p w:rsidR="000364D3" w:rsidRPr="00E17F4A" w:rsidRDefault="000364D3" w:rsidP="00501C8D">
            <w:pPr>
              <w:pStyle w:val="Tabletext"/>
              <w:spacing w:line="240" w:lineRule="auto"/>
              <w:ind w:left="34"/>
              <w:rPr>
                <w:noProof/>
              </w:rPr>
            </w:pPr>
            <w:r w:rsidRPr="00E17F4A">
              <w:t>ANZECC and ARMCANZ 2000.</w:t>
            </w:r>
            <w:r w:rsidRPr="00E17F4A">
              <w:rPr>
                <w:rFonts w:ascii="TimesNewRoman" w:eastAsia="Calibri" w:hAnsi="TimesNewRoman" w:cs="TimesNewRoman"/>
                <w:lang w:eastAsia="en-AU"/>
              </w:rPr>
              <w:t xml:space="preserve"> </w:t>
            </w:r>
            <w:r w:rsidRPr="00E17F4A">
              <w:rPr>
                <w:i/>
                <w:noProof/>
              </w:rPr>
              <w:t xml:space="preserve">Australian guidelines for water quality monitoring and reporting </w:t>
            </w:r>
            <w:r w:rsidRPr="00E17F4A">
              <w:rPr>
                <w:noProof/>
              </w:rPr>
              <w:t>[Online]. Available:</w:t>
            </w:r>
            <w:r w:rsidRPr="00E17F4A">
              <w:t xml:space="preserve"> </w:t>
            </w:r>
            <w:hyperlink r:id="rId10" w:history="1">
              <w:r w:rsidRPr="00E17F4A">
                <w:rPr>
                  <w:rStyle w:val="Hyperlink"/>
                  <w:noProof/>
                </w:rPr>
                <w:t>http://www.environment.gov.au/system/files/resources/0b71dfb9-8fea-44c7-a908-826118d403c8/files/nwqms-monitoring-reporting.pdf</w:t>
              </w:r>
            </w:hyperlink>
          </w:p>
          <w:p w:rsidR="000364D3" w:rsidRPr="00E17F4A" w:rsidRDefault="000364D3" w:rsidP="00501C8D">
            <w:pPr>
              <w:pStyle w:val="Tabletext"/>
              <w:spacing w:line="240" w:lineRule="auto"/>
              <w:ind w:left="34"/>
            </w:pPr>
          </w:p>
          <w:p w:rsidR="00432235" w:rsidRPr="00E17F4A" w:rsidRDefault="00432235" w:rsidP="00501C8D">
            <w:pPr>
              <w:pStyle w:val="Tabletext"/>
              <w:spacing w:line="240" w:lineRule="auto"/>
              <w:ind w:left="34"/>
            </w:pPr>
            <w:r w:rsidRPr="00E17F4A">
              <w:t xml:space="preserve">Barnett et al, 2012. </w:t>
            </w:r>
            <w:r w:rsidR="00664119" w:rsidRPr="00E17F4A">
              <w:rPr>
                <w:i/>
              </w:rPr>
              <w:t>Australian groundwater modelling guidelines</w:t>
            </w:r>
            <w:r w:rsidR="00CA0682" w:rsidRPr="00E17F4A">
              <w:t xml:space="preserve">, Waterlines report, National Water Commission, Canberra. </w:t>
            </w:r>
          </w:p>
          <w:p w:rsidR="00432235" w:rsidRPr="00E17F4A" w:rsidRDefault="00432235" w:rsidP="00501C8D">
            <w:pPr>
              <w:pStyle w:val="Tabletext"/>
              <w:spacing w:line="240" w:lineRule="auto"/>
              <w:ind w:left="34"/>
            </w:pPr>
          </w:p>
          <w:p w:rsidR="00EC37F0" w:rsidRPr="00E17F4A" w:rsidRDefault="00EF78DD" w:rsidP="00501C8D">
            <w:pPr>
              <w:pStyle w:val="Tabletext"/>
              <w:spacing w:line="240" w:lineRule="auto"/>
              <w:ind w:left="34"/>
              <w:rPr>
                <w:noProof/>
              </w:rPr>
            </w:pPr>
            <w:r w:rsidRPr="00E17F4A">
              <w:fldChar w:fldCharType="begin"/>
            </w:r>
            <w:r w:rsidR="00F657D7" w:rsidRPr="00E17F4A">
              <w:instrText xml:space="preserve"> ADDIN EN.REFLIST </w:instrText>
            </w:r>
            <w:r w:rsidRPr="00E17F4A">
              <w:fldChar w:fldCharType="separate"/>
            </w:r>
            <w:bookmarkStart w:id="6" w:name="_ENREF_1"/>
            <w:r w:rsidR="000364D3" w:rsidRPr="00E17F4A">
              <w:rPr>
                <w:noProof/>
              </w:rPr>
              <w:t>IESC</w:t>
            </w:r>
            <w:r w:rsidR="00EC37F0" w:rsidRPr="00E17F4A">
              <w:rPr>
                <w:noProof/>
              </w:rPr>
              <w:t xml:space="preserve"> 2014. </w:t>
            </w:r>
            <w:r w:rsidR="00EC37F0" w:rsidRPr="00E17F4A">
              <w:rPr>
                <w:i/>
                <w:noProof/>
              </w:rPr>
              <w:t xml:space="preserve">Information Guidelines for Independent Expert Scientific Committee advice on coal seam gas and large coal mining development proposals </w:t>
            </w:r>
            <w:r w:rsidR="00EC37F0" w:rsidRPr="00E17F4A">
              <w:rPr>
                <w:noProof/>
              </w:rPr>
              <w:t>[Online]. Available:</w:t>
            </w:r>
            <w:r w:rsidR="00CA1BF6">
              <w:rPr>
                <w:noProof/>
              </w:rPr>
              <w:t xml:space="preserve"> </w:t>
            </w:r>
            <w:hyperlink r:id="rId11" w:history="1">
              <w:r w:rsidR="00EC37F0" w:rsidRPr="00E17F4A">
                <w:rPr>
                  <w:rStyle w:val="Hyperlink"/>
                  <w:noProof/>
                </w:rPr>
                <w:t>http://iesc.environment.gov.au/pubs/iesc-information-guidelines.pdf</w:t>
              </w:r>
            </w:hyperlink>
            <w:r w:rsidR="00EC37F0" w:rsidRPr="00E17F4A">
              <w:rPr>
                <w:noProof/>
              </w:rPr>
              <w:t>.</w:t>
            </w:r>
            <w:bookmarkEnd w:id="6"/>
          </w:p>
          <w:p w:rsidR="00EC37F0" w:rsidRPr="00E17F4A" w:rsidRDefault="00EC37F0" w:rsidP="00EC37F0">
            <w:pPr>
              <w:pStyle w:val="Tabletext"/>
              <w:spacing w:line="240" w:lineRule="auto"/>
              <w:rPr>
                <w:noProof/>
              </w:rPr>
            </w:pPr>
          </w:p>
          <w:p w:rsidR="00CD7369" w:rsidRPr="00E17F4A" w:rsidRDefault="00EF78DD">
            <w:pPr>
              <w:pStyle w:val="Tabletext"/>
              <w:spacing w:line="240" w:lineRule="auto"/>
            </w:pPr>
            <w:r w:rsidRPr="00E17F4A">
              <w:fldChar w:fldCharType="end"/>
            </w:r>
            <w:r w:rsidR="00CA0682" w:rsidRPr="00E17F4A">
              <w:rPr>
                <w:lang w:eastAsia="en-AU"/>
              </w:rPr>
              <w:t xml:space="preserve"> </w:t>
            </w:r>
            <w:r w:rsidR="00CA0682" w:rsidRPr="00E17F4A">
              <w:t xml:space="preserve">Krogh, M., </w:t>
            </w:r>
            <w:proofErr w:type="spellStart"/>
            <w:r w:rsidR="00CA0682" w:rsidRPr="00E17F4A">
              <w:t>Dorani</w:t>
            </w:r>
            <w:proofErr w:type="spellEnd"/>
            <w:r w:rsidR="00CA0682" w:rsidRPr="00E17F4A">
              <w:t xml:space="preserve">, F., </w:t>
            </w:r>
            <w:proofErr w:type="spellStart"/>
            <w:r w:rsidR="00CA0682" w:rsidRPr="00E17F4A">
              <w:t>Foulsham</w:t>
            </w:r>
            <w:proofErr w:type="spellEnd"/>
            <w:r w:rsidR="00CA0682" w:rsidRPr="00E17F4A">
              <w:t xml:space="preserve">, E., </w:t>
            </w:r>
            <w:proofErr w:type="spellStart"/>
            <w:r w:rsidR="00CA0682" w:rsidRPr="00E17F4A">
              <w:t>McSorley</w:t>
            </w:r>
            <w:proofErr w:type="spellEnd"/>
            <w:r w:rsidR="00CA0682" w:rsidRPr="00E17F4A">
              <w:t xml:space="preserve">, A., and </w:t>
            </w:r>
            <w:proofErr w:type="spellStart"/>
            <w:r w:rsidR="00CA0682" w:rsidRPr="00E17F4A">
              <w:t>Hoey</w:t>
            </w:r>
            <w:proofErr w:type="spellEnd"/>
            <w:r w:rsidR="00CA0682" w:rsidRPr="00E17F4A">
              <w:t>, D. 2013. Hunter Catchment Salinity Assessment. Final Report. NSW Environment Protection Authority.</w:t>
            </w:r>
          </w:p>
          <w:p w:rsidR="00CD7369" w:rsidRPr="00E17F4A" w:rsidRDefault="00CD7369">
            <w:pPr>
              <w:pStyle w:val="Tabletext"/>
              <w:spacing w:line="240" w:lineRule="auto"/>
            </w:pPr>
          </w:p>
          <w:p w:rsidR="00CD7369" w:rsidRDefault="00076DEC">
            <w:pPr>
              <w:pStyle w:val="Tabletext"/>
              <w:spacing w:line="240" w:lineRule="auto"/>
            </w:pPr>
            <w:r w:rsidRPr="00E17F4A">
              <w:rPr>
                <w:lang w:eastAsia="en-AU"/>
              </w:rPr>
              <w:t>Richardson et al. 2011.</w:t>
            </w:r>
            <w:r w:rsidRPr="00E17F4A">
              <w:rPr>
                <w:rFonts w:ascii="Segoe UI" w:eastAsia="Calibri" w:hAnsi="Segoe UI" w:cs="Segoe UI"/>
                <w:sz w:val="18"/>
                <w:szCs w:val="18"/>
                <w:lang w:eastAsia="en-AU"/>
              </w:rPr>
              <w:t xml:space="preserve"> </w:t>
            </w:r>
            <w:r w:rsidR="00664119" w:rsidRPr="00E17F4A">
              <w:rPr>
                <w:i/>
              </w:rPr>
              <w:t>Australian groundwater dependent ecosystems toolbox part 2: assessment tools</w:t>
            </w:r>
            <w:r w:rsidRPr="00E17F4A">
              <w:rPr>
                <w:i/>
              </w:rPr>
              <w:t xml:space="preserve">, </w:t>
            </w:r>
            <w:r w:rsidRPr="00E17F4A">
              <w:t>National Water Commission, Canberra.</w:t>
            </w:r>
          </w:p>
        </w:tc>
      </w:tr>
    </w:tbl>
    <w:p w:rsidR="007203C3" w:rsidRPr="00062A46" w:rsidRDefault="007203C3" w:rsidP="00437FD5"/>
    <w:sectPr w:rsidR="007203C3" w:rsidRPr="00062A46" w:rsidSect="00CC28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8BD" w:rsidRDefault="004C08BD" w:rsidP="00D622B9">
      <w:r>
        <w:separator/>
      </w:r>
    </w:p>
  </w:endnote>
  <w:endnote w:type="continuationSeparator" w:id="0">
    <w:p w:rsidR="004C08BD" w:rsidRDefault="004C08BD"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B" w:rsidRDefault="005A4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D" w:rsidRPr="00637239" w:rsidRDefault="004C08BD" w:rsidP="00637239">
    <w:pPr>
      <w:pStyle w:val="Footer"/>
    </w:pPr>
  </w:p>
  <w:p w:rsidR="004C08BD" w:rsidRPr="00637239" w:rsidRDefault="00A07DA7" w:rsidP="00637239">
    <w:pPr>
      <w:pStyle w:val="Footer"/>
      <w:rPr>
        <w:sz w:val="20"/>
      </w:rPr>
    </w:pPr>
    <w:r>
      <w:rPr>
        <w:sz w:val="20"/>
      </w:rPr>
      <w:t>Final</w:t>
    </w:r>
    <w:r w:rsidR="004C08BD" w:rsidRPr="009A10F9">
      <w:rPr>
        <w:sz w:val="20"/>
      </w:rPr>
      <w:t xml:space="preserve"> Drayton South Coal Project Advice</w:t>
    </w:r>
    <w:r w:rsidR="004C08BD" w:rsidRPr="009A10F9">
      <w:rPr>
        <w:sz w:val="20"/>
      </w:rPr>
      <w:ptab w:relativeTo="margin" w:alignment="right" w:leader="none"/>
    </w:r>
    <w:r>
      <w:rPr>
        <w:sz w:val="20"/>
      </w:rPr>
      <w:t>24</w:t>
    </w:r>
    <w:r w:rsidR="004C08BD" w:rsidRPr="00637239">
      <w:rPr>
        <w:color w:val="FF0000"/>
        <w:sz w:val="20"/>
      </w:rPr>
      <w:t xml:space="preserve"> </w:t>
    </w:r>
    <w:r w:rsidR="004C08BD" w:rsidRPr="009A10F9">
      <w:rPr>
        <w:sz w:val="20"/>
      </w:rPr>
      <w:t>July 2015</w:t>
    </w:r>
  </w:p>
  <w:p w:rsidR="004C08BD" w:rsidRPr="00637239" w:rsidRDefault="00EF78DD" w:rsidP="00637239">
    <w:pPr>
      <w:pStyle w:val="Footer"/>
      <w:jc w:val="center"/>
      <w:rPr>
        <w:sz w:val="20"/>
      </w:rPr>
    </w:pPr>
    <w:r w:rsidRPr="00637239">
      <w:rPr>
        <w:sz w:val="20"/>
      </w:rPr>
      <w:fldChar w:fldCharType="begin"/>
    </w:r>
    <w:r w:rsidR="004C08BD" w:rsidRPr="00637239">
      <w:rPr>
        <w:sz w:val="20"/>
      </w:rPr>
      <w:instrText xml:space="preserve"> PAGE   \* MERGEFORMAT </w:instrText>
    </w:r>
    <w:r w:rsidRPr="00637239">
      <w:rPr>
        <w:sz w:val="20"/>
      </w:rPr>
      <w:fldChar w:fldCharType="separate"/>
    </w:r>
    <w:r w:rsidR="005A40DB">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D" w:rsidRPr="00D15280" w:rsidRDefault="008B079E" w:rsidP="00637239">
    <w:pPr>
      <w:pStyle w:val="Footer"/>
    </w:pPr>
    <w:r>
      <w:t>Final</w:t>
    </w:r>
    <w:r w:rsidR="004C08BD" w:rsidRPr="00D15280">
      <w:t xml:space="preserve"> Advice</w:t>
    </w:r>
    <w:r w:rsidR="004C08BD">
      <w:t xml:space="preserve"> </w:t>
    </w:r>
    <w:r w:rsidR="004C08BD" w:rsidRPr="00D15280">
      <w:ptab w:relativeTo="margin" w:alignment="right" w:leader="none"/>
    </w:r>
    <w:r w:rsidR="004C08BD" w:rsidRPr="00062A46">
      <w:rPr>
        <w:b/>
      </w:rPr>
      <w:t>DATE</w:t>
    </w:r>
  </w:p>
  <w:p w:rsidR="004C08BD" w:rsidRPr="00062A46" w:rsidRDefault="00EF78DD" w:rsidP="00637239">
    <w:pPr>
      <w:pStyle w:val="Footer"/>
    </w:pPr>
    <w:sdt>
      <w:sdtPr>
        <w:id w:val="32750052"/>
        <w:docPartObj>
          <w:docPartGallery w:val="Page Numbers (Bottom of Page)"/>
          <w:docPartUnique/>
        </w:docPartObj>
      </w:sdtPr>
      <w:sdtContent>
        <w:fldSimple w:instr=" PAGE   \* MERGEFORMAT ">
          <w:r w:rsidR="008B079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8BD" w:rsidRDefault="004C08BD" w:rsidP="00D622B9">
      <w:r>
        <w:separator/>
      </w:r>
    </w:p>
  </w:footnote>
  <w:footnote w:type="continuationSeparator" w:id="0">
    <w:p w:rsidR="004C08BD" w:rsidRDefault="004C08BD"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D" w:rsidRDefault="004C08BD"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BD" w:rsidRPr="00EF5270" w:rsidRDefault="004C08BD" w:rsidP="00D622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B" w:rsidRDefault="005A40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A7F38C8"/>
    <w:multiLevelType w:val="hybridMultilevel"/>
    <w:tmpl w:val="56A2DC7E"/>
    <w:lvl w:ilvl="0" w:tplc="A962C670">
      <w:start w:val="1"/>
      <w:numFmt w:val="bullet"/>
      <w:pStyle w:val="ListBullet"/>
      <w:lvlText w:val=""/>
      <w:lvlJc w:val="left"/>
      <w:pPr>
        <w:ind w:left="720" w:hanging="360"/>
      </w:pPr>
      <w:rPr>
        <w:rFonts w:ascii="Symbol" w:hAnsi="Symbol" w:hint="default"/>
      </w:rPr>
    </w:lvl>
    <w:lvl w:ilvl="1" w:tplc="5D4CC3FC" w:tentative="1">
      <w:start w:val="1"/>
      <w:numFmt w:val="bullet"/>
      <w:lvlText w:val="o"/>
      <w:lvlJc w:val="left"/>
      <w:pPr>
        <w:ind w:left="1440" w:hanging="360"/>
      </w:pPr>
      <w:rPr>
        <w:rFonts w:ascii="Courier New" w:hAnsi="Courier New" w:cs="Courier New" w:hint="default"/>
      </w:rPr>
    </w:lvl>
    <w:lvl w:ilvl="2" w:tplc="430806BE" w:tentative="1">
      <w:start w:val="1"/>
      <w:numFmt w:val="bullet"/>
      <w:lvlText w:val=""/>
      <w:lvlJc w:val="left"/>
      <w:pPr>
        <w:ind w:left="2160" w:hanging="360"/>
      </w:pPr>
      <w:rPr>
        <w:rFonts w:ascii="Wingdings" w:hAnsi="Wingdings" w:hint="default"/>
      </w:rPr>
    </w:lvl>
    <w:lvl w:ilvl="3" w:tplc="0B18EDD0" w:tentative="1">
      <w:start w:val="1"/>
      <w:numFmt w:val="bullet"/>
      <w:lvlText w:val=""/>
      <w:lvlJc w:val="left"/>
      <w:pPr>
        <w:ind w:left="2880" w:hanging="360"/>
      </w:pPr>
      <w:rPr>
        <w:rFonts w:ascii="Symbol" w:hAnsi="Symbol" w:hint="default"/>
      </w:rPr>
    </w:lvl>
    <w:lvl w:ilvl="4" w:tplc="01D0DB2E" w:tentative="1">
      <w:start w:val="1"/>
      <w:numFmt w:val="bullet"/>
      <w:lvlText w:val="o"/>
      <w:lvlJc w:val="left"/>
      <w:pPr>
        <w:ind w:left="3600" w:hanging="360"/>
      </w:pPr>
      <w:rPr>
        <w:rFonts w:ascii="Courier New" w:hAnsi="Courier New" w:cs="Courier New" w:hint="default"/>
      </w:rPr>
    </w:lvl>
    <w:lvl w:ilvl="5" w:tplc="11A2EE90" w:tentative="1">
      <w:start w:val="1"/>
      <w:numFmt w:val="bullet"/>
      <w:lvlText w:val=""/>
      <w:lvlJc w:val="left"/>
      <w:pPr>
        <w:ind w:left="4320" w:hanging="360"/>
      </w:pPr>
      <w:rPr>
        <w:rFonts w:ascii="Wingdings" w:hAnsi="Wingdings" w:hint="default"/>
      </w:rPr>
    </w:lvl>
    <w:lvl w:ilvl="6" w:tplc="B28AF626" w:tentative="1">
      <w:start w:val="1"/>
      <w:numFmt w:val="bullet"/>
      <w:lvlText w:val=""/>
      <w:lvlJc w:val="left"/>
      <w:pPr>
        <w:ind w:left="5040" w:hanging="360"/>
      </w:pPr>
      <w:rPr>
        <w:rFonts w:ascii="Symbol" w:hAnsi="Symbol" w:hint="default"/>
      </w:rPr>
    </w:lvl>
    <w:lvl w:ilvl="7" w:tplc="BDACEED6" w:tentative="1">
      <w:start w:val="1"/>
      <w:numFmt w:val="bullet"/>
      <w:lvlText w:val="o"/>
      <w:lvlJc w:val="left"/>
      <w:pPr>
        <w:ind w:left="5760" w:hanging="360"/>
      </w:pPr>
      <w:rPr>
        <w:rFonts w:ascii="Courier New" w:hAnsi="Courier New" w:cs="Courier New" w:hint="default"/>
      </w:rPr>
    </w:lvl>
    <w:lvl w:ilvl="8" w:tplc="373C77C6" w:tentative="1">
      <w:start w:val="1"/>
      <w:numFmt w:val="bullet"/>
      <w:lvlText w:val=""/>
      <w:lvlJc w:val="left"/>
      <w:pPr>
        <w:ind w:left="6480" w:hanging="360"/>
      </w:pPr>
      <w:rPr>
        <w:rFonts w:ascii="Wingdings" w:hAnsi="Wingdings" w:hint="default"/>
      </w:rPr>
    </w:lvl>
  </w:abstractNum>
  <w:abstractNum w:abstractNumId="4">
    <w:nsid w:val="5A4714E3"/>
    <w:multiLevelType w:val="multilevel"/>
    <w:tmpl w:val="DEA06218"/>
    <w:lvl w:ilvl="0">
      <w:start w:val="1"/>
      <w:numFmt w:val="bullet"/>
      <w:lvlText w:val=""/>
      <w:lvlJc w:val="left"/>
      <w:pPr>
        <w:ind w:left="1089" w:hanging="369"/>
      </w:pPr>
      <w:rPr>
        <w:rFonts w:ascii="Symbol" w:hAnsi="Symbol" w:hint="default"/>
        <w:sz w:val="20"/>
        <w:szCs w:val="20"/>
      </w:rPr>
    </w:lvl>
    <w:lvl w:ilvl="1">
      <w:start w:val="1"/>
      <w:numFmt w:val="bullet"/>
      <w:lvlText w:val=""/>
      <w:lvlJc w:val="left"/>
      <w:pPr>
        <w:ind w:left="-2795" w:hanging="369"/>
      </w:pPr>
      <w:rPr>
        <w:rFonts w:ascii="Symbol" w:hAnsi="Symbol" w:hint="default"/>
        <w:sz w:val="20"/>
        <w:szCs w:val="20"/>
      </w:rPr>
    </w:lvl>
    <w:lvl w:ilvl="2">
      <w:start w:val="1"/>
      <w:numFmt w:val="lowerLetter"/>
      <w:lvlText w:val="%3."/>
      <w:lvlJc w:val="left"/>
      <w:pPr>
        <w:ind w:left="-2426" w:hanging="369"/>
      </w:pPr>
      <w:rPr>
        <w:rFonts w:hint="default"/>
        <w:sz w:val="20"/>
        <w:szCs w:val="20"/>
      </w:rPr>
    </w:lvl>
    <w:lvl w:ilvl="3">
      <w:start w:val="1"/>
      <w:numFmt w:val="none"/>
      <w:lvlText w:val="%4"/>
      <w:lvlJc w:val="left"/>
      <w:pPr>
        <w:ind w:left="-2057" w:hanging="369"/>
      </w:pPr>
      <w:rPr>
        <w:rFonts w:hint="default"/>
      </w:rPr>
    </w:lvl>
    <w:lvl w:ilvl="4">
      <w:start w:val="1"/>
      <w:numFmt w:val="none"/>
      <w:lvlText w:val=""/>
      <w:lvlJc w:val="left"/>
      <w:pPr>
        <w:ind w:left="-1688" w:hanging="369"/>
      </w:pPr>
      <w:rPr>
        <w:rFonts w:hint="default"/>
      </w:rPr>
    </w:lvl>
    <w:lvl w:ilvl="5">
      <w:start w:val="1"/>
      <w:numFmt w:val="none"/>
      <w:lvlText w:val=""/>
      <w:lvlJc w:val="left"/>
      <w:pPr>
        <w:ind w:left="-1319" w:hanging="369"/>
      </w:pPr>
      <w:rPr>
        <w:rFonts w:hint="default"/>
      </w:rPr>
    </w:lvl>
    <w:lvl w:ilvl="6">
      <w:start w:val="1"/>
      <w:numFmt w:val="none"/>
      <w:lvlText w:val=""/>
      <w:lvlJc w:val="left"/>
      <w:pPr>
        <w:ind w:left="-950" w:hanging="369"/>
      </w:pPr>
      <w:rPr>
        <w:rFonts w:hint="default"/>
      </w:rPr>
    </w:lvl>
    <w:lvl w:ilvl="7">
      <w:start w:val="1"/>
      <w:numFmt w:val="none"/>
      <w:lvlText w:val=""/>
      <w:lvlJc w:val="left"/>
      <w:pPr>
        <w:ind w:left="-581" w:hanging="369"/>
      </w:pPr>
      <w:rPr>
        <w:rFonts w:hint="default"/>
      </w:rPr>
    </w:lvl>
    <w:lvl w:ilvl="8">
      <w:start w:val="1"/>
      <w:numFmt w:val="lowerRoman"/>
      <w:lvlText w:val="%9."/>
      <w:lvlJc w:val="right"/>
      <w:pPr>
        <w:ind w:left="-212" w:hanging="369"/>
      </w:pPr>
      <w:rPr>
        <w:rFonts w:hint="default"/>
      </w:rPr>
    </w:lvl>
  </w:abstractNum>
  <w:abstractNum w:abstractNumId="5">
    <w:nsid w:val="65456429"/>
    <w:multiLevelType w:val="multilevel"/>
    <w:tmpl w:val="3DE00D10"/>
    <w:lvl w:ilvl="0">
      <w:start w:val="1"/>
      <w:numFmt w:val="decimal"/>
      <w:pStyle w:val="ListNumber"/>
      <w:lvlText w:val="%1."/>
      <w:lvlJc w:val="left"/>
      <w:pPr>
        <w:ind w:left="2529" w:hanging="369"/>
      </w:pPr>
      <w:rPr>
        <w:rFonts w:ascii="Arial" w:hAnsi="Arial" w:hint="default"/>
        <w:sz w:val="20"/>
        <w:szCs w:val="20"/>
      </w:rPr>
    </w:lvl>
    <w:lvl w:ilvl="1">
      <w:start w:val="1"/>
      <w:numFmt w:val="lowerLetter"/>
      <w:pStyle w:val="ListNumber2"/>
      <w:lvlText w:val="%2."/>
      <w:lvlJc w:val="left"/>
      <w:pPr>
        <w:ind w:left="-1355" w:hanging="369"/>
      </w:pPr>
      <w:rPr>
        <w:rFonts w:ascii="Arial" w:hAnsi="Arial" w:cs="Arial" w:hint="default"/>
        <w:sz w:val="20"/>
        <w:szCs w:val="20"/>
      </w:rPr>
    </w:lvl>
    <w:lvl w:ilvl="2">
      <w:start w:val="1"/>
      <w:numFmt w:val="lowerLetter"/>
      <w:pStyle w:val="ListNumber3"/>
      <w:lvlText w:val="%3."/>
      <w:lvlJc w:val="left"/>
      <w:pPr>
        <w:ind w:left="-986" w:hanging="369"/>
      </w:pPr>
      <w:rPr>
        <w:rFonts w:hint="default"/>
        <w:sz w:val="20"/>
        <w:szCs w:val="20"/>
      </w:rPr>
    </w:lvl>
    <w:lvl w:ilvl="3">
      <w:start w:val="1"/>
      <w:numFmt w:val="none"/>
      <w:pStyle w:val="ListNumber4"/>
      <w:lvlText w:val="%4"/>
      <w:lvlJc w:val="left"/>
      <w:pPr>
        <w:ind w:left="-617" w:hanging="369"/>
      </w:pPr>
      <w:rPr>
        <w:rFonts w:hint="default"/>
      </w:rPr>
    </w:lvl>
    <w:lvl w:ilvl="4">
      <w:start w:val="1"/>
      <w:numFmt w:val="none"/>
      <w:pStyle w:val="ListNumber5"/>
      <w:lvlText w:val=""/>
      <w:lvlJc w:val="left"/>
      <w:pPr>
        <w:ind w:left="-248" w:hanging="369"/>
      </w:pPr>
      <w:rPr>
        <w:rFonts w:hint="default"/>
      </w:rPr>
    </w:lvl>
    <w:lvl w:ilvl="5">
      <w:start w:val="1"/>
      <w:numFmt w:val="none"/>
      <w:lvlText w:val=""/>
      <w:lvlJc w:val="left"/>
      <w:pPr>
        <w:ind w:left="121" w:hanging="369"/>
      </w:pPr>
      <w:rPr>
        <w:rFonts w:hint="default"/>
      </w:rPr>
    </w:lvl>
    <w:lvl w:ilvl="6">
      <w:start w:val="1"/>
      <w:numFmt w:val="none"/>
      <w:lvlText w:val=""/>
      <w:lvlJc w:val="left"/>
      <w:pPr>
        <w:ind w:left="490" w:hanging="369"/>
      </w:pPr>
      <w:rPr>
        <w:rFonts w:hint="default"/>
      </w:rPr>
    </w:lvl>
    <w:lvl w:ilvl="7">
      <w:start w:val="1"/>
      <w:numFmt w:val="none"/>
      <w:lvlText w:val=""/>
      <w:lvlJc w:val="left"/>
      <w:pPr>
        <w:ind w:left="859" w:hanging="369"/>
      </w:pPr>
      <w:rPr>
        <w:rFonts w:hint="default"/>
      </w:rPr>
    </w:lvl>
    <w:lvl w:ilvl="8">
      <w:start w:val="1"/>
      <w:numFmt w:val="none"/>
      <w:lvlText w:val=""/>
      <w:lvlJc w:val="left"/>
      <w:pPr>
        <w:ind w:left="1228" w:hanging="369"/>
      </w:pPr>
      <w:rPr>
        <w:rFonts w:hint="default"/>
      </w:rPr>
    </w:lvl>
  </w:abstractNum>
  <w:abstractNum w:abstractNumId="6">
    <w:nsid w:val="65640642"/>
    <w:multiLevelType w:val="multilevel"/>
    <w:tmpl w:val="76B8C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3392B3D"/>
    <w:multiLevelType w:val="multilevel"/>
    <w:tmpl w:val="A2B2094C"/>
    <w:lvl w:ilvl="0">
      <w:start w:val="1"/>
      <w:numFmt w:val="bullet"/>
      <w:lvlText w:val=""/>
      <w:lvlJc w:val="left"/>
      <w:pPr>
        <w:ind w:left="1089" w:hanging="369"/>
      </w:pPr>
      <w:rPr>
        <w:rFonts w:ascii="Symbol" w:hAnsi="Symbol" w:hint="default"/>
        <w:sz w:val="20"/>
        <w:szCs w:val="20"/>
      </w:rPr>
    </w:lvl>
    <w:lvl w:ilvl="1">
      <w:start w:val="1"/>
      <w:numFmt w:val="bullet"/>
      <w:lvlText w:val=""/>
      <w:lvlJc w:val="left"/>
      <w:pPr>
        <w:ind w:left="-2795" w:hanging="369"/>
      </w:pPr>
      <w:rPr>
        <w:rFonts w:ascii="Symbol" w:hAnsi="Symbol" w:hint="default"/>
        <w:sz w:val="20"/>
        <w:szCs w:val="20"/>
      </w:rPr>
    </w:lvl>
    <w:lvl w:ilvl="2">
      <w:start w:val="1"/>
      <w:numFmt w:val="lowerLetter"/>
      <w:lvlText w:val="%3."/>
      <w:lvlJc w:val="left"/>
      <w:pPr>
        <w:ind w:left="-2426" w:hanging="369"/>
      </w:pPr>
      <w:rPr>
        <w:rFonts w:hint="default"/>
        <w:sz w:val="20"/>
        <w:szCs w:val="20"/>
      </w:rPr>
    </w:lvl>
    <w:lvl w:ilvl="3">
      <w:start w:val="1"/>
      <w:numFmt w:val="none"/>
      <w:lvlText w:val="%4"/>
      <w:lvlJc w:val="left"/>
      <w:pPr>
        <w:ind w:left="-2057" w:hanging="369"/>
      </w:pPr>
      <w:rPr>
        <w:rFonts w:hint="default"/>
      </w:rPr>
    </w:lvl>
    <w:lvl w:ilvl="4">
      <w:start w:val="1"/>
      <w:numFmt w:val="none"/>
      <w:lvlText w:val=""/>
      <w:lvlJc w:val="left"/>
      <w:pPr>
        <w:ind w:left="-1688" w:hanging="369"/>
      </w:pPr>
      <w:rPr>
        <w:rFonts w:hint="default"/>
      </w:rPr>
    </w:lvl>
    <w:lvl w:ilvl="5">
      <w:start w:val="1"/>
      <w:numFmt w:val="none"/>
      <w:lvlText w:val=""/>
      <w:lvlJc w:val="left"/>
      <w:pPr>
        <w:ind w:left="-1319" w:hanging="369"/>
      </w:pPr>
      <w:rPr>
        <w:rFonts w:hint="default"/>
      </w:rPr>
    </w:lvl>
    <w:lvl w:ilvl="6">
      <w:start w:val="1"/>
      <w:numFmt w:val="none"/>
      <w:lvlText w:val=""/>
      <w:lvlJc w:val="left"/>
      <w:pPr>
        <w:ind w:left="-950" w:hanging="369"/>
      </w:pPr>
      <w:rPr>
        <w:rFonts w:hint="default"/>
      </w:rPr>
    </w:lvl>
    <w:lvl w:ilvl="7">
      <w:start w:val="1"/>
      <w:numFmt w:val="none"/>
      <w:lvlText w:val=""/>
      <w:lvlJc w:val="left"/>
      <w:pPr>
        <w:ind w:left="-581" w:hanging="369"/>
      </w:pPr>
      <w:rPr>
        <w:rFonts w:hint="default"/>
      </w:rPr>
    </w:lvl>
    <w:lvl w:ilvl="8">
      <w:start w:val="1"/>
      <w:numFmt w:val="lowerLetter"/>
      <w:lvlText w:val="%9."/>
      <w:lvlJc w:val="left"/>
      <w:pPr>
        <w:ind w:left="-212" w:hanging="369"/>
      </w:pPr>
      <w:rPr>
        <w:rFonts w:hint="default"/>
      </w:r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2"/>
  </w:num>
  <w:num w:numId="4">
    <w:abstractNumId w:val="1"/>
  </w:num>
  <w:num w:numId="5">
    <w:abstractNumId w:val="5"/>
  </w:num>
  <w:num w:numId="6">
    <w:abstractNumId w:val="3"/>
  </w:num>
  <w:num w:numId="7">
    <w:abstractNumId w:val="7"/>
  </w:num>
  <w:num w:numId="8">
    <w:abstractNumId w:val="5"/>
  </w:num>
  <w:num w:numId="9">
    <w:abstractNumId w:val="6"/>
  </w:num>
  <w:num w:numId="10">
    <w:abstractNumId w:val="5"/>
  </w:num>
  <w:num w:numId="11">
    <w:abstractNumId w:val="5"/>
  </w:num>
  <w:num w:numId="12">
    <w:abstractNumId w:val="4"/>
  </w:num>
  <w:num w:numId="13">
    <w:abstractNumId w:val="5"/>
  </w:num>
  <w:num w:numId="14">
    <w:abstractNumId w:val="5"/>
  </w:num>
  <w:num w:numId="15">
    <w:abstractNumId w:val="5"/>
  </w:num>
  <w:num w:numId="16">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2D66"/>
    <w:rsid w:val="00015ADA"/>
    <w:rsid w:val="00020C99"/>
    <w:rsid w:val="0002707B"/>
    <w:rsid w:val="00031B32"/>
    <w:rsid w:val="000364D3"/>
    <w:rsid w:val="0005148E"/>
    <w:rsid w:val="000547F0"/>
    <w:rsid w:val="000573DB"/>
    <w:rsid w:val="000605AB"/>
    <w:rsid w:val="00062A46"/>
    <w:rsid w:val="0006364C"/>
    <w:rsid w:val="000661DF"/>
    <w:rsid w:val="00066887"/>
    <w:rsid w:val="000759E5"/>
    <w:rsid w:val="0007601C"/>
    <w:rsid w:val="00076DEC"/>
    <w:rsid w:val="00082030"/>
    <w:rsid w:val="00084AC6"/>
    <w:rsid w:val="00085816"/>
    <w:rsid w:val="0008623A"/>
    <w:rsid w:val="00091608"/>
    <w:rsid w:val="0009196E"/>
    <w:rsid w:val="00092F92"/>
    <w:rsid w:val="0009333C"/>
    <w:rsid w:val="0009704F"/>
    <w:rsid w:val="000A0F11"/>
    <w:rsid w:val="000A125A"/>
    <w:rsid w:val="000A228F"/>
    <w:rsid w:val="000A57CD"/>
    <w:rsid w:val="000B2FF3"/>
    <w:rsid w:val="000B3758"/>
    <w:rsid w:val="000B42B3"/>
    <w:rsid w:val="000B7681"/>
    <w:rsid w:val="000B7B42"/>
    <w:rsid w:val="000C02B7"/>
    <w:rsid w:val="000C15F1"/>
    <w:rsid w:val="000C2814"/>
    <w:rsid w:val="000C451B"/>
    <w:rsid w:val="000C46C7"/>
    <w:rsid w:val="000C5342"/>
    <w:rsid w:val="000C706A"/>
    <w:rsid w:val="000C7226"/>
    <w:rsid w:val="000C7A41"/>
    <w:rsid w:val="000D2887"/>
    <w:rsid w:val="000D2BB8"/>
    <w:rsid w:val="000D6D63"/>
    <w:rsid w:val="000D706B"/>
    <w:rsid w:val="000D7810"/>
    <w:rsid w:val="000E0081"/>
    <w:rsid w:val="000E07CF"/>
    <w:rsid w:val="000E1560"/>
    <w:rsid w:val="001009AA"/>
    <w:rsid w:val="00100BEF"/>
    <w:rsid w:val="00102E17"/>
    <w:rsid w:val="0011498E"/>
    <w:rsid w:val="00116F28"/>
    <w:rsid w:val="00117A45"/>
    <w:rsid w:val="001224AE"/>
    <w:rsid w:val="00123035"/>
    <w:rsid w:val="00133008"/>
    <w:rsid w:val="001337D4"/>
    <w:rsid w:val="001340EA"/>
    <w:rsid w:val="00147C12"/>
    <w:rsid w:val="00147EFC"/>
    <w:rsid w:val="00147F12"/>
    <w:rsid w:val="001527A1"/>
    <w:rsid w:val="001530DC"/>
    <w:rsid w:val="001539AF"/>
    <w:rsid w:val="00154989"/>
    <w:rsid w:val="00155A9F"/>
    <w:rsid w:val="0015684F"/>
    <w:rsid w:val="00160262"/>
    <w:rsid w:val="0016186F"/>
    <w:rsid w:val="0016274B"/>
    <w:rsid w:val="0016281C"/>
    <w:rsid w:val="0016433A"/>
    <w:rsid w:val="0016780A"/>
    <w:rsid w:val="001713FA"/>
    <w:rsid w:val="00172299"/>
    <w:rsid w:val="00173EBF"/>
    <w:rsid w:val="001748AC"/>
    <w:rsid w:val="001765DA"/>
    <w:rsid w:val="001842A2"/>
    <w:rsid w:val="00185039"/>
    <w:rsid w:val="00185407"/>
    <w:rsid w:val="00186465"/>
    <w:rsid w:val="00187FA8"/>
    <w:rsid w:val="001922D0"/>
    <w:rsid w:val="00192F5E"/>
    <w:rsid w:val="00197772"/>
    <w:rsid w:val="001A51C8"/>
    <w:rsid w:val="001B472B"/>
    <w:rsid w:val="001B4CA8"/>
    <w:rsid w:val="001C2A92"/>
    <w:rsid w:val="001C4F3D"/>
    <w:rsid w:val="001D0CDC"/>
    <w:rsid w:val="001D1D82"/>
    <w:rsid w:val="001D6DDD"/>
    <w:rsid w:val="001E1182"/>
    <w:rsid w:val="001E2CED"/>
    <w:rsid w:val="001E47A7"/>
    <w:rsid w:val="001F0E8B"/>
    <w:rsid w:val="001F16AF"/>
    <w:rsid w:val="00200944"/>
    <w:rsid w:val="00202387"/>
    <w:rsid w:val="00202C90"/>
    <w:rsid w:val="00213DE8"/>
    <w:rsid w:val="00216118"/>
    <w:rsid w:val="002209AB"/>
    <w:rsid w:val="002251E3"/>
    <w:rsid w:val="002262E6"/>
    <w:rsid w:val="00227A95"/>
    <w:rsid w:val="00231479"/>
    <w:rsid w:val="002316BD"/>
    <w:rsid w:val="002336F3"/>
    <w:rsid w:val="00236ED5"/>
    <w:rsid w:val="0024649C"/>
    <w:rsid w:val="00246DCB"/>
    <w:rsid w:val="002473FC"/>
    <w:rsid w:val="00252E3C"/>
    <w:rsid w:val="00262198"/>
    <w:rsid w:val="00264AF9"/>
    <w:rsid w:val="00274098"/>
    <w:rsid w:val="00277426"/>
    <w:rsid w:val="00277A51"/>
    <w:rsid w:val="00285F1B"/>
    <w:rsid w:val="00292B81"/>
    <w:rsid w:val="0029322E"/>
    <w:rsid w:val="00293BD1"/>
    <w:rsid w:val="00294A0A"/>
    <w:rsid w:val="00296477"/>
    <w:rsid w:val="002974BC"/>
    <w:rsid w:val="002A5EC3"/>
    <w:rsid w:val="002B18AE"/>
    <w:rsid w:val="002B6472"/>
    <w:rsid w:val="002B67D3"/>
    <w:rsid w:val="002C120A"/>
    <w:rsid w:val="002C1C93"/>
    <w:rsid w:val="002C2151"/>
    <w:rsid w:val="002C3257"/>
    <w:rsid w:val="002C33CA"/>
    <w:rsid w:val="002C3738"/>
    <w:rsid w:val="002C5066"/>
    <w:rsid w:val="002C61F3"/>
    <w:rsid w:val="002D3ADC"/>
    <w:rsid w:val="002D4AAC"/>
    <w:rsid w:val="002D6BDE"/>
    <w:rsid w:val="002D6C33"/>
    <w:rsid w:val="002E1AB0"/>
    <w:rsid w:val="002F045A"/>
    <w:rsid w:val="0030039D"/>
    <w:rsid w:val="00300715"/>
    <w:rsid w:val="0030326F"/>
    <w:rsid w:val="00310701"/>
    <w:rsid w:val="00311510"/>
    <w:rsid w:val="003138AC"/>
    <w:rsid w:val="00315980"/>
    <w:rsid w:val="00316F7F"/>
    <w:rsid w:val="00320162"/>
    <w:rsid w:val="0032087E"/>
    <w:rsid w:val="003218E8"/>
    <w:rsid w:val="003223B2"/>
    <w:rsid w:val="00326C5B"/>
    <w:rsid w:val="00330DCE"/>
    <w:rsid w:val="00331784"/>
    <w:rsid w:val="00331E11"/>
    <w:rsid w:val="00334761"/>
    <w:rsid w:val="00337EBC"/>
    <w:rsid w:val="0034033E"/>
    <w:rsid w:val="00341DCD"/>
    <w:rsid w:val="0034504D"/>
    <w:rsid w:val="0034563E"/>
    <w:rsid w:val="00346A25"/>
    <w:rsid w:val="003504CC"/>
    <w:rsid w:val="003518D6"/>
    <w:rsid w:val="0035460C"/>
    <w:rsid w:val="003550C5"/>
    <w:rsid w:val="003556BD"/>
    <w:rsid w:val="00356154"/>
    <w:rsid w:val="00364E6D"/>
    <w:rsid w:val="00365147"/>
    <w:rsid w:val="0037016E"/>
    <w:rsid w:val="00370E55"/>
    <w:rsid w:val="00372908"/>
    <w:rsid w:val="00376457"/>
    <w:rsid w:val="00381917"/>
    <w:rsid w:val="00383020"/>
    <w:rsid w:val="003838E9"/>
    <w:rsid w:val="003850E9"/>
    <w:rsid w:val="003941FC"/>
    <w:rsid w:val="003975FD"/>
    <w:rsid w:val="003A0593"/>
    <w:rsid w:val="003B3CAA"/>
    <w:rsid w:val="003B60CC"/>
    <w:rsid w:val="003C1B25"/>
    <w:rsid w:val="003C2443"/>
    <w:rsid w:val="003C31E0"/>
    <w:rsid w:val="003C5DA3"/>
    <w:rsid w:val="003D4BCD"/>
    <w:rsid w:val="003E01D8"/>
    <w:rsid w:val="003E1181"/>
    <w:rsid w:val="003E2100"/>
    <w:rsid w:val="003E2135"/>
    <w:rsid w:val="003E2BDB"/>
    <w:rsid w:val="003E45FA"/>
    <w:rsid w:val="003E53CA"/>
    <w:rsid w:val="003E5ED5"/>
    <w:rsid w:val="003F0CB7"/>
    <w:rsid w:val="003F6F5B"/>
    <w:rsid w:val="00400F8F"/>
    <w:rsid w:val="0040342D"/>
    <w:rsid w:val="00403FB9"/>
    <w:rsid w:val="00405E1C"/>
    <w:rsid w:val="004118D4"/>
    <w:rsid w:val="0041192D"/>
    <w:rsid w:val="0041275D"/>
    <w:rsid w:val="00413EE1"/>
    <w:rsid w:val="0042128E"/>
    <w:rsid w:val="00421A14"/>
    <w:rsid w:val="0042465A"/>
    <w:rsid w:val="00432235"/>
    <w:rsid w:val="00432B60"/>
    <w:rsid w:val="004333E6"/>
    <w:rsid w:val="00433ECE"/>
    <w:rsid w:val="00437FD5"/>
    <w:rsid w:val="00440698"/>
    <w:rsid w:val="004540E2"/>
    <w:rsid w:val="00454454"/>
    <w:rsid w:val="004553C5"/>
    <w:rsid w:val="00460720"/>
    <w:rsid w:val="00462971"/>
    <w:rsid w:val="004655D1"/>
    <w:rsid w:val="00466DD4"/>
    <w:rsid w:val="00467924"/>
    <w:rsid w:val="004712A5"/>
    <w:rsid w:val="00472399"/>
    <w:rsid w:val="0047266F"/>
    <w:rsid w:val="004756EB"/>
    <w:rsid w:val="00476D6B"/>
    <w:rsid w:val="004861E6"/>
    <w:rsid w:val="0049013A"/>
    <w:rsid w:val="00492C16"/>
    <w:rsid w:val="004967FD"/>
    <w:rsid w:val="004A0678"/>
    <w:rsid w:val="004A33F8"/>
    <w:rsid w:val="004A48A3"/>
    <w:rsid w:val="004B0D92"/>
    <w:rsid w:val="004B0EC0"/>
    <w:rsid w:val="004B32B2"/>
    <w:rsid w:val="004B5A51"/>
    <w:rsid w:val="004B66F1"/>
    <w:rsid w:val="004C08BD"/>
    <w:rsid w:val="004C3B7B"/>
    <w:rsid w:val="004C3EA0"/>
    <w:rsid w:val="004D46F2"/>
    <w:rsid w:val="004D5228"/>
    <w:rsid w:val="004D6C13"/>
    <w:rsid w:val="004D74CD"/>
    <w:rsid w:val="004F1D1C"/>
    <w:rsid w:val="004F32CC"/>
    <w:rsid w:val="004F3361"/>
    <w:rsid w:val="004F3D69"/>
    <w:rsid w:val="004F4897"/>
    <w:rsid w:val="004F7169"/>
    <w:rsid w:val="00500D66"/>
    <w:rsid w:val="00501481"/>
    <w:rsid w:val="00501C8D"/>
    <w:rsid w:val="005036A6"/>
    <w:rsid w:val="00511E3E"/>
    <w:rsid w:val="00514C8E"/>
    <w:rsid w:val="00517F35"/>
    <w:rsid w:val="00522793"/>
    <w:rsid w:val="00523537"/>
    <w:rsid w:val="00523A57"/>
    <w:rsid w:val="00523ED3"/>
    <w:rsid w:val="005270C4"/>
    <w:rsid w:val="00531DBF"/>
    <w:rsid w:val="00533360"/>
    <w:rsid w:val="005337FC"/>
    <w:rsid w:val="00534304"/>
    <w:rsid w:val="00535D56"/>
    <w:rsid w:val="00545759"/>
    <w:rsid w:val="00545BE0"/>
    <w:rsid w:val="00554C6A"/>
    <w:rsid w:val="00562E85"/>
    <w:rsid w:val="0056332F"/>
    <w:rsid w:val="00566890"/>
    <w:rsid w:val="00581C39"/>
    <w:rsid w:val="005834A4"/>
    <w:rsid w:val="00584A38"/>
    <w:rsid w:val="00584F6B"/>
    <w:rsid w:val="005903B6"/>
    <w:rsid w:val="00592B20"/>
    <w:rsid w:val="0059723A"/>
    <w:rsid w:val="005A0247"/>
    <w:rsid w:val="005A126E"/>
    <w:rsid w:val="005A40DB"/>
    <w:rsid w:val="005A452F"/>
    <w:rsid w:val="005A703F"/>
    <w:rsid w:val="005B140D"/>
    <w:rsid w:val="005C1FEA"/>
    <w:rsid w:val="005C3495"/>
    <w:rsid w:val="005C3785"/>
    <w:rsid w:val="005E13EA"/>
    <w:rsid w:val="005E15E0"/>
    <w:rsid w:val="005E1678"/>
    <w:rsid w:val="005E221D"/>
    <w:rsid w:val="005E3889"/>
    <w:rsid w:val="005E3DFC"/>
    <w:rsid w:val="005E473D"/>
    <w:rsid w:val="005E60AF"/>
    <w:rsid w:val="005E7B4E"/>
    <w:rsid w:val="005F1DEA"/>
    <w:rsid w:val="005F4932"/>
    <w:rsid w:val="00602FCB"/>
    <w:rsid w:val="00607FC9"/>
    <w:rsid w:val="00610955"/>
    <w:rsid w:val="0061194E"/>
    <w:rsid w:val="00612397"/>
    <w:rsid w:val="0061490C"/>
    <w:rsid w:val="0061572D"/>
    <w:rsid w:val="006159F3"/>
    <w:rsid w:val="00616861"/>
    <w:rsid w:val="00622B29"/>
    <w:rsid w:val="00622FE1"/>
    <w:rsid w:val="0062521C"/>
    <w:rsid w:val="00630A2B"/>
    <w:rsid w:val="00630BA2"/>
    <w:rsid w:val="0063283F"/>
    <w:rsid w:val="00632B39"/>
    <w:rsid w:val="00632DC7"/>
    <w:rsid w:val="00633896"/>
    <w:rsid w:val="006357FB"/>
    <w:rsid w:val="00637239"/>
    <w:rsid w:val="00637609"/>
    <w:rsid w:val="006406FC"/>
    <w:rsid w:val="006436BA"/>
    <w:rsid w:val="0064407B"/>
    <w:rsid w:val="00646122"/>
    <w:rsid w:val="0065354D"/>
    <w:rsid w:val="00653E16"/>
    <w:rsid w:val="00657220"/>
    <w:rsid w:val="00660746"/>
    <w:rsid w:val="00660B11"/>
    <w:rsid w:val="0066104B"/>
    <w:rsid w:val="00661419"/>
    <w:rsid w:val="00664119"/>
    <w:rsid w:val="006655EE"/>
    <w:rsid w:val="00667C10"/>
    <w:rsid w:val="00667EF4"/>
    <w:rsid w:val="00672B85"/>
    <w:rsid w:val="00673B97"/>
    <w:rsid w:val="00674E59"/>
    <w:rsid w:val="00676FCA"/>
    <w:rsid w:val="00677177"/>
    <w:rsid w:val="0068056B"/>
    <w:rsid w:val="006817F6"/>
    <w:rsid w:val="0068612E"/>
    <w:rsid w:val="00687858"/>
    <w:rsid w:val="00687C92"/>
    <w:rsid w:val="006903B7"/>
    <w:rsid w:val="00692CF9"/>
    <w:rsid w:val="0069534E"/>
    <w:rsid w:val="00696365"/>
    <w:rsid w:val="0069669C"/>
    <w:rsid w:val="00697497"/>
    <w:rsid w:val="006A1200"/>
    <w:rsid w:val="006A2C5A"/>
    <w:rsid w:val="006A4F4E"/>
    <w:rsid w:val="006A5DC8"/>
    <w:rsid w:val="006B14DB"/>
    <w:rsid w:val="006B21C4"/>
    <w:rsid w:val="006C1709"/>
    <w:rsid w:val="006C4A1A"/>
    <w:rsid w:val="006C7DAD"/>
    <w:rsid w:val="006D0393"/>
    <w:rsid w:val="006D1A83"/>
    <w:rsid w:val="006D5D1E"/>
    <w:rsid w:val="006E1CFE"/>
    <w:rsid w:val="006E31A2"/>
    <w:rsid w:val="006E356F"/>
    <w:rsid w:val="006E6D10"/>
    <w:rsid w:val="006F10C4"/>
    <w:rsid w:val="006F40E9"/>
    <w:rsid w:val="006F5041"/>
    <w:rsid w:val="006F5603"/>
    <w:rsid w:val="00701400"/>
    <w:rsid w:val="007037CF"/>
    <w:rsid w:val="00703BB8"/>
    <w:rsid w:val="00704B37"/>
    <w:rsid w:val="00706EAB"/>
    <w:rsid w:val="00707E2E"/>
    <w:rsid w:val="00712A8B"/>
    <w:rsid w:val="00716583"/>
    <w:rsid w:val="007167C0"/>
    <w:rsid w:val="007203C3"/>
    <w:rsid w:val="00720481"/>
    <w:rsid w:val="00721642"/>
    <w:rsid w:val="00721789"/>
    <w:rsid w:val="00721BC7"/>
    <w:rsid w:val="0072510B"/>
    <w:rsid w:val="00727C18"/>
    <w:rsid w:val="00727E2F"/>
    <w:rsid w:val="00733193"/>
    <w:rsid w:val="007350FA"/>
    <w:rsid w:val="00737CBA"/>
    <w:rsid w:val="00752FF8"/>
    <w:rsid w:val="00754C17"/>
    <w:rsid w:val="0075732A"/>
    <w:rsid w:val="00760262"/>
    <w:rsid w:val="0076310C"/>
    <w:rsid w:val="00767405"/>
    <w:rsid w:val="0076744F"/>
    <w:rsid w:val="00767BCE"/>
    <w:rsid w:val="00767EFC"/>
    <w:rsid w:val="007707DE"/>
    <w:rsid w:val="00770B5D"/>
    <w:rsid w:val="007752F1"/>
    <w:rsid w:val="00776768"/>
    <w:rsid w:val="00782D61"/>
    <w:rsid w:val="00791024"/>
    <w:rsid w:val="007921C6"/>
    <w:rsid w:val="00794818"/>
    <w:rsid w:val="007A2573"/>
    <w:rsid w:val="007A3B9C"/>
    <w:rsid w:val="007B047A"/>
    <w:rsid w:val="007B106C"/>
    <w:rsid w:val="007B1A4E"/>
    <w:rsid w:val="007B25F3"/>
    <w:rsid w:val="007B2F67"/>
    <w:rsid w:val="007B3D05"/>
    <w:rsid w:val="007B5503"/>
    <w:rsid w:val="007C1F59"/>
    <w:rsid w:val="007C390E"/>
    <w:rsid w:val="007C6BB3"/>
    <w:rsid w:val="007D14B4"/>
    <w:rsid w:val="007D3AD7"/>
    <w:rsid w:val="007E01AD"/>
    <w:rsid w:val="007E24F6"/>
    <w:rsid w:val="007F5830"/>
    <w:rsid w:val="00800F64"/>
    <w:rsid w:val="00802F0B"/>
    <w:rsid w:val="00810A67"/>
    <w:rsid w:val="0081315B"/>
    <w:rsid w:val="00815337"/>
    <w:rsid w:val="00833CF7"/>
    <w:rsid w:val="0084096D"/>
    <w:rsid w:val="008449E9"/>
    <w:rsid w:val="00845601"/>
    <w:rsid w:val="008514B5"/>
    <w:rsid w:val="008524B9"/>
    <w:rsid w:val="008554CF"/>
    <w:rsid w:val="00855C5C"/>
    <w:rsid w:val="00856D39"/>
    <w:rsid w:val="00861635"/>
    <w:rsid w:val="0086233C"/>
    <w:rsid w:val="00862DDF"/>
    <w:rsid w:val="00865CFA"/>
    <w:rsid w:val="00883CE7"/>
    <w:rsid w:val="00891945"/>
    <w:rsid w:val="008919BD"/>
    <w:rsid w:val="008938F7"/>
    <w:rsid w:val="008A187F"/>
    <w:rsid w:val="008A3C96"/>
    <w:rsid w:val="008B079E"/>
    <w:rsid w:val="008B0BBA"/>
    <w:rsid w:val="008B1627"/>
    <w:rsid w:val="008B4019"/>
    <w:rsid w:val="008B505F"/>
    <w:rsid w:val="008B65C9"/>
    <w:rsid w:val="008C00AD"/>
    <w:rsid w:val="008C2D4A"/>
    <w:rsid w:val="008C6A05"/>
    <w:rsid w:val="008C7DBB"/>
    <w:rsid w:val="008D27F8"/>
    <w:rsid w:val="008D3383"/>
    <w:rsid w:val="008D3900"/>
    <w:rsid w:val="008D6E1D"/>
    <w:rsid w:val="008D6EDB"/>
    <w:rsid w:val="008E2BBD"/>
    <w:rsid w:val="008E36FE"/>
    <w:rsid w:val="008E622A"/>
    <w:rsid w:val="008E6D3C"/>
    <w:rsid w:val="008F2EB6"/>
    <w:rsid w:val="008F39B4"/>
    <w:rsid w:val="008F4162"/>
    <w:rsid w:val="008F533A"/>
    <w:rsid w:val="008F7C1B"/>
    <w:rsid w:val="009034D2"/>
    <w:rsid w:val="00903E02"/>
    <w:rsid w:val="009110D5"/>
    <w:rsid w:val="0091312C"/>
    <w:rsid w:val="00913175"/>
    <w:rsid w:val="00916EDB"/>
    <w:rsid w:val="00920861"/>
    <w:rsid w:val="00922B13"/>
    <w:rsid w:val="0092342E"/>
    <w:rsid w:val="009242EF"/>
    <w:rsid w:val="00924AB9"/>
    <w:rsid w:val="00932291"/>
    <w:rsid w:val="00933B1B"/>
    <w:rsid w:val="0093408E"/>
    <w:rsid w:val="00940467"/>
    <w:rsid w:val="0094092F"/>
    <w:rsid w:val="00942973"/>
    <w:rsid w:val="00943929"/>
    <w:rsid w:val="00947507"/>
    <w:rsid w:val="00952DDF"/>
    <w:rsid w:val="00952EC4"/>
    <w:rsid w:val="009653CE"/>
    <w:rsid w:val="00967C2F"/>
    <w:rsid w:val="00972423"/>
    <w:rsid w:val="009812D4"/>
    <w:rsid w:val="00982653"/>
    <w:rsid w:val="009873F4"/>
    <w:rsid w:val="009920D8"/>
    <w:rsid w:val="00993B51"/>
    <w:rsid w:val="009A10F9"/>
    <w:rsid w:val="009A371F"/>
    <w:rsid w:val="009A4869"/>
    <w:rsid w:val="009B38BE"/>
    <w:rsid w:val="009B4556"/>
    <w:rsid w:val="009B682F"/>
    <w:rsid w:val="009C06F3"/>
    <w:rsid w:val="009C3D0F"/>
    <w:rsid w:val="009D6232"/>
    <w:rsid w:val="009E1B19"/>
    <w:rsid w:val="009E1D6D"/>
    <w:rsid w:val="009E37E3"/>
    <w:rsid w:val="009E67BE"/>
    <w:rsid w:val="009E79B6"/>
    <w:rsid w:val="009F35E2"/>
    <w:rsid w:val="009F438B"/>
    <w:rsid w:val="009F65F9"/>
    <w:rsid w:val="009F68BA"/>
    <w:rsid w:val="009F74C4"/>
    <w:rsid w:val="00A0580D"/>
    <w:rsid w:val="00A06277"/>
    <w:rsid w:val="00A064BF"/>
    <w:rsid w:val="00A079DC"/>
    <w:rsid w:val="00A07DA7"/>
    <w:rsid w:val="00A10BAB"/>
    <w:rsid w:val="00A111C2"/>
    <w:rsid w:val="00A1632D"/>
    <w:rsid w:val="00A17C39"/>
    <w:rsid w:val="00A21440"/>
    <w:rsid w:val="00A21562"/>
    <w:rsid w:val="00A238AA"/>
    <w:rsid w:val="00A338E7"/>
    <w:rsid w:val="00A35CAA"/>
    <w:rsid w:val="00A36E7F"/>
    <w:rsid w:val="00A41E65"/>
    <w:rsid w:val="00A426F9"/>
    <w:rsid w:val="00A43517"/>
    <w:rsid w:val="00A43E0A"/>
    <w:rsid w:val="00A46247"/>
    <w:rsid w:val="00A465B3"/>
    <w:rsid w:val="00A47821"/>
    <w:rsid w:val="00A47F07"/>
    <w:rsid w:val="00A530C7"/>
    <w:rsid w:val="00A55F5B"/>
    <w:rsid w:val="00A60185"/>
    <w:rsid w:val="00A611EE"/>
    <w:rsid w:val="00A622EC"/>
    <w:rsid w:val="00A6460C"/>
    <w:rsid w:val="00A661EA"/>
    <w:rsid w:val="00A66263"/>
    <w:rsid w:val="00A6775C"/>
    <w:rsid w:val="00A70A6C"/>
    <w:rsid w:val="00A75CC0"/>
    <w:rsid w:val="00A75E24"/>
    <w:rsid w:val="00A830E5"/>
    <w:rsid w:val="00A83DF5"/>
    <w:rsid w:val="00A84BF3"/>
    <w:rsid w:val="00A87135"/>
    <w:rsid w:val="00A904DE"/>
    <w:rsid w:val="00A93280"/>
    <w:rsid w:val="00A93C73"/>
    <w:rsid w:val="00A951EA"/>
    <w:rsid w:val="00A961A6"/>
    <w:rsid w:val="00A973E1"/>
    <w:rsid w:val="00A97F71"/>
    <w:rsid w:val="00AA1C65"/>
    <w:rsid w:val="00AA2548"/>
    <w:rsid w:val="00AA3B6E"/>
    <w:rsid w:val="00AA58C4"/>
    <w:rsid w:val="00AB11C8"/>
    <w:rsid w:val="00AB1C8A"/>
    <w:rsid w:val="00AB2248"/>
    <w:rsid w:val="00AC08A8"/>
    <w:rsid w:val="00AC2C20"/>
    <w:rsid w:val="00AC7FBF"/>
    <w:rsid w:val="00AD20F6"/>
    <w:rsid w:val="00AD56C8"/>
    <w:rsid w:val="00AD58F2"/>
    <w:rsid w:val="00AD70EA"/>
    <w:rsid w:val="00AD764B"/>
    <w:rsid w:val="00AE5712"/>
    <w:rsid w:val="00AF5EA3"/>
    <w:rsid w:val="00AF6573"/>
    <w:rsid w:val="00AF65FE"/>
    <w:rsid w:val="00AF7690"/>
    <w:rsid w:val="00B0452E"/>
    <w:rsid w:val="00B0512A"/>
    <w:rsid w:val="00B0529F"/>
    <w:rsid w:val="00B05D52"/>
    <w:rsid w:val="00B1418B"/>
    <w:rsid w:val="00B151A0"/>
    <w:rsid w:val="00B1520C"/>
    <w:rsid w:val="00B1560E"/>
    <w:rsid w:val="00B17A5D"/>
    <w:rsid w:val="00B21195"/>
    <w:rsid w:val="00B22B3D"/>
    <w:rsid w:val="00B24B22"/>
    <w:rsid w:val="00B25310"/>
    <w:rsid w:val="00B32F8F"/>
    <w:rsid w:val="00B36764"/>
    <w:rsid w:val="00B3733A"/>
    <w:rsid w:val="00B42C1C"/>
    <w:rsid w:val="00B43F50"/>
    <w:rsid w:val="00B44699"/>
    <w:rsid w:val="00B4690F"/>
    <w:rsid w:val="00B47C42"/>
    <w:rsid w:val="00B510B1"/>
    <w:rsid w:val="00B52C90"/>
    <w:rsid w:val="00B53D59"/>
    <w:rsid w:val="00B54DE9"/>
    <w:rsid w:val="00B553EC"/>
    <w:rsid w:val="00B55870"/>
    <w:rsid w:val="00B60059"/>
    <w:rsid w:val="00B60232"/>
    <w:rsid w:val="00B77732"/>
    <w:rsid w:val="00B803AB"/>
    <w:rsid w:val="00B80D6D"/>
    <w:rsid w:val="00B819F0"/>
    <w:rsid w:val="00B83638"/>
    <w:rsid w:val="00B877D2"/>
    <w:rsid w:val="00B9154F"/>
    <w:rsid w:val="00B9165F"/>
    <w:rsid w:val="00B93DD0"/>
    <w:rsid w:val="00B96B12"/>
    <w:rsid w:val="00B97732"/>
    <w:rsid w:val="00BA0849"/>
    <w:rsid w:val="00BA56D7"/>
    <w:rsid w:val="00BA65A8"/>
    <w:rsid w:val="00BA6A97"/>
    <w:rsid w:val="00BA6D19"/>
    <w:rsid w:val="00BA7461"/>
    <w:rsid w:val="00BA7DA9"/>
    <w:rsid w:val="00BC268A"/>
    <w:rsid w:val="00BC4215"/>
    <w:rsid w:val="00BD0396"/>
    <w:rsid w:val="00BD1A6F"/>
    <w:rsid w:val="00BD1EB2"/>
    <w:rsid w:val="00BD5B71"/>
    <w:rsid w:val="00BE6D3C"/>
    <w:rsid w:val="00BE7852"/>
    <w:rsid w:val="00BF6D87"/>
    <w:rsid w:val="00BF7CEE"/>
    <w:rsid w:val="00C00296"/>
    <w:rsid w:val="00C01F83"/>
    <w:rsid w:val="00C03880"/>
    <w:rsid w:val="00C135CF"/>
    <w:rsid w:val="00C2683F"/>
    <w:rsid w:val="00C3184D"/>
    <w:rsid w:val="00C379E3"/>
    <w:rsid w:val="00C43084"/>
    <w:rsid w:val="00C4714E"/>
    <w:rsid w:val="00C50941"/>
    <w:rsid w:val="00C5299E"/>
    <w:rsid w:val="00C52E5A"/>
    <w:rsid w:val="00C5504F"/>
    <w:rsid w:val="00C55991"/>
    <w:rsid w:val="00C600B9"/>
    <w:rsid w:val="00C63376"/>
    <w:rsid w:val="00C6495C"/>
    <w:rsid w:val="00C66CB4"/>
    <w:rsid w:val="00C74F97"/>
    <w:rsid w:val="00C76A08"/>
    <w:rsid w:val="00C803D7"/>
    <w:rsid w:val="00C8276E"/>
    <w:rsid w:val="00C83AD1"/>
    <w:rsid w:val="00C842AC"/>
    <w:rsid w:val="00C85B7B"/>
    <w:rsid w:val="00C92AD5"/>
    <w:rsid w:val="00C93152"/>
    <w:rsid w:val="00C93FD9"/>
    <w:rsid w:val="00C96688"/>
    <w:rsid w:val="00CA0682"/>
    <w:rsid w:val="00CA0723"/>
    <w:rsid w:val="00CA1BF6"/>
    <w:rsid w:val="00CA243E"/>
    <w:rsid w:val="00CA4542"/>
    <w:rsid w:val="00CB1690"/>
    <w:rsid w:val="00CB777F"/>
    <w:rsid w:val="00CC27E7"/>
    <w:rsid w:val="00CC28C0"/>
    <w:rsid w:val="00CC2B33"/>
    <w:rsid w:val="00CC4365"/>
    <w:rsid w:val="00CD11B0"/>
    <w:rsid w:val="00CD5E0E"/>
    <w:rsid w:val="00CD7369"/>
    <w:rsid w:val="00CE71C2"/>
    <w:rsid w:val="00CF2242"/>
    <w:rsid w:val="00CF42D5"/>
    <w:rsid w:val="00CF4EDA"/>
    <w:rsid w:val="00CF562A"/>
    <w:rsid w:val="00CF5929"/>
    <w:rsid w:val="00D00281"/>
    <w:rsid w:val="00D01E11"/>
    <w:rsid w:val="00D021CB"/>
    <w:rsid w:val="00D07F7D"/>
    <w:rsid w:val="00D10C4C"/>
    <w:rsid w:val="00D10F1A"/>
    <w:rsid w:val="00D116F8"/>
    <w:rsid w:val="00D15280"/>
    <w:rsid w:val="00D17596"/>
    <w:rsid w:val="00D17FCB"/>
    <w:rsid w:val="00D22640"/>
    <w:rsid w:val="00D26D3A"/>
    <w:rsid w:val="00D36944"/>
    <w:rsid w:val="00D373D5"/>
    <w:rsid w:val="00D441B2"/>
    <w:rsid w:val="00D45A14"/>
    <w:rsid w:val="00D45C91"/>
    <w:rsid w:val="00D45EE3"/>
    <w:rsid w:val="00D50618"/>
    <w:rsid w:val="00D509E9"/>
    <w:rsid w:val="00D53B1C"/>
    <w:rsid w:val="00D56BD5"/>
    <w:rsid w:val="00D57BF9"/>
    <w:rsid w:val="00D61714"/>
    <w:rsid w:val="00D620BE"/>
    <w:rsid w:val="00D622B9"/>
    <w:rsid w:val="00D635C2"/>
    <w:rsid w:val="00D652C8"/>
    <w:rsid w:val="00D656FF"/>
    <w:rsid w:val="00D7513A"/>
    <w:rsid w:val="00D82276"/>
    <w:rsid w:val="00D82448"/>
    <w:rsid w:val="00D83615"/>
    <w:rsid w:val="00D83AAD"/>
    <w:rsid w:val="00D94860"/>
    <w:rsid w:val="00D94B6F"/>
    <w:rsid w:val="00D94E67"/>
    <w:rsid w:val="00D97037"/>
    <w:rsid w:val="00D97F23"/>
    <w:rsid w:val="00DA1B12"/>
    <w:rsid w:val="00DA3816"/>
    <w:rsid w:val="00DA4F90"/>
    <w:rsid w:val="00DA54C9"/>
    <w:rsid w:val="00DA6739"/>
    <w:rsid w:val="00DA6C21"/>
    <w:rsid w:val="00DA6CAE"/>
    <w:rsid w:val="00DB1A9E"/>
    <w:rsid w:val="00DB31D6"/>
    <w:rsid w:val="00DB3296"/>
    <w:rsid w:val="00DB4005"/>
    <w:rsid w:val="00DB44E2"/>
    <w:rsid w:val="00DB61F1"/>
    <w:rsid w:val="00DC325B"/>
    <w:rsid w:val="00DC34EB"/>
    <w:rsid w:val="00DC4E2E"/>
    <w:rsid w:val="00DC6F8A"/>
    <w:rsid w:val="00DC78C0"/>
    <w:rsid w:val="00DD1A21"/>
    <w:rsid w:val="00DD763B"/>
    <w:rsid w:val="00DE2C10"/>
    <w:rsid w:val="00DE5805"/>
    <w:rsid w:val="00DF14C9"/>
    <w:rsid w:val="00DF1E5B"/>
    <w:rsid w:val="00DF2275"/>
    <w:rsid w:val="00DF3F5E"/>
    <w:rsid w:val="00DF4BED"/>
    <w:rsid w:val="00DF5653"/>
    <w:rsid w:val="00E0596E"/>
    <w:rsid w:val="00E06F66"/>
    <w:rsid w:val="00E17F4A"/>
    <w:rsid w:val="00E20810"/>
    <w:rsid w:val="00E2111A"/>
    <w:rsid w:val="00E21678"/>
    <w:rsid w:val="00E270CE"/>
    <w:rsid w:val="00E344AA"/>
    <w:rsid w:val="00E356E5"/>
    <w:rsid w:val="00E36F81"/>
    <w:rsid w:val="00E378A8"/>
    <w:rsid w:val="00E40B9B"/>
    <w:rsid w:val="00E45765"/>
    <w:rsid w:val="00E5098C"/>
    <w:rsid w:val="00E5141C"/>
    <w:rsid w:val="00E54ECD"/>
    <w:rsid w:val="00E55EC2"/>
    <w:rsid w:val="00E574EF"/>
    <w:rsid w:val="00E57CD8"/>
    <w:rsid w:val="00E57E07"/>
    <w:rsid w:val="00E60213"/>
    <w:rsid w:val="00E661B2"/>
    <w:rsid w:val="00E71ED1"/>
    <w:rsid w:val="00E73CFD"/>
    <w:rsid w:val="00E74D29"/>
    <w:rsid w:val="00E806FF"/>
    <w:rsid w:val="00E81084"/>
    <w:rsid w:val="00E81C32"/>
    <w:rsid w:val="00E83C74"/>
    <w:rsid w:val="00E83CEE"/>
    <w:rsid w:val="00E91F18"/>
    <w:rsid w:val="00E9226D"/>
    <w:rsid w:val="00E96424"/>
    <w:rsid w:val="00EA2A91"/>
    <w:rsid w:val="00EA416C"/>
    <w:rsid w:val="00EA5941"/>
    <w:rsid w:val="00EB07A1"/>
    <w:rsid w:val="00EB0865"/>
    <w:rsid w:val="00EB60CE"/>
    <w:rsid w:val="00EB7D53"/>
    <w:rsid w:val="00EB7FBB"/>
    <w:rsid w:val="00EC0CD3"/>
    <w:rsid w:val="00EC37F0"/>
    <w:rsid w:val="00EC596B"/>
    <w:rsid w:val="00ED5EEB"/>
    <w:rsid w:val="00EE13C5"/>
    <w:rsid w:val="00EE2626"/>
    <w:rsid w:val="00EE3146"/>
    <w:rsid w:val="00EE5ACD"/>
    <w:rsid w:val="00EF50BB"/>
    <w:rsid w:val="00EF5270"/>
    <w:rsid w:val="00EF71E4"/>
    <w:rsid w:val="00EF78DD"/>
    <w:rsid w:val="00F00192"/>
    <w:rsid w:val="00F01926"/>
    <w:rsid w:val="00F01DF6"/>
    <w:rsid w:val="00F01F5A"/>
    <w:rsid w:val="00F027B8"/>
    <w:rsid w:val="00F0340D"/>
    <w:rsid w:val="00F035F2"/>
    <w:rsid w:val="00F054DB"/>
    <w:rsid w:val="00F059A6"/>
    <w:rsid w:val="00F14A04"/>
    <w:rsid w:val="00F23756"/>
    <w:rsid w:val="00F2464C"/>
    <w:rsid w:val="00F2523A"/>
    <w:rsid w:val="00F25CD5"/>
    <w:rsid w:val="00F25FFA"/>
    <w:rsid w:val="00F310D2"/>
    <w:rsid w:val="00F31E11"/>
    <w:rsid w:val="00F32C77"/>
    <w:rsid w:val="00F33A52"/>
    <w:rsid w:val="00F36F3D"/>
    <w:rsid w:val="00F37C48"/>
    <w:rsid w:val="00F477BD"/>
    <w:rsid w:val="00F50333"/>
    <w:rsid w:val="00F53491"/>
    <w:rsid w:val="00F53965"/>
    <w:rsid w:val="00F54656"/>
    <w:rsid w:val="00F55386"/>
    <w:rsid w:val="00F56411"/>
    <w:rsid w:val="00F60181"/>
    <w:rsid w:val="00F657D7"/>
    <w:rsid w:val="00F65A1C"/>
    <w:rsid w:val="00F66F50"/>
    <w:rsid w:val="00F77432"/>
    <w:rsid w:val="00F81162"/>
    <w:rsid w:val="00F82FF8"/>
    <w:rsid w:val="00F8330A"/>
    <w:rsid w:val="00F8330D"/>
    <w:rsid w:val="00F83F5A"/>
    <w:rsid w:val="00F84305"/>
    <w:rsid w:val="00F8485C"/>
    <w:rsid w:val="00F87149"/>
    <w:rsid w:val="00F87FFE"/>
    <w:rsid w:val="00F90DFD"/>
    <w:rsid w:val="00F954C9"/>
    <w:rsid w:val="00FA164C"/>
    <w:rsid w:val="00FA4CF0"/>
    <w:rsid w:val="00FA61AA"/>
    <w:rsid w:val="00FA69A4"/>
    <w:rsid w:val="00FB0E64"/>
    <w:rsid w:val="00FB1279"/>
    <w:rsid w:val="00FB1495"/>
    <w:rsid w:val="00FB5604"/>
    <w:rsid w:val="00FC20F8"/>
    <w:rsid w:val="00FC59B7"/>
    <w:rsid w:val="00FD1694"/>
    <w:rsid w:val="00FD2134"/>
    <w:rsid w:val="00FD7636"/>
    <w:rsid w:val="00FE3229"/>
    <w:rsid w:val="00FE74C3"/>
    <w:rsid w:val="00FF215C"/>
    <w:rsid w:val="00FF2EE3"/>
    <w:rsid w:val="00FF4301"/>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AdviceText">
    <w:name w:val="Advice Text"/>
    <w:basedOn w:val="Normal"/>
    <w:qFormat/>
    <w:rsid w:val="001748AC"/>
  </w:style>
  <w:style w:type="character" w:customStyle="1" w:styleId="tgc">
    <w:name w:val="_tgc"/>
    <w:basedOn w:val="DefaultParagraphFont"/>
    <w:rsid w:val="0065354D"/>
  </w:style>
</w:styles>
</file>

<file path=word/webSettings.xml><?xml version="1.0" encoding="utf-8"?>
<w:webSettings xmlns:r="http://schemas.openxmlformats.org/officeDocument/2006/relationships" xmlns:w="http://schemas.openxmlformats.org/wordprocessingml/2006/main">
  <w:divs>
    <w:div w:id="50539617">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81897369">
      <w:bodyDiv w:val="1"/>
      <w:marLeft w:val="0"/>
      <w:marRight w:val="0"/>
      <w:marTop w:val="0"/>
      <w:marBottom w:val="0"/>
      <w:divBdr>
        <w:top w:val="none" w:sz="0" w:space="0" w:color="auto"/>
        <w:left w:val="none" w:sz="0" w:space="0" w:color="auto"/>
        <w:bottom w:val="none" w:sz="0" w:space="0" w:color="auto"/>
        <w:right w:val="none" w:sz="0" w:space="0" w:color="auto"/>
      </w:divBdr>
    </w:div>
    <w:div w:id="18967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committee-advice/proposals/drayton-south-coal-mine-project-adv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sc.environment.gov.au/pubs/iesc-information-guidelin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nvironment.gov.au/system/files/resources/0b71dfb9-8fea-44c7-a908-826118d403c8/files/nwqms-monitoring-report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esc.environment.gov.au/committee-advice/proposals/drayton-south-coal-project-ad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4359</Words>
  <Characters>24851</Characters>
  <Application>Microsoft Office Word</Application>
  <DocSecurity>4</DocSecurity>
  <Lines>207</Lines>
  <Paragraphs>58</Paragraphs>
  <ScaleCrop>false</ScaleCrop>
  <LinksUpToDate>false</LinksUpToDate>
  <CharactersWithSpaces>29152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2015-069: Drayton South Coal Project (EPBC 2014/7402) – Expansion</dc:title>
  <dc:creator/>
  <cp:lastModifiedBy/>
  <cp:revision>1</cp:revision>
  <dcterms:created xsi:type="dcterms:W3CDTF">2015-07-31T05:14:00Z</dcterms:created>
  <dcterms:modified xsi:type="dcterms:W3CDTF">2015-07-31T05:14:00Z</dcterms:modified>
</cp:coreProperties>
</file>