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1432A8" w:rsidRDefault="00F027B8" w:rsidP="00D622B9">
      <w:pPr>
        <w:pStyle w:val="Header"/>
      </w:pPr>
      <w:r w:rsidRPr="001432A8">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1432A8" w:rsidRDefault="00F027B8" w:rsidP="00D622B9">
      <w:pPr>
        <w:pStyle w:val="Header"/>
      </w:pPr>
    </w:p>
    <w:p w:rsidR="00F027B8" w:rsidRPr="001432A8" w:rsidRDefault="00F027B8" w:rsidP="00D622B9">
      <w:pPr>
        <w:pStyle w:val="Header"/>
      </w:pPr>
    </w:p>
    <w:p w:rsidR="00F027B8" w:rsidRPr="001432A8" w:rsidRDefault="00F027B8" w:rsidP="00D622B9">
      <w:pPr>
        <w:pStyle w:val="Header"/>
      </w:pPr>
    </w:p>
    <w:p w:rsidR="00F027B8" w:rsidRPr="001432A8" w:rsidRDefault="00F027B8" w:rsidP="00D622B9">
      <w:pPr>
        <w:pStyle w:val="Heading1"/>
      </w:pPr>
    </w:p>
    <w:p w:rsidR="001765DA" w:rsidRPr="001432A8" w:rsidRDefault="00F027B8" w:rsidP="00D622B9">
      <w:pPr>
        <w:pStyle w:val="Heading1"/>
      </w:pPr>
      <w:bookmarkStart w:id="0" w:name="OLE_LINK5"/>
      <w:bookmarkStart w:id="1" w:name="OLE_LINK6"/>
      <w:r w:rsidRPr="001432A8">
        <w:t>Advi</w:t>
      </w:r>
      <w:r w:rsidR="001765DA" w:rsidRPr="001432A8">
        <w:t>ce to decision maker on coal mining</w:t>
      </w:r>
      <w:r w:rsidR="00FF013A" w:rsidRPr="001432A8">
        <w:t xml:space="preserve"> project</w:t>
      </w:r>
    </w:p>
    <w:p w:rsidR="004861E6" w:rsidRPr="001432A8" w:rsidRDefault="00D10C4C" w:rsidP="00D622B9">
      <w:pPr>
        <w:pStyle w:val="Heading2"/>
      </w:pPr>
      <w:r w:rsidRPr="001432A8">
        <w:t xml:space="preserve">IESC </w:t>
      </w:r>
      <w:r w:rsidR="00C43084" w:rsidRPr="001432A8">
        <w:t>201</w:t>
      </w:r>
      <w:r w:rsidR="007360FD">
        <w:t>5</w:t>
      </w:r>
      <w:r w:rsidR="00CC27E7" w:rsidRPr="001432A8">
        <w:t>-</w:t>
      </w:r>
      <w:r w:rsidRPr="001432A8">
        <w:t>0</w:t>
      </w:r>
      <w:r w:rsidR="007360FD">
        <w:t>64</w:t>
      </w:r>
      <w:r w:rsidR="001765DA" w:rsidRPr="001432A8">
        <w:t>:</w:t>
      </w:r>
      <w:r w:rsidR="002974BC" w:rsidRPr="001432A8">
        <w:t xml:space="preserve"> </w:t>
      </w:r>
      <w:r w:rsidR="007360FD">
        <w:rPr>
          <w:rFonts w:ascii="Arial Bold" w:hAnsi="Arial Bold"/>
        </w:rPr>
        <w:t>Drayton South Coal Project</w:t>
      </w:r>
      <w:r w:rsidR="00C803D7" w:rsidRPr="001432A8">
        <w:t xml:space="preserve"> –</w:t>
      </w:r>
      <w:r w:rsidR="00FF013A" w:rsidRPr="001432A8">
        <w:t xml:space="preserve"> </w:t>
      </w:r>
      <w:r w:rsidR="00C803D7" w:rsidRPr="001432A8">
        <w:t>Expansion</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1432A8" w:rsidTr="009110D5">
        <w:trPr>
          <w:trHeight w:val="563"/>
        </w:trPr>
        <w:tc>
          <w:tcPr>
            <w:tcW w:w="1809" w:type="dxa"/>
            <w:tcBorders>
              <w:top w:val="single" w:sz="4" w:space="0" w:color="auto"/>
              <w:bottom w:val="single" w:sz="4" w:space="0" w:color="auto"/>
            </w:tcBorders>
          </w:tcPr>
          <w:bookmarkEnd w:id="0"/>
          <w:bookmarkEnd w:id="1"/>
          <w:p w:rsidR="001765DA" w:rsidRPr="001432A8" w:rsidRDefault="001765DA" w:rsidP="00D622B9">
            <w:pPr>
              <w:pStyle w:val="Heading6"/>
            </w:pPr>
            <w:r w:rsidRPr="001432A8">
              <w:t>Requesting agency</w:t>
            </w:r>
          </w:p>
        </w:tc>
        <w:tc>
          <w:tcPr>
            <w:tcW w:w="8159" w:type="dxa"/>
            <w:tcBorders>
              <w:top w:val="single" w:sz="4" w:space="0" w:color="auto"/>
              <w:bottom w:val="single" w:sz="4" w:space="0" w:color="auto"/>
            </w:tcBorders>
          </w:tcPr>
          <w:p w:rsidR="003E2BDB" w:rsidRPr="001432A8" w:rsidRDefault="00B1520C" w:rsidP="007360FD">
            <w:pPr>
              <w:pStyle w:val="Tabletext"/>
            </w:pPr>
            <w:r w:rsidRPr="001432A8">
              <w:t xml:space="preserve">The </w:t>
            </w:r>
            <w:r w:rsidR="00C43084" w:rsidRPr="001432A8">
              <w:t xml:space="preserve">New South Wales </w:t>
            </w:r>
            <w:r w:rsidR="007360FD">
              <w:t>Mining and Petroleum Gateway Panel</w:t>
            </w:r>
            <w:r w:rsidR="003E2BDB" w:rsidRPr="001432A8">
              <w:t xml:space="preserve"> </w:t>
            </w:r>
          </w:p>
        </w:tc>
      </w:tr>
      <w:tr w:rsidR="001765DA" w:rsidRPr="001432A8" w:rsidTr="009110D5">
        <w:trPr>
          <w:trHeight w:val="19"/>
        </w:trPr>
        <w:tc>
          <w:tcPr>
            <w:tcW w:w="1809" w:type="dxa"/>
            <w:tcBorders>
              <w:top w:val="single" w:sz="4" w:space="0" w:color="auto"/>
              <w:bottom w:val="single" w:sz="4" w:space="0" w:color="auto"/>
            </w:tcBorders>
          </w:tcPr>
          <w:p w:rsidR="001765DA" w:rsidRPr="001432A8" w:rsidRDefault="001765DA" w:rsidP="00D622B9">
            <w:pPr>
              <w:pStyle w:val="Heading6"/>
            </w:pPr>
            <w:r w:rsidRPr="001432A8">
              <w:t>Date of request</w:t>
            </w:r>
          </w:p>
        </w:tc>
        <w:tc>
          <w:tcPr>
            <w:tcW w:w="8159" w:type="dxa"/>
            <w:tcBorders>
              <w:top w:val="single" w:sz="4" w:space="0" w:color="auto"/>
              <w:bottom w:val="single" w:sz="4" w:space="0" w:color="auto"/>
            </w:tcBorders>
          </w:tcPr>
          <w:p w:rsidR="001765DA" w:rsidRPr="001432A8" w:rsidRDefault="00905FC7" w:rsidP="00905FC7">
            <w:pPr>
              <w:pStyle w:val="Tabletext"/>
            </w:pPr>
            <w:r>
              <w:t>27 January</w:t>
            </w:r>
            <w:r w:rsidR="00FF013A" w:rsidRPr="001432A8">
              <w:t> 201</w:t>
            </w:r>
            <w:r>
              <w:t>5</w:t>
            </w:r>
          </w:p>
        </w:tc>
      </w:tr>
      <w:tr w:rsidR="00185039" w:rsidRPr="001432A8" w:rsidTr="009110D5">
        <w:trPr>
          <w:trHeight w:val="19"/>
        </w:trPr>
        <w:tc>
          <w:tcPr>
            <w:tcW w:w="1809" w:type="dxa"/>
            <w:tcBorders>
              <w:top w:val="single" w:sz="4" w:space="0" w:color="auto"/>
              <w:bottom w:val="single" w:sz="4" w:space="0" w:color="auto"/>
            </w:tcBorders>
          </w:tcPr>
          <w:p w:rsidR="00185039" w:rsidRPr="001432A8" w:rsidRDefault="00185039" w:rsidP="00D622B9">
            <w:pPr>
              <w:pStyle w:val="Heading6"/>
            </w:pPr>
            <w:r w:rsidRPr="001432A8">
              <w:t>Date request accepted</w:t>
            </w:r>
          </w:p>
        </w:tc>
        <w:tc>
          <w:tcPr>
            <w:tcW w:w="8159" w:type="dxa"/>
            <w:tcBorders>
              <w:top w:val="single" w:sz="4" w:space="0" w:color="auto"/>
              <w:bottom w:val="single" w:sz="4" w:space="0" w:color="auto"/>
            </w:tcBorders>
          </w:tcPr>
          <w:p w:rsidR="00185039" w:rsidRPr="001432A8" w:rsidRDefault="00905FC7" w:rsidP="00905FC7">
            <w:pPr>
              <w:pStyle w:val="Tabletext"/>
            </w:pPr>
            <w:r>
              <w:t>27</w:t>
            </w:r>
            <w:r w:rsidR="00226327" w:rsidRPr="001432A8">
              <w:t xml:space="preserve"> </w:t>
            </w:r>
            <w:r>
              <w:t>January</w:t>
            </w:r>
            <w:r w:rsidR="00226327" w:rsidRPr="001432A8">
              <w:t xml:space="preserve"> </w:t>
            </w:r>
            <w:r w:rsidR="00185039" w:rsidRPr="001432A8">
              <w:t>201</w:t>
            </w:r>
            <w:r>
              <w:t>5</w:t>
            </w:r>
          </w:p>
        </w:tc>
      </w:tr>
      <w:tr w:rsidR="00062A46" w:rsidRPr="001432A8" w:rsidTr="009110D5">
        <w:trPr>
          <w:trHeight w:val="19"/>
        </w:trPr>
        <w:tc>
          <w:tcPr>
            <w:tcW w:w="1809" w:type="dxa"/>
            <w:tcBorders>
              <w:top w:val="single" w:sz="4" w:space="0" w:color="auto"/>
              <w:bottom w:val="single" w:sz="4" w:space="0" w:color="auto"/>
            </w:tcBorders>
          </w:tcPr>
          <w:p w:rsidR="00062A46" w:rsidRPr="001432A8" w:rsidRDefault="00062A46" w:rsidP="00D622B9">
            <w:pPr>
              <w:pStyle w:val="Heading6"/>
            </w:pPr>
            <w:r w:rsidRPr="001432A8">
              <w:t xml:space="preserve">Advice stage </w:t>
            </w:r>
          </w:p>
        </w:tc>
        <w:tc>
          <w:tcPr>
            <w:tcW w:w="8159" w:type="dxa"/>
            <w:tcBorders>
              <w:top w:val="single" w:sz="4" w:space="0" w:color="auto"/>
              <w:bottom w:val="single" w:sz="4" w:space="0" w:color="auto"/>
            </w:tcBorders>
          </w:tcPr>
          <w:p w:rsidR="00062A46" w:rsidRPr="001432A8" w:rsidRDefault="007360FD" w:rsidP="006F719A">
            <w:pPr>
              <w:pStyle w:val="Tabletext"/>
              <w:rPr>
                <w:lang w:eastAsia="en-AU"/>
              </w:rPr>
            </w:pPr>
            <w:r>
              <w:rPr>
                <w:lang w:eastAsia="en-AU"/>
              </w:rPr>
              <w:t>Gateway Application</w:t>
            </w:r>
          </w:p>
        </w:tc>
      </w:tr>
    </w:tbl>
    <w:p w:rsidR="00A622EC" w:rsidRPr="001432A8" w:rsidRDefault="00A622EC" w:rsidP="00D622B9">
      <w:pPr>
        <w:pStyle w:val="Heading3"/>
      </w:pPr>
      <w:r w:rsidRPr="001432A8">
        <w:t>Context</w:t>
      </w:r>
    </w:p>
    <w:p w:rsidR="00A622EC" w:rsidRPr="001432A8" w:rsidRDefault="00A622EC" w:rsidP="00F37CF0">
      <w:pPr>
        <w:pStyle w:val="AdviceText"/>
      </w:pPr>
      <w:r w:rsidRPr="001432A8">
        <w:t>The Independent Expert Scientific Committee on Coal Seam Gas and Large Coal Mining Development (the IESC) was requested by the New South Wa</w:t>
      </w:r>
      <w:r w:rsidR="00400F8F" w:rsidRPr="001432A8">
        <w:t xml:space="preserve">les </w:t>
      </w:r>
      <w:r w:rsidR="00905FC7">
        <w:t>Mining and Petroleum Gateway Panel</w:t>
      </w:r>
      <w:r w:rsidRPr="001432A8">
        <w:t xml:space="preserve"> </w:t>
      </w:r>
      <w:r w:rsidR="00067D86" w:rsidRPr="001432A8">
        <w:t xml:space="preserve">to provide advice on </w:t>
      </w:r>
      <w:r w:rsidR="00371BEE" w:rsidRPr="001432A8">
        <w:t>the</w:t>
      </w:r>
      <w:r w:rsidR="00067D86" w:rsidRPr="001432A8">
        <w:t xml:space="preserve"> </w:t>
      </w:r>
      <w:r w:rsidR="00905FC7">
        <w:t>Drayton South Coal Project</w:t>
      </w:r>
      <w:r w:rsidRPr="001432A8">
        <w:t xml:space="preserve"> </w:t>
      </w:r>
      <w:r w:rsidR="00905FC7">
        <w:t xml:space="preserve">in New South Wales </w:t>
      </w:r>
      <w:r w:rsidR="00371BEE" w:rsidRPr="001432A8">
        <w:t xml:space="preserve">proposed by </w:t>
      </w:r>
      <w:r w:rsidR="00905FC7">
        <w:t>Anglo American Metallurgical Coal Pty Ltd</w:t>
      </w:r>
      <w:r w:rsidRPr="001432A8">
        <w:t>.</w:t>
      </w:r>
    </w:p>
    <w:p w:rsidR="00566335" w:rsidRDefault="00566335" w:rsidP="00566335">
      <w:pPr>
        <w:pStyle w:val="AdviceText"/>
      </w:pPr>
      <w:r>
        <w:t xml:space="preserve">The IESC has previously provided advice to the Commonwealth Department of Sustainability, Environment, Water, Population and Communities on the initial project proposal for the Drayton South Coal Project (1 February 2013). The </w:t>
      </w:r>
      <w:r w:rsidR="00C76B8A">
        <w:t>previous</w:t>
      </w:r>
      <w:r>
        <w:t xml:space="preserve"> advice was provided prior to the introduction of the ‘water trigger’ and should be read in this context.</w:t>
      </w:r>
    </w:p>
    <w:p w:rsidR="00CE1D06" w:rsidRDefault="00A622EC" w:rsidP="00F37CF0">
      <w:pPr>
        <w:pStyle w:val="AdviceText"/>
      </w:pPr>
      <w:r w:rsidRPr="001432A8">
        <w:t>This advice draws upon aspects of information in the</w:t>
      </w:r>
      <w:r w:rsidR="00067D86" w:rsidRPr="001432A8">
        <w:t xml:space="preserve"> </w:t>
      </w:r>
      <w:r w:rsidR="00EB5C73">
        <w:t>Gateway Certificate Application</w:t>
      </w:r>
      <w:r w:rsidRPr="001432A8">
        <w:t>, together with the expert deliberations of the IESC. The project documentation</w:t>
      </w:r>
      <w:r w:rsidR="00680C1E">
        <w:t xml:space="preserve"> </w:t>
      </w:r>
      <w:r w:rsidR="00680C1E" w:rsidRPr="008E6F22">
        <w:t>in relation to water</w:t>
      </w:r>
      <w:r w:rsidR="00680C1E">
        <w:t xml:space="preserve"> is </w:t>
      </w:r>
      <w:r w:rsidR="00C76B8A">
        <w:t xml:space="preserve">largely </w:t>
      </w:r>
      <w:r w:rsidR="00680C1E">
        <w:t xml:space="preserve">the same as provided in the </w:t>
      </w:r>
      <w:r w:rsidR="00F11E41" w:rsidRPr="008E6F22">
        <w:t>2012</w:t>
      </w:r>
      <w:r w:rsidRPr="001432A8">
        <w:t xml:space="preserve"> </w:t>
      </w:r>
      <w:r w:rsidR="00680C1E">
        <w:t xml:space="preserve">documentation although the project has been </w:t>
      </w:r>
      <w:r w:rsidR="00C76B8A">
        <w:t>reduced in scale</w:t>
      </w:r>
      <w:r w:rsidR="00680C1E">
        <w:t>. I</w:t>
      </w:r>
      <w:r w:rsidRPr="001432A8">
        <w:t xml:space="preserve">nformation accessed by the IESC </w:t>
      </w:r>
      <w:r w:rsidR="00C76B8A">
        <w:t>is</w:t>
      </w:r>
      <w:r w:rsidRPr="001432A8">
        <w:t xml:space="preserve"> listed in the source documentation at the end of this advice.</w:t>
      </w:r>
      <w:r w:rsidR="00C97EBE">
        <w:t xml:space="preserve"> </w:t>
      </w:r>
    </w:p>
    <w:p w:rsidR="008E6F22" w:rsidRDefault="00067D86" w:rsidP="00F37CF0">
      <w:pPr>
        <w:pStyle w:val="AdviceText"/>
      </w:pPr>
      <w:r w:rsidRPr="001432A8">
        <w:t xml:space="preserve">The </w:t>
      </w:r>
      <w:r w:rsidR="003C438B">
        <w:t xml:space="preserve">currently proposed </w:t>
      </w:r>
      <w:r w:rsidR="00EB5C73">
        <w:t>Drayton South Coal</w:t>
      </w:r>
      <w:r w:rsidRPr="001432A8">
        <w:t xml:space="preserve"> Project (</w:t>
      </w:r>
      <w:r w:rsidR="001F1F77" w:rsidRPr="001432A8">
        <w:t>the proposed project</w:t>
      </w:r>
      <w:r w:rsidRPr="001432A8">
        <w:t xml:space="preserve">) is an extension to the existing </w:t>
      </w:r>
      <w:r w:rsidR="00EB5C73">
        <w:t>Drayton</w:t>
      </w:r>
      <w:r w:rsidRPr="001432A8">
        <w:t xml:space="preserve"> </w:t>
      </w:r>
      <w:r w:rsidR="004617F0" w:rsidRPr="001432A8">
        <w:t>C</w:t>
      </w:r>
      <w:r w:rsidRPr="001432A8">
        <w:t xml:space="preserve">oal </w:t>
      </w:r>
      <w:r w:rsidR="004617F0" w:rsidRPr="001432A8">
        <w:t>M</w:t>
      </w:r>
      <w:r w:rsidRPr="001432A8">
        <w:t xml:space="preserve">ine </w:t>
      </w:r>
      <w:r w:rsidR="001942C2">
        <w:t xml:space="preserve">and is </w:t>
      </w:r>
      <w:r w:rsidRPr="001432A8">
        <w:t xml:space="preserve">located </w:t>
      </w:r>
      <w:r w:rsidR="00EB5C73">
        <w:t>approximately 13 kilometres south of Muswellbrook in the Hunter Valley</w:t>
      </w:r>
      <w:r w:rsidRPr="001432A8">
        <w:t xml:space="preserve">. </w:t>
      </w:r>
      <w:r w:rsidR="001A4F93">
        <w:t xml:space="preserve">Anglo American </w:t>
      </w:r>
      <w:r w:rsidR="00C52C7B">
        <w:t>has</w:t>
      </w:r>
      <w:r w:rsidR="001A4F93">
        <w:t xml:space="preserve"> operated Drayton Mine for over 30 years and the current project approval 06_0202 held for Drayton Mine expires in 2017.</w:t>
      </w:r>
      <w:r w:rsidR="00EB5C73">
        <w:t xml:space="preserve"> </w:t>
      </w:r>
    </w:p>
    <w:p w:rsidR="00067D86" w:rsidRPr="001432A8" w:rsidRDefault="008E6F22" w:rsidP="00F37CF0">
      <w:pPr>
        <w:pStyle w:val="AdviceText"/>
      </w:pPr>
      <w:r>
        <w:t xml:space="preserve">Drayton mine is located about </w:t>
      </w:r>
      <w:r w:rsidR="00AA1303">
        <w:t>six</w:t>
      </w:r>
      <w:r>
        <w:t xml:space="preserve"> kilometres northeast of the proposed Drayton South Coal Project and produces more than </w:t>
      </w:r>
      <w:r w:rsidR="00AA1303">
        <w:t>five</w:t>
      </w:r>
      <w:r>
        <w:t xml:space="preserve"> million tonnes per annum of thermal coal within a lease area of 1,768</w:t>
      </w:r>
      <w:r w:rsidR="00C74BA8">
        <w:t> </w:t>
      </w:r>
      <w:r>
        <w:t>hectares (Anglo</w:t>
      </w:r>
      <w:r w:rsidR="00F02F70">
        <w:t xml:space="preserve"> </w:t>
      </w:r>
      <w:r>
        <w:t>American 2013). As at December 2012 the reserve estimate was approximately 12</w:t>
      </w:r>
      <w:r w:rsidR="00AA1303">
        <w:t> </w:t>
      </w:r>
      <w:r>
        <w:t>million tonnes, with an additional 12 million tonnes outside the current mine layout.</w:t>
      </w:r>
      <w:r w:rsidRPr="001432A8">
        <w:t xml:space="preserve"> </w:t>
      </w:r>
      <w:r>
        <w:t xml:space="preserve">In addition, the existing Mt Arthur coal mine is located about </w:t>
      </w:r>
      <w:r w:rsidR="00AA1303">
        <w:t>three</w:t>
      </w:r>
      <w:r>
        <w:t xml:space="preserve"> kilometres north of the proposed project.</w:t>
      </w:r>
      <w:r w:rsidR="00A22361" w:rsidRPr="001432A8">
        <w:t xml:space="preserve"> </w:t>
      </w:r>
    </w:p>
    <w:p w:rsidR="0082036F" w:rsidRPr="001A4F93" w:rsidRDefault="00067D86" w:rsidP="00F37CF0">
      <w:pPr>
        <w:pStyle w:val="AdviceText"/>
        <w:rPr>
          <w:highlight w:val="yellow"/>
        </w:rPr>
      </w:pPr>
      <w:r w:rsidRPr="001432A8">
        <w:t xml:space="preserve">The </w:t>
      </w:r>
      <w:r w:rsidR="00D735F4" w:rsidRPr="001432A8">
        <w:t>proposed project</w:t>
      </w:r>
      <w:r w:rsidR="00554406" w:rsidRPr="001432A8">
        <w:t xml:space="preserve"> </w:t>
      </w:r>
      <w:r w:rsidRPr="001432A8">
        <w:t xml:space="preserve">will produce </w:t>
      </w:r>
      <w:r w:rsidR="001A4F93">
        <w:t xml:space="preserve">up to </w:t>
      </w:r>
      <w:r w:rsidR="00C72E4C">
        <w:t>seven</w:t>
      </w:r>
      <w:r w:rsidRPr="001432A8">
        <w:t> </w:t>
      </w:r>
      <w:r w:rsidR="00C72E4C">
        <w:t>m</w:t>
      </w:r>
      <w:r w:rsidR="00D73260" w:rsidRPr="001432A8">
        <w:t xml:space="preserve">illion </w:t>
      </w:r>
      <w:r w:rsidRPr="001432A8">
        <w:t>t</w:t>
      </w:r>
      <w:r w:rsidR="00D73260" w:rsidRPr="001432A8">
        <w:t xml:space="preserve">onnes </w:t>
      </w:r>
      <w:r w:rsidRPr="001432A8">
        <w:t>p</w:t>
      </w:r>
      <w:r w:rsidR="00D73260" w:rsidRPr="001432A8">
        <w:t xml:space="preserve">er </w:t>
      </w:r>
      <w:r w:rsidRPr="001432A8">
        <w:t>a</w:t>
      </w:r>
      <w:r w:rsidR="00D73260" w:rsidRPr="001432A8">
        <w:t xml:space="preserve">nnum </w:t>
      </w:r>
      <w:r w:rsidR="001A4F93">
        <w:t xml:space="preserve">of thermal coal for a further 15 years, mining a resource of </w:t>
      </w:r>
      <w:r w:rsidR="00C52C7B">
        <w:t>approximately</w:t>
      </w:r>
      <w:r w:rsidR="001A4F93">
        <w:t xml:space="preserve"> 75 </w:t>
      </w:r>
      <w:r w:rsidR="00C72E4C">
        <w:t>m</w:t>
      </w:r>
      <w:r w:rsidR="001A4F93">
        <w:t>illion tonnes</w:t>
      </w:r>
      <w:r w:rsidRPr="001432A8">
        <w:t>.</w:t>
      </w:r>
      <w:r w:rsidR="00A22361" w:rsidRPr="001432A8">
        <w:t xml:space="preserve"> </w:t>
      </w:r>
      <w:r w:rsidR="00D6228F" w:rsidRPr="00C97EBE">
        <w:t xml:space="preserve">The </w:t>
      </w:r>
      <w:r w:rsidR="00C72E4C">
        <w:t xml:space="preserve">proposed </w:t>
      </w:r>
      <w:r w:rsidR="00D6228F" w:rsidRPr="00C97EBE">
        <w:t xml:space="preserve">project </w:t>
      </w:r>
      <w:r w:rsidR="00C97EBE" w:rsidRPr="00C97EBE">
        <w:t xml:space="preserve">will result in </w:t>
      </w:r>
      <w:r w:rsidR="00C97EBE" w:rsidRPr="00C97EBE">
        <w:lastRenderedPageBreak/>
        <w:t>direct impacts to approximately 1470.9 h</w:t>
      </w:r>
      <w:r w:rsidR="00096D13">
        <w:t>ectares</w:t>
      </w:r>
      <w:r w:rsidR="001942C2">
        <w:t xml:space="preserve"> of land and</w:t>
      </w:r>
      <w:r w:rsidR="00FD0C97">
        <w:t xml:space="preserve"> the creation of a </w:t>
      </w:r>
      <w:r w:rsidR="00CF116A">
        <w:t xml:space="preserve">final </w:t>
      </w:r>
      <w:r w:rsidR="001942C2">
        <w:t>void lake. It will require</w:t>
      </w:r>
      <w:r w:rsidR="00FD0C97">
        <w:t xml:space="preserve"> </w:t>
      </w:r>
      <w:r w:rsidR="001C77A5">
        <w:t xml:space="preserve">construction of a transport </w:t>
      </w:r>
      <w:r w:rsidR="00C72E4C">
        <w:t>corridor to the new mining area;</w:t>
      </w:r>
      <w:r w:rsidR="001C77A5">
        <w:t xml:space="preserve"> realignment of a section of </w:t>
      </w:r>
      <w:proofErr w:type="spellStart"/>
      <w:r w:rsidR="001C77A5">
        <w:t>Edderton</w:t>
      </w:r>
      <w:proofErr w:type="spellEnd"/>
      <w:r w:rsidR="001C77A5">
        <w:t xml:space="preserve"> Road</w:t>
      </w:r>
      <w:r w:rsidR="00C72E4C">
        <w:t>;</w:t>
      </w:r>
      <w:r w:rsidR="00CE1D06">
        <w:t xml:space="preserve"> and installation of water management infrastructure</w:t>
      </w:r>
      <w:r w:rsidR="00D6228F" w:rsidRPr="00C97EBE">
        <w:t>.</w:t>
      </w:r>
      <w:r w:rsidR="00D6228F" w:rsidRPr="001A4F93">
        <w:rPr>
          <w:highlight w:val="yellow"/>
        </w:rPr>
        <w:t xml:space="preserve"> </w:t>
      </w:r>
    </w:p>
    <w:p w:rsidR="000C20AD" w:rsidRDefault="000C20AD">
      <w:pPr>
        <w:autoSpaceDE/>
        <w:autoSpaceDN/>
        <w:adjustRightInd/>
        <w:spacing w:after="0" w:line="240" w:lineRule="auto"/>
      </w:pPr>
    </w:p>
    <w:p w:rsidR="000C20AD" w:rsidRDefault="000C20AD">
      <w:pPr>
        <w:autoSpaceDE/>
        <w:autoSpaceDN/>
        <w:adjustRightInd/>
        <w:spacing w:after="0" w:line="240" w:lineRule="auto"/>
        <w:rPr>
          <w:u w:val="single"/>
        </w:rPr>
      </w:pPr>
      <w:r w:rsidRPr="000C20AD">
        <w:rPr>
          <w:u w:val="single"/>
        </w:rPr>
        <w:t>Assessment against information guidelines</w:t>
      </w:r>
    </w:p>
    <w:p w:rsidR="000C20AD" w:rsidRDefault="000C20AD">
      <w:pPr>
        <w:autoSpaceDE/>
        <w:autoSpaceDN/>
        <w:adjustRightInd/>
        <w:spacing w:after="0" w:line="240" w:lineRule="auto"/>
        <w:rPr>
          <w:u w:val="single"/>
        </w:rPr>
      </w:pPr>
    </w:p>
    <w:p w:rsidR="00432FBD" w:rsidRDefault="000C20AD" w:rsidP="000C20AD">
      <w:pPr>
        <w:autoSpaceDE/>
        <w:autoSpaceDN/>
        <w:adjustRightInd/>
      </w:pPr>
      <w:r>
        <w:t>The IESC recognises that the Application for a Gateway Certificate addresses the cri</w:t>
      </w:r>
      <w:r w:rsidR="00AA1303">
        <w:t>teria specified as part of the G</w:t>
      </w:r>
      <w:r>
        <w:t xml:space="preserve">ateway process and does not contain the level of </w:t>
      </w:r>
      <w:r w:rsidR="006B28CF">
        <w:t>detail</w:t>
      </w:r>
      <w:r>
        <w:t xml:space="preserve"> expected for the subsequent development application and accompanying environmental assessment. </w:t>
      </w:r>
    </w:p>
    <w:p w:rsidR="00432FBD" w:rsidRDefault="00432FBD" w:rsidP="000C20AD">
      <w:pPr>
        <w:autoSpaceDE/>
        <w:autoSpaceDN/>
        <w:adjustRightInd/>
        <w:rPr>
          <w:i/>
          <w:u w:val="single"/>
        </w:rPr>
      </w:pPr>
      <w:r w:rsidRPr="00432FBD">
        <w:rPr>
          <w:i/>
        </w:rPr>
        <w:t>Relevant data and information: key conclusions</w:t>
      </w:r>
    </w:p>
    <w:p w:rsidR="00432FBD" w:rsidRDefault="008E6F22" w:rsidP="000C20AD">
      <w:pPr>
        <w:autoSpaceDE/>
        <w:autoSpaceDN/>
        <w:adjustRightInd/>
      </w:pPr>
      <w:r>
        <w:t>Updated w</w:t>
      </w:r>
      <w:r w:rsidR="00FA1E6F">
        <w:t>ater</w:t>
      </w:r>
      <w:r w:rsidR="001E6100">
        <w:t>-</w:t>
      </w:r>
      <w:r w:rsidR="00FA1E6F">
        <w:t>related</w:t>
      </w:r>
      <w:r w:rsidR="00432FBD">
        <w:t xml:space="preserve"> information has </w:t>
      </w:r>
      <w:r w:rsidR="00FA1E6F">
        <w:t xml:space="preserve">not been </w:t>
      </w:r>
      <w:r>
        <w:t xml:space="preserve">provided </w:t>
      </w:r>
      <w:r w:rsidR="00FA1E6F">
        <w:t>for</w:t>
      </w:r>
      <w:r w:rsidR="004E01F2">
        <w:t xml:space="preserve"> the proposed project.</w:t>
      </w:r>
      <w:r w:rsidR="005B0E8D">
        <w:t xml:space="preserve"> </w:t>
      </w:r>
      <w:r w:rsidR="00BA5D5F">
        <w:t xml:space="preserve">Data </w:t>
      </w:r>
      <w:r w:rsidR="00AA1303">
        <w:t>are</w:t>
      </w:r>
      <w:r w:rsidR="00BA5D5F">
        <w:t xml:space="preserve"> needed on the magnitude and variability of </w:t>
      </w:r>
      <w:r w:rsidR="00CF3B39">
        <w:t xml:space="preserve">surface </w:t>
      </w:r>
      <w:r w:rsidR="00BA5D5F">
        <w:t xml:space="preserve">flows (including </w:t>
      </w:r>
      <w:proofErr w:type="spellStart"/>
      <w:r w:rsidR="00BA5D5F">
        <w:t>baseflow</w:t>
      </w:r>
      <w:proofErr w:type="spellEnd"/>
      <w:r w:rsidR="00BA5D5F">
        <w:t>) and subsequent response of groundwater levels within the alluvium to different climatic events, in order to understand and quantify the actual alluvial recharge processes in the Hunter River and Saddlers Creek.</w:t>
      </w:r>
    </w:p>
    <w:p w:rsidR="00432FBD" w:rsidRDefault="00432FBD" w:rsidP="000C20AD">
      <w:pPr>
        <w:autoSpaceDE/>
        <w:autoSpaceDN/>
        <w:adjustRightInd/>
        <w:rPr>
          <w:i/>
        </w:rPr>
      </w:pPr>
      <w:r w:rsidRPr="00432FBD">
        <w:rPr>
          <w:i/>
        </w:rPr>
        <w:t>Application of appropriate methodologies</w:t>
      </w:r>
    </w:p>
    <w:p w:rsidR="00BA0DA8" w:rsidRPr="00112D34" w:rsidRDefault="004F5473" w:rsidP="000C20AD">
      <w:pPr>
        <w:autoSpaceDE/>
        <w:autoSpaceDN/>
        <w:adjustRightInd/>
      </w:pPr>
      <w:r w:rsidRPr="00112D34">
        <w:t xml:space="preserve">If </w:t>
      </w:r>
      <w:r w:rsidR="008025BF" w:rsidRPr="00112D34">
        <w:t>adequate</w:t>
      </w:r>
      <w:r w:rsidRPr="00112D34">
        <w:t xml:space="preserve"> additional temporal data </w:t>
      </w:r>
      <w:r w:rsidR="00AA1303" w:rsidRPr="00112D34">
        <w:t xml:space="preserve">on stream flows and groundwater level variability within the Hunter and Saddlers Creek alluvium </w:t>
      </w:r>
      <w:r w:rsidRPr="00112D34">
        <w:t xml:space="preserve">has been collected since the previous assessment (2012) </w:t>
      </w:r>
      <w:r w:rsidR="006B28CF" w:rsidRPr="00112D34">
        <w:t xml:space="preserve">it should be incorporated into the groundwater model. The model should </w:t>
      </w:r>
      <w:r w:rsidR="00C74BA8" w:rsidRPr="00112D34">
        <w:t xml:space="preserve">be calibrated </w:t>
      </w:r>
      <w:r w:rsidR="00BE5A16" w:rsidRPr="00112D34">
        <w:t>us</w:t>
      </w:r>
      <w:r w:rsidR="00C74BA8" w:rsidRPr="00112D34">
        <w:t>ing</w:t>
      </w:r>
      <w:r w:rsidR="00BE5A16" w:rsidRPr="00112D34">
        <w:t xml:space="preserve"> </w:t>
      </w:r>
      <w:r w:rsidRPr="00112D34">
        <w:t xml:space="preserve">transient </w:t>
      </w:r>
      <w:r w:rsidR="00C74BA8" w:rsidRPr="00112D34">
        <w:t xml:space="preserve">data and </w:t>
      </w:r>
      <w:r w:rsidR="00BE5A16" w:rsidRPr="00112D34">
        <w:t>variable river boundary conditions</w:t>
      </w:r>
      <w:r w:rsidR="006B28CF" w:rsidRPr="00112D34">
        <w:t xml:space="preserve">. </w:t>
      </w:r>
      <w:r w:rsidR="00C74BA8" w:rsidRPr="00112D34">
        <w:t>To improve confidence in temporal predictions of groundwater - surface water interactions and in estimates of river recharge through the alluvium, t</w:t>
      </w:r>
      <w:r w:rsidR="006B28CF" w:rsidRPr="00112D34">
        <w:t>he</w:t>
      </w:r>
      <w:r w:rsidR="00BE5A16" w:rsidRPr="00112D34">
        <w:t xml:space="preserve"> model </w:t>
      </w:r>
      <w:r w:rsidR="006B28CF" w:rsidRPr="00112D34">
        <w:t>should use</w:t>
      </w:r>
      <w:r w:rsidR="00BE5A16" w:rsidRPr="00112D34">
        <w:t xml:space="preserve"> shorter </w:t>
      </w:r>
      <w:r w:rsidR="003006CB" w:rsidRPr="00112D34">
        <w:t>time steps</w:t>
      </w:r>
      <w:r w:rsidR="00BE5A16" w:rsidRPr="00112D34">
        <w:t xml:space="preserve"> and </w:t>
      </w:r>
      <w:r w:rsidRPr="00112D34">
        <w:t xml:space="preserve">finer </w:t>
      </w:r>
      <w:proofErr w:type="spellStart"/>
      <w:r w:rsidRPr="00112D34">
        <w:t>discretisation</w:t>
      </w:r>
      <w:proofErr w:type="spellEnd"/>
      <w:r w:rsidR="00BE5A16" w:rsidRPr="00112D34">
        <w:t xml:space="preserve"> in the vicinity of alluvium. </w:t>
      </w:r>
    </w:p>
    <w:p w:rsidR="00DB3A01" w:rsidRPr="00112D34" w:rsidRDefault="00432FBD" w:rsidP="000C20AD">
      <w:pPr>
        <w:autoSpaceDE/>
        <w:autoSpaceDN/>
        <w:adjustRightInd/>
        <w:rPr>
          <w:i/>
        </w:rPr>
      </w:pPr>
      <w:r w:rsidRPr="00112D34">
        <w:rPr>
          <w:i/>
        </w:rPr>
        <w:t>Reasonable values and parameters in calculations: key conclusions</w:t>
      </w:r>
    </w:p>
    <w:p w:rsidR="00F11E41" w:rsidRDefault="006B28CF" w:rsidP="00F11E41">
      <w:pPr>
        <w:autoSpaceDE/>
        <w:autoSpaceDN/>
        <w:adjustRightInd/>
      </w:pPr>
      <w:r w:rsidRPr="00112D34">
        <w:t>Appropriate g</w:t>
      </w:r>
      <w:r w:rsidR="000F35BE" w:rsidRPr="00112D34">
        <w:t>roundwater model s</w:t>
      </w:r>
      <w:r w:rsidR="000C659A" w:rsidRPr="00112D34">
        <w:t xml:space="preserve">ensitivity analysis should consider ranges of parameter values </w:t>
      </w:r>
      <w:r w:rsidRPr="00112D34">
        <w:t>that are likely to be representative of the system</w:t>
      </w:r>
      <w:r w:rsidR="000C659A" w:rsidRPr="00112D34">
        <w:t xml:space="preserve">. </w:t>
      </w:r>
      <w:r w:rsidR="0070204E" w:rsidRPr="00112D34">
        <w:t xml:space="preserve">Estimations of travel time from </w:t>
      </w:r>
      <w:r w:rsidR="008025BF" w:rsidRPr="00112D34">
        <w:t xml:space="preserve">the newly proposed </w:t>
      </w:r>
      <w:r w:rsidR="0070204E" w:rsidRPr="00112D34">
        <w:t xml:space="preserve">mine void should include estimates </w:t>
      </w:r>
      <w:r w:rsidR="00CF3B39" w:rsidRPr="00112D34">
        <w:t xml:space="preserve">for flow directly to </w:t>
      </w:r>
      <w:r w:rsidR="00AA1303" w:rsidRPr="00112D34">
        <w:t xml:space="preserve">the </w:t>
      </w:r>
      <w:r w:rsidR="00CF3B39" w:rsidRPr="00112D34">
        <w:t>Hunter River and via Saddlers Creek and its tributaries</w:t>
      </w:r>
      <w:r w:rsidR="0070204E" w:rsidRPr="00112D34">
        <w:t xml:space="preserve"> and include a simple uncertainty analysis which considers a range of hydraulic and porosity values representative of undisturbed and</w:t>
      </w:r>
      <w:r w:rsidRPr="00112D34">
        <w:t>,</w:t>
      </w:r>
      <w:r w:rsidR="0070204E" w:rsidRPr="00112D34">
        <w:t xml:space="preserve"> if applicable, reinstated material.</w:t>
      </w:r>
    </w:p>
    <w:p w:rsidR="007203C3" w:rsidRPr="00C079C8" w:rsidRDefault="007203C3" w:rsidP="00D622B9">
      <w:pPr>
        <w:pStyle w:val="Heading3"/>
      </w:pPr>
      <w:r w:rsidRPr="00C079C8">
        <w:t>Advice</w:t>
      </w:r>
    </w:p>
    <w:p w:rsidR="007203C3" w:rsidRPr="00C079C8" w:rsidRDefault="007203C3" w:rsidP="007203C3">
      <w:pPr>
        <w:pStyle w:val="Default"/>
        <w:spacing w:after="200" w:line="276" w:lineRule="auto"/>
        <w:rPr>
          <w:rFonts w:ascii="Arial" w:eastAsia="Times New Roman" w:hAnsi="Arial" w:cs="Arial"/>
          <w:color w:val="auto"/>
          <w:sz w:val="20"/>
          <w:szCs w:val="20"/>
          <w:lang w:eastAsia="en-US"/>
        </w:rPr>
      </w:pPr>
      <w:r w:rsidRPr="00C079C8">
        <w:rPr>
          <w:rFonts w:ascii="Arial" w:eastAsia="Times New Roman" w:hAnsi="Arial" w:cs="Arial"/>
          <w:color w:val="auto"/>
          <w:sz w:val="20"/>
          <w:szCs w:val="20"/>
          <w:lang w:eastAsia="en-US"/>
        </w:rPr>
        <w:t xml:space="preserve">The </w:t>
      </w:r>
      <w:r w:rsidR="00CF562A" w:rsidRPr="00C079C8">
        <w:rPr>
          <w:rFonts w:ascii="Arial" w:eastAsia="Times New Roman" w:hAnsi="Arial" w:cs="Arial"/>
          <w:color w:val="auto"/>
          <w:sz w:val="20"/>
          <w:szCs w:val="20"/>
          <w:lang w:eastAsia="en-US"/>
        </w:rPr>
        <w:t>IESC</w:t>
      </w:r>
      <w:r w:rsidRPr="00C079C8">
        <w:rPr>
          <w:rFonts w:ascii="Arial" w:eastAsia="Times New Roman" w:hAnsi="Arial" w:cs="Arial"/>
          <w:color w:val="auto"/>
          <w:sz w:val="20"/>
          <w:szCs w:val="20"/>
          <w:lang w:eastAsia="en-US"/>
        </w:rPr>
        <w:t xml:space="preserve">’s advice, in response to the </w:t>
      </w:r>
      <w:r w:rsidR="00E57CD8" w:rsidRPr="00C079C8">
        <w:rPr>
          <w:rFonts w:ascii="Arial" w:eastAsia="Times New Roman" w:hAnsi="Arial" w:cs="Arial"/>
          <w:color w:val="auto"/>
          <w:sz w:val="20"/>
          <w:szCs w:val="20"/>
          <w:lang w:eastAsia="en-US"/>
        </w:rPr>
        <w:t xml:space="preserve">requesting </w:t>
      </w:r>
      <w:r w:rsidR="00C72E4C">
        <w:rPr>
          <w:rFonts w:ascii="Arial" w:eastAsia="Times New Roman" w:hAnsi="Arial" w:cs="Arial"/>
          <w:color w:val="auto"/>
          <w:sz w:val="20"/>
          <w:szCs w:val="20"/>
          <w:lang w:eastAsia="en-US"/>
        </w:rPr>
        <w:t>agency’s</w:t>
      </w:r>
      <w:r w:rsidRPr="00C079C8">
        <w:rPr>
          <w:rFonts w:ascii="Arial" w:eastAsia="Times New Roman" w:hAnsi="Arial" w:cs="Arial"/>
          <w:color w:val="auto"/>
          <w:sz w:val="20"/>
          <w:szCs w:val="20"/>
          <w:lang w:eastAsia="en-US"/>
        </w:rPr>
        <w:t xml:space="preserve"> specific questions is provided below. </w:t>
      </w:r>
    </w:p>
    <w:p w:rsidR="007203C3" w:rsidRPr="00C079C8" w:rsidRDefault="007203C3" w:rsidP="00D622B9">
      <w:pPr>
        <w:pStyle w:val="Question"/>
        <w:rPr>
          <w:lang w:eastAsia="en-AU"/>
        </w:rPr>
      </w:pPr>
      <w:r w:rsidRPr="00C079C8">
        <w:t xml:space="preserve">Question 1: </w:t>
      </w:r>
      <w:r w:rsidR="00FD0C97">
        <w:t xml:space="preserve">It would be appreciated if the IESC could advise on the potential likelihood and significance of any impacts of the proposal on water resources, as well as advise on the appropriateness of proposed mitigation measures. </w:t>
      </w:r>
    </w:p>
    <w:p w:rsidR="007203C3" w:rsidRPr="00C079C8" w:rsidRDefault="00CF5929" w:rsidP="00D622B9">
      <w:pPr>
        <w:pStyle w:val="Heading4"/>
      </w:pPr>
      <w:r w:rsidRPr="00C079C8">
        <w:t>Response</w:t>
      </w:r>
    </w:p>
    <w:p w:rsidR="00027E79" w:rsidRDefault="001E6100" w:rsidP="00F70F76">
      <w:pPr>
        <w:pStyle w:val="ListNumber"/>
      </w:pPr>
      <w:r>
        <w:t>In its previous advice t</w:t>
      </w:r>
      <w:r w:rsidR="008025BF">
        <w:t>he IESC considered, based on the information available, that the site</w:t>
      </w:r>
      <w:r w:rsidR="00496ABB">
        <w:t>-</w:t>
      </w:r>
      <w:r w:rsidR="008025BF">
        <w:t>specific water</w:t>
      </w:r>
      <w:r w:rsidR="00D350F8">
        <w:t>-</w:t>
      </w:r>
      <w:r w:rsidR="008025BF">
        <w:t xml:space="preserve">related impacts may be minimal. </w:t>
      </w:r>
      <w:r w:rsidR="003C438B" w:rsidRPr="00C640BC">
        <w:t>The limited level of up-to-date detail in the project documentation at the Gateway stage restricts the ability</w:t>
      </w:r>
      <w:r w:rsidR="00F16922" w:rsidRPr="00C640BC">
        <w:t xml:space="preserve"> of the IESC to assess the likelihood and significance of impacts to water resources from the proposed project.</w:t>
      </w:r>
      <w:r w:rsidR="00C640BC" w:rsidRPr="00C640BC">
        <w:t xml:space="preserve"> However given the current project proposal has reduced in scale</w:t>
      </w:r>
      <w:r w:rsidR="0085172B">
        <w:t xml:space="preserve"> (spatially and temporally)</w:t>
      </w:r>
      <w:r w:rsidR="00C640BC" w:rsidRPr="00C640BC">
        <w:t xml:space="preserve"> the </w:t>
      </w:r>
      <w:r w:rsidR="00822C5E">
        <w:t xml:space="preserve">significance of </w:t>
      </w:r>
      <w:r w:rsidR="00C640BC" w:rsidRPr="00C640BC">
        <w:t>site</w:t>
      </w:r>
      <w:r w:rsidR="00496ABB">
        <w:t>-</w:t>
      </w:r>
      <w:r w:rsidR="00C640BC" w:rsidRPr="00C640BC">
        <w:t xml:space="preserve">specific impacts to water resources </w:t>
      </w:r>
      <w:r w:rsidR="006B28CF">
        <w:t>is</w:t>
      </w:r>
      <w:r w:rsidR="00C640BC" w:rsidRPr="00C640BC">
        <w:t xml:space="preserve"> likely </w:t>
      </w:r>
      <w:r w:rsidR="004734F8">
        <w:t>to be reduced from those previously considered by the IESC</w:t>
      </w:r>
      <w:r w:rsidR="007043E2">
        <w:t xml:space="preserve"> (1 February 2013</w:t>
      </w:r>
      <w:r w:rsidR="009A7B95">
        <w:t>, see attached</w:t>
      </w:r>
      <w:r w:rsidR="007043E2">
        <w:t>)</w:t>
      </w:r>
      <w:r w:rsidR="00C640BC" w:rsidRPr="00C640BC">
        <w:t>.</w:t>
      </w:r>
    </w:p>
    <w:p w:rsidR="006B28CF" w:rsidRDefault="00032147" w:rsidP="00F70F76">
      <w:pPr>
        <w:pStyle w:val="ListNumber"/>
      </w:pPr>
      <w:r>
        <w:t xml:space="preserve">Key </w:t>
      </w:r>
      <w:r w:rsidR="000F35BE">
        <w:t xml:space="preserve">potential </w:t>
      </w:r>
      <w:r w:rsidR="00E45ECA">
        <w:t xml:space="preserve">impacts </w:t>
      </w:r>
      <w:r w:rsidR="009A7B95">
        <w:t>associated with the proposed project</w:t>
      </w:r>
      <w:r>
        <w:t xml:space="preserve"> include</w:t>
      </w:r>
      <w:r w:rsidR="006B28CF">
        <w:t>:</w:t>
      </w:r>
    </w:p>
    <w:p w:rsidR="008F0996" w:rsidRDefault="00032147" w:rsidP="008F0996">
      <w:pPr>
        <w:pStyle w:val="ListNumber2"/>
      </w:pPr>
      <w:r>
        <w:lastRenderedPageBreak/>
        <w:t>reduction in flows to Saddlers Creek</w:t>
      </w:r>
      <w:r w:rsidR="009541AB">
        <w:t xml:space="preserve"> and </w:t>
      </w:r>
      <w:r w:rsidR="008F0996">
        <w:t xml:space="preserve">the </w:t>
      </w:r>
      <w:r w:rsidR="009541AB">
        <w:t xml:space="preserve">associated influence on </w:t>
      </w:r>
      <w:r w:rsidR="000F35BE">
        <w:t xml:space="preserve">water quality and quantity affecting riparian ecosystems (including </w:t>
      </w:r>
      <w:r w:rsidR="002440B8">
        <w:t>groundwater dependent ecosystems (</w:t>
      </w:r>
      <w:r w:rsidR="000F35BE">
        <w:t>GDEs)</w:t>
      </w:r>
      <w:r w:rsidR="002440B8">
        <w:t>)</w:t>
      </w:r>
      <w:r w:rsidR="000F35BE">
        <w:t xml:space="preserve"> and </w:t>
      </w:r>
      <w:r w:rsidR="009541AB">
        <w:t>any proposed rehabilitation program</w:t>
      </w:r>
      <w:r>
        <w:t xml:space="preserve"> </w:t>
      </w:r>
    </w:p>
    <w:p w:rsidR="008F0996" w:rsidRDefault="009541AB" w:rsidP="008F0996">
      <w:pPr>
        <w:pStyle w:val="ListNumber2"/>
      </w:pPr>
      <w:r>
        <w:t xml:space="preserve">water quality </w:t>
      </w:r>
      <w:r w:rsidR="00822C5E">
        <w:t xml:space="preserve">issues associated with </w:t>
      </w:r>
      <w:r w:rsidR="008F0996">
        <w:t xml:space="preserve">seepage from </w:t>
      </w:r>
      <w:r>
        <w:t>the proposed</w:t>
      </w:r>
      <w:r w:rsidR="00032147">
        <w:t xml:space="preserve"> </w:t>
      </w:r>
      <w:r w:rsidR="00CF116A">
        <w:t xml:space="preserve">final </w:t>
      </w:r>
      <w:r w:rsidR="00032147">
        <w:t>void</w:t>
      </w:r>
      <w:r>
        <w:t xml:space="preserve"> lake</w:t>
      </w:r>
      <w:r w:rsidR="00032147">
        <w:t xml:space="preserve"> </w:t>
      </w:r>
    </w:p>
    <w:p w:rsidR="008F0996" w:rsidRDefault="00540BB8" w:rsidP="008F0996">
      <w:pPr>
        <w:pStyle w:val="ListNumber2"/>
      </w:pPr>
      <w:r>
        <w:t xml:space="preserve">effects of </w:t>
      </w:r>
      <w:r w:rsidR="00822C5E">
        <w:t xml:space="preserve">mine water </w:t>
      </w:r>
      <w:r w:rsidR="00032147">
        <w:t>discharges to the Hunter River</w:t>
      </w:r>
      <w:r w:rsidR="002440B8">
        <w:t>, S</w:t>
      </w:r>
      <w:r w:rsidR="00CF3B39">
        <w:t xml:space="preserve">addlers Creek </w:t>
      </w:r>
      <w:r w:rsidR="008A05C0">
        <w:t>and</w:t>
      </w:r>
      <w:r w:rsidR="00CF3B39">
        <w:t xml:space="preserve"> their</w:t>
      </w:r>
      <w:r w:rsidR="008A05C0">
        <w:t xml:space="preserve"> </w:t>
      </w:r>
      <w:proofErr w:type="spellStart"/>
      <w:r w:rsidR="008A05C0">
        <w:t>instream</w:t>
      </w:r>
      <w:proofErr w:type="spellEnd"/>
      <w:r w:rsidR="008A05C0">
        <w:t xml:space="preserve"> communities</w:t>
      </w:r>
      <w:r w:rsidR="008F0996">
        <w:t>, and</w:t>
      </w:r>
    </w:p>
    <w:p w:rsidR="008F0996" w:rsidRPr="00CB11DD" w:rsidRDefault="00032147" w:rsidP="008F0996">
      <w:pPr>
        <w:pStyle w:val="ListNumber2"/>
      </w:pPr>
      <w:proofErr w:type="gramStart"/>
      <w:r w:rsidRPr="00CB11DD">
        <w:t>cumulative</w:t>
      </w:r>
      <w:proofErr w:type="gramEnd"/>
      <w:r w:rsidRPr="00CB11DD">
        <w:t xml:space="preserve"> impact </w:t>
      </w:r>
      <w:r w:rsidR="009541AB" w:rsidRPr="00CB11DD">
        <w:t xml:space="preserve">on groundwater systems </w:t>
      </w:r>
      <w:r w:rsidRPr="00CB11DD">
        <w:t>of the proposed project</w:t>
      </w:r>
      <w:r w:rsidR="00CB11DD" w:rsidRPr="00CB11DD">
        <w:t xml:space="preserve">, </w:t>
      </w:r>
      <w:r w:rsidRPr="00CB11DD">
        <w:t>adjacent min</w:t>
      </w:r>
      <w:r w:rsidR="00025613" w:rsidRPr="00CB11DD">
        <w:t>ing operations</w:t>
      </w:r>
      <w:r w:rsidR="00CB11DD" w:rsidRPr="00CB11DD">
        <w:t>,</w:t>
      </w:r>
      <w:r w:rsidR="00025613" w:rsidRPr="00CB11DD">
        <w:t xml:space="preserve"> and other water users</w:t>
      </w:r>
      <w:r w:rsidRPr="00CB11DD">
        <w:t xml:space="preserve">. </w:t>
      </w:r>
    </w:p>
    <w:p w:rsidR="00032147" w:rsidRPr="00C640BC" w:rsidRDefault="00025613" w:rsidP="008F0996">
      <w:pPr>
        <w:pStyle w:val="ListNumber"/>
        <w:numPr>
          <w:ilvl w:val="0"/>
          <w:numId w:val="0"/>
        </w:numPr>
        <w:ind w:left="369"/>
      </w:pPr>
      <w:r>
        <w:t xml:space="preserve">Potential impacts to water resources and the </w:t>
      </w:r>
      <w:r w:rsidR="00822C5E">
        <w:t>appropriateness</w:t>
      </w:r>
      <w:r>
        <w:t xml:space="preserve"> of proposed mitigation measures are discussed below.</w:t>
      </w:r>
    </w:p>
    <w:p w:rsidR="00F70F76" w:rsidRDefault="00F70F76" w:rsidP="00F70F76">
      <w:pPr>
        <w:pStyle w:val="Heading4"/>
      </w:pPr>
      <w:r w:rsidRPr="00C079C8">
        <w:t>Explanation</w:t>
      </w:r>
    </w:p>
    <w:p w:rsidR="00F16922" w:rsidRPr="009A7B95" w:rsidRDefault="00496ABB" w:rsidP="008E38D8">
      <w:pPr>
        <w:keepNext/>
        <w:ind w:firstLine="369"/>
        <w:rPr>
          <w:i/>
          <w:u w:val="single"/>
        </w:rPr>
      </w:pPr>
      <w:r>
        <w:rPr>
          <w:i/>
          <w:u w:val="single"/>
        </w:rPr>
        <w:t>Site-</w:t>
      </w:r>
      <w:r w:rsidR="00F16922" w:rsidRPr="009A7B95">
        <w:rPr>
          <w:i/>
          <w:u w:val="single"/>
        </w:rPr>
        <w:t>Specific</w:t>
      </w:r>
      <w:r w:rsidR="0017251F" w:rsidRPr="009A7B95">
        <w:rPr>
          <w:i/>
          <w:u w:val="single"/>
        </w:rPr>
        <w:t xml:space="preserve"> Impacts</w:t>
      </w:r>
    </w:p>
    <w:p w:rsidR="007203C3" w:rsidRPr="00C079C8" w:rsidRDefault="009A7B95" w:rsidP="00813976">
      <w:pPr>
        <w:pStyle w:val="ListNumber"/>
      </w:pPr>
      <w:r>
        <w:t>I</w:t>
      </w:r>
      <w:r w:rsidR="007543B2">
        <w:t xml:space="preserve">t </w:t>
      </w:r>
      <w:r w:rsidR="00D418D3">
        <w:t xml:space="preserve">is </w:t>
      </w:r>
      <w:r w:rsidR="007543B2">
        <w:t xml:space="preserve">likely that </w:t>
      </w:r>
      <w:proofErr w:type="spellStart"/>
      <w:r w:rsidR="007543B2">
        <w:t>baseflow</w:t>
      </w:r>
      <w:proofErr w:type="spellEnd"/>
      <w:r w:rsidR="007543B2">
        <w:t xml:space="preserve"> contribution to Saddlers Creek will be reduced </w:t>
      </w:r>
      <w:r w:rsidR="007543B2" w:rsidRPr="00112D34">
        <w:t xml:space="preserve">through </w:t>
      </w:r>
      <w:r w:rsidR="008F0996" w:rsidRPr="00112D34">
        <w:t xml:space="preserve">reduction or </w:t>
      </w:r>
      <w:r w:rsidR="007543B2" w:rsidRPr="00112D34">
        <w:t xml:space="preserve">reversal of </w:t>
      </w:r>
      <w:r w:rsidR="008A05C0" w:rsidRPr="00112D34">
        <w:t>groundwater gradients</w:t>
      </w:r>
      <w:r w:rsidR="002440B8" w:rsidRPr="00112D34">
        <w:t>. This would</w:t>
      </w:r>
      <w:r w:rsidR="008A05C0" w:rsidRPr="00112D34">
        <w:t xml:space="preserve"> result in </w:t>
      </w:r>
      <w:r w:rsidR="007543B2" w:rsidRPr="00112D34">
        <w:t xml:space="preserve">groundwater flow from the alluvium to the underlying Permian </w:t>
      </w:r>
      <w:r w:rsidR="008A05C0" w:rsidRPr="00112D34">
        <w:t xml:space="preserve">strata </w:t>
      </w:r>
      <w:r w:rsidR="007543B2" w:rsidRPr="00112D34">
        <w:t>due to a cumulative drawdown from Drayton South and the adjacent</w:t>
      </w:r>
      <w:r w:rsidR="007543B2">
        <w:t xml:space="preserve"> Mt Arthur mines. </w:t>
      </w:r>
      <w:r w:rsidR="009541AB">
        <w:t>R</w:t>
      </w:r>
      <w:r w:rsidR="006D5B82">
        <w:t xml:space="preserve">eductions to flow in Saddlers Creek will </w:t>
      </w:r>
      <w:r w:rsidR="00540BB8">
        <w:t xml:space="preserve">also </w:t>
      </w:r>
      <w:r w:rsidR="006D5B82">
        <w:t xml:space="preserve">occur due to </w:t>
      </w:r>
      <w:r w:rsidR="00D418D3">
        <w:t>mining reducing the</w:t>
      </w:r>
      <w:r w:rsidR="006D5B82">
        <w:t xml:space="preserve"> catchment area. </w:t>
      </w:r>
      <w:r w:rsidR="00D6693D">
        <w:t>As stated in the previous advice</w:t>
      </w:r>
      <w:r w:rsidR="006A066D">
        <w:t>,</w:t>
      </w:r>
      <w:r w:rsidR="00D6693D">
        <w:t xml:space="preserve"> t</w:t>
      </w:r>
      <w:r w:rsidR="00183A42">
        <w:t xml:space="preserve">his is highly likely </w:t>
      </w:r>
      <w:r w:rsidR="00496ABB">
        <w:t>to adversely affect groundwater-</w:t>
      </w:r>
      <w:r w:rsidR="00183A42">
        <w:t xml:space="preserve">dependent riparian and floodplain </w:t>
      </w:r>
      <w:r w:rsidR="004734F8">
        <w:t>vegetation and associated water-</w:t>
      </w:r>
      <w:r w:rsidR="00183A42">
        <w:t>dependent ecosystems</w:t>
      </w:r>
      <w:r w:rsidR="00D6693D">
        <w:t>.</w:t>
      </w:r>
      <w:r w:rsidR="009541AB">
        <w:t xml:space="preserve"> </w:t>
      </w:r>
      <w:r w:rsidR="00183A42">
        <w:t xml:space="preserve"> </w:t>
      </w:r>
    </w:p>
    <w:p w:rsidR="00D81A0C" w:rsidRPr="00E45ECA" w:rsidRDefault="009A7B95" w:rsidP="00D81A0C">
      <w:pPr>
        <w:pStyle w:val="ListNumber"/>
      </w:pPr>
      <w:r>
        <w:t>T</w:t>
      </w:r>
      <w:r w:rsidR="004F105A">
        <w:t xml:space="preserve">here is potential for </w:t>
      </w:r>
      <w:r w:rsidR="00D6693D">
        <w:t xml:space="preserve">additional saline discharges to </w:t>
      </w:r>
      <w:r w:rsidR="001942C2">
        <w:t xml:space="preserve">the </w:t>
      </w:r>
      <w:r w:rsidR="00CC23F7">
        <w:t>Hunter River</w:t>
      </w:r>
      <w:r w:rsidR="00347C3A">
        <w:t>, Saddlers Creek</w:t>
      </w:r>
      <w:r w:rsidR="00CC23F7">
        <w:t xml:space="preserve"> and </w:t>
      </w:r>
      <w:r w:rsidR="00347C3A">
        <w:t>their</w:t>
      </w:r>
      <w:r w:rsidR="00CC23F7">
        <w:t xml:space="preserve"> tributaries in the long</w:t>
      </w:r>
      <w:r w:rsidR="00496ABB">
        <w:t xml:space="preserve"> </w:t>
      </w:r>
      <w:r w:rsidR="00CC23F7">
        <w:t xml:space="preserve">term from </w:t>
      </w:r>
      <w:r w:rsidR="00540BB8">
        <w:t>seepage of</w:t>
      </w:r>
      <w:r w:rsidR="00CC23F7">
        <w:t xml:space="preserve"> </w:t>
      </w:r>
      <w:r w:rsidR="00CF116A">
        <w:t xml:space="preserve">saline </w:t>
      </w:r>
      <w:r w:rsidR="00CC23F7">
        <w:t xml:space="preserve">water from the proposed </w:t>
      </w:r>
      <w:r w:rsidR="00CF116A">
        <w:t xml:space="preserve">final </w:t>
      </w:r>
      <w:r w:rsidR="00CC23F7">
        <w:t>void lake</w:t>
      </w:r>
      <w:r w:rsidR="00CC23F7" w:rsidRPr="00112D34">
        <w:t>.</w:t>
      </w:r>
      <w:r w:rsidR="00092740" w:rsidRPr="00112D34">
        <w:t xml:space="preserve"> </w:t>
      </w:r>
      <w:r w:rsidR="006A066D" w:rsidRPr="00112D34">
        <w:t>There is currently insufficient i</w:t>
      </w:r>
      <w:r w:rsidR="00701898" w:rsidRPr="00112D34">
        <w:t>nformation to assess the likelihood and significance o</w:t>
      </w:r>
      <w:r w:rsidR="00701898" w:rsidRPr="00E45ECA">
        <w:t>f any potential impacts on water qua</w:t>
      </w:r>
      <w:r w:rsidR="002440B8">
        <w:t>lity or riparian vegetation/GDE</w:t>
      </w:r>
      <w:r w:rsidR="00701898" w:rsidRPr="00E45ECA">
        <w:t>s that are dependent on alluvial groundwater (refer to Paragraph 1</w:t>
      </w:r>
      <w:r w:rsidR="006A066D">
        <w:t>0</w:t>
      </w:r>
      <w:r w:rsidR="00701898" w:rsidRPr="00E45ECA">
        <w:t>).</w:t>
      </w:r>
    </w:p>
    <w:p w:rsidR="00F16922" w:rsidRPr="009A7B95" w:rsidRDefault="0017251F" w:rsidP="00F16922">
      <w:pPr>
        <w:pStyle w:val="ListNumber"/>
        <w:numPr>
          <w:ilvl w:val="0"/>
          <w:numId w:val="0"/>
        </w:numPr>
        <w:ind w:left="369"/>
        <w:rPr>
          <w:i/>
          <w:u w:val="single"/>
        </w:rPr>
      </w:pPr>
      <w:r w:rsidRPr="009A7B95">
        <w:rPr>
          <w:i/>
          <w:u w:val="single"/>
        </w:rPr>
        <w:t>Cumulative Impacts</w:t>
      </w:r>
    </w:p>
    <w:p w:rsidR="00BA7831" w:rsidRDefault="00BA7831" w:rsidP="00BA7831">
      <w:pPr>
        <w:pStyle w:val="ListNumber"/>
      </w:pPr>
      <w:r>
        <w:t>While</w:t>
      </w:r>
      <w:r w:rsidR="003006CB">
        <w:t xml:space="preserve"> at this </w:t>
      </w:r>
      <w:r w:rsidR="006A066D">
        <w:t>G</w:t>
      </w:r>
      <w:r w:rsidR="003006CB">
        <w:t>ateway stage</w:t>
      </w:r>
      <w:r>
        <w:t xml:space="preserve"> the proponent </w:t>
      </w:r>
      <w:r w:rsidR="00D6693D">
        <w:t>has</w:t>
      </w:r>
      <w:r>
        <w:t xml:space="preserve"> not provide</w:t>
      </w:r>
      <w:r w:rsidR="00D6693D">
        <w:t>d</w:t>
      </w:r>
      <w:r>
        <w:t xml:space="preserve"> up-to-date details of potential water discharges to the Hunter River, the </w:t>
      </w:r>
      <w:r w:rsidR="005D7B28">
        <w:t>IESC</w:t>
      </w:r>
      <w:r>
        <w:t xml:space="preserve"> notes the </w:t>
      </w:r>
      <w:r w:rsidR="00C52C7B">
        <w:t>proponent’s</w:t>
      </w:r>
      <w:r>
        <w:t xml:space="preserve"> commitment </w:t>
      </w:r>
      <w:r w:rsidR="00CF116A">
        <w:t xml:space="preserve">(WRM 2012) </w:t>
      </w:r>
      <w:r>
        <w:t xml:space="preserve">to discharging </w:t>
      </w:r>
      <w:r w:rsidR="00C367F8">
        <w:t xml:space="preserve">excess water </w:t>
      </w:r>
      <w:r>
        <w:t>in accordance with the Hunter River Salinity Trading Scheme.</w:t>
      </w:r>
      <w:r w:rsidR="000C6283">
        <w:t xml:space="preserve"> The proponent has not yet provided information of potential cumulative impacts </w:t>
      </w:r>
      <w:r w:rsidR="000C6283" w:rsidRPr="00112D34">
        <w:t xml:space="preserve">of </w:t>
      </w:r>
      <w:r w:rsidR="006A066D" w:rsidRPr="00112D34">
        <w:t xml:space="preserve">contaminants (e.g. metals, polycyclic aromatic hydrocarbons (PAHs), ionic composition) </w:t>
      </w:r>
      <w:r w:rsidR="000C6283" w:rsidRPr="00112D34">
        <w:t>on do</w:t>
      </w:r>
      <w:r w:rsidR="000C6283">
        <w:t>wnstream environments.</w:t>
      </w:r>
      <w:r>
        <w:t xml:space="preserve"> </w:t>
      </w:r>
      <w:r w:rsidR="00D6693D">
        <w:t>The importance of th</w:t>
      </w:r>
      <w:r w:rsidR="000C6283">
        <w:t>ese issues</w:t>
      </w:r>
      <w:r w:rsidR="00D6693D">
        <w:t xml:space="preserve"> </w:t>
      </w:r>
      <w:r w:rsidR="00D350F8">
        <w:t xml:space="preserve">was </w:t>
      </w:r>
      <w:r w:rsidR="00D6693D">
        <w:t xml:space="preserve">highlighted in the previous IESC advice. </w:t>
      </w:r>
    </w:p>
    <w:p w:rsidR="00BA7831" w:rsidRDefault="00092740" w:rsidP="00813976">
      <w:pPr>
        <w:pStyle w:val="ListNumber"/>
      </w:pPr>
      <w:r>
        <w:t>The</w:t>
      </w:r>
      <w:r w:rsidR="00E02B9E">
        <w:t xml:space="preserve"> groundwater modelling (AGE 2012) does not include impacts to water resources from the adjacent Mt Arthur </w:t>
      </w:r>
      <w:r w:rsidR="005D7B28">
        <w:t>mine</w:t>
      </w:r>
      <w:r w:rsidR="00E02B9E">
        <w:t xml:space="preserve"> </w:t>
      </w:r>
      <w:r w:rsidR="00E02B9E" w:rsidRPr="00E45ECA">
        <w:t>or other groundwater users.</w:t>
      </w:r>
      <w:r w:rsidR="00540065" w:rsidRPr="00E45ECA">
        <w:t xml:space="preserve"> </w:t>
      </w:r>
      <w:r w:rsidR="00701898" w:rsidRPr="00E45ECA">
        <w:t xml:space="preserve">Assessment of cumulative impacts to Saddlers Creek has been determined </w:t>
      </w:r>
      <w:r w:rsidR="00475562" w:rsidRPr="00E45ECA">
        <w:t>by adding together the</w:t>
      </w:r>
      <w:r w:rsidR="00701898" w:rsidRPr="00E45ECA">
        <w:t xml:space="preserve"> </w:t>
      </w:r>
      <w:r w:rsidR="003006CB" w:rsidRPr="00E45ECA">
        <w:t>individual</w:t>
      </w:r>
      <w:r w:rsidR="00701898" w:rsidRPr="00E45ECA">
        <w:t xml:space="preserve"> predicted loss estimates from adjacent mines</w:t>
      </w:r>
      <w:r w:rsidR="00E45ECA" w:rsidRPr="00E45ECA">
        <w:t xml:space="preserve"> (AGE 2012)</w:t>
      </w:r>
      <w:r w:rsidR="00701898" w:rsidRPr="00E45ECA">
        <w:t xml:space="preserve"> </w:t>
      </w:r>
      <w:r w:rsidR="00475562" w:rsidRPr="00E45ECA">
        <w:t xml:space="preserve">which were </w:t>
      </w:r>
      <w:r w:rsidR="00701898" w:rsidRPr="00E45ECA">
        <w:t xml:space="preserve">derived </w:t>
      </w:r>
      <w:r w:rsidR="00475562" w:rsidRPr="00E45ECA">
        <w:t xml:space="preserve">utilising </w:t>
      </w:r>
      <w:r w:rsidR="00701898" w:rsidRPr="00E45ECA">
        <w:t>differing models with differing parameterisation</w:t>
      </w:r>
      <w:r w:rsidR="00475562" w:rsidRPr="00E45ECA">
        <w:t>. This</w:t>
      </w:r>
      <w:r w:rsidR="00E45ECA" w:rsidRPr="00E45ECA">
        <w:t xml:space="preserve"> </w:t>
      </w:r>
      <w:r w:rsidR="00701898" w:rsidRPr="00E45ECA">
        <w:t>reduc</w:t>
      </w:r>
      <w:r w:rsidR="00475562" w:rsidRPr="00E45ECA">
        <w:t>es</w:t>
      </w:r>
      <w:r w:rsidR="00701898" w:rsidRPr="00E45ECA">
        <w:t xml:space="preserve"> confidence in predictions</w:t>
      </w:r>
      <w:r w:rsidR="00475562" w:rsidRPr="00E45ECA">
        <w:t xml:space="preserve"> of cumulative impacts</w:t>
      </w:r>
      <w:r w:rsidR="00701898" w:rsidRPr="00E45ECA">
        <w:t>.</w:t>
      </w:r>
      <w:r w:rsidR="007127BE" w:rsidRPr="00E45ECA">
        <w:t xml:space="preserve"> </w:t>
      </w:r>
      <w:r w:rsidR="00A1624B" w:rsidRPr="00E45ECA">
        <w:t xml:space="preserve">As </w:t>
      </w:r>
      <w:proofErr w:type="spellStart"/>
      <w:r w:rsidR="00A1624B" w:rsidRPr="00E45ECA">
        <w:t>such</w:t>
      </w:r>
      <w:proofErr w:type="gramStart"/>
      <w:r w:rsidR="006A066D">
        <w:t>,</w:t>
      </w:r>
      <w:r w:rsidR="00A1624B" w:rsidRPr="00E45ECA">
        <w:t>t</w:t>
      </w:r>
      <w:r w:rsidR="007127BE" w:rsidRPr="00E45ECA">
        <w:t>he</w:t>
      </w:r>
      <w:proofErr w:type="spellEnd"/>
      <w:proofErr w:type="gramEnd"/>
      <w:r w:rsidR="007127BE" w:rsidRPr="00E45ECA">
        <w:t xml:space="preserve"> </w:t>
      </w:r>
      <w:r w:rsidR="00A1624B" w:rsidRPr="00E45ECA">
        <w:t>potential scale</w:t>
      </w:r>
      <w:r w:rsidR="007127BE" w:rsidRPr="00E45ECA">
        <w:t xml:space="preserve"> of </w:t>
      </w:r>
      <w:r w:rsidR="00A1624B" w:rsidRPr="00E45ECA">
        <w:t xml:space="preserve">cumulative </w:t>
      </w:r>
      <w:r w:rsidR="007127BE" w:rsidRPr="00E45ECA">
        <w:t xml:space="preserve">impacts to Saddlers Creek, </w:t>
      </w:r>
      <w:r w:rsidR="00FA1B23" w:rsidRPr="00E45ECA">
        <w:t xml:space="preserve">the </w:t>
      </w:r>
      <w:r w:rsidR="00A1624B" w:rsidRPr="00E45ECA">
        <w:t>Hunter River, the associated</w:t>
      </w:r>
      <w:r w:rsidR="00A1624B">
        <w:t xml:space="preserve"> alluvium and the underlying Permian</w:t>
      </w:r>
      <w:r w:rsidR="00643783">
        <w:t xml:space="preserve"> groundwater system</w:t>
      </w:r>
      <w:r w:rsidR="007127BE">
        <w:t xml:space="preserve"> </w:t>
      </w:r>
      <w:r w:rsidR="000C6283">
        <w:t>is not able to</w:t>
      </w:r>
      <w:r w:rsidR="007127BE">
        <w:t xml:space="preserve"> be assessed from the information provided. </w:t>
      </w:r>
    </w:p>
    <w:p w:rsidR="00353963" w:rsidRDefault="00353963" w:rsidP="00353963">
      <w:pPr>
        <w:pStyle w:val="ListNumber"/>
        <w:numPr>
          <w:ilvl w:val="0"/>
          <w:numId w:val="0"/>
        </w:numPr>
        <w:ind w:left="369" w:hanging="369"/>
      </w:pPr>
    </w:p>
    <w:p w:rsidR="00353963" w:rsidRPr="00C079C8" w:rsidRDefault="00353963" w:rsidP="00353963">
      <w:pPr>
        <w:pStyle w:val="ListNumber"/>
        <w:numPr>
          <w:ilvl w:val="0"/>
          <w:numId w:val="0"/>
        </w:numPr>
        <w:ind w:left="369" w:hanging="369"/>
      </w:pPr>
    </w:p>
    <w:p w:rsidR="007203C3" w:rsidRPr="00C079C8" w:rsidRDefault="007203C3" w:rsidP="00D622B9">
      <w:pPr>
        <w:pStyle w:val="Question"/>
      </w:pPr>
      <w:r w:rsidRPr="00C079C8">
        <w:t>Question 2:</w:t>
      </w:r>
      <w:r w:rsidR="00A34638" w:rsidRPr="00C079C8">
        <w:t xml:space="preserve"> </w:t>
      </w:r>
      <w:r w:rsidR="00FD0C97">
        <w:t>The IESC may also recommend further studies that should be undertaken if relevant.</w:t>
      </w:r>
      <w:r w:rsidR="00A74DC2" w:rsidRPr="00C079C8">
        <w:t xml:space="preserve"> </w:t>
      </w:r>
    </w:p>
    <w:p w:rsidR="00CF5929" w:rsidRPr="00C079C8" w:rsidRDefault="00CF5929" w:rsidP="00D622B9">
      <w:pPr>
        <w:pStyle w:val="Heading4"/>
      </w:pPr>
      <w:r w:rsidRPr="00C079C8">
        <w:t>Response</w:t>
      </w:r>
    </w:p>
    <w:p w:rsidR="008A4851" w:rsidRPr="005C439C" w:rsidRDefault="008A4851" w:rsidP="00920E6B">
      <w:pPr>
        <w:pStyle w:val="ListNumber"/>
      </w:pPr>
      <w:r w:rsidRPr="005C439C">
        <w:t>Updated assessments of groun</w:t>
      </w:r>
      <w:r w:rsidR="004734F8" w:rsidRPr="005C439C">
        <w:t xml:space="preserve">dwater, surface </w:t>
      </w:r>
      <w:r w:rsidR="004734F8" w:rsidRPr="00112D34">
        <w:t xml:space="preserve">water </w:t>
      </w:r>
      <w:r w:rsidR="007F2252" w:rsidRPr="00112D34">
        <w:t>quality and quantity</w:t>
      </w:r>
      <w:r w:rsidR="007F2252">
        <w:t xml:space="preserve"> </w:t>
      </w:r>
      <w:r w:rsidR="004734F8" w:rsidRPr="005C439C">
        <w:t>and water-</w:t>
      </w:r>
      <w:r w:rsidRPr="005C439C">
        <w:t xml:space="preserve">related ecological impacts should be </w:t>
      </w:r>
      <w:r w:rsidR="000C6283" w:rsidRPr="005C439C">
        <w:t>provided</w:t>
      </w:r>
      <w:r w:rsidRPr="005C439C">
        <w:t xml:space="preserve"> and include </w:t>
      </w:r>
      <w:r w:rsidR="00064E1B" w:rsidRPr="005C439C">
        <w:t xml:space="preserve">conceptual and numerical </w:t>
      </w:r>
      <w:r w:rsidRPr="005C439C">
        <w:t>models deve</w:t>
      </w:r>
      <w:r w:rsidR="00496ABB">
        <w:t>loped to address potential site-</w:t>
      </w:r>
      <w:r w:rsidRPr="005C439C">
        <w:t>specific and cumulative impacts of the current project proposal</w:t>
      </w:r>
      <w:r w:rsidR="00F01894" w:rsidRPr="005C439C">
        <w:t>.</w:t>
      </w:r>
      <w:r w:rsidR="005C439C" w:rsidRPr="005C439C">
        <w:t xml:space="preserve"> This would include updated conceptualisation of </w:t>
      </w:r>
      <w:r w:rsidR="007F2252">
        <w:t xml:space="preserve">the </w:t>
      </w:r>
      <w:r w:rsidR="005C439C" w:rsidRPr="005C439C">
        <w:t>interaction between surface flows, groundwater and G</w:t>
      </w:r>
      <w:r w:rsidR="00353963">
        <w:t>DE</w:t>
      </w:r>
      <w:r w:rsidR="005C439C" w:rsidRPr="005C439C">
        <w:t xml:space="preserve">s in the Saddlers Creek alluvium and underlying regolith / Permian strata, accurate representation of these flow processes in the numerical groundwater model with consideration to both spatial and temporal variations, and inclusion of </w:t>
      </w:r>
      <w:r w:rsidR="00FA1B23" w:rsidRPr="005C439C">
        <w:t xml:space="preserve">groundwater extraction </w:t>
      </w:r>
      <w:r w:rsidR="00FA1B23">
        <w:t xml:space="preserve">from the </w:t>
      </w:r>
      <w:r w:rsidR="005C439C" w:rsidRPr="005C439C">
        <w:t>Mt Arthur mine</w:t>
      </w:r>
      <w:r w:rsidR="00475562">
        <w:t>s</w:t>
      </w:r>
      <w:r w:rsidR="005C439C" w:rsidRPr="005C439C">
        <w:t>.</w:t>
      </w:r>
    </w:p>
    <w:p w:rsidR="00BC6663" w:rsidRPr="00C079C8" w:rsidRDefault="005D7B28" w:rsidP="00920E6B">
      <w:pPr>
        <w:pStyle w:val="ListNumber"/>
      </w:pPr>
      <w:r>
        <w:t>F</w:t>
      </w:r>
      <w:r w:rsidR="00183A42">
        <w:t xml:space="preserve">urther studies </w:t>
      </w:r>
      <w:r w:rsidR="008A4851">
        <w:t xml:space="preserve">undertaken </w:t>
      </w:r>
      <w:r w:rsidR="00183A42">
        <w:t xml:space="preserve">in preparation for a development application </w:t>
      </w:r>
      <w:r w:rsidR="00183A42" w:rsidRPr="00112D34">
        <w:t>should include the type of information that enable</w:t>
      </w:r>
      <w:r w:rsidR="00EF4ABC" w:rsidRPr="00112D34">
        <w:t>s</w:t>
      </w:r>
      <w:r w:rsidR="005C439C" w:rsidRPr="00112D34">
        <w:t xml:space="preserve"> </w:t>
      </w:r>
      <w:r w:rsidR="00347C3A" w:rsidRPr="00112D34">
        <w:t>characterisation</w:t>
      </w:r>
      <w:r w:rsidR="005C439C" w:rsidRPr="00112D34">
        <w:t xml:space="preserve"> of baseline</w:t>
      </w:r>
      <w:r w:rsidR="00347C3A" w:rsidRPr="00112D34">
        <w:t xml:space="preserve"> groundwater, surface water and </w:t>
      </w:r>
      <w:proofErr w:type="spellStart"/>
      <w:r w:rsidR="00347C3A" w:rsidRPr="00112D34">
        <w:t>ecohydrological</w:t>
      </w:r>
      <w:proofErr w:type="spellEnd"/>
      <w:r w:rsidR="005C439C" w:rsidRPr="00112D34">
        <w:t xml:space="preserve"> conditions and</w:t>
      </w:r>
      <w:r w:rsidR="00183A42" w:rsidRPr="00112D34">
        <w:t xml:space="preserve"> a robust assessment of impacts to water resources such</w:t>
      </w:r>
      <w:r w:rsidR="00183A42">
        <w:t xml:space="preserve"> as those outlined in the IESC Information Guidelines</w:t>
      </w:r>
      <w:r w:rsidR="008A4851">
        <w:t xml:space="preserve"> (IESC 2014)</w:t>
      </w:r>
      <w:r w:rsidR="00183A42">
        <w:t>.</w:t>
      </w:r>
      <w:r w:rsidR="00CF116A">
        <w:t xml:space="preserve"> </w:t>
      </w:r>
      <w:r w:rsidR="0085172B">
        <w:t xml:space="preserve">Specific </w:t>
      </w:r>
      <w:r w:rsidR="004E01F2">
        <w:t>considerations</w:t>
      </w:r>
      <w:r w:rsidR="0085172B">
        <w:t xml:space="preserve"> for further work are discussed below.</w:t>
      </w:r>
    </w:p>
    <w:p w:rsidR="00CF5929" w:rsidRDefault="00CF5929" w:rsidP="00D622B9">
      <w:pPr>
        <w:pStyle w:val="Heading4"/>
      </w:pPr>
      <w:r w:rsidRPr="00C079C8">
        <w:t>Explanation</w:t>
      </w:r>
    </w:p>
    <w:p w:rsidR="0017251F" w:rsidRPr="009A7B95" w:rsidRDefault="00496ABB" w:rsidP="0017251F">
      <w:pPr>
        <w:ind w:firstLine="369"/>
        <w:rPr>
          <w:i/>
          <w:u w:val="single"/>
        </w:rPr>
      </w:pPr>
      <w:r>
        <w:rPr>
          <w:i/>
          <w:u w:val="single"/>
        </w:rPr>
        <w:t>Site-</w:t>
      </w:r>
      <w:r w:rsidR="0017251F" w:rsidRPr="009A7B95">
        <w:rPr>
          <w:i/>
          <w:u w:val="single"/>
        </w:rPr>
        <w:t>Specific Assessment</w:t>
      </w:r>
    </w:p>
    <w:p w:rsidR="007A12F0" w:rsidRDefault="008A4851" w:rsidP="00C919E3">
      <w:pPr>
        <w:pStyle w:val="ListNumber"/>
      </w:pPr>
      <w:r>
        <w:t>I</w:t>
      </w:r>
      <w:r w:rsidR="00183A42">
        <w:t xml:space="preserve">mproved </w:t>
      </w:r>
      <w:r w:rsidR="008E2DF4">
        <w:t xml:space="preserve">temporal </w:t>
      </w:r>
      <w:r w:rsidR="001942C2">
        <w:t>conceptualisation</w:t>
      </w:r>
      <w:r w:rsidR="00183A42">
        <w:t xml:space="preserve"> </w:t>
      </w:r>
      <w:r w:rsidR="008E2DF4">
        <w:t xml:space="preserve">and </w:t>
      </w:r>
      <w:r w:rsidR="00C52C7B">
        <w:t>quantification</w:t>
      </w:r>
      <w:r w:rsidR="008E2DF4">
        <w:t xml:space="preserve"> of </w:t>
      </w:r>
      <w:r w:rsidR="006A64D4">
        <w:t xml:space="preserve">river </w:t>
      </w:r>
      <w:r w:rsidR="00183A42">
        <w:t xml:space="preserve">recharge </w:t>
      </w:r>
      <w:r w:rsidR="008E2DF4">
        <w:t>processes</w:t>
      </w:r>
      <w:r w:rsidR="00183A42">
        <w:t xml:space="preserve"> </w:t>
      </w:r>
      <w:r w:rsidR="008E2DF4">
        <w:t xml:space="preserve">and groundwater-surface water interactions </w:t>
      </w:r>
      <w:r w:rsidR="00183A42">
        <w:t xml:space="preserve">in the </w:t>
      </w:r>
      <w:r w:rsidR="008E2DF4">
        <w:t xml:space="preserve">Saddlers Creek and Hunter River </w:t>
      </w:r>
      <w:r w:rsidR="00183A42">
        <w:t xml:space="preserve">alluvium </w:t>
      </w:r>
      <w:r w:rsidR="00482824">
        <w:t>would</w:t>
      </w:r>
      <w:r w:rsidR="00F836AD">
        <w:t xml:space="preserve"> </w:t>
      </w:r>
      <w:r w:rsidR="004B070B">
        <w:t>inform</w:t>
      </w:r>
      <w:r w:rsidR="00F836AD">
        <w:t xml:space="preserve"> transient </w:t>
      </w:r>
      <w:r w:rsidR="009F67AF">
        <w:t xml:space="preserve">model </w:t>
      </w:r>
      <w:r w:rsidR="00F836AD">
        <w:t>calibration and</w:t>
      </w:r>
      <w:r w:rsidR="00183A42">
        <w:t xml:space="preserve"> </w:t>
      </w:r>
      <w:r w:rsidR="009F67AF">
        <w:t>reduce uncertainty in</w:t>
      </w:r>
      <w:r w:rsidR="00F23AD0">
        <w:t xml:space="preserve"> model predictions</w:t>
      </w:r>
      <w:r w:rsidR="00F836AD">
        <w:t xml:space="preserve">. This </w:t>
      </w:r>
      <w:r w:rsidR="00072D63">
        <w:t xml:space="preserve">information </w:t>
      </w:r>
      <w:r w:rsidR="00517E7B">
        <w:t>should</w:t>
      </w:r>
      <w:r w:rsidR="00F23AD0">
        <w:t xml:space="preserve"> </w:t>
      </w:r>
      <w:r w:rsidR="009F67AF">
        <w:t xml:space="preserve">be used to </w:t>
      </w:r>
      <w:r w:rsidR="00F23AD0">
        <w:t>inform</w:t>
      </w:r>
      <w:r w:rsidR="00183A42">
        <w:t xml:space="preserve"> </w:t>
      </w:r>
      <w:r w:rsidR="009E042A">
        <w:t xml:space="preserve">ecological conceptualisation </w:t>
      </w:r>
      <w:r w:rsidR="00517E7B">
        <w:t xml:space="preserve">using the method described in </w:t>
      </w:r>
      <w:r w:rsidR="009E042A">
        <w:t xml:space="preserve">Commonwealth of Australia </w:t>
      </w:r>
      <w:r w:rsidR="00517E7B">
        <w:t>(</w:t>
      </w:r>
      <w:r w:rsidR="009E042A">
        <w:t xml:space="preserve">2015) and </w:t>
      </w:r>
      <w:r w:rsidR="00096D13">
        <w:t>water</w:t>
      </w:r>
      <w:r w:rsidR="00FA1B23">
        <w:t>-</w:t>
      </w:r>
      <w:r w:rsidR="00096D13">
        <w:t xml:space="preserve">related aspects of </w:t>
      </w:r>
      <w:r w:rsidR="00183A42">
        <w:t xml:space="preserve">proposed </w:t>
      </w:r>
      <w:r w:rsidR="00183A42" w:rsidRPr="00FE1CF4">
        <w:t xml:space="preserve">rehabilitation works at </w:t>
      </w:r>
      <w:r w:rsidR="002D7672" w:rsidRPr="00FE1CF4">
        <w:t>the site</w:t>
      </w:r>
      <w:r w:rsidR="004A4821" w:rsidRPr="00FE1CF4">
        <w:t xml:space="preserve"> (WRM 2012)</w:t>
      </w:r>
      <w:r w:rsidR="00183A42" w:rsidRPr="00FE1CF4">
        <w:t>.</w:t>
      </w:r>
      <w:r w:rsidR="00517E7B">
        <w:t xml:space="preserve"> </w:t>
      </w:r>
    </w:p>
    <w:p w:rsidR="00BC084C" w:rsidRPr="00112D34" w:rsidRDefault="00442076" w:rsidP="00C919E3">
      <w:pPr>
        <w:pStyle w:val="ListNumber"/>
      </w:pPr>
      <w:r w:rsidRPr="00112D34">
        <w:t>The following further studies would help</w:t>
      </w:r>
      <w:r w:rsidR="00517E7B" w:rsidRPr="00112D34">
        <w:t xml:space="preserve"> </w:t>
      </w:r>
      <w:r w:rsidR="002B6703" w:rsidRPr="00112D34">
        <w:t xml:space="preserve">inform and </w:t>
      </w:r>
      <w:r w:rsidR="00BE6280" w:rsidRPr="00112D34">
        <w:t>enable evaluation of</w:t>
      </w:r>
      <w:r w:rsidR="00517E7B" w:rsidRPr="00112D34">
        <w:t xml:space="preserve"> </w:t>
      </w:r>
      <w:r w:rsidR="00EF4ABC" w:rsidRPr="00112D34">
        <w:t>the</w:t>
      </w:r>
      <w:r w:rsidR="00517E7B" w:rsidRPr="00112D34">
        <w:t xml:space="preserve"> ecological success</w:t>
      </w:r>
      <w:r w:rsidR="00EF4ABC" w:rsidRPr="00112D34">
        <w:t xml:space="preserve"> of the planned rehabilitation</w:t>
      </w:r>
      <w:r w:rsidR="00517E7B" w:rsidRPr="00112D34">
        <w:t xml:space="preserve">: mapping of floodplain and riparian vegetation and determination of its likely groundwater dependency; </w:t>
      </w:r>
      <w:r w:rsidR="007A12F0" w:rsidRPr="00112D34">
        <w:t xml:space="preserve">and </w:t>
      </w:r>
      <w:r w:rsidR="00EF4ABC" w:rsidRPr="00112D34">
        <w:t xml:space="preserve">collection of </w:t>
      </w:r>
      <w:r w:rsidR="007A12F0" w:rsidRPr="00112D34">
        <w:t xml:space="preserve">at least two sets of samples of </w:t>
      </w:r>
      <w:proofErr w:type="spellStart"/>
      <w:r w:rsidR="007A12F0" w:rsidRPr="00112D34">
        <w:t>instream</w:t>
      </w:r>
      <w:proofErr w:type="spellEnd"/>
      <w:r w:rsidR="007A12F0" w:rsidRPr="00112D34">
        <w:t xml:space="preserve"> biota </w:t>
      </w:r>
      <w:r w:rsidR="00353963" w:rsidRPr="00112D34">
        <w:t xml:space="preserve">(e.g. invertebrates, amphibians) </w:t>
      </w:r>
      <w:r w:rsidR="007A12F0" w:rsidRPr="00112D34">
        <w:t>from Saddlers Creek collected more than two weeks after resumption of flow.</w:t>
      </w:r>
      <w:r w:rsidR="00BE6280" w:rsidRPr="00112D34">
        <w:t xml:space="preserve"> </w:t>
      </w:r>
    </w:p>
    <w:p w:rsidR="00183A42" w:rsidRPr="00112D34" w:rsidRDefault="00BE6280" w:rsidP="00C919E3">
      <w:pPr>
        <w:pStyle w:val="ListNumber"/>
      </w:pPr>
      <w:r w:rsidRPr="00112D34">
        <w:t xml:space="preserve">Further adequate sampling of GDEs, such as </w:t>
      </w:r>
      <w:proofErr w:type="spellStart"/>
      <w:r w:rsidRPr="00112D34">
        <w:t>stygofauna</w:t>
      </w:r>
      <w:proofErr w:type="spellEnd"/>
      <w:r w:rsidRPr="00112D34">
        <w:t xml:space="preserve"> and </w:t>
      </w:r>
      <w:proofErr w:type="spellStart"/>
      <w:r w:rsidRPr="00112D34">
        <w:t>hyporh</w:t>
      </w:r>
      <w:r w:rsidR="002B6703" w:rsidRPr="00112D34">
        <w:t>ei</w:t>
      </w:r>
      <w:r w:rsidRPr="00112D34">
        <w:t>c</w:t>
      </w:r>
      <w:proofErr w:type="spellEnd"/>
      <w:r w:rsidRPr="00112D34">
        <w:t xml:space="preserve"> fauna is needed in order to inform the assessment of ecological impacts.</w:t>
      </w:r>
    </w:p>
    <w:p w:rsidR="009E1D4E" w:rsidRPr="00FE1CF4" w:rsidRDefault="004458C0" w:rsidP="002870C5">
      <w:pPr>
        <w:pStyle w:val="ListNumber"/>
      </w:pPr>
      <w:r w:rsidRPr="00112D34">
        <w:t>T</w:t>
      </w:r>
      <w:r w:rsidR="002870C5" w:rsidRPr="00112D34">
        <w:t>ransient groundwater model calibration</w:t>
      </w:r>
      <w:r w:rsidR="002870C5" w:rsidRPr="00FE1CF4">
        <w:t xml:space="preserve"> using data collected from wells installed in </w:t>
      </w:r>
      <w:r w:rsidR="00FE1CF4" w:rsidRPr="00FE1CF4">
        <w:t xml:space="preserve">the </w:t>
      </w:r>
      <w:r w:rsidR="002870C5" w:rsidRPr="00FE1CF4">
        <w:t>alluvium and regolith in 2011</w:t>
      </w:r>
      <w:r w:rsidRPr="00FE1CF4">
        <w:t xml:space="preserve"> and p</w:t>
      </w:r>
      <w:r w:rsidR="00832B4B" w:rsidRPr="00FE1CF4">
        <w:t>redicti</w:t>
      </w:r>
      <w:r w:rsidR="009E1D4E" w:rsidRPr="00FE1CF4">
        <w:t>ve modelling consider</w:t>
      </w:r>
      <w:r w:rsidR="00064E1B" w:rsidRPr="00FE1CF4">
        <w:t>ing</w:t>
      </w:r>
      <w:r w:rsidR="009E1D4E" w:rsidRPr="00FE1CF4">
        <w:t xml:space="preserve"> shorter time-steps and finer </w:t>
      </w:r>
      <w:proofErr w:type="spellStart"/>
      <w:r w:rsidR="009E1D4E" w:rsidRPr="00FE1CF4">
        <w:t>discretisation</w:t>
      </w:r>
      <w:proofErr w:type="spellEnd"/>
      <w:r w:rsidR="009E1D4E" w:rsidRPr="00FE1CF4">
        <w:t xml:space="preserve"> </w:t>
      </w:r>
      <w:r w:rsidR="00832B4B" w:rsidRPr="00FE1CF4">
        <w:t xml:space="preserve">in </w:t>
      </w:r>
      <w:r w:rsidR="00FE1CF4" w:rsidRPr="00FE1CF4">
        <w:t xml:space="preserve">the </w:t>
      </w:r>
      <w:r w:rsidR="00832B4B" w:rsidRPr="00FE1CF4">
        <w:t xml:space="preserve">vicinity of the </w:t>
      </w:r>
      <w:r w:rsidR="009E1D4E" w:rsidRPr="00FE1CF4">
        <w:t xml:space="preserve">alluvium </w:t>
      </w:r>
      <w:r w:rsidR="00064E1B" w:rsidRPr="00FE1CF4">
        <w:t>would better</w:t>
      </w:r>
      <w:r w:rsidR="009E1D4E" w:rsidRPr="00FE1CF4">
        <w:t xml:space="preserve"> represent </w:t>
      </w:r>
      <w:r w:rsidR="006A64D4">
        <w:t xml:space="preserve">river </w:t>
      </w:r>
      <w:r w:rsidR="009E1D4E" w:rsidRPr="00FE1CF4">
        <w:t>recharge and groundwater surface water interactions</w:t>
      </w:r>
      <w:r w:rsidRPr="00FE1CF4">
        <w:t>. This would improve</w:t>
      </w:r>
      <w:r w:rsidR="00064E1B" w:rsidRPr="00FE1CF4">
        <w:t xml:space="preserve"> </w:t>
      </w:r>
      <w:r w:rsidRPr="00FE1CF4">
        <w:t>confidence in predictions</w:t>
      </w:r>
      <w:r w:rsidR="00064E1B" w:rsidRPr="00FE1CF4">
        <w:t xml:space="preserve"> of </w:t>
      </w:r>
      <w:r w:rsidRPr="00FE1CF4">
        <w:t xml:space="preserve">the scale and lateral extent </w:t>
      </w:r>
      <w:r w:rsidR="00482824" w:rsidRPr="00FE1CF4">
        <w:t>o</w:t>
      </w:r>
      <w:r w:rsidRPr="00FE1CF4">
        <w:t xml:space="preserve">f </w:t>
      </w:r>
      <w:r w:rsidR="00064E1B" w:rsidRPr="00FE1CF4">
        <w:t xml:space="preserve">potential impacts </w:t>
      </w:r>
      <w:r w:rsidRPr="00FE1CF4">
        <w:t xml:space="preserve">of extraction </w:t>
      </w:r>
      <w:r w:rsidR="00064E1B" w:rsidRPr="00FE1CF4">
        <w:t xml:space="preserve">and </w:t>
      </w:r>
      <w:r w:rsidRPr="00FE1CF4">
        <w:t xml:space="preserve">also </w:t>
      </w:r>
      <w:r w:rsidR="00064E1B" w:rsidRPr="00FE1CF4">
        <w:t xml:space="preserve">inform </w:t>
      </w:r>
      <w:r w:rsidRPr="00FE1CF4">
        <w:t>water</w:t>
      </w:r>
      <w:r w:rsidR="00FA1B23">
        <w:t>-</w:t>
      </w:r>
      <w:r w:rsidRPr="00FE1CF4">
        <w:t xml:space="preserve">related </w:t>
      </w:r>
      <w:r w:rsidR="00611152" w:rsidRPr="00FE1CF4">
        <w:t xml:space="preserve">planning and monitoring </w:t>
      </w:r>
      <w:r w:rsidRPr="00FE1CF4">
        <w:t>aspects of any proposed rehabilitation design</w:t>
      </w:r>
      <w:r w:rsidR="009E1D4E" w:rsidRPr="00FE1CF4">
        <w:t>.</w:t>
      </w:r>
      <w:r w:rsidR="002870C5" w:rsidRPr="00FE1CF4">
        <w:t xml:space="preserve"> </w:t>
      </w:r>
    </w:p>
    <w:p w:rsidR="002870C5" w:rsidRDefault="009E1D4E" w:rsidP="002870C5">
      <w:pPr>
        <w:pStyle w:val="ListNumber"/>
      </w:pPr>
      <w:r>
        <w:t>S</w:t>
      </w:r>
      <w:r w:rsidR="002870C5">
        <w:t>ensitivity analysis of the groundwater model should consider greater ranges of parameter values than the ± 50% used in the 2012 gr</w:t>
      </w:r>
      <w:r w:rsidR="005C6316">
        <w:t>oundwater assessment (AGE 2012)</w:t>
      </w:r>
      <w:r w:rsidR="002870C5">
        <w:t xml:space="preserve"> or provide justification where ranges remain the same. </w:t>
      </w:r>
      <w:r w:rsidR="00611152">
        <w:t>F</w:t>
      </w:r>
      <w:r w:rsidR="002870C5">
        <w:t xml:space="preserve">uture data collection and monitoring should be </w:t>
      </w:r>
      <w:r w:rsidR="00611152">
        <w:t xml:space="preserve">designed </w:t>
      </w:r>
      <w:r w:rsidR="002870C5">
        <w:t xml:space="preserve">to improve understanding of sensitive parameters </w:t>
      </w:r>
      <w:r w:rsidR="005C6316">
        <w:t xml:space="preserve">in order </w:t>
      </w:r>
      <w:r w:rsidR="002870C5">
        <w:t>to reduce model uncertainty.</w:t>
      </w:r>
    </w:p>
    <w:p w:rsidR="00F01894" w:rsidRDefault="00EE03D5" w:rsidP="00C919E3">
      <w:pPr>
        <w:pStyle w:val="ListNumber"/>
      </w:pPr>
      <w:r>
        <w:t>An</w:t>
      </w:r>
      <w:r w:rsidR="009908CA">
        <w:t xml:space="preserve"> updated assessment of the potential </w:t>
      </w:r>
      <w:r>
        <w:t>accumulation</w:t>
      </w:r>
      <w:r w:rsidR="009908CA">
        <w:t xml:space="preserve"> of salts in the final void and an assessment of potential </w:t>
      </w:r>
      <w:r w:rsidR="00E06155">
        <w:t xml:space="preserve">travel times </w:t>
      </w:r>
      <w:r w:rsidR="00A659E4">
        <w:t xml:space="preserve">of seepage </w:t>
      </w:r>
      <w:r w:rsidR="00E06155">
        <w:t>to the Hunter River</w:t>
      </w:r>
      <w:r w:rsidR="00A659E4">
        <w:t xml:space="preserve"> and its tributaries</w:t>
      </w:r>
      <w:r>
        <w:t xml:space="preserve"> are needed</w:t>
      </w:r>
      <w:r w:rsidR="00E06155">
        <w:t>. The assessment should consider the like</w:t>
      </w:r>
      <w:r w:rsidR="00C52C7B">
        <w:t>li</w:t>
      </w:r>
      <w:r w:rsidR="00E06155">
        <w:t>hood of the generation of saline seeps in nearby tributaries</w:t>
      </w:r>
      <w:r w:rsidR="004C4867">
        <w:t xml:space="preserve"> (including ephemeral creeks developed as part of site rehabilitation)</w:t>
      </w:r>
      <w:r w:rsidR="00611152">
        <w:t xml:space="preserve"> and a simple</w:t>
      </w:r>
      <w:r w:rsidR="00E06155">
        <w:t xml:space="preserve"> uncertainty analysis of potential travel times using a range of </w:t>
      </w:r>
      <w:r w:rsidR="00C52C7B">
        <w:t xml:space="preserve">potential </w:t>
      </w:r>
      <w:r w:rsidR="00E06155">
        <w:t>hydraulic conductivity and porosity values</w:t>
      </w:r>
      <w:r>
        <w:t xml:space="preserve">. These values are </w:t>
      </w:r>
      <w:r w:rsidR="004C4867">
        <w:t xml:space="preserve">likely to differ </w:t>
      </w:r>
      <w:r w:rsidR="005E21E7">
        <w:t xml:space="preserve">if/where </w:t>
      </w:r>
      <w:r w:rsidR="00732C52">
        <w:t xml:space="preserve">there is </w:t>
      </w:r>
      <w:r w:rsidR="005E21E7">
        <w:t>potential for transport through</w:t>
      </w:r>
      <w:r w:rsidR="004C4867">
        <w:t xml:space="preserve"> </w:t>
      </w:r>
      <w:r w:rsidR="00096D13">
        <w:t xml:space="preserve">reinstated materials in </w:t>
      </w:r>
      <w:r w:rsidR="004C4867">
        <w:t>rehabilitated areas</w:t>
      </w:r>
      <w:r w:rsidR="00E06155">
        <w:t>.</w:t>
      </w:r>
      <w:r w:rsidR="009908CA">
        <w:t xml:space="preserve"> </w:t>
      </w:r>
    </w:p>
    <w:p w:rsidR="002870C5" w:rsidRDefault="002870C5" w:rsidP="002870C5">
      <w:pPr>
        <w:pStyle w:val="ListNumber"/>
      </w:pPr>
      <w:r>
        <w:t xml:space="preserve">An updated site water balance is needed to assess and quantify </w:t>
      </w:r>
      <w:r w:rsidR="00FE1CF4">
        <w:t xml:space="preserve">the </w:t>
      </w:r>
      <w:r>
        <w:t>potential for reduced catchment runoff, spillages from water storages</w:t>
      </w:r>
      <w:r w:rsidR="005C6316">
        <w:t>,</w:t>
      </w:r>
      <w:r>
        <w:t xml:space="preserve"> and discharges to </w:t>
      </w:r>
      <w:r w:rsidR="00FE1CF4">
        <w:t xml:space="preserve">the </w:t>
      </w:r>
      <w:r>
        <w:t>Hunter River consistent with the proposed project.</w:t>
      </w:r>
    </w:p>
    <w:p w:rsidR="0017251F" w:rsidRPr="009A7B95" w:rsidRDefault="0017251F" w:rsidP="0017251F">
      <w:pPr>
        <w:pStyle w:val="ListNumber"/>
        <w:numPr>
          <w:ilvl w:val="0"/>
          <w:numId w:val="0"/>
        </w:numPr>
        <w:ind w:left="369"/>
        <w:rPr>
          <w:i/>
          <w:u w:val="single"/>
        </w:rPr>
      </w:pPr>
      <w:r w:rsidRPr="009A7B95">
        <w:rPr>
          <w:i/>
          <w:u w:val="single"/>
        </w:rPr>
        <w:t>Cumulative Impact Assessment</w:t>
      </w:r>
    </w:p>
    <w:p w:rsidR="0017251F" w:rsidRDefault="000A4104" w:rsidP="00C919E3">
      <w:pPr>
        <w:pStyle w:val="ListNumber"/>
      </w:pPr>
      <w:r>
        <w:t>In conjunction with adherence to the Hunter River Salinity Trading Scheme</w:t>
      </w:r>
      <w:r w:rsidR="00A659E4">
        <w:t xml:space="preserve"> requirements</w:t>
      </w:r>
      <w:r>
        <w:t xml:space="preserve"> </w:t>
      </w:r>
      <w:r w:rsidR="00F336B6">
        <w:t>an assessment of</w:t>
      </w:r>
      <w:r w:rsidR="00F82257">
        <w:t xml:space="preserve"> potential</w:t>
      </w:r>
      <w:r w:rsidR="00F336B6">
        <w:t xml:space="preserve"> impacts of physical and chemical composition of discharge water</w:t>
      </w:r>
      <w:r w:rsidR="003006CB">
        <w:t>, including</w:t>
      </w:r>
      <w:r w:rsidR="00F336B6">
        <w:t xml:space="preserve"> </w:t>
      </w:r>
      <w:r w:rsidR="00611152">
        <w:t xml:space="preserve">the impacts of </w:t>
      </w:r>
      <w:r w:rsidR="00F336B6">
        <w:t>metals</w:t>
      </w:r>
      <w:r w:rsidR="00CA6159">
        <w:t xml:space="preserve"> and </w:t>
      </w:r>
      <w:r w:rsidR="002B6703">
        <w:t>PAHs</w:t>
      </w:r>
      <w:r w:rsidR="00F82257">
        <w:t>,</w:t>
      </w:r>
      <w:r w:rsidR="00F336B6">
        <w:t xml:space="preserve"> on downstream ecosystems</w:t>
      </w:r>
      <w:r>
        <w:t xml:space="preserve"> and environments</w:t>
      </w:r>
      <w:r w:rsidR="00611152">
        <w:t xml:space="preserve"> would improve understanding of potential regional cumulative impacts of mining</w:t>
      </w:r>
      <w:r w:rsidR="00F336B6">
        <w:t xml:space="preserve">. This is consistent with the recent </w:t>
      </w:r>
      <w:r w:rsidR="00676C63">
        <w:t>findings</w:t>
      </w:r>
      <w:r w:rsidR="00F336B6">
        <w:t xml:space="preserve"> of Krogh et al. </w:t>
      </w:r>
      <w:r w:rsidR="00E06155">
        <w:t>(</w:t>
      </w:r>
      <w:r w:rsidR="00F336B6">
        <w:t>2013</w:t>
      </w:r>
      <w:r w:rsidR="00E06155">
        <w:t>)</w:t>
      </w:r>
      <w:r w:rsidR="00F336B6">
        <w:t xml:space="preserve"> which recommends experimental studies to fully understand the effects of different components of saline water </w:t>
      </w:r>
      <w:r w:rsidR="00A659E4">
        <w:t>including metals/metal</w:t>
      </w:r>
      <w:r w:rsidR="005C6316">
        <w:t>loids and ionic compositions</w:t>
      </w:r>
      <w:r w:rsidR="00A659E4">
        <w:t xml:space="preserve"> </w:t>
      </w:r>
      <w:r w:rsidR="00F336B6">
        <w:t>discharged to the Hunter River.</w:t>
      </w:r>
      <w:r w:rsidR="006A64D4">
        <w:t xml:space="preserve"> Such studies may include field studies at targeted sites</w:t>
      </w:r>
      <w:r w:rsidR="00FE1CF4">
        <w:t xml:space="preserve"> and experiments to determine the chronic and </w:t>
      </w:r>
      <w:proofErr w:type="spellStart"/>
      <w:r w:rsidR="00FE1CF4">
        <w:t>sublethal</w:t>
      </w:r>
      <w:proofErr w:type="spellEnd"/>
      <w:r w:rsidR="00FE1CF4">
        <w:t xml:space="preserve"> salinity sensitivity of </w:t>
      </w:r>
      <w:proofErr w:type="spellStart"/>
      <w:r w:rsidR="00FE1CF4">
        <w:t>macroinvertebrate</w:t>
      </w:r>
      <w:proofErr w:type="spellEnd"/>
      <w:r w:rsidR="00FE1CF4">
        <w:t xml:space="preserve"> </w:t>
      </w:r>
      <w:proofErr w:type="spellStart"/>
      <w:r w:rsidR="00FE1CF4">
        <w:t>taxa</w:t>
      </w:r>
      <w:proofErr w:type="spellEnd"/>
      <w:r w:rsidR="00FE1CF4">
        <w:t>. A program investigating the whole</w:t>
      </w:r>
      <w:r w:rsidR="006A64D4">
        <w:t>-</w:t>
      </w:r>
      <w:r w:rsidR="00FE1CF4">
        <w:t>of</w:t>
      </w:r>
      <w:r w:rsidR="006A64D4">
        <w:t>-</w:t>
      </w:r>
      <w:r w:rsidR="00FE1CF4">
        <w:t xml:space="preserve">effluent toxicity of the various mine waters prior to discharge is also </w:t>
      </w:r>
      <w:r w:rsidR="006A64D4">
        <w:t>needed</w:t>
      </w:r>
      <w:r w:rsidR="00FE1CF4">
        <w:t xml:space="preserve"> to see whether any toxicity exists and the degree of dilution (if any) </w:t>
      </w:r>
      <w:r w:rsidR="006A64D4">
        <w:t xml:space="preserve">needed </w:t>
      </w:r>
      <w:r w:rsidR="00FE1CF4">
        <w:t>to mitigate potential toxic effects.</w:t>
      </w:r>
    </w:p>
    <w:p w:rsidR="000A4104" w:rsidRPr="00C079C8" w:rsidRDefault="00CF7D4B" w:rsidP="00C919E3">
      <w:pPr>
        <w:pStyle w:val="ListNumber"/>
      </w:pPr>
      <w:r>
        <w:t>A</w:t>
      </w:r>
      <w:r w:rsidR="00E02B9E">
        <w:t xml:space="preserve"> </w:t>
      </w:r>
      <w:r>
        <w:t xml:space="preserve">sub-regional </w:t>
      </w:r>
      <w:r w:rsidR="00E02B9E">
        <w:t xml:space="preserve">groundwater model </w:t>
      </w:r>
      <w:r w:rsidR="00640148">
        <w:t xml:space="preserve">including all mines and major water users in the vicinity </w:t>
      </w:r>
      <w:r w:rsidR="00CA6159">
        <w:t>would better</w:t>
      </w:r>
      <w:r w:rsidR="00E02B9E">
        <w:t xml:space="preserve"> ass</w:t>
      </w:r>
      <w:r w:rsidR="00CA6159">
        <w:t>ess</w:t>
      </w:r>
      <w:r w:rsidR="00E02B9E">
        <w:t xml:space="preserve"> </w:t>
      </w:r>
      <w:r w:rsidR="00640148">
        <w:t xml:space="preserve">spatial and temporal </w:t>
      </w:r>
      <w:r w:rsidR="00E02B9E">
        <w:t>cumulative impacts</w:t>
      </w:r>
      <w:r w:rsidR="00762E32">
        <w:t xml:space="preserve"> to </w:t>
      </w:r>
      <w:r>
        <w:t>water resources and depend</w:t>
      </w:r>
      <w:r w:rsidR="002B6703">
        <w:t>e</w:t>
      </w:r>
      <w:r>
        <w:t>nt ecosystems</w:t>
      </w:r>
      <w:r w:rsidR="00762E32">
        <w:t xml:space="preserve"> in the vicinity of </w:t>
      </w:r>
      <w:r w:rsidR="00AD70E2">
        <w:t>the proposed project</w:t>
      </w:r>
      <w:r w:rsidR="00E02B9E">
        <w:t xml:space="preserve">. </w:t>
      </w:r>
      <w:r w:rsidR="00701898" w:rsidRPr="00640148">
        <w:t>The model</w:t>
      </w:r>
      <w:r w:rsidR="00721FC6">
        <w:t xml:space="preserve"> </w:t>
      </w:r>
      <w:r w:rsidR="00CA6159">
        <w:t xml:space="preserve">would need to </w:t>
      </w:r>
      <w:r w:rsidR="00721FC6">
        <w:t xml:space="preserve">be updated on a regular basis and be informed by ongoing dedicated monitoring to validate </w:t>
      </w:r>
      <w:r w:rsidR="00FE1CF4">
        <w:t xml:space="preserve">and </w:t>
      </w:r>
      <w:r w:rsidR="00721FC6">
        <w:t>reduce uncertainty</w:t>
      </w:r>
      <w:r w:rsidR="00C84538">
        <w:t xml:space="preserve"> in model predictions</w:t>
      </w:r>
      <w:r w:rsidR="00721FC6">
        <w:t xml:space="preserve">. </w:t>
      </w:r>
    </w:p>
    <w:p w:rsidR="00113841" w:rsidRPr="00C079C8" w:rsidRDefault="00113841" w:rsidP="001202FA">
      <w:pPr>
        <w:pStyle w:val="Heading5"/>
      </w:pPr>
      <w:r w:rsidRPr="00C079C8">
        <w:t>Oth</w:t>
      </w:r>
      <w:r w:rsidR="000A29EE" w:rsidRPr="00C079C8">
        <w:t>er considerations</w:t>
      </w:r>
    </w:p>
    <w:p w:rsidR="006F0F8F" w:rsidRDefault="009535AF" w:rsidP="00113841">
      <w:pPr>
        <w:pStyle w:val="ListNumber"/>
      </w:pPr>
      <w:r w:rsidRPr="00C079C8">
        <w:t xml:space="preserve">The </w:t>
      </w:r>
      <w:r w:rsidR="003C438B">
        <w:t xml:space="preserve">Northern </w:t>
      </w:r>
      <w:r w:rsidRPr="00C079C8">
        <w:t>Sydney Basin</w:t>
      </w:r>
      <w:r w:rsidR="008D5DBE" w:rsidRPr="00C079C8">
        <w:t xml:space="preserve"> </w:t>
      </w:r>
      <w:r w:rsidRPr="00C079C8">
        <w:t>has been identified as a Bioregional Assessment</w:t>
      </w:r>
      <w:r w:rsidR="00FE1CF4">
        <w:t xml:space="preserve"> </w:t>
      </w:r>
      <w:r w:rsidRPr="00C079C8">
        <w:t xml:space="preserve">priority region. </w:t>
      </w:r>
      <w:r w:rsidR="00FE1CF4">
        <w:t xml:space="preserve">It is anticipated that the </w:t>
      </w:r>
      <w:r w:rsidR="0043449F" w:rsidRPr="00C079C8">
        <w:t>Bioregional Assessment</w:t>
      </w:r>
      <w:r w:rsidR="0043449F">
        <w:t xml:space="preserve"> </w:t>
      </w:r>
      <w:r w:rsidR="00FE1CF4">
        <w:t xml:space="preserve">programme will </w:t>
      </w:r>
      <w:r w:rsidR="00775B90">
        <w:t xml:space="preserve">deliver a </w:t>
      </w:r>
      <w:r w:rsidR="00347C3A">
        <w:t xml:space="preserve">regional </w:t>
      </w:r>
      <w:r w:rsidR="00775B90">
        <w:t xml:space="preserve">groundwater model for the Hunter Bioregional Assessment area which will include Drayton South, the adjacent Mt Arthur mines and multiple other mines in the region. </w:t>
      </w:r>
      <w:r w:rsidRPr="00C079C8">
        <w:t xml:space="preserve">Data and relevant information from the proposed project should be made accessible to this Bioregional Assessment </w:t>
      </w:r>
      <w:r w:rsidR="00F10823" w:rsidRPr="00C079C8">
        <w:t xml:space="preserve">and other research </w:t>
      </w:r>
      <w:r w:rsidRPr="00C079C8">
        <w:t>to assist the knowledge base for regional scale assessments.</w:t>
      </w:r>
    </w:p>
    <w:p w:rsidR="00457273" w:rsidRDefault="00457273">
      <w:pPr>
        <w:pStyle w:val="ListNumber"/>
        <w:numPr>
          <w:ilvl w:val="0"/>
          <w:numId w:val="0"/>
        </w:numPr>
        <w:ind w:left="369"/>
      </w:pPr>
    </w:p>
    <w:p w:rsidR="00457273" w:rsidRDefault="00457273">
      <w:pPr>
        <w:pStyle w:val="ListNumber"/>
        <w:numPr>
          <w:ilvl w:val="0"/>
          <w:numId w:val="0"/>
        </w:numPr>
        <w:ind w:left="369" w:hanging="369"/>
      </w:pPr>
    </w:p>
    <w:p w:rsidR="00457273" w:rsidRDefault="00457273">
      <w:pPr>
        <w:pStyle w:val="ListNumber"/>
        <w:numPr>
          <w:ilvl w:val="0"/>
          <w:numId w:val="0"/>
        </w:numPr>
        <w:ind w:left="369" w:hanging="369"/>
      </w:pPr>
    </w:p>
    <w:p w:rsidR="00457273" w:rsidRDefault="00457273">
      <w:pPr>
        <w:pStyle w:val="ListNumber"/>
        <w:numPr>
          <w:ilvl w:val="0"/>
          <w:numId w:val="0"/>
        </w:numPr>
        <w:ind w:left="369" w:hanging="369"/>
      </w:pPr>
    </w:p>
    <w:p w:rsidR="00457273" w:rsidRDefault="00457273">
      <w:pPr>
        <w:pStyle w:val="ListNumber"/>
        <w:numPr>
          <w:ilvl w:val="0"/>
          <w:numId w:val="0"/>
        </w:numPr>
        <w:ind w:left="369" w:hanging="369"/>
      </w:pPr>
    </w:p>
    <w:p w:rsidR="00457273" w:rsidRDefault="00457273">
      <w:pPr>
        <w:pStyle w:val="ListNumber"/>
        <w:numPr>
          <w:ilvl w:val="0"/>
          <w:numId w:val="0"/>
        </w:numPr>
        <w:ind w:left="369" w:hanging="369"/>
      </w:pPr>
    </w:p>
    <w:p w:rsidR="00457273" w:rsidRDefault="00457273">
      <w:pPr>
        <w:pStyle w:val="ListNumber"/>
        <w:numPr>
          <w:ilvl w:val="0"/>
          <w:numId w:val="0"/>
        </w:numPr>
        <w:ind w:left="369" w:hanging="369"/>
      </w:pPr>
    </w:p>
    <w:p w:rsidR="00457273" w:rsidRDefault="00457273">
      <w:pPr>
        <w:pStyle w:val="ListNumber"/>
        <w:numPr>
          <w:ilvl w:val="0"/>
          <w:numId w:val="0"/>
        </w:numPr>
        <w:ind w:left="369" w:hanging="369"/>
      </w:pPr>
    </w:p>
    <w:p w:rsidR="00457273" w:rsidRDefault="00457273">
      <w:pPr>
        <w:pStyle w:val="ListNumber"/>
        <w:numPr>
          <w:ilvl w:val="0"/>
          <w:numId w:val="0"/>
        </w:numPr>
        <w:ind w:left="369" w:hanging="369"/>
      </w:pPr>
    </w:p>
    <w:tbl>
      <w:tblPr>
        <w:tblW w:w="9968" w:type="dxa"/>
        <w:tblBorders>
          <w:insideH w:val="single" w:sz="4" w:space="0" w:color="auto"/>
        </w:tblBorders>
        <w:tblCellMar>
          <w:top w:w="113" w:type="dxa"/>
          <w:bottom w:w="113" w:type="dxa"/>
        </w:tblCellMar>
        <w:tblLook w:val="01E0"/>
      </w:tblPr>
      <w:tblGrid>
        <w:gridCol w:w="1809"/>
        <w:gridCol w:w="8159"/>
      </w:tblGrid>
      <w:tr w:rsidR="007203C3" w:rsidRPr="00C079C8" w:rsidTr="00B1520C">
        <w:trPr>
          <w:trHeight w:val="19"/>
        </w:trPr>
        <w:tc>
          <w:tcPr>
            <w:tcW w:w="1809" w:type="dxa"/>
            <w:tcBorders>
              <w:top w:val="single" w:sz="4" w:space="0" w:color="auto"/>
              <w:bottom w:val="single" w:sz="4" w:space="0" w:color="auto"/>
            </w:tcBorders>
          </w:tcPr>
          <w:p w:rsidR="00A67DDF" w:rsidRPr="00C079C8" w:rsidRDefault="007203C3">
            <w:pPr>
              <w:pStyle w:val="Heading6"/>
              <w:keepNext/>
            </w:pPr>
            <w:r w:rsidRPr="00C079C8">
              <w:t>Date of advice</w:t>
            </w:r>
          </w:p>
        </w:tc>
        <w:tc>
          <w:tcPr>
            <w:tcW w:w="8159" w:type="dxa"/>
            <w:tcBorders>
              <w:top w:val="single" w:sz="4" w:space="0" w:color="auto"/>
              <w:bottom w:val="single" w:sz="4" w:space="0" w:color="auto"/>
            </w:tcBorders>
          </w:tcPr>
          <w:p w:rsidR="00A67DDF" w:rsidRPr="00C079C8" w:rsidRDefault="006A64D4" w:rsidP="00905FC7">
            <w:pPr>
              <w:pStyle w:val="Tabletext"/>
              <w:keepNext/>
            </w:pPr>
            <w:r>
              <w:t>23</w:t>
            </w:r>
            <w:r w:rsidR="009E60C4" w:rsidRPr="00C70B87">
              <w:t xml:space="preserve"> </w:t>
            </w:r>
            <w:r w:rsidR="00905FC7">
              <w:t>February 2015</w:t>
            </w:r>
            <w:r w:rsidR="003E2135" w:rsidRPr="00C079C8">
              <w:t xml:space="preserve"> </w:t>
            </w:r>
          </w:p>
        </w:tc>
      </w:tr>
      <w:tr w:rsidR="007203C3" w:rsidRPr="00C079C8" w:rsidTr="00B1520C">
        <w:trPr>
          <w:trHeight w:val="161"/>
        </w:trPr>
        <w:tc>
          <w:tcPr>
            <w:tcW w:w="1809" w:type="dxa"/>
            <w:tcBorders>
              <w:top w:val="single" w:sz="4" w:space="0" w:color="auto"/>
              <w:bottom w:val="single" w:sz="4" w:space="0" w:color="auto"/>
            </w:tcBorders>
          </w:tcPr>
          <w:p w:rsidR="00A67DDF" w:rsidRPr="00C079C8" w:rsidRDefault="007203C3">
            <w:pPr>
              <w:pStyle w:val="Heading6"/>
              <w:keepNext/>
            </w:pPr>
            <w:r w:rsidRPr="00C079C8">
              <w:t xml:space="preserve">Source documentation available to the </w:t>
            </w:r>
            <w:r w:rsidR="00A83DF5" w:rsidRPr="00C079C8">
              <w:t>IESC</w:t>
            </w:r>
            <w:r w:rsidRPr="00C079C8">
              <w:t xml:space="preserve"> in the formulation of this advice</w:t>
            </w:r>
          </w:p>
        </w:tc>
        <w:tc>
          <w:tcPr>
            <w:tcW w:w="8159" w:type="dxa"/>
            <w:tcBorders>
              <w:top w:val="single" w:sz="4" w:space="0" w:color="auto"/>
              <w:bottom w:val="single" w:sz="4" w:space="0" w:color="auto"/>
            </w:tcBorders>
          </w:tcPr>
          <w:p w:rsidR="00EB5C73" w:rsidRPr="007B4568" w:rsidRDefault="00EB5C73" w:rsidP="00EB5C73">
            <w:pPr>
              <w:pStyle w:val="ListBullet5"/>
              <w:rPr>
                <w:color w:val="000000" w:themeColor="text1"/>
              </w:rPr>
            </w:pPr>
            <w:r w:rsidRPr="007B4568">
              <w:rPr>
                <w:color w:val="000000" w:themeColor="text1"/>
              </w:rPr>
              <w:t>Hansen Bailey 2015. Drayton South Coal Project. Gateway Certificate Application for Anglo American Coal January 2015.</w:t>
            </w:r>
          </w:p>
          <w:p w:rsidR="00EB5C73" w:rsidRPr="007B4568" w:rsidRDefault="00EB5C73" w:rsidP="00EB5C73">
            <w:pPr>
              <w:pStyle w:val="ListBullet5"/>
              <w:rPr>
                <w:color w:val="000000" w:themeColor="text1"/>
              </w:rPr>
            </w:pPr>
            <w:r w:rsidRPr="007B4568">
              <w:rPr>
                <w:color w:val="000000" w:themeColor="text1"/>
              </w:rPr>
              <w:t>AGE 2012. Report on Drayton South Coal Project, Groundwater Impact Assessment. Project No. G1544 October 2012.</w:t>
            </w:r>
          </w:p>
          <w:p w:rsidR="003006CB" w:rsidRPr="00C079C8" w:rsidRDefault="00EB5C73" w:rsidP="002B6703">
            <w:pPr>
              <w:pStyle w:val="Plaintext0"/>
              <w:keepNext/>
            </w:pPr>
            <w:r w:rsidRPr="007B4568">
              <w:rPr>
                <w:color w:val="000000" w:themeColor="text1"/>
              </w:rPr>
              <w:t>WRM 2012. Surface Water Impact Assessment, Drayton South Coal Project. October 2012.</w:t>
            </w:r>
          </w:p>
        </w:tc>
      </w:tr>
      <w:tr w:rsidR="007203C3" w:rsidRPr="00304CA9" w:rsidTr="00B1520C">
        <w:trPr>
          <w:trHeight w:val="19"/>
        </w:trPr>
        <w:tc>
          <w:tcPr>
            <w:tcW w:w="1809" w:type="dxa"/>
            <w:tcBorders>
              <w:top w:val="single" w:sz="4" w:space="0" w:color="auto"/>
              <w:bottom w:val="single" w:sz="4" w:space="0" w:color="auto"/>
            </w:tcBorders>
          </w:tcPr>
          <w:p w:rsidR="007203C3" w:rsidRPr="00C079C8" w:rsidRDefault="007203C3" w:rsidP="00D622B9">
            <w:pPr>
              <w:pStyle w:val="Heading6"/>
            </w:pPr>
            <w:r w:rsidRPr="00C079C8">
              <w:t xml:space="preserve">References cited within the </w:t>
            </w:r>
            <w:r w:rsidR="00A83DF5" w:rsidRPr="00C079C8">
              <w:t>IESC</w:t>
            </w:r>
            <w:r w:rsidRPr="00C079C8">
              <w:t>’s advice</w:t>
            </w:r>
          </w:p>
        </w:tc>
        <w:tc>
          <w:tcPr>
            <w:tcW w:w="8159" w:type="dxa"/>
            <w:tcBorders>
              <w:top w:val="single" w:sz="4" w:space="0" w:color="auto"/>
              <w:bottom w:val="single" w:sz="4" w:space="0" w:color="auto"/>
            </w:tcBorders>
          </w:tcPr>
          <w:p w:rsidR="003006CB" w:rsidRDefault="003006CB" w:rsidP="00F13B49">
            <w:pPr>
              <w:pStyle w:val="Plaintext0"/>
            </w:pPr>
            <w:r>
              <w:rPr>
                <w:color w:val="000000" w:themeColor="text1"/>
              </w:rPr>
              <w:t>Anglo American 2013 Drayton Fact Sheet.</w:t>
            </w:r>
          </w:p>
          <w:p w:rsidR="009E042A" w:rsidRDefault="009E042A" w:rsidP="00F13B49">
            <w:pPr>
              <w:pStyle w:val="Plaintext0"/>
            </w:pPr>
            <w:r>
              <w:t xml:space="preserve">Commonwealth of Australia 2015. Modelling water-related </w:t>
            </w:r>
            <w:r w:rsidR="00AD70E2">
              <w:t xml:space="preserve">ecological responses to coal seam gas extraction and coal mining, prepared by </w:t>
            </w:r>
            <w:proofErr w:type="spellStart"/>
            <w:r w:rsidR="00AD70E2">
              <w:t>Auricht</w:t>
            </w:r>
            <w:proofErr w:type="spellEnd"/>
            <w:r w:rsidR="00AD70E2">
              <w:t xml:space="preserve"> Projects and the Commonwealth Scientific and Industrial research Organisation (CSIRO) for the Department of the Environment, Commonwealth of Australia.</w:t>
            </w:r>
          </w:p>
          <w:p w:rsidR="000A5C8F" w:rsidRDefault="003006CB" w:rsidP="000A5C8F">
            <w:pPr>
              <w:spacing w:after="0" w:line="240" w:lineRule="auto"/>
              <w:rPr>
                <w:rFonts w:ascii="Arial-ItalicMT" w:eastAsia="Calibri" w:hAnsi="Arial-ItalicMT" w:cs="Arial-ItalicMT"/>
                <w:i/>
                <w:iCs/>
                <w:color w:val="231F20"/>
                <w:lang w:eastAsia="en-AU"/>
              </w:rPr>
            </w:pPr>
            <w:r w:rsidRPr="000A5C8F">
              <w:rPr>
                <w:color w:val="000000" w:themeColor="text1"/>
              </w:rPr>
              <w:t xml:space="preserve">Eco Logical Australia (2012) </w:t>
            </w:r>
            <w:r w:rsidR="000A5C8F">
              <w:rPr>
                <w:rFonts w:ascii="Arial-ItalicMT" w:eastAsia="Calibri" w:hAnsi="Arial-ItalicMT" w:cs="Arial-ItalicMT"/>
                <w:i/>
                <w:iCs/>
                <w:color w:val="231F20"/>
                <w:lang w:eastAsia="en-AU"/>
              </w:rPr>
              <w:t xml:space="preserve">Drayton South Coal Project: </w:t>
            </w:r>
            <w:proofErr w:type="spellStart"/>
            <w:r w:rsidR="000A5C8F">
              <w:rPr>
                <w:rFonts w:ascii="Arial-ItalicMT" w:eastAsia="Calibri" w:hAnsi="Arial-ItalicMT" w:cs="Arial-ItalicMT"/>
                <w:i/>
                <w:iCs/>
                <w:color w:val="231F20"/>
                <w:lang w:eastAsia="en-AU"/>
              </w:rPr>
              <w:t>Stygofauna</w:t>
            </w:r>
            <w:proofErr w:type="spellEnd"/>
          </w:p>
          <w:p w:rsidR="003006CB" w:rsidRDefault="000A5C8F" w:rsidP="000A5C8F">
            <w:pPr>
              <w:pStyle w:val="ListBullet5"/>
              <w:rPr>
                <w:color w:val="000000" w:themeColor="text1"/>
              </w:rPr>
            </w:pPr>
            <w:r>
              <w:rPr>
                <w:rFonts w:ascii="Arial-ItalicMT" w:eastAsia="Calibri" w:hAnsi="Arial-ItalicMT" w:cs="Arial-ItalicMT"/>
                <w:i/>
                <w:iCs/>
                <w:color w:val="231F20"/>
                <w:lang w:eastAsia="en-AU"/>
              </w:rPr>
              <w:t>Impact Assessment</w:t>
            </w:r>
            <w:r>
              <w:rPr>
                <w:rFonts w:ascii="ArialMT" w:eastAsia="Calibri" w:hAnsi="ArialMT" w:cs="ArialMT"/>
                <w:color w:val="231F20"/>
                <w:lang w:eastAsia="en-AU"/>
              </w:rPr>
              <w:t>. Prepared for Hansen Bailey Environmental Consultants.</w:t>
            </w:r>
          </w:p>
          <w:p w:rsidR="007203C3" w:rsidRPr="00C079C8" w:rsidRDefault="00B4681B" w:rsidP="00F13B49">
            <w:pPr>
              <w:pStyle w:val="Plaintext0"/>
            </w:pPr>
            <w:r>
              <w:t>IESC</w:t>
            </w:r>
            <w:r w:rsidRPr="00B4681B">
              <w:t xml:space="preserve"> </w:t>
            </w:r>
            <w:r>
              <w:t xml:space="preserve">2014. </w:t>
            </w:r>
            <w:r w:rsidR="007203C3" w:rsidRPr="00C079C8">
              <w:t xml:space="preserve">Information Guidelines for </w:t>
            </w:r>
            <w:r w:rsidR="00A83DF5" w:rsidRPr="00C079C8">
              <w:t xml:space="preserve">Independent Expert Scientific Committee advice </w:t>
            </w:r>
            <w:r w:rsidR="007203C3" w:rsidRPr="00C079C8">
              <w:t>o</w:t>
            </w:r>
            <w:r w:rsidR="00A83DF5" w:rsidRPr="00C079C8">
              <w:t>n</w:t>
            </w:r>
            <w:r w:rsidR="007203C3" w:rsidRPr="00C079C8">
              <w:t xml:space="preserve"> </w:t>
            </w:r>
            <w:r w:rsidR="00A83DF5" w:rsidRPr="00C079C8">
              <w:t>coal s</w:t>
            </w:r>
            <w:r w:rsidR="007203C3" w:rsidRPr="00C079C8">
              <w:t xml:space="preserve">eam </w:t>
            </w:r>
            <w:r w:rsidR="00A83DF5" w:rsidRPr="00C079C8">
              <w:t>g</w:t>
            </w:r>
            <w:r w:rsidR="007203C3" w:rsidRPr="00C079C8">
              <w:t xml:space="preserve">as and </w:t>
            </w:r>
            <w:r w:rsidR="00A83DF5" w:rsidRPr="00C079C8">
              <w:t>l</w:t>
            </w:r>
            <w:r w:rsidR="007203C3" w:rsidRPr="00C079C8">
              <w:t xml:space="preserve">arge </w:t>
            </w:r>
            <w:r w:rsidR="00A83DF5" w:rsidRPr="00C079C8">
              <w:t>c</w:t>
            </w:r>
            <w:r w:rsidR="007203C3" w:rsidRPr="00C079C8">
              <w:t xml:space="preserve">oal </w:t>
            </w:r>
            <w:r w:rsidR="00A83DF5" w:rsidRPr="00C079C8">
              <w:t>mining development proposals</w:t>
            </w:r>
            <w:r w:rsidR="007203C3" w:rsidRPr="00C079C8">
              <w:t xml:space="preserve"> available at: </w:t>
            </w:r>
            <w:hyperlink r:id="rId8" w:history="1">
              <w:r w:rsidR="00CF5929" w:rsidRPr="001D19C1">
                <w:rPr>
                  <w:rStyle w:val="Hyperlink"/>
                </w:rPr>
                <w:t>http://iesc.environment.gov.au/pubs/iesc-information-guidelines.pdf</w:t>
              </w:r>
            </w:hyperlink>
            <w:r w:rsidR="001D19C1">
              <w:t xml:space="preserve"> </w:t>
            </w:r>
            <w:r w:rsidR="00CF5929" w:rsidRPr="00C079C8">
              <w:t xml:space="preserve"> </w:t>
            </w:r>
          </w:p>
          <w:p w:rsidR="00333E39" w:rsidRPr="00AC6CE9" w:rsidRDefault="00E06155" w:rsidP="00C52C7B">
            <w:pPr>
              <w:pStyle w:val="Plaintext0"/>
            </w:pPr>
            <w:r>
              <w:t xml:space="preserve">Krogh, M., </w:t>
            </w:r>
            <w:proofErr w:type="spellStart"/>
            <w:r>
              <w:t>Dorani</w:t>
            </w:r>
            <w:proofErr w:type="spellEnd"/>
            <w:r>
              <w:t xml:space="preserve">, F., </w:t>
            </w:r>
            <w:proofErr w:type="spellStart"/>
            <w:r>
              <w:t>Foulsham</w:t>
            </w:r>
            <w:proofErr w:type="spellEnd"/>
            <w:r>
              <w:t xml:space="preserve">, E., </w:t>
            </w:r>
            <w:proofErr w:type="spellStart"/>
            <w:r>
              <w:t>McSor</w:t>
            </w:r>
            <w:r w:rsidR="00C52C7B">
              <w:t>le</w:t>
            </w:r>
            <w:r>
              <w:t>y</w:t>
            </w:r>
            <w:proofErr w:type="spellEnd"/>
            <w:r>
              <w:t xml:space="preserve">, A., and </w:t>
            </w:r>
            <w:proofErr w:type="spellStart"/>
            <w:r>
              <w:t>Hoey</w:t>
            </w:r>
            <w:proofErr w:type="spellEnd"/>
            <w:r>
              <w:t>, D.</w:t>
            </w:r>
            <w:r w:rsidR="00AC6CE9" w:rsidRPr="00C079C8">
              <w:t xml:space="preserve"> 201</w:t>
            </w:r>
            <w:r w:rsidR="00CF116A">
              <w:t>3</w:t>
            </w:r>
            <w:r w:rsidR="00AC6CE9" w:rsidRPr="00C079C8">
              <w:t xml:space="preserve">. </w:t>
            </w:r>
            <w:r w:rsidR="00CF116A">
              <w:t>Hunter Catchment Salinity Assessment. Final Report. NSW Environment Protection Authority.</w:t>
            </w:r>
          </w:p>
        </w:tc>
      </w:tr>
    </w:tbl>
    <w:p w:rsidR="00B75A07" w:rsidRDefault="00B75A07" w:rsidP="00C52C7B">
      <w:pPr>
        <w:sectPr w:rsidR="00B75A07" w:rsidSect="006A64D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440" w:right="1440" w:bottom="1440" w:left="1440" w:header="425" w:footer="425" w:gutter="0"/>
          <w:pgNumType w:start="1"/>
          <w:cols w:space="708"/>
          <w:docGrid w:linePitch="360"/>
        </w:sectPr>
      </w:pPr>
    </w:p>
    <w:p w:rsidR="00B75A07" w:rsidRDefault="00B75A07" w:rsidP="00B75A07">
      <w:pPr>
        <w:pStyle w:val="Header"/>
        <w:keepLines/>
        <w:tabs>
          <w:tab w:val="left" w:pos="2835"/>
        </w:tabs>
        <w:ind w:left="-360" w:right="-289"/>
        <w:jc w:val="center"/>
        <w:rPr>
          <w:b/>
        </w:rPr>
      </w:pPr>
    </w:p>
    <w:p w:rsidR="00B75A07" w:rsidRDefault="00B75A07" w:rsidP="00B75A07">
      <w:pPr>
        <w:pStyle w:val="Header"/>
        <w:keepLines/>
        <w:tabs>
          <w:tab w:val="left" w:pos="2835"/>
        </w:tabs>
        <w:ind w:left="-360" w:right="-289"/>
        <w:jc w:val="center"/>
        <w:rPr>
          <w:b/>
        </w:rPr>
      </w:pPr>
    </w:p>
    <w:p w:rsidR="00B75A07" w:rsidRDefault="00B75A07" w:rsidP="00B75A07">
      <w:pPr>
        <w:pStyle w:val="Header"/>
        <w:keepLines/>
        <w:tabs>
          <w:tab w:val="left" w:pos="2835"/>
        </w:tabs>
        <w:ind w:left="-360" w:right="-289"/>
        <w:jc w:val="center"/>
        <w:rPr>
          <w:b/>
        </w:rPr>
      </w:pPr>
    </w:p>
    <w:p w:rsidR="003006CB" w:rsidRDefault="003006CB">
      <w:pPr>
        <w:autoSpaceDE/>
        <w:autoSpaceDN/>
        <w:adjustRightInd/>
        <w:spacing w:after="0" w:line="240" w:lineRule="auto"/>
        <w:rPr>
          <w:b/>
        </w:rPr>
      </w:pPr>
      <w:r>
        <w:rPr>
          <w:b/>
        </w:rPr>
        <w:br w:type="page"/>
      </w:r>
    </w:p>
    <w:p w:rsidR="00B75A07" w:rsidRDefault="001A4FAA" w:rsidP="00B75A07">
      <w:pPr>
        <w:pStyle w:val="Header"/>
        <w:keepLines/>
        <w:tabs>
          <w:tab w:val="left" w:pos="2835"/>
        </w:tabs>
        <w:ind w:left="-360" w:right="-289"/>
        <w:jc w:val="center"/>
        <w:rPr>
          <w:b/>
        </w:rPr>
      </w:pPr>
      <w:r w:rsidRPr="001A4FAA">
        <w:rPr>
          <w:b/>
          <w:noProof/>
          <w:lang w:eastAsia="en-AU"/>
        </w:rPr>
        <w:drawing>
          <wp:anchor distT="0" distB="0" distL="114300" distR="114300" simplePos="0" relativeHeight="251660288" behindDoc="0" locked="0" layoutInCell="1" allowOverlap="1">
            <wp:simplePos x="0" y="0"/>
            <wp:positionH relativeFrom="column">
              <wp:posOffset>-889331</wp:posOffset>
            </wp:positionH>
            <wp:positionV relativeFrom="paragraph">
              <wp:posOffset>-892479</wp:posOffset>
            </wp:positionV>
            <wp:extent cx="7574446" cy="1987826"/>
            <wp:effectExtent l="19050" t="0" r="7454"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4446" cy="1987826"/>
                    </a:xfrm>
                    <a:prstGeom prst="rect">
                      <a:avLst/>
                    </a:prstGeom>
                    <a:noFill/>
                    <a:ln w="9525">
                      <a:noFill/>
                      <a:miter lim="800000"/>
                      <a:headEnd/>
                      <a:tailEnd/>
                    </a:ln>
                  </pic:spPr>
                </pic:pic>
              </a:graphicData>
            </a:graphic>
          </wp:anchor>
        </w:drawing>
      </w:r>
    </w:p>
    <w:p w:rsidR="001A4FAA" w:rsidRDefault="001A4FAA" w:rsidP="00B75A07">
      <w:pPr>
        <w:pStyle w:val="Header"/>
        <w:keepLines/>
        <w:tabs>
          <w:tab w:val="left" w:pos="2835"/>
        </w:tabs>
        <w:ind w:left="-360" w:right="-289"/>
        <w:jc w:val="center"/>
        <w:rPr>
          <w:b/>
        </w:rPr>
      </w:pPr>
    </w:p>
    <w:p w:rsidR="001A4FAA" w:rsidRDefault="001A4FAA" w:rsidP="00B75A07">
      <w:pPr>
        <w:pStyle w:val="Header"/>
        <w:keepLines/>
        <w:tabs>
          <w:tab w:val="left" w:pos="2835"/>
        </w:tabs>
        <w:ind w:left="-360" w:right="-289"/>
        <w:jc w:val="center"/>
        <w:rPr>
          <w:b/>
        </w:rPr>
      </w:pPr>
    </w:p>
    <w:p w:rsidR="001A4FAA" w:rsidRDefault="001A4FAA" w:rsidP="00B75A07">
      <w:pPr>
        <w:pStyle w:val="Header"/>
        <w:keepLines/>
        <w:tabs>
          <w:tab w:val="left" w:pos="2835"/>
        </w:tabs>
        <w:ind w:left="-360" w:right="-289"/>
        <w:jc w:val="center"/>
        <w:rPr>
          <w:b/>
        </w:rPr>
      </w:pPr>
    </w:p>
    <w:p w:rsidR="00B75A07" w:rsidRPr="002A5EC3" w:rsidRDefault="00B75A07" w:rsidP="00B75A07">
      <w:pPr>
        <w:pStyle w:val="Header"/>
        <w:keepLines/>
        <w:tabs>
          <w:tab w:val="left" w:pos="2835"/>
        </w:tabs>
        <w:ind w:left="-360" w:right="-289"/>
        <w:jc w:val="center"/>
        <w:rPr>
          <w:b/>
        </w:rPr>
      </w:pPr>
      <w:bookmarkStart w:id="2" w:name="OLE_LINK1"/>
      <w:bookmarkStart w:id="3" w:name="OLE_LINK2"/>
      <w:r>
        <w:rPr>
          <w:b/>
        </w:rPr>
        <w:t>Advi</w:t>
      </w:r>
      <w:r w:rsidRPr="002A5EC3">
        <w:rPr>
          <w:b/>
        </w:rPr>
        <w:t xml:space="preserve">ce to decision maker on coal mining project </w:t>
      </w:r>
    </w:p>
    <w:p w:rsidR="00B75A07" w:rsidRPr="002A5EC3" w:rsidRDefault="00B75A07" w:rsidP="00B75A07">
      <w:pPr>
        <w:pStyle w:val="Header"/>
        <w:keepLines/>
        <w:tabs>
          <w:tab w:val="left" w:pos="2835"/>
        </w:tabs>
        <w:ind w:left="-360" w:right="-289"/>
        <w:jc w:val="center"/>
        <w:rPr>
          <w:b/>
          <w:lang w:eastAsia="en-AU"/>
        </w:rPr>
      </w:pPr>
      <w:r w:rsidRPr="002A5EC3">
        <w:rPr>
          <w:b/>
          <w:lang w:eastAsia="en-AU"/>
        </w:rPr>
        <w:t>Proposed acti</w:t>
      </w:r>
      <w:r w:rsidRPr="00066FCB">
        <w:rPr>
          <w:b/>
          <w:color w:val="000000"/>
          <w:lang w:eastAsia="en-AU"/>
        </w:rPr>
        <w:t xml:space="preserve">on: </w:t>
      </w:r>
      <w:r>
        <w:rPr>
          <w:rFonts w:ascii="Arial Bold" w:hAnsi="Arial Bold"/>
          <w:b/>
          <w:color w:val="000000"/>
          <w:lang w:eastAsia="en-AU"/>
        </w:rPr>
        <w:t>Drayton</w:t>
      </w:r>
      <w:r w:rsidRPr="00066FCB">
        <w:rPr>
          <w:rFonts w:ascii="Arial Bold" w:hAnsi="Arial Bold"/>
          <w:b/>
          <w:color w:val="000000"/>
          <w:lang w:eastAsia="en-AU"/>
        </w:rPr>
        <w:t xml:space="preserve"> </w:t>
      </w:r>
      <w:r>
        <w:rPr>
          <w:rFonts w:ascii="Arial Bold" w:hAnsi="Arial Bold"/>
          <w:b/>
          <w:color w:val="000000"/>
          <w:lang w:eastAsia="en-AU"/>
        </w:rPr>
        <w:t>South Coal</w:t>
      </w:r>
      <w:r w:rsidRPr="00066FCB">
        <w:rPr>
          <w:rFonts w:ascii="Arial Bold" w:hAnsi="Arial Bold"/>
          <w:b/>
          <w:color w:val="000000"/>
          <w:lang w:eastAsia="en-AU"/>
        </w:rPr>
        <w:t xml:space="preserve"> Mine </w:t>
      </w:r>
      <w:r w:rsidRPr="00066FCB">
        <w:rPr>
          <w:b/>
          <w:color w:val="000000"/>
          <w:lang w:eastAsia="en-AU"/>
        </w:rPr>
        <w:t>(</w:t>
      </w:r>
      <w:r>
        <w:rPr>
          <w:b/>
          <w:color w:val="000000"/>
          <w:lang w:eastAsia="en-AU"/>
        </w:rPr>
        <w:t>2011/5911</w:t>
      </w:r>
      <w:r w:rsidRPr="00066FCB">
        <w:rPr>
          <w:b/>
          <w:color w:val="000000"/>
          <w:lang w:eastAsia="en-AU"/>
        </w:rPr>
        <w:t>)</w:t>
      </w:r>
    </w:p>
    <w:tbl>
      <w:tblPr>
        <w:tblW w:w="9809" w:type="dxa"/>
        <w:tblBorders>
          <w:insideH w:val="single" w:sz="4" w:space="0" w:color="auto"/>
        </w:tblBorders>
        <w:tblCellMar>
          <w:top w:w="113" w:type="dxa"/>
          <w:bottom w:w="113" w:type="dxa"/>
        </w:tblCellMar>
        <w:tblLook w:val="01E0"/>
      </w:tblPr>
      <w:tblGrid>
        <w:gridCol w:w="1526"/>
        <w:gridCol w:w="8283"/>
      </w:tblGrid>
      <w:tr w:rsidR="00B75A07" w:rsidRPr="002A5EC3" w:rsidTr="001942C2">
        <w:trPr>
          <w:trHeight w:val="108"/>
        </w:trPr>
        <w:tc>
          <w:tcPr>
            <w:tcW w:w="1526" w:type="dxa"/>
          </w:tcPr>
          <w:bookmarkEnd w:id="2"/>
          <w:bookmarkEnd w:id="3"/>
          <w:p w:rsidR="00B75A07" w:rsidRPr="002A5EC3" w:rsidRDefault="00B75A07" w:rsidP="001942C2">
            <w:pPr>
              <w:pStyle w:val="tablelabel"/>
              <w:rPr>
                <w:b w:val="0"/>
                <w:color w:val="FF0000"/>
                <w:sz w:val="20"/>
              </w:rPr>
            </w:pPr>
            <w:r w:rsidRPr="002A5EC3">
              <w:rPr>
                <w:sz w:val="20"/>
              </w:rPr>
              <w:t>Requesting agency</w:t>
            </w:r>
          </w:p>
        </w:tc>
        <w:tc>
          <w:tcPr>
            <w:tcW w:w="8283" w:type="dxa"/>
          </w:tcPr>
          <w:p w:rsidR="00B75A07" w:rsidRPr="002A5EC3" w:rsidRDefault="00B75A07" w:rsidP="001942C2">
            <w:r w:rsidRPr="002A5EC3">
              <w:t>Department of Sustainability, Environment, Water, Population and Communities</w:t>
            </w:r>
            <w:r>
              <w:t xml:space="preserve"> </w:t>
            </w:r>
          </w:p>
        </w:tc>
      </w:tr>
      <w:tr w:rsidR="00B75A07" w:rsidRPr="002A5EC3" w:rsidTr="001942C2">
        <w:trPr>
          <w:trHeight w:val="136"/>
        </w:trPr>
        <w:tc>
          <w:tcPr>
            <w:tcW w:w="1526" w:type="dxa"/>
          </w:tcPr>
          <w:p w:rsidR="00B75A07" w:rsidRPr="002A5EC3" w:rsidRDefault="00B75A07" w:rsidP="001942C2">
            <w:pPr>
              <w:pStyle w:val="tablelabel"/>
              <w:rPr>
                <w:sz w:val="20"/>
              </w:rPr>
            </w:pPr>
            <w:r w:rsidRPr="002A5EC3">
              <w:rPr>
                <w:sz w:val="20"/>
              </w:rPr>
              <w:t>Date of request</w:t>
            </w:r>
          </w:p>
        </w:tc>
        <w:tc>
          <w:tcPr>
            <w:tcW w:w="8283" w:type="dxa"/>
          </w:tcPr>
          <w:p w:rsidR="00B75A07" w:rsidRPr="002A5EC3" w:rsidRDefault="00B75A07" w:rsidP="001942C2">
            <w:r>
              <w:t>13 December 2012</w:t>
            </w:r>
            <w:r w:rsidRPr="002A5EC3">
              <w:rPr>
                <w:b/>
                <w:color w:val="FF0000"/>
              </w:rPr>
              <w:t xml:space="preserve"> </w:t>
            </w:r>
          </w:p>
        </w:tc>
      </w:tr>
      <w:tr w:rsidR="00B75A07" w:rsidRPr="002A5EC3" w:rsidTr="001942C2">
        <w:trPr>
          <w:trHeight w:val="19"/>
        </w:trPr>
        <w:tc>
          <w:tcPr>
            <w:tcW w:w="1526" w:type="dxa"/>
          </w:tcPr>
          <w:p w:rsidR="00B75A07" w:rsidRPr="002A5EC3" w:rsidRDefault="00B75A07" w:rsidP="001942C2">
            <w:pPr>
              <w:pStyle w:val="tablelabel"/>
              <w:rPr>
                <w:sz w:val="20"/>
              </w:rPr>
            </w:pPr>
            <w:r w:rsidRPr="002A5EC3">
              <w:rPr>
                <w:sz w:val="20"/>
              </w:rPr>
              <w:t>Date request accepted</w:t>
            </w:r>
          </w:p>
        </w:tc>
        <w:tc>
          <w:tcPr>
            <w:tcW w:w="8283" w:type="dxa"/>
          </w:tcPr>
          <w:p w:rsidR="00B75A07" w:rsidRPr="002A5EC3" w:rsidRDefault="00B75A07" w:rsidP="001942C2">
            <w:pPr>
              <w:rPr>
                <w:color w:val="FF0000"/>
              </w:rPr>
            </w:pPr>
            <w:r>
              <w:t>13</w:t>
            </w:r>
            <w:r w:rsidRPr="001A2483">
              <w:t xml:space="preserve"> December 2012</w:t>
            </w:r>
            <w:r w:rsidRPr="002A5EC3">
              <w:rPr>
                <w:b/>
                <w:lang w:eastAsia="en-AU"/>
              </w:rPr>
              <w:t xml:space="preserve"> </w:t>
            </w:r>
          </w:p>
        </w:tc>
      </w:tr>
      <w:tr w:rsidR="00B75A07" w:rsidRPr="002A5EC3" w:rsidTr="001942C2">
        <w:trPr>
          <w:trHeight w:val="22"/>
        </w:trPr>
        <w:tc>
          <w:tcPr>
            <w:tcW w:w="1526" w:type="dxa"/>
          </w:tcPr>
          <w:p w:rsidR="00B75A07" w:rsidRPr="002A5EC3" w:rsidRDefault="00B75A07" w:rsidP="001942C2">
            <w:pPr>
              <w:pStyle w:val="tablelabel"/>
              <w:rPr>
                <w:sz w:val="20"/>
              </w:rPr>
            </w:pPr>
            <w:r>
              <w:rPr>
                <w:sz w:val="20"/>
              </w:rPr>
              <w:t>Advice stage</w:t>
            </w:r>
          </w:p>
        </w:tc>
        <w:tc>
          <w:tcPr>
            <w:tcW w:w="8283" w:type="dxa"/>
          </w:tcPr>
          <w:p w:rsidR="00B75A07" w:rsidRPr="002A5EC3" w:rsidRDefault="00B75A07" w:rsidP="001942C2">
            <w:pPr>
              <w:tabs>
                <w:tab w:val="left" w:pos="425"/>
              </w:tabs>
            </w:pPr>
            <w:r>
              <w:t>Environmental Impact Assessment - Draft</w:t>
            </w:r>
          </w:p>
        </w:tc>
      </w:tr>
      <w:tr w:rsidR="00B75A07" w:rsidRPr="002A5EC3" w:rsidTr="001942C2">
        <w:trPr>
          <w:trHeight w:val="1862"/>
        </w:trPr>
        <w:tc>
          <w:tcPr>
            <w:tcW w:w="1526" w:type="dxa"/>
          </w:tcPr>
          <w:p w:rsidR="00B75A07" w:rsidRPr="002A5EC3" w:rsidRDefault="00B75A07" w:rsidP="001942C2">
            <w:pPr>
              <w:pStyle w:val="tablelabel"/>
              <w:rPr>
                <w:sz w:val="20"/>
              </w:rPr>
            </w:pPr>
            <w:r w:rsidRPr="002A5EC3">
              <w:rPr>
                <w:sz w:val="20"/>
              </w:rPr>
              <w:t>Summary of request</w:t>
            </w:r>
            <w:r>
              <w:rPr>
                <w:sz w:val="20"/>
              </w:rPr>
              <w:t xml:space="preserve"> from the regulator</w:t>
            </w:r>
          </w:p>
        </w:tc>
        <w:tc>
          <w:tcPr>
            <w:tcW w:w="8283" w:type="dxa"/>
          </w:tcPr>
          <w:p w:rsidR="00B75A07" w:rsidRPr="00B40B01" w:rsidRDefault="00B75A07" w:rsidP="001942C2">
            <w:pPr>
              <w:tabs>
                <w:tab w:val="left" w:pos="425"/>
              </w:tabs>
              <w:rPr>
                <w:b/>
              </w:rPr>
            </w:pPr>
            <w:r w:rsidRPr="002A5EC3">
              <w:t>The</w:t>
            </w:r>
            <w:r>
              <w:t xml:space="preserve"> </w:t>
            </w:r>
            <w:r w:rsidRPr="002A5EC3">
              <w:t xml:space="preserve">Department of Sustainability, Environment, Water, Population and Communities (the </w:t>
            </w:r>
            <w:r w:rsidRPr="00B40B01">
              <w:t xml:space="preserve">Department) is currently assessing the proposed Drayton South Coal Project in accordance with the provisions of the </w:t>
            </w:r>
            <w:r w:rsidRPr="00B40B01">
              <w:rPr>
                <w:i/>
              </w:rPr>
              <w:t xml:space="preserve">Environment Protection and Biodiversity Conservation Act 1999 </w:t>
            </w:r>
            <w:r w:rsidRPr="00B40B01">
              <w:t xml:space="preserve"> (</w:t>
            </w:r>
            <w:r>
              <w:t xml:space="preserve">the </w:t>
            </w:r>
            <w:r w:rsidRPr="00B40B01">
              <w:t>EPBC Act).</w:t>
            </w:r>
          </w:p>
          <w:p w:rsidR="00B75A07" w:rsidRPr="00B40B01" w:rsidRDefault="00B75A07" w:rsidP="001942C2">
            <w:pPr>
              <w:pStyle w:val="Default"/>
              <w:spacing w:after="200" w:line="276" w:lineRule="auto"/>
              <w:rPr>
                <w:rFonts w:ascii="Arial" w:hAnsi="Arial" w:cs="Arial"/>
                <w:color w:val="auto"/>
                <w:sz w:val="20"/>
                <w:szCs w:val="20"/>
                <w:lang w:eastAsia="en-US"/>
              </w:rPr>
            </w:pPr>
            <w:r w:rsidRPr="00B40B01">
              <w:rPr>
                <w:rFonts w:ascii="Arial" w:hAnsi="Arial" w:cs="Arial"/>
                <w:color w:val="auto"/>
                <w:sz w:val="20"/>
                <w:szCs w:val="20"/>
                <w:lang w:eastAsia="en-US"/>
              </w:rPr>
              <w:t xml:space="preserve">The Department </w:t>
            </w:r>
            <w:r>
              <w:rPr>
                <w:rFonts w:ascii="Arial" w:hAnsi="Arial" w:cs="Arial"/>
                <w:color w:val="auto"/>
                <w:sz w:val="20"/>
                <w:szCs w:val="20"/>
                <w:lang w:eastAsia="en-US"/>
              </w:rPr>
              <w:t>notifies</w:t>
            </w:r>
            <w:r w:rsidRPr="00B40B01">
              <w:rPr>
                <w:rFonts w:ascii="Arial" w:hAnsi="Arial" w:cs="Arial"/>
                <w:color w:val="auto"/>
                <w:sz w:val="20"/>
                <w:szCs w:val="20"/>
                <w:lang w:eastAsia="en-US"/>
              </w:rPr>
              <w:t xml:space="preserve"> the </w:t>
            </w:r>
            <w:bookmarkStart w:id="4" w:name="OLE_LINK3"/>
            <w:bookmarkStart w:id="5" w:name="OLE_LINK4"/>
            <w:r w:rsidRPr="00B40B01">
              <w:rPr>
                <w:rFonts w:ascii="Arial" w:hAnsi="Arial" w:cs="Arial"/>
                <w:color w:val="auto"/>
                <w:sz w:val="20"/>
                <w:szCs w:val="20"/>
                <w:lang w:eastAsia="en-US"/>
              </w:rPr>
              <w:t xml:space="preserve">Independent Expert Scientific Committee on Coal Seam Gas and Large Coal Mining Development </w:t>
            </w:r>
            <w:bookmarkEnd w:id="4"/>
            <w:bookmarkEnd w:id="5"/>
            <w:r w:rsidRPr="00B40B01">
              <w:rPr>
                <w:rFonts w:ascii="Arial" w:hAnsi="Arial" w:cs="Arial"/>
                <w:color w:val="auto"/>
                <w:sz w:val="20"/>
                <w:szCs w:val="20"/>
                <w:lang w:eastAsia="en-US"/>
              </w:rPr>
              <w:t xml:space="preserve">(the Committee) of an opportunity to comment on the Environmental Assessment Report for the proposed Drayton South Coal Project. </w:t>
            </w:r>
          </w:p>
          <w:p w:rsidR="00B75A07" w:rsidRPr="00B04FF2" w:rsidRDefault="00B75A07" w:rsidP="001942C2">
            <w:pPr>
              <w:tabs>
                <w:tab w:val="left" w:pos="425"/>
              </w:tabs>
            </w:pPr>
            <w:r w:rsidRPr="00B04FF2">
              <w:t xml:space="preserve">Specifically, the </w:t>
            </w:r>
            <w:r>
              <w:t>D</w:t>
            </w:r>
            <w:r w:rsidRPr="00B04FF2">
              <w:t xml:space="preserve">epartment seeks the advice of the </w:t>
            </w:r>
            <w:r>
              <w:t>Committee</w:t>
            </w:r>
            <w:r w:rsidRPr="00B04FF2">
              <w:t xml:space="preserve"> </w:t>
            </w:r>
            <w:r>
              <w:t>as follows:</w:t>
            </w:r>
          </w:p>
          <w:p w:rsidR="00B75A07" w:rsidRPr="00765CBF" w:rsidRDefault="00B75A07" w:rsidP="00B75A07">
            <w:pPr>
              <w:pStyle w:val="ListNumber2"/>
              <w:numPr>
                <w:ilvl w:val="0"/>
                <w:numId w:val="7"/>
              </w:numPr>
              <w:autoSpaceDE/>
              <w:autoSpaceDN/>
              <w:adjustRightInd/>
              <w:spacing w:line="240" w:lineRule="auto"/>
            </w:pPr>
            <w:r w:rsidRPr="00B04FF2">
              <w:rPr>
                <w:color w:val="000000"/>
                <w:lang w:eastAsia="en-AU"/>
              </w:rPr>
              <w:t xml:space="preserve">What does the </w:t>
            </w:r>
            <w:r>
              <w:rPr>
                <w:color w:val="000000"/>
                <w:lang w:eastAsia="en-AU"/>
              </w:rPr>
              <w:t>Committee</w:t>
            </w:r>
            <w:r w:rsidRPr="00B04FF2">
              <w:rPr>
                <w:color w:val="000000"/>
                <w:lang w:eastAsia="en-AU"/>
              </w:rPr>
              <w:t xml:space="preserve"> consider to be the potential impacts of the proposed mine on the </w:t>
            </w:r>
            <w:r w:rsidRPr="00765CBF">
              <w:t xml:space="preserve">surface water resources and /or groundwater resources which may support surface habitat in or around the project area? </w:t>
            </w:r>
          </w:p>
          <w:p w:rsidR="00B75A07" w:rsidRPr="009417C9" w:rsidRDefault="00B75A07" w:rsidP="00B75A07">
            <w:pPr>
              <w:pStyle w:val="ListNumber2"/>
              <w:numPr>
                <w:ilvl w:val="0"/>
                <w:numId w:val="7"/>
              </w:numPr>
              <w:autoSpaceDE/>
              <w:autoSpaceDN/>
              <w:adjustRightInd/>
              <w:spacing w:line="240" w:lineRule="auto"/>
              <w:rPr>
                <w:bCs/>
              </w:rPr>
            </w:pPr>
            <w:r w:rsidRPr="00B04FF2">
              <w:t xml:space="preserve">In the context of the above question, does the </w:t>
            </w:r>
            <w:r>
              <w:t>Committee</w:t>
            </w:r>
            <w:r w:rsidRPr="00B04FF2">
              <w:t xml:space="preserve"> identify any particular concerns relating to cumulative impacts?</w:t>
            </w:r>
          </w:p>
        </w:tc>
      </w:tr>
      <w:tr w:rsidR="00B75A07" w:rsidRPr="00B451D3" w:rsidTr="001942C2">
        <w:trPr>
          <w:trHeight w:val="1428"/>
        </w:trPr>
        <w:tc>
          <w:tcPr>
            <w:tcW w:w="9809" w:type="dxa"/>
            <w:gridSpan w:val="2"/>
          </w:tcPr>
          <w:p w:rsidR="00B75A07" w:rsidRDefault="00B75A07" w:rsidP="001942C2">
            <w:pPr>
              <w:pStyle w:val="tablelabel"/>
              <w:rPr>
                <w:sz w:val="20"/>
              </w:rPr>
            </w:pPr>
            <w:r w:rsidRPr="00F37C48">
              <w:rPr>
                <w:sz w:val="20"/>
              </w:rPr>
              <w:t>Advice</w:t>
            </w:r>
          </w:p>
          <w:p w:rsidR="00B75A07" w:rsidRDefault="00B75A07" w:rsidP="001942C2">
            <w:pPr>
              <w:pStyle w:val="ListNumber2"/>
              <w:numPr>
                <w:ilvl w:val="0"/>
                <w:numId w:val="0"/>
              </w:numPr>
              <w:ind w:left="34"/>
            </w:pPr>
            <w:r>
              <w:t>The Committee was requested to provide advice on the Drayton South Coal Mine in NSW to the Commonwealth regulator at the environmental assessment stage.</w:t>
            </w:r>
          </w:p>
          <w:p w:rsidR="00B75A07" w:rsidRDefault="00B75A07" w:rsidP="00B75A07">
            <w:pPr>
              <w:pStyle w:val="ListNumber2"/>
              <w:numPr>
                <w:ilvl w:val="0"/>
                <w:numId w:val="8"/>
              </w:numPr>
              <w:autoSpaceDE/>
              <w:autoSpaceDN/>
              <w:adjustRightInd/>
              <w:spacing w:line="240" w:lineRule="auto"/>
            </w:pPr>
            <w:r>
              <w:t xml:space="preserve">The Committee notes that the proponent has provided an adequate site water balance for the project. However, the proponent has not provided a regional water balance and as such the cumulative water-related </w:t>
            </w:r>
            <w:r w:rsidRPr="00465C8A">
              <w:t>impacts</w:t>
            </w:r>
            <w:r>
              <w:t xml:space="preserve"> of the proposed development cannot be evaluated. Notwithstanding this, the Co</w:t>
            </w:r>
            <w:r w:rsidR="00496ABB">
              <w:t>mmittee considers that the site-</w:t>
            </w:r>
            <w:r>
              <w:t xml:space="preserve">specific impacts may be minimal. </w:t>
            </w:r>
          </w:p>
          <w:p w:rsidR="00B75A07" w:rsidRPr="003B46CA" w:rsidRDefault="00B75A07" w:rsidP="00B75A07">
            <w:pPr>
              <w:pStyle w:val="ListNumber2"/>
              <w:numPr>
                <w:ilvl w:val="0"/>
                <w:numId w:val="8"/>
              </w:numPr>
              <w:autoSpaceDE/>
              <w:autoSpaceDN/>
              <w:adjustRightInd/>
              <w:spacing w:line="240" w:lineRule="auto"/>
            </w:pPr>
            <w:r w:rsidRPr="009547D5">
              <w:t>The Committee notes that cumulative groundwater drawdown from the Mt Arthur and Drayton South coal mines is pre</w:t>
            </w:r>
            <w:r>
              <w:t>dicted to reduce</w:t>
            </w:r>
            <w:r w:rsidRPr="009547D5">
              <w:t xml:space="preserve"> groundwater flows to Saddlers Creek. </w:t>
            </w:r>
            <w:r>
              <w:t>In addition, t</w:t>
            </w:r>
            <w:r w:rsidRPr="003B46CA">
              <w:t>he Committ</w:t>
            </w:r>
            <w:r>
              <w:t xml:space="preserve">ee recognises that </w:t>
            </w:r>
            <w:r w:rsidRPr="003B46CA">
              <w:t>surface water impact</w:t>
            </w:r>
            <w:r>
              <w:t>s</w:t>
            </w:r>
            <w:r w:rsidRPr="003B46CA">
              <w:t xml:space="preserve"> would be caused by a reduction </w:t>
            </w:r>
            <w:r>
              <w:t>in catchment flows of 14 per cent or approximately 13 ML per year</w:t>
            </w:r>
            <w:r w:rsidRPr="003B46CA">
              <w:t xml:space="preserve"> to Saddlers Creek</w:t>
            </w:r>
            <w:r>
              <w:t xml:space="preserve">, where flows are estimated to be approximately 90 ML per year under pre-mining conditions. </w:t>
            </w:r>
            <w:r w:rsidRPr="003B46CA">
              <w:t>The Committee notes that a reduction of flows wo</w:t>
            </w:r>
            <w:r>
              <w:t xml:space="preserve">uld likely alter the geomorphic </w:t>
            </w:r>
            <w:r w:rsidRPr="003B46CA">
              <w:t>characteristics</w:t>
            </w:r>
            <w:r>
              <w:t>, habitats</w:t>
            </w:r>
            <w:r w:rsidRPr="003B46CA">
              <w:t xml:space="preserve"> and ecological value</w:t>
            </w:r>
            <w:r>
              <w:t>s</w:t>
            </w:r>
            <w:r w:rsidRPr="003B46CA">
              <w:t xml:space="preserve"> of the creek. </w:t>
            </w:r>
          </w:p>
          <w:p w:rsidR="00B75A07" w:rsidRDefault="00B75A07" w:rsidP="00B75A07">
            <w:pPr>
              <w:pStyle w:val="ListNumber2"/>
              <w:numPr>
                <w:ilvl w:val="0"/>
                <w:numId w:val="8"/>
              </w:numPr>
              <w:autoSpaceDE/>
              <w:autoSpaceDN/>
              <w:adjustRightInd/>
              <w:spacing w:line="240" w:lineRule="auto"/>
            </w:pPr>
            <w:r>
              <w:t>In</w:t>
            </w:r>
            <w:r w:rsidRPr="009547D5">
              <w:t xml:space="preserve"> order to ensure that the Hunter River is not further impacted by saline discharges</w:t>
            </w:r>
            <w:r w:rsidRPr="003B46CA">
              <w:t xml:space="preserve">, the Committee considers </w:t>
            </w:r>
            <w:r>
              <w:t xml:space="preserve">that </w:t>
            </w:r>
            <w:r w:rsidRPr="003B46CA">
              <w:t xml:space="preserve">it will be important to confirm the proponent’s participation in the Hunter River Salinity Trading Scheme and </w:t>
            </w:r>
            <w:r>
              <w:t xml:space="preserve">confirm </w:t>
            </w:r>
            <w:r w:rsidRPr="003B46CA">
              <w:t xml:space="preserve">the capacity of the Scheme </w:t>
            </w:r>
            <w:r>
              <w:t>to cope with additional saline discharges within the catchment. It is noted that the potential impacts of heavy metals are not discussed in the documentation.</w:t>
            </w:r>
          </w:p>
          <w:p w:rsidR="00B75A07" w:rsidRDefault="00B75A07" w:rsidP="00B75A07">
            <w:pPr>
              <w:pStyle w:val="ListNumber2"/>
              <w:numPr>
                <w:ilvl w:val="0"/>
                <w:numId w:val="8"/>
              </w:numPr>
              <w:autoSpaceDE/>
              <w:autoSpaceDN/>
              <w:adjustRightInd/>
              <w:spacing w:line="240" w:lineRule="auto"/>
            </w:pPr>
            <w:r w:rsidRPr="00257ED2">
              <w:t>The Committee considers</w:t>
            </w:r>
            <w:r>
              <w:t xml:space="preserve"> that</w:t>
            </w:r>
            <w:r w:rsidRPr="00257ED2">
              <w:t xml:space="preserve"> the</w:t>
            </w:r>
            <w:r>
              <w:t xml:space="preserve"> ecological impact assessment provided for the project to be thorough. The biodiversity offset strategy proposed by the proponent consists of onsite and offsite offsets. The Committee recommends that the regulator review the contribution of the offsets towards a representative water dependent ecosystem; noting that the current offset site is located 75 km north of the proposal and consists of different landform and ecosystem types.</w:t>
            </w:r>
          </w:p>
          <w:p w:rsidR="00B75A07" w:rsidRDefault="00B75A07" w:rsidP="00B75A07">
            <w:pPr>
              <w:pStyle w:val="ListNumber2"/>
              <w:numPr>
                <w:ilvl w:val="0"/>
                <w:numId w:val="8"/>
              </w:numPr>
              <w:autoSpaceDE/>
              <w:autoSpaceDN/>
              <w:adjustRightInd/>
              <w:spacing w:line="240" w:lineRule="auto"/>
            </w:pPr>
            <w:r w:rsidRPr="00EF2AD6">
              <w:t xml:space="preserve">The Committee notes that the </w:t>
            </w:r>
            <w:r>
              <w:t xml:space="preserve">proposal will </w:t>
            </w:r>
            <w:r w:rsidRPr="00EF2AD6">
              <w:t>remov</w:t>
            </w:r>
            <w:r>
              <w:t xml:space="preserve">e approximately 180 ha of </w:t>
            </w:r>
            <w:r w:rsidRPr="00EF2AD6">
              <w:t xml:space="preserve">remnant </w:t>
            </w:r>
            <w:r w:rsidRPr="00885099">
              <w:rPr>
                <w:i/>
              </w:rPr>
              <w:t xml:space="preserve">White Box – Yellow Box – </w:t>
            </w:r>
            <w:proofErr w:type="spellStart"/>
            <w:r w:rsidRPr="00885099">
              <w:rPr>
                <w:i/>
              </w:rPr>
              <w:t>Blakey’s</w:t>
            </w:r>
            <w:proofErr w:type="spellEnd"/>
            <w:r w:rsidRPr="00885099">
              <w:rPr>
                <w:i/>
              </w:rPr>
              <w:t xml:space="preserve"> Red Gum Grassy Woodland and Derived Native Grassland</w:t>
            </w:r>
            <w:r w:rsidRPr="00012F7B">
              <w:t xml:space="preserve"> </w:t>
            </w:r>
            <w:r>
              <w:t>ecological community</w:t>
            </w:r>
            <w:r w:rsidRPr="00EF2AD6">
              <w:t xml:space="preserve">, </w:t>
            </w:r>
            <w:r>
              <w:t xml:space="preserve">which has the potential to cause ecosystem </w:t>
            </w:r>
            <w:r w:rsidRPr="00EF2AD6">
              <w:t xml:space="preserve">fragmentation and loss of connectivity within the project site. The Committee </w:t>
            </w:r>
            <w:r>
              <w:t>considers</w:t>
            </w:r>
            <w:r w:rsidRPr="00EF2AD6">
              <w:t xml:space="preserve"> that </w:t>
            </w:r>
            <w:r>
              <w:t xml:space="preserve">remaining </w:t>
            </w:r>
            <w:r w:rsidRPr="00EF2AD6">
              <w:t>vegetation, such as groundwater dependent riparian vegetation and River Red Gum and River Oak communities</w:t>
            </w:r>
            <w:r>
              <w:t xml:space="preserve"> associated with floodplains</w:t>
            </w:r>
            <w:r w:rsidRPr="00EF2AD6">
              <w:t>, would be placed under additional stress</w:t>
            </w:r>
            <w:r>
              <w:t>,</w:t>
            </w:r>
            <w:bookmarkStart w:id="6" w:name="_GoBack"/>
            <w:bookmarkEnd w:id="6"/>
            <w:r>
              <w:t xml:space="preserve"> making them more vulnerable when droughts occur</w:t>
            </w:r>
            <w:r w:rsidRPr="00EF2AD6">
              <w:t xml:space="preserve">. </w:t>
            </w:r>
          </w:p>
          <w:p w:rsidR="00B75A07" w:rsidRPr="007A4F45" w:rsidRDefault="00B75A07" w:rsidP="00B75A07">
            <w:pPr>
              <w:pStyle w:val="ListNumber2"/>
              <w:numPr>
                <w:ilvl w:val="0"/>
                <w:numId w:val="8"/>
              </w:numPr>
              <w:autoSpaceDE/>
              <w:autoSpaceDN/>
              <w:adjustRightInd/>
              <w:spacing w:line="240" w:lineRule="auto"/>
            </w:pPr>
            <w:r>
              <w:t>The Committee notes that a reduction in</w:t>
            </w:r>
            <w:r w:rsidRPr="00257ED2">
              <w:t xml:space="preserve"> catchment area</w:t>
            </w:r>
            <w:r>
              <w:t xml:space="preserve"> and</w:t>
            </w:r>
            <w:r w:rsidRPr="00257ED2">
              <w:t xml:space="preserve"> surface</w:t>
            </w:r>
            <w:r>
              <w:t xml:space="preserve"> and groundwater</w:t>
            </w:r>
            <w:r w:rsidRPr="00257ED2">
              <w:t xml:space="preserve"> flow is highly likely to </w:t>
            </w:r>
            <w:r>
              <w:t>adversely affect</w:t>
            </w:r>
            <w:r w:rsidRPr="00257ED2">
              <w:t xml:space="preserve"> groundwater dependent rip</w:t>
            </w:r>
            <w:r>
              <w:t xml:space="preserve">arian and floodplain vegetation and water dependent ecological communities. While the Green and Golden Bell Frog </w:t>
            </w:r>
            <w:proofErr w:type="gramStart"/>
            <w:r>
              <w:t>has</w:t>
            </w:r>
            <w:proofErr w:type="gramEnd"/>
            <w:r>
              <w:t xml:space="preserve"> not been located in field surveys, the Committee notes that the Hunter region is within the species’ current distribution. The Committee suggests the ‘biodiversity action plan’ include a monitoring regime </w:t>
            </w:r>
            <w:r w:rsidRPr="00257ED2">
              <w:t xml:space="preserve">for </w:t>
            </w:r>
            <w:r>
              <w:t xml:space="preserve">the </w:t>
            </w:r>
            <w:r w:rsidRPr="00257ED2">
              <w:t xml:space="preserve">rehabilitation </w:t>
            </w:r>
            <w:r>
              <w:t>of</w:t>
            </w:r>
            <w:r w:rsidRPr="00257ED2">
              <w:t xml:space="preserve"> ephemeral streams </w:t>
            </w:r>
            <w:r>
              <w:t xml:space="preserve">for </w:t>
            </w:r>
            <w:r w:rsidRPr="00257ED2">
              <w:t xml:space="preserve">likely impacts on </w:t>
            </w:r>
            <w:r>
              <w:t>water</w:t>
            </w:r>
            <w:r w:rsidRPr="00EF2AD6">
              <w:t xml:space="preserve"> dependent </w:t>
            </w:r>
            <w:r>
              <w:t>ecosystems, including the Green and Golden Bell Frog.</w:t>
            </w:r>
          </w:p>
          <w:p w:rsidR="00B75A07" w:rsidRPr="00765CBF" w:rsidRDefault="00B75A07" w:rsidP="00B75A07">
            <w:pPr>
              <w:pStyle w:val="ListNumber2"/>
              <w:numPr>
                <w:ilvl w:val="0"/>
                <w:numId w:val="8"/>
              </w:numPr>
              <w:autoSpaceDE/>
              <w:autoSpaceDN/>
              <w:adjustRightInd/>
              <w:spacing w:after="0" w:line="240" w:lineRule="auto"/>
            </w:pPr>
            <w:r w:rsidRPr="0011487F">
              <w:t>The Committee suggests that the proponent consider further information relating to physical and ecological outcomes of the project. The Committee has asked the Office of Water Science to provide to the regulator specified references for suggested papers which look at these issues within the proposed mine area, and asked that they be passed to the proponent</w:t>
            </w:r>
            <w:r>
              <w:t>.</w:t>
            </w:r>
          </w:p>
        </w:tc>
      </w:tr>
      <w:tr w:rsidR="00B75A07" w:rsidRPr="00B451D3" w:rsidTr="001942C2">
        <w:trPr>
          <w:trHeight w:val="19"/>
        </w:trPr>
        <w:tc>
          <w:tcPr>
            <w:tcW w:w="1526" w:type="dxa"/>
          </w:tcPr>
          <w:p w:rsidR="00B75A07" w:rsidRDefault="00B75A07" w:rsidP="001942C2">
            <w:pPr>
              <w:pStyle w:val="tablelabel"/>
              <w:rPr>
                <w:sz w:val="20"/>
              </w:rPr>
            </w:pPr>
            <w:r>
              <w:rPr>
                <w:sz w:val="20"/>
              </w:rPr>
              <w:t>Date of advice</w:t>
            </w:r>
          </w:p>
        </w:tc>
        <w:tc>
          <w:tcPr>
            <w:tcW w:w="8283" w:type="dxa"/>
          </w:tcPr>
          <w:p w:rsidR="00B75A07" w:rsidRPr="006F0D3B" w:rsidRDefault="00B75A07" w:rsidP="001942C2">
            <w:pPr>
              <w:pStyle w:val="ListNumber"/>
              <w:numPr>
                <w:ilvl w:val="0"/>
                <w:numId w:val="0"/>
              </w:numPr>
            </w:pPr>
            <w:r>
              <w:t>1 February 2013</w:t>
            </w:r>
          </w:p>
        </w:tc>
      </w:tr>
      <w:tr w:rsidR="00B75A07" w:rsidRPr="00B451D3" w:rsidTr="001942C2">
        <w:trPr>
          <w:trHeight w:val="19"/>
        </w:trPr>
        <w:tc>
          <w:tcPr>
            <w:tcW w:w="1526" w:type="dxa"/>
          </w:tcPr>
          <w:p w:rsidR="00B75A07" w:rsidRDefault="00B75A07" w:rsidP="001942C2">
            <w:pPr>
              <w:pStyle w:val="tablelabel"/>
              <w:rPr>
                <w:sz w:val="20"/>
              </w:rPr>
            </w:pPr>
          </w:p>
        </w:tc>
        <w:tc>
          <w:tcPr>
            <w:tcW w:w="8283" w:type="dxa"/>
          </w:tcPr>
          <w:p w:rsidR="00B75A07" w:rsidRDefault="00B75A07" w:rsidP="001942C2">
            <w:pPr>
              <w:ind w:left="960" w:hanging="501"/>
              <w:jc w:val="both"/>
            </w:pPr>
          </w:p>
        </w:tc>
      </w:tr>
    </w:tbl>
    <w:p w:rsidR="00B75A07" w:rsidRPr="00EA416C" w:rsidRDefault="00B75A07" w:rsidP="00B75A07"/>
    <w:p w:rsidR="007203C3" w:rsidRPr="00062A46" w:rsidRDefault="007203C3" w:rsidP="00C52C7B"/>
    <w:sectPr w:rsidR="007203C3" w:rsidRPr="00062A46" w:rsidSect="006A64D4">
      <w:headerReference w:type="even" r:id="rId15"/>
      <w:footerReference w:type="default" r:id="rId16"/>
      <w:headerReference w:type="first" r:id="rId17"/>
      <w:footerReference w:type="first" r:id="rId18"/>
      <w:type w:val="continuous"/>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1DD" w:rsidRDefault="00CB11DD" w:rsidP="00D622B9">
      <w:r>
        <w:separator/>
      </w:r>
    </w:p>
  </w:endnote>
  <w:endnote w:type="continuationSeparator" w:id="0">
    <w:p w:rsidR="00CB11DD" w:rsidRDefault="00CB11DD"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77" w:rsidRDefault="00F65B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DD" w:rsidRPr="00637239" w:rsidRDefault="00CB11DD" w:rsidP="00637239">
    <w:pPr>
      <w:pStyle w:val="Footer"/>
    </w:pPr>
  </w:p>
  <w:p w:rsidR="00CB11DD" w:rsidRPr="00637239" w:rsidRDefault="00112D34" w:rsidP="00637239">
    <w:pPr>
      <w:pStyle w:val="Footer"/>
      <w:rPr>
        <w:sz w:val="20"/>
      </w:rPr>
    </w:pPr>
    <w:r w:rsidRPr="00112D34">
      <w:rPr>
        <w:sz w:val="20"/>
      </w:rPr>
      <w:t xml:space="preserve">Final </w:t>
    </w:r>
    <w:r w:rsidR="00CB11DD" w:rsidRPr="00112D34">
      <w:rPr>
        <w:sz w:val="20"/>
      </w:rPr>
      <w:t>Drayton South Coal Project Advice</w:t>
    </w:r>
    <w:r w:rsidR="00CB11DD">
      <w:rPr>
        <w:color w:val="FF0000"/>
        <w:sz w:val="20"/>
      </w:rPr>
      <w:t xml:space="preserve"> </w:t>
    </w:r>
    <w:r w:rsidR="00CB11DD" w:rsidRPr="00C70B87">
      <w:rPr>
        <w:sz w:val="20"/>
      </w:rPr>
      <w:ptab w:relativeTo="margin" w:alignment="right" w:leader="none"/>
    </w:r>
    <w:r w:rsidR="00CB11DD">
      <w:rPr>
        <w:sz w:val="20"/>
      </w:rPr>
      <w:t>23</w:t>
    </w:r>
    <w:r w:rsidR="00CB11DD" w:rsidRPr="00C70B87">
      <w:rPr>
        <w:sz w:val="20"/>
      </w:rPr>
      <w:t xml:space="preserve"> </w:t>
    </w:r>
    <w:r w:rsidR="00CB11DD">
      <w:rPr>
        <w:sz w:val="20"/>
      </w:rPr>
      <w:t xml:space="preserve">February </w:t>
    </w:r>
    <w:r w:rsidR="00CB11DD" w:rsidRPr="00067D86">
      <w:rPr>
        <w:sz w:val="20"/>
      </w:rPr>
      <w:t>201</w:t>
    </w:r>
    <w:r w:rsidR="00CB11DD">
      <w:rPr>
        <w:sz w:val="20"/>
      </w:rPr>
      <w:t>5</w:t>
    </w:r>
  </w:p>
  <w:p w:rsidR="00CB11DD" w:rsidRPr="00637239" w:rsidRDefault="00AB089A" w:rsidP="00637239">
    <w:pPr>
      <w:pStyle w:val="Footer"/>
      <w:jc w:val="center"/>
      <w:rPr>
        <w:sz w:val="20"/>
      </w:rPr>
    </w:pPr>
    <w:r w:rsidRPr="00637239">
      <w:rPr>
        <w:sz w:val="20"/>
      </w:rPr>
      <w:fldChar w:fldCharType="begin"/>
    </w:r>
    <w:r w:rsidR="00CB11DD" w:rsidRPr="00637239">
      <w:rPr>
        <w:sz w:val="20"/>
      </w:rPr>
      <w:instrText xml:space="preserve"> PAGE   \* MERGEFORMAT </w:instrText>
    </w:r>
    <w:r w:rsidRPr="00637239">
      <w:rPr>
        <w:sz w:val="20"/>
      </w:rPr>
      <w:fldChar w:fldCharType="separate"/>
    </w:r>
    <w:r w:rsidR="00F65B77">
      <w:rPr>
        <w:noProof/>
        <w:sz w:val="20"/>
      </w:rPr>
      <w:t>1</w:t>
    </w:r>
    <w:r w:rsidRPr="0063723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DD" w:rsidRPr="00D15280" w:rsidRDefault="00CB11DD"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CB11DD" w:rsidRPr="00062A46" w:rsidRDefault="00AB089A" w:rsidP="00637239">
    <w:pPr>
      <w:pStyle w:val="Footer"/>
    </w:pPr>
    <w:sdt>
      <w:sdtPr>
        <w:id w:val="19576785"/>
        <w:docPartObj>
          <w:docPartGallery w:val="Page Numbers (Bottom of Page)"/>
          <w:docPartUnique/>
        </w:docPartObj>
      </w:sdtPr>
      <w:sdtContent>
        <w:fldSimple w:instr=" PAGE   \* MERGEFORMAT ">
          <w:r w:rsidR="00CB11DD">
            <w:rPr>
              <w:noProof/>
            </w:rPr>
            <w:t>1</w:t>
          </w:r>
        </w:fldSimple>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DD" w:rsidRDefault="00CB11DD" w:rsidP="001942C2">
    <w:pPr>
      <w:pStyle w:val="Footer"/>
      <w:rPr>
        <w:sz w:val="20"/>
      </w:rPr>
    </w:pPr>
    <w:r>
      <w:rPr>
        <w:sz w:val="20"/>
      </w:rPr>
      <w:t>Final Advice</w:t>
    </w:r>
    <w:r>
      <w:rPr>
        <w:sz w:val="20"/>
      </w:rPr>
      <w:tab/>
    </w:r>
    <w:r>
      <w:rPr>
        <w:sz w:val="20"/>
      </w:rPr>
      <w:tab/>
      <w:t>1 February 2013</w:t>
    </w:r>
  </w:p>
  <w:p w:rsidR="00CB11DD" w:rsidRPr="00185039" w:rsidRDefault="00AB089A">
    <w:pPr>
      <w:pStyle w:val="Footer"/>
      <w:jc w:val="center"/>
      <w:rPr>
        <w:sz w:val="20"/>
      </w:rPr>
    </w:pPr>
    <w:r w:rsidRPr="00185039">
      <w:rPr>
        <w:sz w:val="20"/>
      </w:rPr>
      <w:fldChar w:fldCharType="begin"/>
    </w:r>
    <w:r w:rsidR="00CB11DD" w:rsidRPr="00185039">
      <w:rPr>
        <w:sz w:val="20"/>
      </w:rPr>
      <w:instrText xml:space="preserve"> PAGE   \* MERGEFORMAT </w:instrText>
    </w:r>
    <w:r w:rsidRPr="00185039">
      <w:rPr>
        <w:sz w:val="20"/>
      </w:rPr>
      <w:fldChar w:fldCharType="separate"/>
    </w:r>
    <w:r w:rsidR="00F65B77">
      <w:rPr>
        <w:noProof/>
        <w:sz w:val="20"/>
      </w:rPr>
      <w:t>3</w:t>
    </w:r>
    <w:r w:rsidRPr="0018503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DD" w:rsidRDefault="00CB11DD">
    <w:pPr>
      <w:pStyle w:val="Footer"/>
    </w:pPr>
    <w:r>
      <w:t>[Type text]</w:t>
    </w:r>
  </w:p>
  <w:p w:rsidR="00CB11DD" w:rsidRDefault="00CB1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1DD" w:rsidRDefault="00CB11DD" w:rsidP="00D622B9">
      <w:r>
        <w:separator/>
      </w:r>
    </w:p>
  </w:footnote>
  <w:footnote w:type="continuationSeparator" w:id="0">
    <w:p w:rsidR="00CB11DD" w:rsidRDefault="00CB11DD"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DD" w:rsidRDefault="00CB11DD" w:rsidP="00D622B9">
    <w:pPr>
      <w:pStyle w:val="Classification"/>
    </w:pPr>
    <w:r>
      <w:rPr>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77" w:rsidRDefault="00F65B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77" w:rsidRDefault="00F65B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DD" w:rsidRDefault="00CB11DD" w:rsidP="00E45765">
    <w:pPr>
      <w:pStyle w:val="Classification"/>
    </w:pPr>
    <w:r>
      <w:rPr>
        <w:b/>
        <w:bCs/>
        <w:lang w:val="en-US"/>
      </w:rPr>
      <w:t>Error! Unknown document property name.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DD" w:rsidRDefault="00AB089A" w:rsidP="0034504D">
    <w:pPr>
      <w:pStyle w:val="Header"/>
      <w:ind w:left="-1418"/>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8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12A2ABB"/>
    <w:multiLevelType w:val="hybridMultilevel"/>
    <w:tmpl w:val="E3FE32FC"/>
    <w:lvl w:ilvl="0" w:tplc="0C09000F">
      <w:start w:val="1"/>
      <w:numFmt w:val="decimal"/>
      <w:lvlText w:val="%1."/>
      <w:lvlJc w:val="left"/>
      <w:pPr>
        <w:ind w:left="360" w:hanging="360"/>
      </w:pPr>
      <w:rPr>
        <w:sz w:val="20"/>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A7F38C8"/>
    <w:multiLevelType w:val="hybridMultilevel"/>
    <w:tmpl w:val="D062DEC2"/>
    <w:lvl w:ilvl="0" w:tplc="73724F1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CCD7B06"/>
    <w:multiLevelType w:val="hybridMultilevel"/>
    <w:tmpl w:val="B04AA31E"/>
    <w:lvl w:ilvl="0" w:tplc="53B49168">
      <w:start w:val="1"/>
      <w:numFmt w:val="decimal"/>
      <w:lvlText w:val="%1."/>
      <w:lvlJc w:val="left"/>
      <w:pPr>
        <w:ind w:left="36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5456429"/>
    <w:multiLevelType w:val="multilevel"/>
    <w:tmpl w:val="1B76CB96"/>
    <w:lvl w:ilvl="0">
      <w:start w:val="1"/>
      <w:numFmt w:val="decimal"/>
      <w:pStyle w:val="ListNumber"/>
      <w:lvlText w:val="%1."/>
      <w:lvlJc w:val="left"/>
      <w:pPr>
        <w:ind w:left="369" w:hanging="369"/>
      </w:pPr>
      <w:rPr>
        <w:rFonts w:ascii="Arial" w:hAnsi="Arial" w:hint="default"/>
        <w:sz w:val="20"/>
        <w:szCs w:val="20"/>
      </w:rPr>
    </w:lvl>
    <w:lvl w:ilvl="1">
      <w:start w:val="1"/>
      <w:numFmt w:val="bullet"/>
      <w:pStyle w:val="ListNumber2"/>
      <w:lvlText w:val=""/>
      <w:lvlJc w:val="left"/>
      <w:pPr>
        <w:ind w:left="738" w:hanging="369"/>
      </w:pPr>
      <w:rPr>
        <w:rFonts w:ascii="Symbol" w:hAnsi="Symbo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0"/>
  </w:num>
  <w:num w:numId="3">
    <w:abstractNumId w:val="3"/>
  </w:num>
  <w:num w:numId="4">
    <w:abstractNumId w:val="2"/>
  </w:num>
  <w:num w:numId="5">
    <w:abstractNumId w:val="6"/>
  </w:num>
  <w:num w:numId="6">
    <w:abstractNumId w:val="4"/>
  </w:num>
  <w:num w:numId="7">
    <w:abstractNumId w:val="1"/>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83"/>
    <o:shapelayout v:ext="edit">
      <o:idmap v:ext="edit" data="20"/>
    </o:shapelayout>
  </w:hdrShapeDefaults>
  <w:footnotePr>
    <w:footnote w:id="-1"/>
    <w:footnote w:id="0"/>
  </w:footnotePr>
  <w:endnotePr>
    <w:numFmt w:val="decimal"/>
    <w:endnote w:id="-1"/>
    <w:endnote w:id="0"/>
  </w:endnotePr>
  <w:compat/>
  <w:rsids>
    <w:rsidRoot w:val="0041275D"/>
    <w:rsid w:val="000012D7"/>
    <w:rsid w:val="00004AEE"/>
    <w:rsid w:val="00005CAA"/>
    <w:rsid w:val="00006F4A"/>
    <w:rsid w:val="00010210"/>
    <w:rsid w:val="00012D66"/>
    <w:rsid w:val="00015ADA"/>
    <w:rsid w:val="00020C99"/>
    <w:rsid w:val="00023EC0"/>
    <w:rsid w:val="00025613"/>
    <w:rsid w:val="0002707B"/>
    <w:rsid w:val="00027E79"/>
    <w:rsid w:val="00030875"/>
    <w:rsid w:val="000313CF"/>
    <w:rsid w:val="00031B32"/>
    <w:rsid w:val="00032147"/>
    <w:rsid w:val="000335F5"/>
    <w:rsid w:val="00037962"/>
    <w:rsid w:val="0004045F"/>
    <w:rsid w:val="00040A01"/>
    <w:rsid w:val="00042EAE"/>
    <w:rsid w:val="0004528F"/>
    <w:rsid w:val="0005148E"/>
    <w:rsid w:val="000547F0"/>
    <w:rsid w:val="0005779F"/>
    <w:rsid w:val="00057848"/>
    <w:rsid w:val="00061995"/>
    <w:rsid w:val="00062A46"/>
    <w:rsid w:val="00064E1B"/>
    <w:rsid w:val="00067D86"/>
    <w:rsid w:val="0007296A"/>
    <w:rsid w:val="00072D63"/>
    <w:rsid w:val="000759E5"/>
    <w:rsid w:val="0007601C"/>
    <w:rsid w:val="00076276"/>
    <w:rsid w:val="000766C6"/>
    <w:rsid w:val="00077540"/>
    <w:rsid w:val="00080D56"/>
    <w:rsid w:val="00083603"/>
    <w:rsid w:val="00084AC6"/>
    <w:rsid w:val="00085816"/>
    <w:rsid w:val="00087861"/>
    <w:rsid w:val="00087E61"/>
    <w:rsid w:val="00091608"/>
    <w:rsid w:val="0009196E"/>
    <w:rsid w:val="00092740"/>
    <w:rsid w:val="00092F92"/>
    <w:rsid w:val="0009333C"/>
    <w:rsid w:val="00096D13"/>
    <w:rsid w:val="0009704F"/>
    <w:rsid w:val="000A0F11"/>
    <w:rsid w:val="000A125A"/>
    <w:rsid w:val="000A228F"/>
    <w:rsid w:val="000A29EE"/>
    <w:rsid w:val="000A4104"/>
    <w:rsid w:val="000A57CD"/>
    <w:rsid w:val="000A5C8F"/>
    <w:rsid w:val="000B2FF3"/>
    <w:rsid w:val="000B3758"/>
    <w:rsid w:val="000B73F6"/>
    <w:rsid w:val="000B7681"/>
    <w:rsid w:val="000B7B42"/>
    <w:rsid w:val="000C02B7"/>
    <w:rsid w:val="000C20AD"/>
    <w:rsid w:val="000C2814"/>
    <w:rsid w:val="000C2C7A"/>
    <w:rsid w:val="000C451B"/>
    <w:rsid w:val="000C4970"/>
    <w:rsid w:val="000C49A1"/>
    <w:rsid w:val="000C5342"/>
    <w:rsid w:val="000C57A3"/>
    <w:rsid w:val="000C6283"/>
    <w:rsid w:val="000C659A"/>
    <w:rsid w:val="000C706A"/>
    <w:rsid w:val="000C7A52"/>
    <w:rsid w:val="000D2887"/>
    <w:rsid w:val="000D3EE9"/>
    <w:rsid w:val="000D42AD"/>
    <w:rsid w:val="000D4900"/>
    <w:rsid w:val="000D4DA5"/>
    <w:rsid w:val="000D6D63"/>
    <w:rsid w:val="000D706B"/>
    <w:rsid w:val="000D7810"/>
    <w:rsid w:val="000E0081"/>
    <w:rsid w:val="000E07CF"/>
    <w:rsid w:val="000F274E"/>
    <w:rsid w:val="000F35BE"/>
    <w:rsid w:val="000F61AB"/>
    <w:rsid w:val="00100BEF"/>
    <w:rsid w:val="00102282"/>
    <w:rsid w:val="00102E17"/>
    <w:rsid w:val="00102EAD"/>
    <w:rsid w:val="00106793"/>
    <w:rsid w:val="00110E09"/>
    <w:rsid w:val="00112D34"/>
    <w:rsid w:val="00113841"/>
    <w:rsid w:val="0011498E"/>
    <w:rsid w:val="00116F28"/>
    <w:rsid w:val="00117A45"/>
    <w:rsid w:val="001202FA"/>
    <w:rsid w:val="001224AE"/>
    <w:rsid w:val="00123035"/>
    <w:rsid w:val="00131BF1"/>
    <w:rsid w:val="00132753"/>
    <w:rsid w:val="001337D4"/>
    <w:rsid w:val="001340EA"/>
    <w:rsid w:val="00140CD0"/>
    <w:rsid w:val="001432A8"/>
    <w:rsid w:val="00146B27"/>
    <w:rsid w:val="00147C12"/>
    <w:rsid w:val="00147EFC"/>
    <w:rsid w:val="001527A1"/>
    <w:rsid w:val="001530DC"/>
    <w:rsid w:val="001539AF"/>
    <w:rsid w:val="00154989"/>
    <w:rsid w:val="00155A9F"/>
    <w:rsid w:val="0015684F"/>
    <w:rsid w:val="00160262"/>
    <w:rsid w:val="00161188"/>
    <w:rsid w:val="0016186F"/>
    <w:rsid w:val="00161B65"/>
    <w:rsid w:val="0016281C"/>
    <w:rsid w:val="0016433A"/>
    <w:rsid w:val="00165440"/>
    <w:rsid w:val="00166181"/>
    <w:rsid w:val="0016688C"/>
    <w:rsid w:val="0016780A"/>
    <w:rsid w:val="001713FA"/>
    <w:rsid w:val="0017251F"/>
    <w:rsid w:val="00173EBF"/>
    <w:rsid w:val="001756C4"/>
    <w:rsid w:val="001765DA"/>
    <w:rsid w:val="00183A42"/>
    <w:rsid w:val="001842A2"/>
    <w:rsid w:val="00185039"/>
    <w:rsid w:val="00185407"/>
    <w:rsid w:val="00186465"/>
    <w:rsid w:val="00187FA8"/>
    <w:rsid w:val="001922D0"/>
    <w:rsid w:val="00192F5E"/>
    <w:rsid w:val="001942C2"/>
    <w:rsid w:val="00197772"/>
    <w:rsid w:val="001A17B9"/>
    <w:rsid w:val="001A4F93"/>
    <w:rsid w:val="001A4FAA"/>
    <w:rsid w:val="001A51C8"/>
    <w:rsid w:val="001A79BD"/>
    <w:rsid w:val="001B472B"/>
    <w:rsid w:val="001B4CA8"/>
    <w:rsid w:val="001B5736"/>
    <w:rsid w:val="001C0E7A"/>
    <w:rsid w:val="001C2A92"/>
    <w:rsid w:val="001C4F3D"/>
    <w:rsid w:val="001C77A5"/>
    <w:rsid w:val="001D0421"/>
    <w:rsid w:val="001D0CDC"/>
    <w:rsid w:val="001D19C1"/>
    <w:rsid w:val="001D1D82"/>
    <w:rsid w:val="001D1E0F"/>
    <w:rsid w:val="001D5541"/>
    <w:rsid w:val="001D7F54"/>
    <w:rsid w:val="001E1182"/>
    <w:rsid w:val="001E118D"/>
    <w:rsid w:val="001E5319"/>
    <w:rsid w:val="001E6100"/>
    <w:rsid w:val="001F0E8B"/>
    <w:rsid w:val="001F185F"/>
    <w:rsid w:val="001F1F77"/>
    <w:rsid w:val="001F35C4"/>
    <w:rsid w:val="001F61D2"/>
    <w:rsid w:val="00200944"/>
    <w:rsid w:val="00202387"/>
    <w:rsid w:val="00202C90"/>
    <w:rsid w:val="002050C6"/>
    <w:rsid w:val="00213DE8"/>
    <w:rsid w:val="00216118"/>
    <w:rsid w:val="002209AB"/>
    <w:rsid w:val="00223C59"/>
    <w:rsid w:val="002251E3"/>
    <w:rsid w:val="002262E6"/>
    <w:rsid w:val="00226327"/>
    <w:rsid w:val="00227A95"/>
    <w:rsid w:val="002316BD"/>
    <w:rsid w:val="002336F3"/>
    <w:rsid w:val="00237090"/>
    <w:rsid w:val="00243750"/>
    <w:rsid w:val="002440B8"/>
    <w:rsid w:val="002473FC"/>
    <w:rsid w:val="002504B0"/>
    <w:rsid w:val="00252E3C"/>
    <w:rsid w:val="00262198"/>
    <w:rsid w:val="0026738C"/>
    <w:rsid w:val="00272020"/>
    <w:rsid w:val="002726AA"/>
    <w:rsid w:val="00277426"/>
    <w:rsid w:val="002776F0"/>
    <w:rsid w:val="00285467"/>
    <w:rsid w:val="00285F1B"/>
    <w:rsid w:val="002870C5"/>
    <w:rsid w:val="0029290F"/>
    <w:rsid w:val="00292B81"/>
    <w:rsid w:val="0029322E"/>
    <w:rsid w:val="00294A0A"/>
    <w:rsid w:val="002958FB"/>
    <w:rsid w:val="00296477"/>
    <w:rsid w:val="002974BC"/>
    <w:rsid w:val="002A083C"/>
    <w:rsid w:val="002A54A1"/>
    <w:rsid w:val="002A5EC3"/>
    <w:rsid w:val="002B18AE"/>
    <w:rsid w:val="002B6472"/>
    <w:rsid w:val="002B6703"/>
    <w:rsid w:val="002B67D3"/>
    <w:rsid w:val="002C1AD8"/>
    <w:rsid w:val="002C1C93"/>
    <w:rsid w:val="002C3738"/>
    <w:rsid w:val="002C4AC8"/>
    <w:rsid w:val="002C5066"/>
    <w:rsid w:val="002D25D3"/>
    <w:rsid w:val="002D30DA"/>
    <w:rsid w:val="002D4AAC"/>
    <w:rsid w:val="002D5B3D"/>
    <w:rsid w:val="002D6C33"/>
    <w:rsid w:val="002D7672"/>
    <w:rsid w:val="002E0310"/>
    <w:rsid w:val="002E0AD9"/>
    <w:rsid w:val="002E4756"/>
    <w:rsid w:val="002E6FF3"/>
    <w:rsid w:val="002F045A"/>
    <w:rsid w:val="002F47D1"/>
    <w:rsid w:val="0030039D"/>
    <w:rsid w:val="003006CB"/>
    <w:rsid w:val="00300715"/>
    <w:rsid w:val="00303177"/>
    <w:rsid w:val="0030326F"/>
    <w:rsid w:val="00310701"/>
    <w:rsid w:val="00311510"/>
    <w:rsid w:val="003138AC"/>
    <w:rsid w:val="00315980"/>
    <w:rsid w:val="00316F7F"/>
    <w:rsid w:val="00320162"/>
    <w:rsid w:val="0032087E"/>
    <w:rsid w:val="003218E8"/>
    <w:rsid w:val="00330DCE"/>
    <w:rsid w:val="0033108B"/>
    <w:rsid w:val="00331E11"/>
    <w:rsid w:val="00333E39"/>
    <w:rsid w:val="00334761"/>
    <w:rsid w:val="00337EBC"/>
    <w:rsid w:val="0034033E"/>
    <w:rsid w:val="00341DCD"/>
    <w:rsid w:val="0034504D"/>
    <w:rsid w:val="0034563E"/>
    <w:rsid w:val="0034617D"/>
    <w:rsid w:val="00347C3A"/>
    <w:rsid w:val="003504CC"/>
    <w:rsid w:val="003518D6"/>
    <w:rsid w:val="00352B5E"/>
    <w:rsid w:val="00353963"/>
    <w:rsid w:val="0035460C"/>
    <w:rsid w:val="003556BD"/>
    <w:rsid w:val="003622F5"/>
    <w:rsid w:val="00364E6D"/>
    <w:rsid w:val="00365147"/>
    <w:rsid w:val="003662D2"/>
    <w:rsid w:val="0037016E"/>
    <w:rsid w:val="00370E55"/>
    <w:rsid w:val="00371272"/>
    <w:rsid w:val="00371BEE"/>
    <w:rsid w:val="00372908"/>
    <w:rsid w:val="003744E4"/>
    <w:rsid w:val="00376457"/>
    <w:rsid w:val="00376640"/>
    <w:rsid w:val="00381917"/>
    <w:rsid w:val="00383020"/>
    <w:rsid w:val="0039298C"/>
    <w:rsid w:val="0039627B"/>
    <w:rsid w:val="003975FD"/>
    <w:rsid w:val="003A0593"/>
    <w:rsid w:val="003A0DFD"/>
    <w:rsid w:val="003A3B88"/>
    <w:rsid w:val="003A52CA"/>
    <w:rsid w:val="003B60CC"/>
    <w:rsid w:val="003B7A08"/>
    <w:rsid w:val="003C1B25"/>
    <w:rsid w:val="003C2443"/>
    <w:rsid w:val="003C31E0"/>
    <w:rsid w:val="003C438B"/>
    <w:rsid w:val="003C5DA3"/>
    <w:rsid w:val="003D06B6"/>
    <w:rsid w:val="003D13ED"/>
    <w:rsid w:val="003D4BCD"/>
    <w:rsid w:val="003D4F48"/>
    <w:rsid w:val="003E01D8"/>
    <w:rsid w:val="003E2100"/>
    <w:rsid w:val="003E2135"/>
    <w:rsid w:val="003E2BDB"/>
    <w:rsid w:val="003E3C4B"/>
    <w:rsid w:val="003E4155"/>
    <w:rsid w:val="003E45FA"/>
    <w:rsid w:val="003E4FDA"/>
    <w:rsid w:val="003E53CA"/>
    <w:rsid w:val="003E5B2F"/>
    <w:rsid w:val="003E5ED5"/>
    <w:rsid w:val="003F0CB7"/>
    <w:rsid w:val="003F6F5B"/>
    <w:rsid w:val="00400F8F"/>
    <w:rsid w:val="00401192"/>
    <w:rsid w:val="0040342D"/>
    <w:rsid w:val="00403FB9"/>
    <w:rsid w:val="00405E1C"/>
    <w:rsid w:val="0041192D"/>
    <w:rsid w:val="0041275D"/>
    <w:rsid w:val="00413EE1"/>
    <w:rsid w:val="00417150"/>
    <w:rsid w:val="0042128E"/>
    <w:rsid w:val="0042465A"/>
    <w:rsid w:val="004256EC"/>
    <w:rsid w:val="00427005"/>
    <w:rsid w:val="0043133B"/>
    <w:rsid w:val="00431DAC"/>
    <w:rsid w:val="00432856"/>
    <w:rsid w:val="00432B60"/>
    <w:rsid w:val="00432FBD"/>
    <w:rsid w:val="004333E6"/>
    <w:rsid w:val="0043449F"/>
    <w:rsid w:val="00440698"/>
    <w:rsid w:val="00442076"/>
    <w:rsid w:val="004458C0"/>
    <w:rsid w:val="004522AF"/>
    <w:rsid w:val="00453CA5"/>
    <w:rsid w:val="004540E2"/>
    <w:rsid w:val="00454454"/>
    <w:rsid w:val="00456150"/>
    <w:rsid w:val="00457273"/>
    <w:rsid w:val="004617F0"/>
    <w:rsid w:val="00464A9F"/>
    <w:rsid w:val="004672DC"/>
    <w:rsid w:val="00467924"/>
    <w:rsid w:val="004712A5"/>
    <w:rsid w:val="0047266F"/>
    <w:rsid w:val="00472E8A"/>
    <w:rsid w:val="00473431"/>
    <w:rsid w:val="004734F8"/>
    <w:rsid w:val="00475562"/>
    <w:rsid w:val="004756EB"/>
    <w:rsid w:val="00476D6B"/>
    <w:rsid w:val="00477AD1"/>
    <w:rsid w:val="00480290"/>
    <w:rsid w:val="00482824"/>
    <w:rsid w:val="00484755"/>
    <w:rsid w:val="00486142"/>
    <w:rsid w:val="004861E6"/>
    <w:rsid w:val="00487926"/>
    <w:rsid w:val="0049013A"/>
    <w:rsid w:val="00490F4E"/>
    <w:rsid w:val="004929FC"/>
    <w:rsid w:val="00492AA8"/>
    <w:rsid w:val="00492C16"/>
    <w:rsid w:val="00494E61"/>
    <w:rsid w:val="00496ABB"/>
    <w:rsid w:val="004A0650"/>
    <w:rsid w:val="004A0678"/>
    <w:rsid w:val="004A4821"/>
    <w:rsid w:val="004A48A3"/>
    <w:rsid w:val="004B070B"/>
    <w:rsid w:val="004B0D92"/>
    <w:rsid w:val="004B0EC0"/>
    <w:rsid w:val="004B32B2"/>
    <w:rsid w:val="004B5A51"/>
    <w:rsid w:val="004B66F1"/>
    <w:rsid w:val="004B705F"/>
    <w:rsid w:val="004C3B7B"/>
    <w:rsid w:val="004C3EA0"/>
    <w:rsid w:val="004C4867"/>
    <w:rsid w:val="004D46F2"/>
    <w:rsid w:val="004D569D"/>
    <w:rsid w:val="004D7AF5"/>
    <w:rsid w:val="004E01F2"/>
    <w:rsid w:val="004E58FC"/>
    <w:rsid w:val="004F0B58"/>
    <w:rsid w:val="004F105A"/>
    <w:rsid w:val="004F32CC"/>
    <w:rsid w:val="004F3D69"/>
    <w:rsid w:val="004F5473"/>
    <w:rsid w:val="004F7169"/>
    <w:rsid w:val="004F7EF1"/>
    <w:rsid w:val="00500D66"/>
    <w:rsid w:val="005036A6"/>
    <w:rsid w:val="00504A91"/>
    <w:rsid w:val="00511E3E"/>
    <w:rsid w:val="00514C8E"/>
    <w:rsid w:val="005157D8"/>
    <w:rsid w:val="005175AD"/>
    <w:rsid w:val="00517E7B"/>
    <w:rsid w:val="00517F35"/>
    <w:rsid w:val="0052355A"/>
    <w:rsid w:val="00523A57"/>
    <w:rsid w:val="00523ED3"/>
    <w:rsid w:val="0053098D"/>
    <w:rsid w:val="00531DBF"/>
    <w:rsid w:val="005337FC"/>
    <w:rsid w:val="00540065"/>
    <w:rsid w:val="00540BB8"/>
    <w:rsid w:val="00543482"/>
    <w:rsid w:val="00544F55"/>
    <w:rsid w:val="00545422"/>
    <w:rsid w:val="00545759"/>
    <w:rsid w:val="00545890"/>
    <w:rsid w:val="00545AE5"/>
    <w:rsid w:val="00545BE0"/>
    <w:rsid w:val="00550B30"/>
    <w:rsid w:val="00551987"/>
    <w:rsid w:val="00551D41"/>
    <w:rsid w:val="00554406"/>
    <w:rsid w:val="00554C6A"/>
    <w:rsid w:val="00560271"/>
    <w:rsid w:val="00562E85"/>
    <w:rsid w:val="0056332F"/>
    <w:rsid w:val="00566335"/>
    <w:rsid w:val="00566B20"/>
    <w:rsid w:val="00581C39"/>
    <w:rsid w:val="005834A4"/>
    <w:rsid w:val="0058367D"/>
    <w:rsid w:val="00584F6B"/>
    <w:rsid w:val="005903B6"/>
    <w:rsid w:val="00592B20"/>
    <w:rsid w:val="00597320"/>
    <w:rsid w:val="005A0247"/>
    <w:rsid w:val="005A1099"/>
    <w:rsid w:val="005A126E"/>
    <w:rsid w:val="005A452F"/>
    <w:rsid w:val="005A703F"/>
    <w:rsid w:val="005B0E8D"/>
    <w:rsid w:val="005B140D"/>
    <w:rsid w:val="005B332E"/>
    <w:rsid w:val="005B5312"/>
    <w:rsid w:val="005C1FEA"/>
    <w:rsid w:val="005C3495"/>
    <w:rsid w:val="005C34C4"/>
    <w:rsid w:val="005C3785"/>
    <w:rsid w:val="005C439C"/>
    <w:rsid w:val="005C6316"/>
    <w:rsid w:val="005C7C4F"/>
    <w:rsid w:val="005D6138"/>
    <w:rsid w:val="005D7B28"/>
    <w:rsid w:val="005E13EA"/>
    <w:rsid w:val="005E15E0"/>
    <w:rsid w:val="005E21E7"/>
    <w:rsid w:val="005E3752"/>
    <w:rsid w:val="005E3889"/>
    <w:rsid w:val="005E3DFC"/>
    <w:rsid w:val="005E5F79"/>
    <w:rsid w:val="005E60AF"/>
    <w:rsid w:val="005E7B4E"/>
    <w:rsid w:val="005F1DEA"/>
    <w:rsid w:val="005F4932"/>
    <w:rsid w:val="005F49C9"/>
    <w:rsid w:val="005F6453"/>
    <w:rsid w:val="00600C44"/>
    <w:rsid w:val="0060197B"/>
    <w:rsid w:val="006020A5"/>
    <w:rsid w:val="00602FCB"/>
    <w:rsid w:val="0060439A"/>
    <w:rsid w:val="00607FC9"/>
    <w:rsid w:val="00610955"/>
    <w:rsid w:val="00611152"/>
    <w:rsid w:val="0061490C"/>
    <w:rsid w:val="00616861"/>
    <w:rsid w:val="00620865"/>
    <w:rsid w:val="00622FE1"/>
    <w:rsid w:val="0062521C"/>
    <w:rsid w:val="00630A2B"/>
    <w:rsid w:val="00630BA2"/>
    <w:rsid w:val="0063283F"/>
    <w:rsid w:val="00632DC7"/>
    <w:rsid w:val="00633896"/>
    <w:rsid w:val="006357FB"/>
    <w:rsid w:val="00635973"/>
    <w:rsid w:val="00637239"/>
    <w:rsid w:val="00640148"/>
    <w:rsid w:val="006406FC"/>
    <w:rsid w:val="0064241A"/>
    <w:rsid w:val="00643783"/>
    <w:rsid w:val="0064407B"/>
    <w:rsid w:val="0064412D"/>
    <w:rsid w:val="00646122"/>
    <w:rsid w:val="00653E16"/>
    <w:rsid w:val="00657220"/>
    <w:rsid w:val="0066104B"/>
    <w:rsid w:val="00661419"/>
    <w:rsid w:val="00661987"/>
    <w:rsid w:val="006620DA"/>
    <w:rsid w:val="006655EE"/>
    <w:rsid w:val="00667A3C"/>
    <w:rsid w:val="00667C10"/>
    <w:rsid w:val="00667EF4"/>
    <w:rsid w:val="00672B85"/>
    <w:rsid w:val="00673B97"/>
    <w:rsid w:val="00673EC3"/>
    <w:rsid w:val="00674E59"/>
    <w:rsid w:val="00676C63"/>
    <w:rsid w:val="00676FCA"/>
    <w:rsid w:val="00677177"/>
    <w:rsid w:val="0068056B"/>
    <w:rsid w:val="00680C1E"/>
    <w:rsid w:val="0068522C"/>
    <w:rsid w:val="00685553"/>
    <w:rsid w:val="0068612E"/>
    <w:rsid w:val="00687858"/>
    <w:rsid w:val="00687C92"/>
    <w:rsid w:val="006903B7"/>
    <w:rsid w:val="00690BF7"/>
    <w:rsid w:val="00693ED5"/>
    <w:rsid w:val="0069534E"/>
    <w:rsid w:val="00696365"/>
    <w:rsid w:val="0069669C"/>
    <w:rsid w:val="006A066D"/>
    <w:rsid w:val="006A1200"/>
    <w:rsid w:val="006A2C5A"/>
    <w:rsid w:val="006A43F1"/>
    <w:rsid w:val="006A4F4E"/>
    <w:rsid w:val="006A64D4"/>
    <w:rsid w:val="006A69E3"/>
    <w:rsid w:val="006A7E8C"/>
    <w:rsid w:val="006B14DB"/>
    <w:rsid w:val="006B21C4"/>
    <w:rsid w:val="006B28CF"/>
    <w:rsid w:val="006C1D13"/>
    <w:rsid w:val="006C22C3"/>
    <w:rsid w:val="006C25AD"/>
    <w:rsid w:val="006C48A1"/>
    <w:rsid w:val="006C4A1A"/>
    <w:rsid w:val="006C6153"/>
    <w:rsid w:val="006C7DAD"/>
    <w:rsid w:val="006D0393"/>
    <w:rsid w:val="006D1A83"/>
    <w:rsid w:val="006D3920"/>
    <w:rsid w:val="006D5B82"/>
    <w:rsid w:val="006D5D1E"/>
    <w:rsid w:val="006D6DC1"/>
    <w:rsid w:val="006E1CFE"/>
    <w:rsid w:val="006E31A2"/>
    <w:rsid w:val="006E33F5"/>
    <w:rsid w:val="006E6D10"/>
    <w:rsid w:val="006F08D6"/>
    <w:rsid w:val="006F0F8F"/>
    <w:rsid w:val="006F10C4"/>
    <w:rsid w:val="006F331D"/>
    <w:rsid w:val="006F40E9"/>
    <w:rsid w:val="006F53B4"/>
    <w:rsid w:val="006F5603"/>
    <w:rsid w:val="006F5615"/>
    <w:rsid w:val="006F668D"/>
    <w:rsid w:val="006F719A"/>
    <w:rsid w:val="00701400"/>
    <w:rsid w:val="00701898"/>
    <w:rsid w:val="0070204E"/>
    <w:rsid w:val="007037CF"/>
    <w:rsid w:val="00703BB8"/>
    <w:rsid w:val="007042E5"/>
    <w:rsid w:val="007043E2"/>
    <w:rsid w:val="00704B37"/>
    <w:rsid w:val="00706913"/>
    <w:rsid w:val="0071096C"/>
    <w:rsid w:val="007127BE"/>
    <w:rsid w:val="00712A8B"/>
    <w:rsid w:val="00714C02"/>
    <w:rsid w:val="00716583"/>
    <w:rsid w:val="007167C0"/>
    <w:rsid w:val="007203C3"/>
    <w:rsid w:val="00720481"/>
    <w:rsid w:val="00721642"/>
    <w:rsid w:val="00721BC7"/>
    <w:rsid w:val="00721FC6"/>
    <w:rsid w:val="0072510B"/>
    <w:rsid w:val="00727C18"/>
    <w:rsid w:val="00727E2F"/>
    <w:rsid w:val="007317A0"/>
    <w:rsid w:val="00732C52"/>
    <w:rsid w:val="00733193"/>
    <w:rsid w:val="00733226"/>
    <w:rsid w:val="00736026"/>
    <w:rsid w:val="007360FD"/>
    <w:rsid w:val="00737CBA"/>
    <w:rsid w:val="00740663"/>
    <w:rsid w:val="00743227"/>
    <w:rsid w:val="00743B63"/>
    <w:rsid w:val="00746131"/>
    <w:rsid w:val="007472F0"/>
    <w:rsid w:val="00752FF8"/>
    <w:rsid w:val="007543B2"/>
    <w:rsid w:val="00754C17"/>
    <w:rsid w:val="0075732A"/>
    <w:rsid w:val="00760262"/>
    <w:rsid w:val="00762E32"/>
    <w:rsid w:val="0076310C"/>
    <w:rsid w:val="00764535"/>
    <w:rsid w:val="00765A25"/>
    <w:rsid w:val="0076744F"/>
    <w:rsid w:val="00767BCE"/>
    <w:rsid w:val="00767EFC"/>
    <w:rsid w:val="007707DE"/>
    <w:rsid w:val="00770B5D"/>
    <w:rsid w:val="00773FA0"/>
    <w:rsid w:val="00773FDA"/>
    <w:rsid w:val="007752F1"/>
    <w:rsid w:val="00775B90"/>
    <w:rsid w:val="00776768"/>
    <w:rsid w:val="00782D61"/>
    <w:rsid w:val="0078783C"/>
    <w:rsid w:val="00791024"/>
    <w:rsid w:val="007921C6"/>
    <w:rsid w:val="00793F0D"/>
    <w:rsid w:val="00794818"/>
    <w:rsid w:val="00795004"/>
    <w:rsid w:val="007A0FDA"/>
    <w:rsid w:val="007A12F0"/>
    <w:rsid w:val="007A2573"/>
    <w:rsid w:val="007A3B9C"/>
    <w:rsid w:val="007A5E1F"/>
    <w:rsid w:val="007B047A"/>
    <w:rsid w:val="007B106C"/>
    <w:rsid w:val="007B1A4E"/>
    <w:rsid w:val="007B3144"/>
    <w:rsid w:val="007B3D05"/>
    <w:rsid w:val="007B5503"/>
    <w:rsid w:val="007B5835"/>
    <w:rsid w:val="007C0B40"/>
    <w:rsid w:val="007C216A"/>
    <w:rsid w:val="007C3E3E"/>
    <w:rsid w:val="007C6BB3"/>
    <w:rsid w:val="007D14B4"/>
    <w:rsid w:val="007D181A"/>
    <w:rsid w:val="007D3AD7"/>
    <w:rsid w:val="007E12BA"/>
    <w:rsid w:val="007E220B"/>
    <w:rsid w:val="007E24F6"/>
    <w:rsid w:val="007F2252"/>
    <w:rsid w:val="00800F64"/>
    <w:rsid w:val="008025BF"/>
    <w:rsid w:val="00802F0B"/>
    <w:rsid w:val="00803F54"/>
    <w:rsid w:val="008066AA"/>
    <w:rsid w:val="00810A67"/>
    <w:rsid w:val="00811656"/>
    <w:rsid w:val="0081315B"/>
    <w:rsid w:val="00813976"/>
    <w:rsid w:val="008179EC"/>
    <w:rsid w:val="0082036F"/>
    <w:rsid w:val="00820B51"/>
    <w:rsid w:val="00822C5E"/>
    <w:rsid w:val="00832B4B"/>
    <w:rsid w:val="00833CF7"/>
    <w:rsid w:val="00834202"/>
    <w:rsid w:val="00836785"/>
    <w:rsid w:val="008373E0"/>
    <w:rsid w:val="00843B6F"/>
    <w:rsid w:val="00844A29"/>
    <w:rsid w:val="00845601"/>
    <w:rsid w:val="0085172B"/>
    <w:rsid w:val="008524B9"/>
    <w:rsid w:val="00852DF6"/>
    <w:rsid w:val="00852EE3"/>
    <w:rsid w:val="008555BF"/>
    <w:rsid w:val="00855C5C"/>
    <w:rsid w:val="0086233C"/>
    <w:rsid w:val="00863D1F"/>
    <w:rsid w:val="00863FA7"/>
    <w:rsid w:val="00865CFA"/>
    <w:rsid w:val="00883CE7"/>
    <w:rsid w:val="00891BD2"/>
    <w:rsid w:val="008938F7"/>
    <w:rsid w:val="008968AF"/>
    <w:rsid w:val="0089699E"/>
    <w:rsid w:val="008A05C0"/>
    <w:rsid w:val="008A187F"/>
    <w:rsid w:val="008A2616"/>
    <w:rsid w:val="008A3C96"/>
    <w:rsid w:val="008A4851"/>
    <w:rsid w:val="008A5EBB"/>
    <w:rsid w:val="008B0BBA"/>
    <w:rsid w:val="008B1627"/>
    <w:rsid w:val="008B2422"/>
    <w:rsid w:val="008B4019"/>
    <w:rsid w:val="008B505F"/>
    <w:rsid w:val="008B542C"/>
    <w:rsid w:val="008B65C9"/>
    <w:rsid w:val="008C00AD"/>
    <w:rsid w:val="008C2D4A"/>
    <w:rsid w:val="008C31D8"/>
    <w:rsid w:val="008C6A05"/>
    <w:rsid w:val="008C7DBB"/>
    <w:rsid w:val="008D22DC"/>
    <w:rsid w:val="008D3280"/>
    <w:rsid w:val="008D3900"/>
    <w:rsid w:val="008D451F"/>
    <w:rsid w:val="008D5DBE"/>
    <w:rsid w:val="008D6170"/>
    <w:rsid w:val="008D6E1D"/>
    <w:rsid w:val="008D6EDB"/>
    <w:rsid w:val="008E1884"/>
    <w:rsid w:val="008E2C7E"/>
    <w:rsid w:val="008E2DF4"/>
    <w:rsid w:val="008E36FE"/>
    <w:rsid w:val="008E38D8"/>
    <w:rsid w:val="008E3FEE"/>
    <w:rsid w:val="008E6F22"/>
    <w:rsid w:val="008F0996"/>
    <w:rsid w:val="008F39B4"/>
    <w:rsid w:val="008F3DA3"/>
    <w:rsid w:val="008F4162"/>
    <w:rsid w:val="00903E02"/>
    <w:rsid w:val="00905FC7"/>
    <w:rsid w:val="00907F72"/>
    <w:rsid w:val="009110D5"/>
    <w:rsid w:val="00913175"/>
    <w:rsid w:val="00916EDB"/>
    <w:rsid w:val="0092044B"/>
    <w:rsid w:val="00920861"/>
    <w:rsid w:val="00920E6B"/>
    <w:rsid w:val="00920EE1"/>
    <w:rsid w:val="00921CC5"/>
    <w:rsid w:val="00922B13"/>
    <w:rsid w:val="009242EF"/>
    <w:rsid w:val="00924AB9"/>
    <w:rsid w:val="00925300"/>
    <w:rsid w:val="00927516"/>
    <w:rsid w:val="00930BE6"/>
    <w:rsid w:val="00932291"/>
    <w:rsid w:val="00932E18"/>
    <w:rsid w:val="00933B1B"/>
    <w:rsid w:val="00933B44"/>
    <w:rsid w:val="0093408E"/>
    <w:rsid w:val="00940467"/>
    <w:rsid w:val="009409AC"/>
    <w:rsid w:val="00942973"/>
    <w:rsid w:val="00942EC0"/>
    <w:rsid w:val="00947507"/>
    <w:rsid w:val="00947B0B"/>
    <w:rsid w:val="00952DDF"/>
    <w:rsid w:val="00952EC4"/>
    <w:rsid w:val="009535AF"/>
    <w:rsid w:val="009541AB"/>
    <w:rsid w:val="009708DF"/>
    <w:rsid w:val="00972423"/>
    <w:rsid w:val="009727E9"/>
    <w:rsid w:val="00976A55"/>
    <w:rsid w:val="009812D4"/>
    <w:rsid w:val="00982653"/>
    <w:rsid w:val="0098267D"/>
    <w:rsid w:val="009858CF"/>
    <w:rsid w:val="009859BD"/>
    <w:rsid w:val="009873F4"/>
    <w:rsid w:val="00987E2E"/>
    <w:rsid w:val="009908CA"/>
    <w:rsid w:val="009920D8"/>
    <w:rsid w:val="0099250F"/>
    <w:rsid w:val="009A0AC5"/>
    <w:rsid w:val="009A371F"/>
    <w:rsid w:val="009A3D74"/>
    <w:rsid w:val="009A4869"/>
    <w:rsid w:val="009A7B95"/>
    <w:rsid w:val="009B38BE"/>
    <w:rsid w:val="009B4556"/>
    <w:rsid w:val="009B682F"/>
    <w:rsid w:val="009C3D0F"/>
    <w:rsid w:val="009C4ECA"/>
    <w:rsid w:val="009C59B4"/>
    <w:rsid w:val="009D6232"/>
    <w:rsid w:val="009E042A"/>
    <w:rsid w:val="009E1B19"/>
    <w:rsid w:val="009E1D4E"/>
    <w:rsid w:val="009E1D6D"/>
    <w:rsid w:val="009E60C4"/>
    <w:rsid w:val="009E67BE"/>
    <w:rsid w:val="009E79B6"/>
    <w:rsid w:val="009F35E2"/>
    <w:rsid w:val="009F438B"/>
    <w:rsid w:val="009F65F9"/>
    <w:rsid w:val="009F67AF"/>
    <w:rsid w:val="009F68BA"/>
    <w:rsid w:val="00A00AB4"/>
    <w:rsid w:val="00A040F6"/>
    <w:rsid w:val="00A05395"/>
    <w:rsid w:val="00A05B1B"/>
    <w:rsid w:val="00A06277"/>
    <w:rsid w:val="00A079DC"/>
    <w:rsid w:val="00A10BAB"/>
    <w:rsid w:val="00A111C2"/>
    <w:rsid w:val="00A138E1"/>
    <w:rsid w:val="00A1624B"/>
    <w:rsid w:val="00A17B8A"/>
    <w:rsid w:val="00A17C39"/>
    <w:rsid w:val="00A21440"/>
    <w:rsid w:val="00A22361"/>
    <w:rsid w:val="00A238AA"/>
    <w:rsid w:val="00A2549D"/>
    <w:rsid w:val="00A338E7"/>
    <w:rsid w:val="00A34638"/>
    <w:rsid w:val="00A35CAA"/>
    <w:rsid w:val="00A36E7F"/>
    <w:rsid w:val="00A4169A"/>
    <w:rsid w:val="00A41E65"/>
    <w:rsid w:val="00A426F9"/>
    <w:rsid w:val="00A43517"/>
    <w:rsid w:val="00A43ADB"/>
    <w:rsid w:val="00A43E0A"/>
    <w:rsid w:val="00A46247"/>
    <w:rsid w:val="00A47F07"/>
    <w:rsid w:val="00A530C7"/>
    <w:rsid w:val="00A55F5B"/>
    <w:rsid w:val="00A56870"/>
    <w:rsid w:val="00A60185"/>
    <w:rsid w:val="00A611EE"/>
    <w:rsid w:val="00A622EC"/>
    <w:rsid w:val="00A62C00"/>
    <w:rsid w:val="00A659E4"/>
    <w:rsid w:val="00A661EA"/>
    <w:rsid w:val="00A66263"/>
    <w:rsid w:val="00A67107"/>
    <w:rsid w:val="00A6775C"/>
    <w:rsid w:val="00A67DDF"/>
    <w:rsid w:val="00A67E34"/>
    <w:rsid w:val="00A70A6C"/>
    <w:rsid w:val="00A74DC2"/>
    <w:rsid w:val="00A830E5"/>
    <w:rsid w:val="00A83DF5"/>
    <w:rsid w:val="00A84BF3"/>
    <w:rsid w:val="00A84F7D"/>
    <w:rsid w:val="00A87135"/>
    <w:rsid w:val="00A91870"/>
    <w:rsid w:val="00A93280"/>
    <w:rsid w:val="00A939C1"/>
    <w:rsid w:val="00A93C73"/>
    <w:rsid w:val="00A951EA"/>
    <w:rsid w:val="00A961A6"/>
    <w:rsid w:val="00A973E1"/>
    <w:rsid w:val="00A97F71"/>
    <w:rsid w:val="00AA0597"/>
    <w:rsid w:val="00AA1303"/>
    <w:rsid w:val="00AA1C65"/>
    <w:rsid w:val="00AA2548"/>
    <w:rsid w:val="00AA3B6E"/>
    <w:rsid w:val="00AA4AC0"/>
    <w:rsid w:val="00AA5112"/>
    <w:rsid w:val="00AA58C4"/>
    <w:rsid w:val="00AB089A"/>
    <w:rsid w:val="00AB11C8"/>
    <w:rsid w:val="00AB2248"/>
    <w:rsid w:val="00AB60D9"/>
    <w:rsid w:val="00AC0134"/>
    <w:rsid w:val="00AC08A8"/>
    <w:rsid w:val="00AC4E83"/>
    <w:rsid w:val="00AC6CE9"/>
    <w:rsid w:val="00AD461A"/>
    <w:rsid w:val="00AD56C8"/>
    <w:rsid w:val="00AD58F2"/>
    <w:rsid w:val="00AD70E2"/>
    <w:rsid w:val="00AE5712"/>
    <w:rsid w:val="00AE6911"/>
    <w:rsid w:val="00AF588A"/>
    <w:rsid w:val="00AF5EA3"/>
    <w:rsid w:val="00AF6573"/>
    <w:rsid w:val="00AF6BDA"/>
    <w:rsid w:val="00AF7690"/>
    <w:rsid w:val="00AF7712"/>
    <w:rsid w:val="00B0512A"/>
    <w:rsid w:val="00B0529F"/>
    <w:rsid w:val="00B05D52"/>
    <w:rsid w:val="00B07514"/>
    <w:rsid w:val="00B1418B"/>
    <w:rsid w:val="00B151A0"/>
    <w:rsid w:val="00B1520C"/>
    <w:rsid w:val="00B1560E"/>
    <w:rsid w:val="00B166E3"/>
    <w:rsid w:val="00B17BB3"/>
    <w:rsid w:val="00B201F9"/>
    <w:rsid w:val="00B21195"/>
    <w:rsid w:val="00B2207E"/>
    <w:rsid w:val="00B22B3D"/>
    <w:rsid w:val="00B24B22"/>
    <w:rsid w:val="00B25310"/>
    <w:rsid w:val="00B309FF"/>
    <w:rsid w:val="00B32F8F"/>
    <w:rsid w:val="00B32FF0"/>
    <w:rsid w:val="00B35FE5"/>
    <w:rsid w:val="00B4584B"/>
    <w:rsid w:val="00B4681B"/>
    <w:rsid w:val="00B4690F"/>
    <w:rsid w:val="00B47C42"/>
    <w:rsid w:val="00B5022C"/>
    <w:rsid w:val="00B510B1"/>
    <w:rsid w:val="00B517BC"/>
    <w:rsid w:val="00B524BD"/>
    <w:rsid w:val="00B53A62"/>
    <w:rsid w:val="00B54DE9"/>
    <w:rsid w:val="00B553EC"/>
    <w:rsid w:val="00B55870"/>
    <w:rsid w:val="00B559E0"/>
    <w:rsid w:val="00B60059"/>
    <w:rsid w:val="00B75A07"/>
    <w:rsid w:val="00B77732"/>
    <w:rsid w:val="00B80D6D"/>
    <w:rsid w:val="00B901DA"/>
    <w:rsid w:val="00B9154F"/>
    <w:rsid w:val="00B91BDE"/>
    <w:rsid w:val="00B92876"/>
    <w:rsid w:val="00B93BAF"/>
    <w:rsid w:val="00B93DD0"/>
    <w:rsid w:val="00B9746D"/>
    <w:rsid w:val="00B97732"/>
    <w:rsid w:val="00BA0849"/>
    <w:rsid w:val="00BA0DA8"/>
    <w:rsid w:val="00BA56D7"/>
    <w:rsid w:val="00BA5D5F"/>
    <w:rsid w:val="00BA65A8"/>
    <w:rsid w:val="00BA6A97"/>
    <w:rsid w:val="00BA6D19"/>
    <w:rsid w:val="00BA7461"/>
    <w:rsid w:val="00BA7831"/>
    <w:rsid w:val="00BA7DA9"/>
    <w:rsid w:val="00BA7FB5"/>
    <w:rsid w:val="00BB45FD"/>
    <w:rsid w:val="00BB6E0D"/>
    <w:rsid w:val="00BC084C"/>
    <w:rsid w:val="00BC3ABB"/>
    <w:rsid w:val="00BC4215"/>
    <w:rsid w:val="00BC6663"/>
    <w:rsid w:val="00BD0396"/>
    <w:rsid w:val="00BD1A6F"/>
    <w:rsid w:val="00BD4016"/>
    <w:rsid w:val="00BD5B71"/>
    <w:rsid w:val="00BD76F6"/>
    <w:rsid w:val="00BE0706"/>
    <w:rsid w:val="00BE5A16"/>
    <w:rsid w:val="00BE6280"/>
    <w:rsid w:val="00BE6D3C"/>
    <w:rsid w:val="00BE7852"/>
    <w:rsid w:val="00BF02C9"/>
    <w:rsid w:val="00BF104C"/>
    <w:rsid w:val="00BF4C59"/>
    <w:rsid w:val="00BF586F"/>
    <w:rsid w:val="00BF6D87"/>
    <w:rsid w:val="00BF7CEE"/>
    <w:rsid w:val="00C01DA6"/>
    <w:rsid w:val="00C03880"/>
    <w:rsid w:val="00C07809"/>
    <w:rsid w:val="00C079C8"/>
    <w:rsid w:val="00C07F6E"/>
    <w:rsid w:val="00C1216D"/>
    <w:rsid w:val="00C12783"/>
    <w:rsid w:val="00C135CF"/>
    <w:rsid w:val="00C13ADF"/>
    <w:rsid w:val="00C14171"/>
    <w:rsid w:val="00C14301"/>
    <w:rsid w:val="00C15FEC"/>
    <w:rsid w:val="00C20BF0"/>
    <w:rsid w:val="00C246E7"/>
    <w:rsid w:val="00C2683F"/>
    <w:rsid w:val="00C3184D"/>
    <w:rsid w:val="00C350EA"/>
    <w:rsid w:val="00C367F8"/>
    <w:rsid w:val="00C43084"/>
    <w:rsid w:val="00C4714E"/>
    <w:rsid w:val="00C47C4D"/>
    <w:rsid w:val="00C500A2"/>
    <w:rsid w:val="00C50941"/>
    <w:rsid w:val="00C52C7B"/>
    <w:rsid w:val="00C52EC9"/>
    <w:rsid w:val="00C5504F"/>
    <w:rsid w:val="00C55991"/>
    <w:rsid w:val="00C63376"/>
    <w:rsid w:val="00C640BC"/>
    <w:rsid w:val="00C66CB4"/>
    <w:rsid w:val="00C70B87"/>
    <w:rsid w:val="00C72E4C"/>
    <w:rsid w:val="00C74BA8"/>
    <w:rsid w:val="00C74F97"/>
    <w:rsid w:val="00C76A08"/>
    <w:rsid w:val="00C76B8A"/>
    <w:rsid w:val="00C803D7"/>
    <w:rsid w:val="00C80D51"/>
    <w:rsid w:val="00C8276E"/>
    <w:rsid w:val="00C83AD1"/>
    <w:rsid w:val="00C842AC"/>
    <w:rsid w:val="00C84538"/>
    <w:rsid w:val="00C85B7B"/>
    <w:rsid w:val="00C919E3"/>
    <w:rsid w:val="00C92AD5"/>
    <w:rsid w:val="00C93152"/>
    <w:rsid w:val="00C93FD9"/>
    <w:rsid w:val="00C96147"/>
    <w:rsid w:val="00C96688"/>
    <w:rsid w:val="00C97EBE"/>
    <w:rsid w:val="00CA0723"/>
    <w:rsid w:val="00CA319F"/>
    <w:rsid w:val="00CA4542"/>
    <w:rsid w:val="00CA5DCD"/>
    <w:rsid w:val="00CA6159"/>
    <w:rsid w:val="00CA6761"/>
    <w:rsid w:val="00CA74F2"/>
    <w:rsid w:val="00CB0B06"/>
    <w:rsid w:val="00CB11DD"/>
    <w:rsid w:val="00CB1690"/>
    <w:rsid w:val="00CB7824"/>
    <w:rsid w:val="00CC23F7"/>
    <w:rsid w:val="00CC27E7"/>
    <w:rsid w:val="00CC2B33"/>
    <w:rsid w:val="00CC4365"/>
    <w:rsid w:val="00CC572F"/>
    <w:rsid w:val="00CD11B0"/>
    <w:rsid w:val="00CD1796"/>
    <w:rsid w:val="00CD2A71"/>
    <w:rsid w:val="00CD5E0E"/>
    <w:rsid w:val="00CD624A"/>
    <w:rsid w:val="00CE1D06"/>
    <w:rsid w:val="00CE6975"/>
    <w:rsid w:val="00CE71C2"/>
    <w:rsid w:val="00CF116A"/>
    <w:rsid w:val="00CF2242"/>
    <w:rsid w:val="00CF2E5D"/>
    <w:rsid w:val="00CF3B39"/>
    <w:rsid w:val="00CF42D5"/>
    <w:rsid w:val="00CF4EDA"/>
    <w:rsid w:val="00CF562A"/>
    <w:rsid w:val="00CF5929"/>
    <w:rsid w:val="00CF7D4B"/>
    <w:rsid w:val="00D00281"/>
    <w:rsid w:val="00D01E11"/>
    <w:rsid w:val="00D021CB"/>
    <w:rsid w:val="00D04D33"/>
    <w:rsid w:val="00D0680D"/>
    <w:rsid w:val="00D10A46"/>
    <w:rsid w:val="00D10C4C"/>
    <w:rsid w:val="00D10F1A"/>
    <w:rsid w:val="00D116F8"/>
    <w:rsid w:val="00D12D97"/>
    <w:rsid w:val="00D15280"/>
    <w:rsid w:val="00D15E85"/>
    <w:rsid w:val="00D17596"/>
    <w:rsid w:val="00D22640"/>
    <w:rsid w:val="00D22A95"/>
    <w:rsid w:val="00D238C7"/>
    <w:rsid w:val="00D26D3A"/>
    <w:rsid w:val="00D3027D"/>
    <w:rsid w:val="00D32281"/>
    <w:rsid w:val="00D350F8"/>
    <w:rsid w:val="00D3593A"/>
    <w:rsid w:val="00D37A35"/>
    <w:rsid w:val="00D40124"/>
    <w:rsid w:val="00D418D3"/>
    <w:rsid w:val="00D424B3"/>
    <w:rsid w:val="00D42DA7"/>
    <w:rsid w:val="00D441B2"/>
    <w:rsid w:val="00D45C91"/>
    <w:rsid w:val="00D45EE3"/>
    <w:rsid w:val="00D503AF"/>
    <w:rsid w:val="00D50618"/>
    <w:rsid w:val="00D509E9"/>
    <w:rsid w:val="00D535A1"/>
    <w:rsid w:val="00D536C6"/>
    <w:rsid w:val="00D53B1C"/>
    <w:rsid w:val="00D61714"/>
    <w:rsid w:val="00D620BE"/>
    <w:rsid w:val="00D6228F"/>
    <w:rsid w:val="00D622B9"/>
    <w:rsid w:val="00D63197"/>
    <w:rsid w:val="00D639EC"/>
    <w:rsid w:val="00D63B1A"/>
    <w:rsid w:val="00D652C8"/>
    <w:rsid w:val="00D656FF"/>
    <w:rsid w:val="00D6693D"/>
    <w:rsid w:val="00D70907"/>
    <w:rsid w:val="00D73260"/>
    <w:rsid w:val="00D735F4"/>
    <w:rsid w:val="00D73662"/>
    <w:rsid w:val="00D756B4"/>
    <w:rsid w:val="00D81A0C"/>
    <w:rsid w:val="00D82448"/>
    <w:rsid w:val="00D83615"/>
    <w:rsid w:val="00D83AAD"/>
    <w:rsid w:val="00D97037"/>
    <w:rsid w:val="00DA1B12"/>
    <w:rsid w:val="00DA281B"/>
    <w:rsid w:val="00DA4F90"/>
    <w:rsid w:val="00DA500E"/>
    <w:rsid w:val="00DA54C9"/>
    <w:rsid w:val="00DA6739"/>
    <w:rsid w:val="00DA6CAE"/>
    <w:rsid w:val="00DA7CE3"/>
    <w:rsid w:val="00DB1A9E"/>
    <w:rsid w:val="00DB2970"/>
    <w:rsid w:val="00DB31D6"/>
    <w:rsid w:val="00DB3296"/>
    <w:rsid w:val="00DB3A01"/>
    <w:rsid w:val="00DB3BB8"/>
    <w:rsid w:val="00DB4005"/>
    <w:rsid w:val="00DB44E2"/>
    <w:rsid w:val="00DB61F1"/>
    <w:rsid w:val="00DC325B"/>
    <w:rsid w:val="00DC34EB"/>
    <w:rsid w:val="00DC4E2E"/>
    <w:rsid w:val="00DC6775"/>
    <w:rsid w:val="00DC78C0"/>
    <w:rsid w:val="00DD0BC9"/>
    <w:rsid w:val="00DD4CBA"/>
    <w:rsid w:val="00DE2C10"/>
    <w:rsid w:val="00DE6427"/>
    <w:rsid w:val="00DE69FC"/>
    <w:rsid w:val="00DF0911"/>
    <w:rsid w:val="00DF14C9"/>
    <w:rsid w:val="00DF1E5B"/>
    <w:rsid w:val="00DF2275"/>
    <w:rsid w:val="00DF2F1A"/>
    <w:rsid w:val="00DF3F5E"/>
    <w:rsid w:val="00DF403B"/>
    <w:rsid w:val="00DF5653"/>
    <w:rsid w:val="00E0078C"/>
    <w:rsid w:val="00E01F2E"/>
    <w:rsid w:val="00E01FCA"/>
    <w:rsid w:val="00E02B9E"/>
    <w:rsid w:val="00E0596E"/>
    <w:rsid w:val="00E06155"/>
    <w:rsid w:val="00E06F66"/>
    <w:rsid w:val="00E0741E"/>
    <w:rsid w:val="00E120BF"/>
    <w:rsid w:val="00E14AB0"/>
    <w:rsid w:val="00E150FC"/>
    <w:rsid w:val="00E20862"/>
    <w:rsid w:val="00E2111A"/>
    <w:rsid w:val="00E21678"/>
    <w:rsid w:val="00E23799"/>
    <w:rsid w:val="00E26B6F"/>
    <w:rsid w:val="00E270CE"/>
    <w:rsid w:val="00E344AA"/>
    <w:rsid w:val="00E35288"/>
    <w:rsid w:val="00E356E5"/>
    <w:rsid w:val="00E36F81"/>
    <w:rsid w:val="00E378A8"/>
    <w:rsid w:val="00E40713"/>
    <w:rsid w:val="00E40B9B"/>
    <w:rsid w:val="00E4565D"/>
    <w:rsid w:val="00E45765"/>
    <w:rsid w:val="00E45ECA"/>
    <w:rsid w:val="00E47C4C"/>
    <w:rsid w:val="00E5098C"/>
    <w:rsid w:val="00E518CA"/>
    <w:rsid w:val="00E54ECD"/>
    <w:rsid w:val="00E574EF"/>
    <w:rsid w:val="00E57CD8"/>
    <w:rsid w:val="00E57E07"/>
    <w:rsid w:val="00E60213"/>
    <w:rsid w:val="00E630A0"/>
    <w:rsid w:val="00E661B2"/>
    <w:rsid w:val="00E74D29"/>
    <w:rsid w:val="00E806FF"/>
    <w:rsid w:val="00E83949"/>
    <w:rsid w:val="00E83C74"/>
    <w:rsid w:val="00E83CEE"/>
    <w:rsid w:val="00E91F18"/>
    <w:rsid w:val="00E9226D"/>
    <w:rsid w:val="00E93BE8"/>
    <w:rsid w:val="00E96424"/>
    <w:rsid w:val="00EA1426"/>
    <w:rsid w:val="00EA254F"/>
    <w:rsid w:val="00EA2A91"/>
    <w:rsid w:val="00EA416C"/>
    <w:rsid w:val="00EA5941"/>
    <w:rsid w:val="00EB0865"/>
    <w:rsid w:val="00EB0F3E"/>
    <w:rsid w:val="00EB1D0F"/>
    <w:rsid w:val="00EB5C73"/>
    <w:rsid w:val="00EB60CE"/>
    <w:rsid w:val="00EB7D53"/>
    <w:rsid w:val="00EC596B"/>
    <w:rsid w:val="00ED11E2"/>
    <w:rsid w:val="00ED323E"/>
    <w:rsid w:val="00ED5EEB"/>
    <w:rsid w:val="00EE03D5"/>
    <w:rsid w:val="00EE0A0E"/>
    <w:rsid w:val="00EE13C5"/>
    <w:rsid w:val="00EE3146"/>
    <w:rsid w:val="00EE3E76"/>
    <w:rsid w:val="00EE4CDF"/>
    <w:rsid w:val="00EF4ABC"/>
    <w:rsid w:val="00EF50BB"/>
    <w:rsid w:val="00EF5270"/>
    <w:rsid w:val="00EF71E4"/>
    <w:rsid w:val="00F00192"/>
    <w:rsid w:val="00F01894"/>
    <w:rsid w:val="00F01DF6"/>
    <w:rsid w:val="00F027B8"/>
    <w:rsid w:val="00F02F70"/>
    <w:rsid w:val="00F030B5"/>
    <w:rsid w:val="00F0340D"/>
    <w:rsid w:val="00F035F2"/>
    <w:rsid w:val="00F059A6"/>
    <w:rsid w:val="00F10823"/>
    <w:rsid w:val="00F11AA3"/>
    <w:rsid w:val="00F11E41"/>
    <w:rsid w:val="00F13B49"/>
    <w:rsid w:val="00F14A04"/>
    <w:rsid w:val="00F164B2"/>
    <w:rsid w:val="00F16922"/>
    <w:rsid w:val="00F23756"/>
    <w:rsid w:val="00F23AD0"/>
    <w:rsid w:val="00F2439F"/>
    <w:rsid w:val="00F2464C"/>
    <w:rsid w:val="00F2523A"/>
    <w:rsid w:val="00F25940"/>
    <w:rsid w:val="00F25FFA"/>
    <w:rsid w:val="00F30235"/>
    <w:rsid w:val="00F310D2"/>
    <w:rsid w:val="00F31E11"/>
    <w:rsid w:val="00F336B6"/>
    <w:rsid w:val="00F36F3D"/>
    <w:rsid w:val="00F37C48"/>
    <w:rsid w:val="00F37CF0"/>
    <w:rsid w:val="00F40BC0"/>
    <w:rsid w:val="00F4149F"/>
    <w:rsid w:val="00F44E68"/>
    <w:rsid w:val="00F477BD"/>
    <w:rsid w:val="00F50333"/>
    <w:rsid w:val="00F53491"/>
    <w:rsid w:val="00F53835"/>
    <w:rsid w:val="00F54656"/>
    <w:rsid w:val="00F55386"/>
    <w:rsid w:val="00F5547F"/>
    <w:rsid w:val="00F561E9"/>
    <w:rsid w:val="00F56411"/>
    <w:rsid w:val="00F60181"/>
    <w:rsid w:val="00F60235"/>
    <w:rsid w:val="00F62CEE"/>
    <w:rsid w:val="00F65A1C"/>
    <w:rsid w:val="00F65B77"/>
    <w:rsid w:val="00F66F50"/>
    <w:rsid w:val="00F706DC"/>
    <w:rsid w:val="00F70F76"/>
    <w:rsid w:val="00F723B3"/>
    <w:rsid w:val="00F72541"/>
    <w:rsid w:val="00F77432"/>
    <w:rsid w:val="00F81162"/>
    <w:rsid w:val="00F82257"/>
    <w:rsid w:val="00F82FF8"/>
    <w:rsid w:val="00F8330D"/>
    <w:rsid w:val="00F836AD"/>
    <w:rsid w:val="00F84305"/>
    <w:rsid w:val="00F8485C"/>
    <w:rsid w:val="00F84AE3"/>
    <w:rsid w:val="00F86277"/>
    <w:rsid w:val="00F87149"/>
    <w:rsid w:val="00F87FFE"/>
    <w:rsid w:val="00F931FF"/>
    <w:rsid w:val="00F954C9"/>
    <w:rsid w:val="00FA1B23"/>
    <w:rsid w:val="00FA1E6F"/>
    <w:rsid w:val="00FA1EFE"/>
    <w:rsid w:val="00FA4CF0"/>
    <w:rsid w:val="00FA61AA"/>
    <w:rsid w:val="00FA69A4"/>
    <w:rsid w:val="00FA74F7"/>
    <w:rsid w:val="00FA7513"/>
    <w:rsid w:val="00FB1279"/>
    <w:rsid w:val="00FB1495"/>
    <w:rsid w:val="00FB6E68"/>
    <w:rsid w:val="00FC0DB7"/>
    <w:rsid w:val="00FC20F8"/>
    <w:rsid w:val="00FC2E5A"/>
    <w:rsid w:val="00FC32D2"/>
    <w:rsid w:val="00FD0B86"/>
    <w:rsid w:val="00FD0C97"/>
    <w:rsid w:val="00FD1694"/>
    <w:rsid w:val="00FD7636"/>
    <w:rsid w:val="00FE1CF4"/>
    <w:rsid w:val="00FE3229"/>
    <w:rsid w:val="00FE5E32"/>
    <w:rsid w:val="00FE74C3"/>
    <w:rsid w:val="00FF013A"/>
    <w:rsid w:val="00FF0633"/>
    <w:rsid w:val="00FF215C"/>
    <w:rsid w:val="00FF303B"/>
    <w:rsid w:val="00FF49E8"/>
    <w:rsid w:val="00FF672F"/>
    <w:rsid w:val="00FF696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F37CF0"/>
    <w:pPr>
      <w:keepNext/>
      <w:spacing w:before="200"/>
      <w:outlineLvl w:val="2"/>
    </w:pPr>
    <w:rPr>
      <w:sz w:val="20"/>
    </w:rPr>
  </w:style>
  <w:style w:type="paragraph" w:styleId="Heading4">
    <w:name w:val="heading 4"/>
    <w:basedOn w:val="PlainText"/>
    <w:next w:val="Normal"/>
    <w:link w:val="Heading4Char"/>
    <w:uiPriority w:val="9"/>
    <w:qFormat/>
    <w:rsid w:val="001F1F77"/>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202FA"/>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F37CF0"/>
    <w:rPr>
      <w:rFonts w:eastAsia="Times New Roman" w:cs="Arial"/>
      <w:b/>
      <w:lang w:eastAsia="en-US"/>
    </w:rPr>
  </w:style>
  <w:style w:type="character" w:customStyle="1" w:styleId="Heading4Char">
    <w:name w:val="Heading 4 Char"/>
    <w:basedOn w:val="DefaultParagraphFont"/>
    <w:link w:val="Heading4"/>
    <w:uiPriority w:val="9"/>
    <w:rsid w:val="001F1F77"/>
    <w:rPr>
      <w:rFonts w:eastAsia="Times New Roman" w:cs="Arial"/>
      <w:u w:val="single"/>
      <w:lang w:eastAsia="en-US"/>
    </w:rPr>
  </w:style>
  <w:style w:type="paragraph" w:styleId="ListBullet">
    <w:name w:val="List Bullet"/>
    <w:basedOn w:val="Normal"/>
    <w:uiPriority w:val="99"/>
    <w:unhideWhenUsed/>
    <w:rsid w:val="00D441B2"/>
    <w:pPr>
      <w:numPr>
        <w:numId w:val="6"/>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202FA"/>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FollowedHyperlink">
    <w:name w:val="FollowedHyperlink"/>
    <w:basedOn w:val="DefaultParagraphFont"/>
    <w:uiPriority w:val="99"/>
    <w:semiHidden/>
    <w:unhideWhenUsed/>
    <w:rsid w:val="00226327"/>
    <w:rPr>
      <w:color w:val="800080" w:themeColor="followedHyperlink"/>
      <w:u w:val="single"/>
    </w:rPr>
  </w:style>
  <w:style w:type="paragraph" w:customStyle="1" w:styleId="AdviceText">
    <w:name w:val="Advice Text"/>
    <w:basedOn w:val="Normal"/>
    <w:qFormat/>
    <w:rsid w:val="00F37CF0"/>
  </w:style>
  <w:style w:type="paragraph" w:customStyle="1" w:styleId="AdviceBullet">
    <w:name w:val="Advice Bullet"/>
    <w:basedOn w:val="ListBullet"/>
    <w:qFormat/>
    <w:rsid w:val="00F37CF0"/>
  </w:style>
  <w:style w:type="paragraph" w:styleId="FootnoteText">
    <w:name w:val="footnote text"/>
    <w:basedOn w:val="Normal"/>
    <w:link w:val="FootnoteTextChar"/>
    <w:uiPriority w:val="99"/>
    <w:semiHidden/>
    <w:unhideWhenUsed/>
    <w:rsid w:val="009A0AC5"/>
    <w:pPr>
      <w:spacing w:after="0" w:line="240" w:lineRule="auto"/>
    </w:pPr>
  </w:style>
  <w:style w:type="character" w:customStyle="1" w:styleId="FootnoteTextChar">
    <w:name w:val="Footnote Text Char"/>
    <w:basedOn w:val="DefaultParagraphFont"/>
    <w:link w:val="FootnoteText"/>
    <w:uiPriority w:val="99"/>
    <w:semiHidden/>
    <w:rsid w:val="009A0AC5"/>
    <w:rPr>
      <w:rFonts w:eastAsia="Times New Roman" w:cs="Arial"/>
      <w:lang w:eastAsia="en-US"/>
    </w:rPr>
  </w:style>
  <w:style w:type="character" w:styleId="FootnoteReference">
    <w:name w:val="footnote reference"/>
    <w:basedOn w:val="DefaultParagraphFont"/>
    <w:uiPriority w:val="99"/>
    <w:semiHidden/>
    <w:unhideWhenUsed/>
    <w:rsid w:val="009A0AC5"/>
    <w:rPr>
      <w:vertAlign w:val="superscript"/>
    </w:rPr>
  </w:style>
  <w:style w:type="paragraph" w:styleId="EndnoteText">
    <w:name w:val="endnote text"/>
    <w:basedOn w:val="Normal"/>
    <w:link w:val="EndnoteTextChar"/>
    <w:uiPriority w:val="99"/>
    <w:semiHidden/>
    <w:unhideWhenUsed/>
    <w:rsid w:val="009A0AC5"/>
    <w:pPr>
      <w:spacing w:after="0" w:line="240" w:lineRule="auto"/>
    </w:pPr>
  </w:style>
  <w:style w:type="character" w:customStyle="1" w:styleId="EndnoteTextChar">
    <w:name w:val="Endnote Text Char"/>
    <w:basedOn w:val="DefaultParagraphFont"/>
    <w:link w:val="EndnoteText"/>
    <w:uiPriority w:val="99"/>
    <w:semiHidden/>
    <w:rsid w:val="009A0AC5"/>
    <w:rPr>
      <w:rFonts w:eastAsia="Times New Roman" w:cs="Arial"/>
      <w:lang w:eastAsia="en-US"/>
    </w:rPr>
  </w:style>
  <w:style w:type="character" w:styleId="EndnoteReference">
    <w:name w:val="endnote reference"/>
    <w:basedOn w:val="DefaultParagraphFont"/>
    <w:uiPriority w:val="99"/>
    <w:semiHidden/>
    <w:unhideWhenUsed/>
    <w:rsid w:val="009A0AC5"/>
    <w:rPr>
      <w:vertAlign w:val="superscript"/>
    </w:rPr>
  </w:style>
  <w:style w:type="paragraph" w:customStyle="1" w:styleId="Plaintext0">
    <w:name w:val="Plaintext"/>
    <w:basedOn w:val="Normal"/>
    <w:qFormat/>
    <w:rsid w:val="00FC2E5A"/>
    <w:pPr>
      <w:autoSpaceDE/>
      <w:autoSpaceDN/>
      <w:adjustRightInd/>
      <w:spacing w:after="120"/>
    </w:pPr>
    <w:rPr>
      <w:rFonts w:eastAsia="Calibri" w:cs="Times New Roman"/>
    </w:rPr>
  </w:style>
  <w:style w:type="character" w:styleId="LineNumber">
    <w:name w:val="line number"/>
    <w:basedOn w:val="DefaultParagraphFont"/>
    <w:uiPriority w:val="99"/>
    <w:semiHidden/>
    <w:unhideWhenUsed/>
    <w:rsid w:val="001668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F37CF0"/>
    <w:pPr>
      <w:keepNext/>
      <w:spacing w:before="200"/>
      <w:outlineLvl w:val="2"/>
    </w:pPr>
    <w:rPr>
      <w:sz w:val="20"/>
    </w:rPr>
  </w:style>
  <w:style w:type="paragraph" w:styleId="Heading4">
    <w:name w:val="heading 4"/>
    <w:basedOn w:val="PlainText"/>
    <w:next w:val="Normal"/>
    <w:link w:val="Heading4Char"/>
    <w:uiPriority w:val="9"/>
    <w:qFormat/>
    <w:rsid w:val="001F1F77"/>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202FA"/>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F37CF0"/>
    <w:rPr>
      <w:rFonts w:eastAsia="Times New Roman" w:cs="Arial"/>
      <w:b/>
      <w:lang w:eastAsia="en-US"/>
    </w:rPr>
  </w:style>
  <w:style w:type="character" w:customStyle="1" w:styleId="Heading4Char">
    <w:name w:val="Heading 4 Char"/>
    <w:basedOn w:val="DefaultParagraphFont"/>
    <w:link w:val="Heading4"/>
    <w:uiPriority w:val="9"/>
    <w:rsid w:val="001F1F77"/>
    <w:rPr>
      <w:rFonts w:eastAsia="Times New Roman" w:cs="Arial"/>
      <w:u w:val="single"/>
      <w:lang w:eastAsia="en-US"/>
    </w:rPr>
  </w:style>
  <w:style w:type="paragraph" w:styleId="ListBullet">
    <w:name w:val="List Bullet"/>
    <w:basedOn w:val="Normal"/>
    <w:uiPriority w:val="99"/>
    <w:unhideWhenUsed/>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202FA"/>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FollowedHyperlink">
    <w:name w:val="FollowedHyperlink"/>
    <w:basedOn w:val="DefaultParagraphFont"/>
    <w:uiPriority w:val="99"/>
    <w:semiHidden/>
    <w:unhideWhenUsed/>
    <w:rsid w:val="00226327"/>
    <w:rPr>
      <w:color w:val="800080" w:themeColor="followedHyperlink"/>
      <w:u w:val="single"/>
    </w:rPr>
  </w:style>
  <w:style w:type="paragraph" w:customStyle="1" w:styleId="AdviceText">
    <w:name w:val="Advice Text"/>
    <w:basedOn w:val="Normal"/>
    <w:qFormat/>
    <w:rsid w:val="00F37CF0"/>
  </w:style>
  <w:style w:type="paragraph" w:customStyle="1" w:styleId="AdviceBullet">
    <w:name w:val="Advice Bullet"/>
    <w:basedOn w:val="ListBullet"/>
    <w:qFormat/>
    <w:rsid w:val="00F37CF0"/>
  </w:style>
  <w:style w:type="paragraph" w:styleId="FootnoteText">
    <w:name w:val="footnote text"/>
    <w:basedOn w:val="Normal"/>
    <w:link w:val="FootnoteTextChar"/>
    <w:uiPriority w:val="99"/>
    <w:semiHidden/>
    <w:unhideWhenUsed/>
    <w:rsid w:val="009A0AC5"/>
    <w:pPr>
      <w:spacing w:after="0" w:line="240" w:lineRule="auto"/>
    </w:pPr>
  </w:style>
  <w:style w:type="character" w:customStyle="1" w:styleId="FootnoteTextChar">
    <w:name w:val="Footnote Text Char"/>
    <w:basedOn w:val="DefaultParagraphFont"/>
    <w:link w:val="FootnoteText"/>
    <w:uiPriority w:val="99"/>
    <w:semiHidden/>
    <w:rsid w:val="009A0AC5"/>
    <w:rPr>
      <w:rFonts w:eastAsia="Times New Roman" w:cs="Arial"/>
      <w:lang w:eastAsia="en-US"/>
    </w:rPr>
  </w:style>
  <w:style w:type="character" w:styleId="FootnoteReference">
    <w:name w:val="footnote reference"/>
    <w:basedOn w:val="DefaultParagraphFont"/>
    <w:uiPriority w:val="99"/>
    <w:semiHidden/>
    <w:unhideWhenUsed/>
    <w:rsid w:val="009A0AC5"/>
    <w:rPr>
      <w:vertAlign w:val="superscript"/>
    </w:rPr>
  </w:style>
  <w:style w:type="paragraph" w:styleId="EndnoteText">
    <w:name w:val="endnote text"/>
    <w:basedOn w:val="Normal"/>
    <w:link w:val="EndnoteTextChar"/>
    <w:uiPriority w:val="99"/>
    <w:semiHidden/>
    <w:unhideWhenUsed/>
    <w:rsid w:val="009A0AC5"/>
    <w:pPr>
      <w:spacing w:after="0" w:line="240" w:lineRule="auto"/>
    </w:pPr>
  </w:style>
  <w:style w:type="character" w:customStyle="1" w:styleId="EndnoteTextChar">
    <w:name w:val="Endnote Text Char"/>
    <w:basedOn w:val="DefaultParagraphFont"/>
    <w:link w:val="EndnoteText"/>
    <w:uiPriority w:val="99"/>
    <w:semiHidden/>
    <w:rsid w:val="009A0AC5"/>
    <w:rPr>
      <w:rFonts w:eastAsia="Times New Roman" w:cs="Arial"/>
      <w:lang w:eastAsia="en-US"/>
    </w:rPr>
  </w:style>
  <w:style w:type="character" w:styleId="EndnoteReference">
    <w:name w:val="endnote reference"/>
    <w:basedOn w:val="DefaultParagraphFont"/>
    <w:uiPriority w:val="99"/>
    <w:semiHidden/>
    <w:unhideWhenUsed/>
    <w:rsid w:val="009A0AC5"/>
    <w:rPr>
      <w:vertAlign w:val="superscript"/>
    </w:rPr>
  </w:style>
  <w:style w:type="paragraph" w:customStyle="1" w:styleId="Plaintext0">
    <w:name w:val="Plaintext"/>
    <w:basedOn w:val="Normal"/>
    <w:qFormat/>
    <w:rsid w:val="00FC2E5A"/>
    <w:pPr>
      <w:autoSpaceDE/>
      <w:autoSpaceDN/>
      <w:adjustRightInd/>
      <w:spacing w:after="120"/>
    </w:pPr>
    <w:rPr>
      <w:rFonts w:eastAsia="Calibri" w:cs="Times New Roman"/>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sc.environment.gov.au/pubs/iesc-information-guidelines.pdf" TargetMode="External"/><Relationship Id="rId13" Type="http://schemas.openxmlformats.org/officeDocument/2006/relationships/header" Target="header3.xml"/><Relationship Id="rId18" Type="http://schemas.openxmlformats.org/officeDocument/2006/relationships/footer" Target="footer5.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3085</Words>
  <Characters>17588</Characters>
  <Application>Microsoft Office Word</Application>
  <DocSecurity>4</DocSecurity>
  <Lines>146</Lines>
  <Paragraphs>41</Paragraphs>
  <ScaleCrop>false</ScaleCrop>
  <LinksUpToDate>false</LinksUpToDate>
  <CharactersWithSpaces>20632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projectIESC 2015-064: Drayton South Coal Project – Expansion</dc:title>
  <dc:creator/>
  <cp:lastModifiedBy/>
  <cp:revision>1</cp:revision>
  <dcterms:created xsi:type="dcterms:W3CDTF">2015-02-25T02:17:00Z</dcterms:created>
  <dcterms:modified xsi:type="dcterms:W3CDTF">2015-02-25T02:17:00Z</dcterms:modified>
</cp:coreProperties>
</file>