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Pr="00DD5837" w:rsidRDefault="00F027B8" w:rsidP="00277A51">
      <w:pPr>
        <w:pStyle w:val="Header"/>
        <w:suppressLineNumbers/>
      </w:pPr>
      <w:r w:rsidRPr="00DD5837">
        <w:rPr>
          <w:noProof/>
          <w:lang w:eastAsia="en-AU"/>
        </w:rPr>
        <w:drawing>
          <wp:anchor distT="0" distB="0" distL="114300" distR="114300" simplePos="0" relativeHeight="251658240" behindDoc="0" locked="0" layoutInCell="1" allowOverlap="1">
            <wp:simplePos x="0" y="0"/>
            <wp:positionH relativeFrom="column">
              <wp:posOffset>-903976</wp:posOffset>
            </wp:positionH>
            <wp:positionV relativeFrom="paragraph">
              <wp:posOffset>-879894</wp:posOffset>
            </wp:positionV>
            <wp:extent cx="7572195" cy="235501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cstate="print"/>
                    <a:srcRect/>
                    <a:stretch>
                      <a:fillRect/>
                    </a:stretch>
                  </pic:blipFill>
                  <pic:spPr bwMode="auto">
                    <a:xfrm>
                      <a:off x="0" y="0"/>
                      <a:ext cx="7572195" cy="2355011"/>
                    </a:xfrm>
                    <a:prstGeom prst="rect">
                      <a:avLst/>
                    </a:prstGeom>
                    <a:noFill/>
                    <a:ln w="9525">
                      <a:noFill/>
                      <a:miter lim="800000"/>
                      <a:headEnd/>
                      <a:tailEnd/>
                    </a:ln>
                  </pic:spPr>
                </pic:pic>
              </a:graphicData>
            </a:graphic>
          </wp:anchor>
        </w:drawing>
      </w:r>
    </w:p>
    <w:p w:rsidR="00F027B8" w:rsidRPr="00DD5837" w:rsidRDefault="00F027B8" w:rsidP="00277A51">
      <w:pPr>
        <w:pStyle w:val="Header"/>
        <w:suppressLineNumbers/>
      </w:pPr>
    </w:p>
    <w:p w:rsidR="00F027B8" w:rsidRPr="00DD5837" w:rsidRDefault="00F027B8" w:rsidP="00277A51">
      <w:pPr>
        <w:pStyle w:val="Header"/>
        <w:suppressLineNumbers/>
      </w:pPr>
    </w:p>
    <w:p w:rsidR="00F027B8" w:rsidRPr="00DD5837" w:rsidRDefault="00F027B8" w:rsidP="00277A51">
      <w:pPr>
        <w:pStyle w:val="Header"/>
        <w:suppressLineNumbers/>
      </w:pPr>
    </w:p>
    <w:p w:rsidR="00F027B8" w:rsidRPr="00DD5837" w:rsidRDefault="00F027B8" w:rsidP="00277A51">
      <w:pPr>
        <w:pStyle w:val="Heading1"/>
        <w:suppressLineNumbers/>
      </w:pPr>
    </w:p>
    <w:p w:rsidR="001765DA" w:rsidRPr="00DD5837" w:rsidRDefault="00F027B8" w:rsidP="00277A51">
      <w:pPr>
        <w:pStyle w:val="Heading1"/>
        <w:suppressLineNumbers/>
      </w:pPr>
      <w:bookmarkStart w:id="0" w:name="OLE_LINK5"/>
      <w:bookmarkStart w:id="1" w:name="OLE_LINK6"/>
      <w:r w:rsidRPr="00DD5837">
        <w:t>Advi</w:t>
      </w:r>
      <w:r w:rsidR="001765DA" w:rsidRPr="00DD5837">
        <w:t>ce to decision maker on coal mining</w:t>
      </w:r>
      <w:r w:rsidR="00E21678" w:rsidRPr="00DD5837">
        <w:t xml:space="preserve"> project </w:t>
      </w:r>
    </w:p>
    <w:p w:rsidR="004861E6" w:rsidRPr="00DD5837" w:rsidRDefault="00D10C4C" w:rsidP="00277A51">
      <w:pPr>
        <w:pStyle w:val="Heading2"/>
        <w:suppressLineNumbers/>
      </w:pPr>
      <w:r w:rsidRPr="00DD5837">
        <w:t xml:space="preserve">IESC </w:t>
      </w:r>
      <w:r w:rsidR="00C43084" w:rsidRPr="00DD5837">
        <w:t>201</w:t>
      </w:r>
      <w:r w:rsidR="00C331D7" w:rsidRPr="00DD5837">
        <w:t>5</w:t>
      </w:r>
      <w:r w:rsidR="00CC27E7" w:rsidRPr="00DD5837">
        <w:t>-</w:t>
      </w:r>
      <w:r w:rsidRPr="00DD5837">
        <w:t>0</w:t>
      </w:r>
      <w:r w:rsidR="00C331D7" w:rsidRPr="00DD5837">
        <w:t>74</w:t>
      </w:r>
      <w:r w:rsidR="001765DA" w:rsidRPr="00DD5837">
        <w:t>:</w:t>
      </w:r>
      <w:r w:rsidR="002974BC" w:rsidRPr="00DD5837">
        <w:t xml:space="preserve"> </w:t>
      </w:r>
      <w:r w:rsidR="00C331D7" w:rsidRPr="00DD5837">
        <w:rPr>
          <w:rFonts w:ascii="Arial Bold" w:hAnsi="Arial Bold"/>
        </w:rPr>
        <w:t>Curragh</w:t>
      </w:r>
      <w:r w:rsidR="00C803D7" w:rsidRPr="00DD5837">
        <w:t xml:space="preserve"> </w:t>
      </w:r>
      <w:r w:rsidR="00C331D7" w:rsidRPr="00DD5837">
        <w:t xml:space="preserve">Extension Project </w:t>
      </w:r>
      <w:r w:rsidR="00D83AAD" w:rsidRPr="00DD5837">
        <w:t>(EPBC</w:t>
      </w:r>
      <w:r w:rsidR="007B047A" w:rsidRPr="00DD5837">
        <w:t xml:space="preserve"> </w:t>
      </w:r>
      <w:r w:rsidR="00C331D7" w:rsidRPr="00DD5837">
        <w:t>2015/7508</w:t>
      </w:r>
      <w:r w:rsidR="00D83AAD" w:rsidRPr="00DD5837">
        <w:t xml:space="preserve">) </w:t>
      </w:r>
      <w:r w:rsidR="00C803D7" w:rsidRPr="00DD5837">
        <w:t>–</w:t>
      </w:r>
      <w:r w:rsidR="00030F74" w:rsidRPr="00DD5837">
        <w:t xml:space="preserve"> </w:t>
      </w:r>
      <w:r w:rsidR="00C803D7" w:rsidRPr="00DD5837">
        <w:t>Expansion</w:t>
      </w:r>
      <w:bookmarkEnd w:id="0"/>
      <w:bookmarkEnd w:id="1"/>
      <w:r w:rsidR="003E2135" w:rsidRPr="00DD5837">
        <w:t xml:space="preserve"> </w:t>
      </w:r>
    </w:p>
    <w:tbl>
      <w:tblPr>
        <w:tblW w:w="9968" w:type="dxa"/>
        <w:tblBorders>
          <w:insideH w:val="single" w:sz="4" w:space="0" w:color="auto"/>
        </w:tblBorders>
        <w:tblCellMar>
          <w:top w:w="113" w:type="dxa"/>
          <w:bottom w:w="113" w:type="dxa"/>
        </w:tblCellMar>
        <w:tblLook w:val="01E0"/>
      </w:tblPr>
      <w:tblGrid>
        <w:gridCol w:w="1809"/>
        <w:gridCol w:w="8159"/>
      </w:tblGrid>
      <w:tr w:rsidR="001765DA" w:rsidRPr="00DD5837" w:rsidTr="009110D5">
        <w:trPr>
          <w:trHeight w:val="563"/>
        </w:trPr>
        <w:tc>
          <w:tcPr>
            <w:tcW w:w="1809" w:type="dxa"/>
            <w:tcBorders>
              <w:top w:val="single" w:sz="4" w:space="0" w:color="auto"/>
              <w:bottom w:val="single" w:sz="4" w:space="0" w:color="auto"/>
            </w:tcBorders>
          </w:tcPr>
          <w:p w:rsidR="001765DA" w:rsidRPr="00DD5837" w:rsidRDefault="001765DA" w:rsidP="00277A51">
            <w:pPr>
              <w:pStyle w:val="Heading6"/>
              <w:suppressLineNumbers/>
            </w:pPr>
            <w:r w:rsidRPr="00DD5837">
              <w:t>Requesting agency</w:t>
            </w:r>
          </w:p>
        </w:tc>
        <w:tc>
          <w:tcPr>
            <w:tcW w:w="8159" w:type="dxa"/>
            <w:tcBorders>
              <w:top w:val="single" w:sz="4" w:space="0" w:color="auto"/>
              <w:bottom w:val="single" w:sz="4" w:space="0" w:color="auto"/>
            </w:tcBorders>
          </w:tcPr>
          <w:p w:rsidR="003E2BDB" w:rsidRPr="00DD5837" w:rsidRDefault="00B1520C" w:rsidP="00C331D7">
            <w:pPr>
              <w:pStyle w:val="Tabletext"/>
              <w:suppressLineNumbers/>
            </w:pPr>
            <w:r w:rsidRPr="00DD5837">
              <w:t xml:space="preserve">The </w:t>
            </w:r>
            <w:r w:rsidR="00C43084" w:rsidRPr="00DD5837">
              <w:t xml:space="preserve">Australian Government </w:t>
            </w:r>
            <w:r w:rsidR="001765DA" w:rsidRPr="00DD5837">
              <w:t>Dep</w:t>
            </w:r>
            <w:bookmarkStart w:id="2" w:name="_GoBack"/>
            <w:bookmarkEnd w:id="2"/>
            <w:r w:rsidR="001765DA" w:rsidRPr="00DD5837">
              <w:t xml:space="preserve">artment of </w:t>
            </w:r>
            <w:r w:rsidR="00616861" w:rsidRPr="00DD5837">
              <w:t>the</w:t>
            </w:r>
            <w:r w:rsidR="001765DA" w:rsidRPr="00DD5837">
              <w:t xml:space="preserve"> Environment</w:t>
            </w:r>
          </w:p>
        </w:tc>
      </w:tr>
      <w:tr w:rsidR="001765DA" w:rsidRPr="00DD5837" w:rsidTr="009110D5">
        <w:trPr>
          <w:trHeight w:val="19"/>
        </w:trPr>
        <w:tc>
          <w:tcPr>
            <w:tcW w:w="1809" w:type="dxa"/>
            <w:tcBorders>
              <w:top w:val="single" w:sz="4" w:space="0" w:color="auto"/>
              <w:bottom w:val="single" w:sz="4" w:space="0" w:color="auto"/>
            </w:tcBorders>
          </w:tcPr>
          <w:p w:rsidR="001765DA" w:rsidRPr="00DD5837" w:rsidRDefault="001765DA" w:rsidP="00277A51">
            <w:pPr>
              <w:pStyle w:val="Heading6"/>
              <w:suppressLineNumbers/>
            </w:pPr>
            <w:r w:rsidRPr="00DD5837">
              <w:t>Date of request</w:t>
            </w:r>
          </w:p>
        </w:tc>
        <w:tc>
          <w:tcPr>
            <w:tcW w:w="8159" w:type="dxa"/>
            <w:tcBorders>
              <w:top w:val="single" w:sz="4" w:space="0" w:color="auto"/>
              <w:bottom w:val="single" w:sz="4" w:space="0" w:color="auto"/>
            </w:tcBorders>
          </w:tcPr>
          <w:p w:rsidR="001765DA" w:rsidRPr="00DD5837" w:rsidRDefault="00C331D7" w:rsidP="00C331D7">
            <w:pPr>
              <w:pStyle w:val="Tabletext"/>
              <w:suppressLineNumbers/>
            </w:pPr>
            <w:r w:rsidRPr="00DD5837">
              <w:t>04 November 2015</w:t>
            </w:r>
            <w:r w:rsidR="00A10BAB" w:rsidRPr="00DD5837">
              <w:t xml:space="preserve"> </w:t>
            </w:r>
          </w:p>
        </w:tc>
      </w:tr>
      <w:tr w:rsidR="00185039" w:rsidRPr="00DD5837" w:rsidTr="009110D5">
        <w:trPr>
          <w:trHeight w:val="19"/>
        </w:trPr>
        <w:tc>
          <w:tcPr>
            <w:tcW w:w="1809" w:type="dxa"/>
            <w:tcBorders>
              <w:top w:val="single" w:sz="4" w:space="0" w:color="auto"/>
              <w:bottom w:val="single" w:sz="4" w:space="0" w:color="auto"/>
            </w:tcBorders>
          </w:tcPr>
          <w:p w:rsidR="00185039" w:rsidRPr="00DD5837" w:rsidRDefault="00185039" w:rsidP="00277A51">
            <w:pPr>
              <w:pStyle w:val="Heading6"/>
              <w:suppressLineNumbers/>
            </w:pPr>
            <w:r w:rsidRPr="00DD5837">
              <w:t>Date request accepted</w:t>
            </w:r>
          </w:p>
        </w:tc>
        <w:tc>
          <w:tcPr>
            <w:tcW w:w="8159" w:type="dxa"/>
            <w:tcBorders>
              <w:top w:val="single" w:sz="4" w:space="0" w:color="auto"/>
              <w:bottom w:val="single" w:sz="4" w:space="0" w:color="auto"/>
            </w:tcBorders>
          </w:tcPr>
          <w:p w:rsidR="00185039" w:rsidRPr="00DD5837" w:rsidRDefault="00C331D7" w:rsidP="00277A51">
            <w:pPr>
              <w:pStyle w:val="Tabletext"/>
              <w:suppressLineNumbers/>
            </w:pPr>
            <w:r w:rsidRPr="00DD5837">
              <w:t>04 November 2015</w:t>
            </w:r>
          </w:p>
        </w:tc>
      </w:tr>
      <w:tr w:rsidR="00062A46" w:rsidRPr="00DD5837" w:rsidTr="009110D5">
        <w:trPr>
          <w:trHeight w:val="19"/>
        </w:trPr>
        <w:tc>
          <w:tcPr>
            <w:tcW w:w="1809" w:type="dxa"/>
            <w:tcBorders>
              <w:top w:val="single" w:sz="4" w:space="0" w:color="auto"/>
              <w:bottom w:val="single" w:sz="4" w:space="0" w:color="auto"/>
            </w:tcBorders>
          </w:tcPr>
          <w:p w:rsidR="00062A46" w:rsidRPr="00DD5837" w:rsidRDefault="00062A46" w:rsidP="00277A51">
            <w:pPr>
              <w:pStyle w:val="Heading6"/>
              <w:suppressLineNumbers/>
            </w:pPr>
            <w:r w:rsidRPr="00DD5837">
              <w:t xml:space="preserve">Advice stage </w:t>
            </w:r>
          </w:p>
        </w:tc>
        <w:tc>
          <w:tcPr>
            <w:tcW w:w="8159" w:type="dxa"/>
            <w:tcBorders>
              <w:top w:val="single" w:sz="4" w:space="0" w:color="auto"/>
              <w:bottom w:val="single" w:sz="4" w:space="0" w:color="auto"/>
            </w:tcBorders>
          </w:tcPr>
          <w:p w:rsidR="00062A46" w:rsidRPr="00DD5837" w:rsidRDefault="00C331D7" w:rsidP="00C331D7">
            <w:pPr>
              <w:pStyle w:val="Tabletext"/>
              <w:suppressLineNumbers/>
              <w:rPr>
                <w:lang w:eastAsia="en-AU"/>
              </w:rPr>
            </w:pPr>
            <w:r w:rsidRPr="00DD5837">
              <w:rPr>
                <w:lang w:eastAsia="en-AU"/>
              </w:rPr>
              <w:t>Assessment</w:t>
            </w:r>
          </w:p>
        </w:tc>
      </w:tr>
    </w:tbl>
    <w:p w:rsidR="00A622EC" w:rsidRPr="00DD5837" w:rsidRDefault="00A622EC" w:rsidP="00D071B8">
      <w:pPr>
        <w:pStyle w:val="Heading3"/>
      </w:pPr>
      <w:r w:rsidRPr="00DD5837">
        <w:t>Context</w:t>
      </w:r>
    </w:p>
    <w:p w:rsidR="00A622EC" w:rsidRPr="00DD5837" w:rsidRDefault="00A622EC" w:rsidP="00D622B9">
      <w:r w:rsidRPr="00DD5837">
        <w:t xml:space="preserve">The Independent Expert Scientific Committee on Coal Seam Gas and Large Coal Mining Development (the IESC) was requested by the Australian Government Department of the Environment to provide advice on the </w:t>
      </w:r>
      <w:r w:rsidR="00C331D7" w:rsidRPr="00DD5837">
        <w:t>Wesfarmers</w:t>
      </w:r>
      <w:r w:rsidR="004B5A51" w:rsidRPr="00DD5837">
        <w:t xml:space="preserve">’ </w:t>
      </w:r>
      <w:r w:rsidR="00C331D7" w:rsidRPr="00DD5837">
        <w:t>Curragh Extension Project</w:t>
      </w:r>
      <w:r w:rsidR="004B5A51" w:rsidRPr="00DD5837">
        <w:t xml:space="preserve"> </w:t>
      </w:r>
      <w:r w:rsidRPr="00DD5837">
        <w:t xml:space="preserve">in </w:t>
      </w:r>
      <w:r w:rsidR="00C331D7" w:rsidRPr="00DD5837">
        <w:t>Queensland</w:t>
      </w:r>
      <w:r w:rsidRPr="00DD5837">
        <w:t>.</w:t>
      </w:r>
    </w:p>
    <w:p w:rsidR="00A622EC" w:rsidRPr="00DD5837" w:rsidRDefault="00A622EC" w:rsidP="00D622B9">
      <w:r w:rsidRPr="00DD5837">
        <w:t xml:space="preserve">This advice draws upon aspects of information in the </w:t>
      </w:r>
      <w:r w:rsidR="00C331D7" w:rsidRPr="00DD5837">
        <w:t>Preliminary</w:t>
      </w:r>
      <w:r w:rsidRPr="00DD5837">
        <w:t xml:space="preserve"> Documentation, together with the expert deliberations of the IESC. The project documentation and information accessed by the IESC are listed in the source documentation at the end of this advice.</w:t>
      </w:r>
    </w:p>
    <w:p w:rsidR="009110D5" w:rsidRPr="00DD5837" w:rsidRDefault="00A83DF5" w:rsidP="00D622B9">
      <w:r w:rsidRPr="00DD5837">
        <w:t xml:space="preserve">The </w:t>
      </w:r>
      <w:r w:rsidR="00643214" w:rsidRPr="00DD5837">
        <w:t xml:space="preserve">Curragh Extension Project is an expansion of an existing </w:t>
      </w:r>
      <w:r w:rsidR="009110D5" w:rsidRPr="00DD5837">
        <w:t xml:space="preserve">open cut coal mine, located approximately </w:t>
      </w:r>
      <w:r w:rsidR="00643214" w:rsidRPr="00DD5837">
        <w:t>6</w:t>
      </w:r>
      <w:r w:rsidR="003A3D03" w:rsidRPr="00DD5837">
        <w:t> </w:t>
      </w:r>
      <w:r w:rsidR="009110D5" w:rsidRPr="00DD5837">
        <w:t xml:space="preserve">km </w:t>
      </w:r>
      <w:r w:rsidR="00643214" w:rsidRPr="00DD5837">
        <w:t>north of Blackwater in Queensland</w:t>
      </w:r>
      <w:r w:rsidR="009110D5" w:rsidRPr="00DD5837">
        <w:t xml:space="preserve">. The proposed project will </w:t>
      </w:r>
      <w:r w:rsidR="00643214" w:rsidRPr="00DD5837">
        <w:t>extend the life of the current mine for a further 8 years at current production</w:t>
      </w:r>
      <w:r w:rsidR="00CD4588" w:rsidRPr="00DD5837">
        <w:t xml:space="preserve"> rates</w:t>
      </w:r>
      <w:r w:rsidR="00C43CAD" w:rsidRPr="00DD5837">
        <w:t xml:space="preserve"> (18</w:t>
      </w:r>
      <w:r w:rsidR="009110D5" w:rsidRPr="00DD5837">
        <w:t> million tonne</w:t>
      </w:r>
      <w:r w:rsidR="00643214" w:rsidRPr="00DD5837">
        <w:t>s per annum of run of mine coal</w:t>
      </w:r>
      <w:r w:rsidR="00C43CAD" w:rsidRPr="00DD5837">
        <w:t>)</w:t>
      </w:r>
      <w:r w:rsidR="0083722D" w:rsidRPr="00DD5837">
        <w:t xml:space="preserve"> from the Rangal Coal Measures of the Bowen Basin</w:t>
      </w:r>
      <w:r w:rsidR="009110D5" w:rsidRPr="00DD5837">
        <w:t xml:space="preserve">. Associated </w:t>
      </w:r>
      <w:r w:rsidR="0002428D" w:rsidRPr="00DD5837">
        <w:t>features</w:t>
      </w:r>
      <w:r w:rsidR="009110D5" w:rsidRPr="00DD5837">
        <w:t xml:space="preserve"> include: </w:t>
      </w:r>
      <w:r w:rsidR="0083722D" w:rsidRPr="00DD5837">
        <w:t>basic mine infrastructure areas; fuel and mine water stora</w:t>
      </w:r>
      <w:r w:rsidR="003A3D03" w:rsidRPr="00DD5837">
        <w:t>ge facilities near proposed Pit X and Pit </w:t>
      </w:r>
      <w:r w:rsidR="0083722D" w:rsidRPr="00DD5837">
        <w:t>Z; in-pit and out-of-pit spoil dumps; and residual voids</w:t>
      </w:r>
      <w:r w:rsidR="009110D5" w:rsidRPr="00DD5837">
        <w:t>.</w:t>
      </w:r>
    </w:p>
    <w:p w:rsidR="008C00AD" w:rsidRPr="00DD5837" w:rsidRDefault="008C00AD" w:rsidP="00D071B8">
      <w:pPr>
        <w:pStyle w:val="Heading4"/>
      </w:pPr>
      <w:r w:rsidRPr="00DD5837">
        <w:t>Key potential impacts</w:t>
      </w:r>
    </w:p>
    <w:p w:rsidR="00B9520A" w:rsidRPr="00DD5837" w:rsidRDefault="0076086B" w:rsidP="00B9520A">
      <w:r w:rsidRPr="00DD5837">
        <w:t>The proposed project has the</w:t>
      </w:r>
      <w:r w:rsidR="00296A93" w:rsidRPr="00DD5837">
        <w:t xml:space="preserve"> potential</w:t>
      </w:r>
      <w:r w:rsidRPr="00DD5837">
        <w:t xml:space="preserve"> to impact</w:t>
      </w:r>
      <w:r w:rsidR="00296A93" w:rsidRPr="00DD5837">
        <w:t xml:space="preserve"> </w:t>
      </w:r>
      <w:r w:rsidR="008776A9" w:rsidRPr="00DD5837">
        <w:t>groundwater-</w:t>
      </w:r>
      <w:r w:rsidR="00B9520A" w:rsidRPr="00DD5837">
        <w:t xml:space="preserve">dependent ecosystems (GDEs) </w:t>
      </w:r>
      <w:r w:rsidR="00923EC9" w:rsidRPr="00DD5837">
        <w:t>through</w:t>
      </w:r>
      <w:r w:rsidR="00B9520A" w:rsidRPr="00DD5837">
        <w:t>:</w:t>
      </w:r>
    </w:p>
    <w:p w:rsidR="00B9520A" w:rsidRPr="00DD5837" w:rsidRDefault="00923EC9" w:rsidP="00296A93">
      <w:pPr>
        <w:pStyle w:val="ListBullet"/>
      </w:pPr>
      <w:r w:rsidRPr="00DD5837">
        <w:t xml:space="preserve">the </w:t>
      </w:r>
      <w:r w:rsidR="008776A9" w:rsidRPr="00DD5837">
        <w:t>d</w:t>
      </w:r>
      <w:r w:rsidR="00B9520A" w:rsidRPr="00DD5837">
        <w:t xml:space="preserve">irect removal </w:t>
      </w:r>
      <w:r w:rsidR="0076086B" w:rsidRPr="00DD5837">
        <w:t xml:space="preserve">of </w:t>
      </w:r>
      <w:r w:rsidR="00090C8A" w:rsidRPr="00DD5837">
        <w:t>~</w:t>
      </w:r>
      <w:r w:rsidR="0002428D" w:rsidRPr="00DD5837">
        <w:t>80</w:t>
      </w:r>
      <w:r w:rsidR="0076086B" w:rsidRPr="00DD5837">
        <w:t xml:space="preserve"> ha of likely GDEs and </w:t>
      </w:r>
      <w:r w:rsidR="00090C8A" w:rsidRPr="00DD5837">
        <w:t>~</w:t>
      </w:r>
      <w:r w:rsidR="00A51143" w:rsidRPr="00DD5837">
        <w:t>8</w:t>
      </w:r>
      <w:r w:rsidR="0076086B" w:rsidRPr="00DD5837">
        <w:t xml:space="preserve"> ha of potential GDEs;</w:t>
      </w:r>
    </w:p>
    <w:p w:rsidR="00B9520A" w:rsidRPr="00DD5837" w:rsidRDefault="00923EC9" w:rsidP="00296A93">
      <w:pPr>
        <w:pStyle w:val="ListBullet"/>
      </w:pPr>
      <w:r w:rsidRPr="00DD5837">
        <w:t xml:space="preserve">the </w:t>
      </w:r>
      <w:r w:rsidR="008776A9" w:rsidRPr="00DD5837">
        <w:t>l</w:t>
      </w:r>
      <w:r w:rsidR="0076086B" w:rsidRPr="00DD5837">
        <w:t xml:space="preserve">oss of baseflow to </w:t>
      </w:r>
      <w:r w:rsidR="00B9520A" w:rsidRPr="00DD5837">
        <w:t>Blackwater Creek</w:t>
      </w:r>
      <w:r w:rsidR="0076086B" w:rsidRPr="00DD5837">
        <w:t xml:space="preserve"> and Mackenzie River (</w:t>
      </w:r>
      <w:r w:rsidRPr="00DD5837">
        <w:t>t</w:t>
      </w:r>
      <w:r w:rsidR="00CD4588" w:rsidRPr="00DD5837">
        <w:t xml:space="preserve">hese streams </w:t>
      </w:r>
      <w:r w:rsidR="0076086B" w:rsidRPr="00DD5837">
        <w:t xml:space="preserve">may also be impacted by </w:t>
      </w:r>
      <w:r w:rsidR="008776A9" w:rsidRPr="00DD5837">
        <w:t>stream</w:t>
      </w:r>
      <w:r w:rsidR="0076086B" w:rsidRPr="00DD5837">
        <w:t xml:space="preserve"> diversions, loss of catchment area and mine discharges); and</w:t>
      </w:r>
    </w:p>
    <w:p w:rsidR="00B9520A" w:rsidRPr="00DD5837" w:rsidRDefault="00923EC9" w:rsidP="00296A93">
      <w:pPr>
        <w:pStyle w:val="ListBullet"/>
      </w:pPr>
      <w:r w:rsidRPr="00DD5837">
        <w:t xml:space="preserve">the </w:t>
      </w:r>
      <w:r w:rsidR="008776A9" w:rsidRPr="00DD5837">
        <w:t>d</w:t>
      </w:r>
      <w:r w:rsidR="0076086B" w:rsidRPr="00DD5837">
        <w:t xml:space="preserve">rawdown </w:t>
      </w:r>
      <w:r w:rsidRPr="00DD5837">
        <w:t>of</w:t>
      </w:r>
      <w:r w:rsidR="0076086B" w:rsidRPr="00DD5837">
        <w:t xml:space="preserve"> groundwater</w:t>
      </w:r>
      <w:r w:rsidRPr="00DD5837">
        <w:t xml:space="preserve"> </w:t>
      </w:r>
      <w:r w:rsidR="00F8297F" w:rsidRPr="00DD5837">
        <w:t xml:space="preserve">that </w:t>
      </w:r>
      <w:r w:rsidRPr="00DD5837">
        <w:t>support</w:t>
      </w:r>
      <w:r w:rsidR="00F8297F" w:rsidRPr="00DD5837">
        <w:t>s</w:t>
      </w:r>
      <w:r w:rsidR="00B9520A" w:rsidRPr="00DD5837">
        <w:t xml:space="preserve"> vegetation </w:t>
      </w:r>
      <w:r w:rsidR="0076086B" w:rsidRPr="00DD5837">
        <w:t>communities.</w:t>
      </w:r>
    </w:p>
    <w:p w:rsidR="0076086B" w:rsidRPr="00DD5837" w:rsidRDefault="0076086B" w:rsidP="00B654FC">
      <w:r w:rsidRPr="00DD5837">
        <w:lastRenderedPageBreak/>
        <w:t xml:space="preserve">There is also the potential for impacts to water resources as a result of the </w:t>
      </w:r>
      <w:r w:rsidR="004F5A1A" w:rsidRPr="00DD5837">
        <w:t>final landform</w:t>
      </w:r>
      <w:r w:rsidR="00B654FC" w:rsidRPr="00DD5837">
        <w:t xml:space="preserve"> and cumulative impacts </w:t>
      </w:r>
      <w:r w:rsidR="0002428D" w:rsidRPr="00DD5837">
        <w:t xml:space="preserve">to GDEs and surface water resources </w:t>
      </w:r>
      <w:r w:rsidR="00B654FC" w:rsidRPr="00DD5837">
        <w:t>with the existing Curragh mine, as well as other nearby coal mines</w:t>
      </w:r>
      <w:r w:rsidRPr="00DD5837">
        <w:t>.</w:t>
      </w:r>
      <w:r w:rsidR="00B654FC" w:rsidRPr="00DD5837">
        <w:t xml:space="preserve"> </w:t>
      </w:r>
    </w:p>
    <w:p w:rsidR="004B5A51" w:rsidRPr="00DD5837" w:rsidRDefault="004B5A51" w:rsidP="00D071B8">
      <w:pPr>
        <w:pStyle w:val="Heading4"/>
      </w:pPr>
      <w:r w:rsidRPr="00DD5837">
        <w:t>Assessment against information guidelines</w:t>
      </w:r>
    </w:p>
    <w:p w:rsidR="00A622EC" w:rsidRPr="00DD5837" w:rsidRDefault="00A622EC" w:rsidP="00D622B9">
      <w:r w:rsidRPr="00DD5837">
        <w:t>The IESC, in line with its Information Guidelines</w:t>
      </w:r>
      <w:r w:rsidR="00277A51" w:rsidRPr="00DD5837">
        <w:t xml:space="preserve"> </w:t>
      </w:r>
      <w:r w:rsidR="00686AC4" w:rsidRPr="00DD5837">
        <w:fldChar w:fldCharType="begin"/>
      </w:r>
      <w:r w:rsidR="004929F5" w:rsidRPr="00DD5837">
        <w:instrText xml:space="preserve"> ADDIN EN.CITE &lt;EndNote&gt;&lt;Cite&gt;&lt;Author&gt;IESC&lt;/Author&gt;&lt;Year&gt;2015&lt;/Year&gt;&lt;RecNum&gt;1617&lt;/RecNum&gt;&lt;DisplayText&gt;(IESC, 2015)&lt;/DisplayText&gt;&lt;record&gt;&lt;rec-number&gt;1617&lt;/rec-number&gt;&lt;foreign-keys&gt;&lt;key app="EN" db-id="xz5vrd20mz9trjezvzzvf9fhsxvzatfrr59v"&gt;1617&lt;/key&gt;&lt;/foreign-keys&gt;&lt;ref-type name="Web Page"&gt;12&lt;/ref-type&gt;&lt;contributors&gt;&lt;authors&gt;&lt;author&gt;IESC&lt;/author&gt;&lt;/authors&gt;&lt;/contributors&gt;&lt;titles&gt;&lt;title&gt;Information Guidelines for the Independent Expert Scientific Committee advice on coal seam gas and large coal mining development proposals&lt;/title&gt;&lt;/titles&gt;&lt;dates&gt;&lt;year&gt;2015&lt;/year&gt;&lt;pub-dates&gt;&lt;date&gt;October 2015&lt;/date&gt;&lt;/pub-dates&gt;&lt;/dates&gt;&lt;urls&gt;&lt;related-urls&gt;&lt;url&gt;http://www.iesc.environment.gov.au/system/files/resources/012fa918-ee79-4131-9c8d-02c9b2de65cf/files/iesc-information-guidelines-oct-2015.pdf&lt;/url&gt;&lt;/related-urls&gt;&lt;/urls&gt;&lt;/record&gt;&lt;/Cite&gt;&lt;/EndNote&gt;</w:instrText>
      </w:r>
      <w:r w:rsidR="00686AC4" w:rsidRPr="00DD5837">
        <w:fldChar w:fldCharType="separate"/>
      </w:r>
      <w:r w:rsidR="004929F5" w:rsidRPr="00DD5837">
        <w:rPr>
          <w:noProof/>
        </w:rPr>
        <w:t>(</w:t>
      </w:r>
      <w:hyperlink w:anchor="_ENREF_5" w:tooltip="IESC, 2015 #1617" w:history="1">
        <w:r w:rsidR="00104D28" w:rsidRPr="00DD5837">
          <w:rPr>
            <w:noProof/>
          </w:rPr>
          <w:t>IESC, 2015</w:t>
        </w:r>
      </w:hyperlink>
      <w:r w:rsidR="004929F5" w:rsidRPr="00DD5837">
        <w:rPr>
          <w:noProof/>
        </w:rPr>
        <w:t>)</w:t>
      </w:r>
      <w:r w:rsidR="00686AC4" w:rsidRPr="00DD5837">
        <w:fldChar w:fldCharType="end"/>
      </w:r>
      <w:r w:rsidRPr="00DD5837">
        <w:t>, has considered whether the proposed project assessment has used the following:</w:t>
      </w:r>
    </w:p>
    <w:p w:rsidR="00A622EC" w:rsidRPr="00DD5837" w:rsidRDefault="00A622EC" w:rsidP="00D071B8">
      <w:pPr>
        <w:pStyle w:val="Heading5"/>
      </w:pPr>
      <w:r w:rsidRPr="00DD5837">
        <w:t>Relevant data and information: key conclusions</w:t>
      </w:r>
    </w:p>
    <w:p w:rsidR="003A3D03" w:rsidRPr="00DD5837" w:rsidRDefault="00E10807" w:rsidP="00AF3236">
      <w:pPr>
        <w:rPr>
          <w:rFonts w:eastAsia="Calibri" w:cs="Times New Roman"/>
        </w:rPr>
      </w:pPr>
      <w:r w:rsidRPr="00DD5837">
        <w:rPr>
          <w:rFonts w:eastAsia="Calibri"/>
        </w:rPr>
        <w:t xml:space="preserve">The </w:t>
      </w:r>
      <w:r w:rsidR="008B0F6B" w:rsidRPr="00DD5837">
        <w:rPr>
          <w:rFonts w:eastAsia="Calibri"/>
        </w:rPr>
        <w:t xml:space="preserve">assessment </w:t>
      </w:r>
      <w:r w:rsidRPr="00DD5837">
        <w:rPr>
          <w:rFonts w:eastAsia="Calibri"/>
        </w:rPr>
        <w:t>documentation provided does</w:t>
      </w:r>
      <w:r w:rsidR="00C43CAD" w:rsidRPr="00DD5837">
        <w:rPr>
          <w:rFonts w:eastAsia="Calibri"/>
        </w:rPr>
        <w:t xml:space="preserve"> not</w:t>
      </w:r>
      <w:r w:rsidRPr="00DD5837">
        <w:rPr>
          <w:rFonts w:eastAsia="Calibri"/>
        </w:rPr>
        <w:t xml:space="preserve"> include </w:t>
      </w:r>
      <w:r w:rsidR="00E2382F" w:rsidRPr="00DD5837">
        <w:rPr>
          <w:rFonts w:eastAsia="Calibri"/>
        </w:rPr>
        <w:t>relevant</w:t>
      </w:r>
      <w:r w:rsidR="00CE4680" w:rsidRPr="00DD5837">
        <w:rPr>
          <w:rFonts w:eastAsia="Calibri"/>
        </w:rPr>
        <w:t xml:space="preserve"> information</w:t>
      </w:r>
      <w:r w:rsidRPr="00DD5837">
        <w:rPr>
          <w:rFonts w:eastAsia="Calibri" w:cs="Times New Roman"/>
        </w:rPr>
        <w:t xml:space="preserve"> </w:t>
      </w:r>
      <w:r w:rsidR="006811DB" w:rsidRPr="00DD5837">
        <w:rPr>
          <w:rFonts w:eastAsia="Calibri" w:cs="Times New Roman"/>
        </w:rPr>
        <w:t>gathered during operation of the existing Curragh mine</w:t>
      </w:r>
      <w:r w:rsidR="006811DB" w:rsidRPr="00DD5837">
        <w:rPr>
          <w:rFonts w:eastAsia="Calibri"/>
        </w:rPr>
        <w:t xml:space="preserve"> </w:t>
      </w:r>
      <w:r w:rsidRPr="00DD5837">
        <w:rPr>
          <w:rFonts w:eastAsia="Calibri"/>
        </w:rPr>
        <w:t xml:space="preserve">such as groundwater </w:t>
      </w:r>
      <w:r w:rsidR="00CA37C1" w:rsidRPr="00DD5837">
        <w:rPr>
          <w:rFonts w:eastAsia="Calibri"/>
        </w:rPr>
        <w:t>level</w:t>
      </w:r>
      <w:r w:rsidR="00F032A8" w:rsidRPr="00DD5837">
        <w:rPr>
          <w:rFonts w:eastAsia="Calibri"/>
        </w:rPr>
        <w:t xml:space="preserve">, </w:t>
      </w:r>
      <w:r w:rsidRPr="00DD5837">
        <w:rPr>
          <w:rFonts w:eastAsia="Calibri"/>
        </w:rPr>
        <w:t>s</w:t>
      </w:r>
      <w:r w:rsidR="00CA37C1" w:rsidRPr="00DD5837">
        <w:rPr>
          <w:rFonts w:eastAsia="Calibri" w:cs="Times New Roman"/>
        </w:rPr>
        <w:t>urface water flow</w:t>
      </w:r>
      <w:r w:rsidR="00CE4680" w:rsidRPr="00DD5837">
        <w:rPr>
          <w:rFonts w:eastAsia="Calibri" w:cs="Times New Roman"/>
        </w:rPr>
        <w:t xml:space="preserve"> </w:t>
      </w:r>
      <w:r w:rsidR="00B654FC" w:rsidRPr="00DD5837">
        <w:rPr>
          <w:rFonts w:eastAsia="Calibri" w:cs="Times New Roman"/>
        </w:rPr>
        <w:t xml:space="preserve">and </w:t>
      </w:r>
      <w:r w:rsidR="00F032A8" w:rsidRPr="00DD5837">
        <w:rPr>
          <w:rFonts w:eastAsia="Calibri" w:cs="Times New Roman"/>
        </w:rPr>
        <w:t xml:space="preserve">surface water </w:t>
      </w:r>
      <w:r w:rsidR="00B654FC" w:rsidRPr="00DD5837">
        <w:rPr>
          <w:rFonts w:eastAsia="Calibri" w:cs="Times New Roman"/>
        </w:rPr>
        <w:t xml:space="preserve">quality </w:t>
      </w:r>
      <w:r w:rsidR="00CE4680" w:rsidRPr="00DD5837">
        <w:rPr>
          <w:rFonts w:eastAsia="Calibri" w:cs="Times New Roman"/>
        </w:rPr>
        <w:t>data</w:t>
      </w:r>
      <w:r w:rsidRPr="00DD5837">
        <w:rPr>
          <w:rFonts w:eastAsia="Calibri" w:cs="Times New Roman"/>
        </w:rPr>
        <w:t xml:space="preserve">. </w:t>
      </w:r>
      <w:r w:rsidR="00E70F73" w:rsidRPr="00DD5837">
        <w:rPr>
          <w:rFonts w:eastAsia="Calibri" w:cs="Times New Roman"/>
        </w:rPr>
        <w:t xml:space="preserve">Potential </w:t>
      </w:r>
      <w:r w:rsidR="00E70F73" w:rsidRPr="00DD5837">
        <w:rPr>
          <w:rFonts w:eastAsia="Calibri"/>
        </w:rPr>
        <w:t>i</w:t>
      </w:r>
      <w:r w:rsidRPr="00DD5837">
        <w:rPr>
          <w:rFonts w:eastAsia="Calibri"/>
        </w:rPr>
        <w:t xml:space="preserve">mpacts to water resources and water-dependent assets from the existing Curragh mine have not been clearly stated nor supported by monitoring data. </w:t>
      </w:r>
      <w:r w:rsidR="00A905DF" w:rsidRPr="00DD5837">
        <w:rPr>
          <w:rFonts w:eastAsia="Calibri"/>
        </w:rPr>
        <w:t xml:space="preserve">Despite the </w:t>
      </w:r>
      <w:r w:rsidR="008776A9" w:rsidRPr="00DD5837">
        <w:rPr>
          <w:rFonts w:eastAsia="Calibri"/>
        </w:rPr>
        <w:t>proposed expansion around</w:t>
      </w:r>
      <w:r w:rsidR="00A905DF" w:rsidRPr="00DD5837">
        <w:rPr>
          <w:rFonts w:eastAsia="Calibri"/>
        </w:rPr>
        <w:t xml:space="preserve"> the existing Curragh mine</w:t>
      </w:r>
      <w:r w:rsidR="00AF3236" w:rsidRPr="00DD5837">
        <w:rPr>
          <w:rFonts w:eastAsia="Calibri"/>
        </w:rPr>
        <w:t>, n</w:t>
      </w:r>
      <w:r w:rsidR="003A3D03" w:rsidRPr="00DD5837">
        <w:rPr>
          <w:rFonts w:eastAsia="Calibri"/>
        </w:rPr>
        <w:t xml:space="preserve">o groundwater data exists within </w:t>
      </w:r>
      <w:r w:rsidR="00AF3236" w:rsidRPr="00DD5837">
        <w:rPr>
          <w:rFonts w:eastAsia="Calibri"/>
        </w:rPr>
        <w:t>the currently undisturbed</w:t>
      </w:r>
      <w:r w:rsidR="003A3D03" w:rsidRPr="00DD5837">
        <w:rPr>
          <w:rFonts w:eastAsia="Calibri"/>
        </w:rPr>
        <w:t xml:space="preserve"> extension areas.</w:t>
      </w:r>
      <w:r w:rsidR="00AF3236" w:rsidRPr="00DD5837">
        <w:rPr>
          <w:rFonts w:eastAsia="Calibri"/>
        </w:rPr>
        <w:t xml:space="preserve"> </w:t>
      </w:r>
    </w:p>
    <w:p w:rsidR="00A622EC" w:rsidRPr="00DD5837" w:rsidRDefault="00A622EC" w:rsidP="00D071B8">
      <w:pPr>
        <w:pStyle w:val="Heading5"/>
      </w:pPr>
      <w:r w:rsidRPr="00DD5837">
        <w:t>Application of appropriate methods</w:t>
      </w:r>
      <w:r w:rsidR="00D73238" w:rsidRPr="00DD5837">
        <w:t xml:space="preserve"> and interpretation of model outputs</w:t>
      </w:r>
      <w:r w:rsidRPr="00DD5837">
        <w:t>: key conclusions</w:t>
      </w:r>
    </w:p>
    <w:p w:rsidR="00073622" w:rsidRPr="00DD5837" w:rsidRDefault="00073622" w:rsidP="00073622">
      <w:pPr>
        <w:rPr>
          <w:rFonts w:eastAsia="Calibri"/>
        </w:rPr>
      </w:pPr>
      <w:r w:rsidRPr="00DD5837">
        <w:rPr>
          <w:rFonts w:eastAsia="Calibri"/>
        </w:rPr>
        <w:t xml:space="preserve">The impacts </w:t>
      </w:r>
      <w:r w:rsidR="00FF0B5C" w:rsidRPr="00DD5837">
        <w:rPr>
          <w:rFonts w:eastAsia="Calibri"/>
        </w:rPr>
        <w:t>to water resources from</w:t>
      </w:r>
      <w:r w:rsidRPr="00DD5837">
        <w:rPr>
          <w:rFonts w:eastAsia="Calibri"/>
        </w:rPr>
        <w:t xml:space="preserve"> three of the four proposed pits and </w:t>
      </w:r>
      <w:r w:rsidR="003E5C7F" w:rsidRPr="00DD5837">
        <w:rPr>
          <w:rFonts w:eastAsia="Calibri"/>
        </w:rPr>
        <w:t xml:space="preserve">their </w:t>
      </w:r>
      <w:r w:rsidRPr="00DD5837">
        <w:rPr>
          <w:rFonts w:eastAsia="Calibri"/>
        </w:rPr>
        <w:t xml:space="preserve">potential cumulative impacts have not been assessed. There is inadequate data for calibration of the </w:t>
      </w:r>
      <w:r w:rsidR="00FF0B5C" w:rsidRPr="00DD5837">
        <w:rPr>
          <w:rFonts w:eastAsia="Calibri"/>
        </w:rPr>
        <w:t>numerical groundwater model, which represents only one of the four proposed pits (Pit X)</w:t>
      </w:r>
      <w:r w:rsidRPr="00DD5837">
        <w:rPr>
          <w:rFonts w:eastAsia="Calibri"/>
        </w:rPr>
        <w:t xml:space="preserve"> and some hydraulic parameters have been derived from literature. </w:t>
      </w:r>
      <w:r w:rsidR="001A1E9F" w:rsidRPr="00DD5837">
        <w:rPr>
          <w:rFonts w:eastAsia="Calibri"/>
        </w:rPr>
        <w:t>S</w:t>
      </w:r>
      <w:r w:rsidRPr="00DD5837">
        <w:rPr>
          <w:rFonts w:eastAsia="Calibri"/>
        </w:rPr>
        <w:t>ensitivity and uncertainty analysis have not been undertaken.</w:t>
      </w:r>
    </w:p>
    <w:p w:rsidR="00FF0B5C" w:rsidRPr="00DD5837" w:rsidRDefault="0008141E" w:rsidP="0084257F">
      <w:pPr>
        <w:rPr>
          <w:rFonts w:eastAsia="Calibri"/>
        </w:rPr>
      </w:pPr>
      <w:r w:rsidRPr="00DD5837">
        <w:rPr>
          <w:rFonts w:eastAsia="Calibri"/>
        </w:rPr>
        <w:t>GDE i</w:t>
      </w:r>
      <w:r w:rsidR="0084257F" w:rsidRPr="00DD5837">
        <w:rPr>
          <w:rFonts w:eastAsia="Calibri"/>
        </w:rPr>
        <w:t>dentification and aquatic surveys were in accordance with relevant survey guidelines. However, stygofaunal sampling was not undertaken</w:t>
      </w:r>
      <w:r w:rsidR="007F0148" w:rsidRPr="00DD5837">
        <w:rPr>
          <w:rFonts w:eastAsia="Calibri"/>
        </w:rPr>
        <w:t xml:space="preserve"> and water requirements of</w:t>
      </w:r>
      <w:r w:rsidR="00CE4680" w:rsidRPr="00DD5837">
        <w:rPr>
          <w:rFonts w:eastAsia="Calibri"/>
        </w:rPr>
        <w:t xml:space="preserve"> identified</w:t>
      </w:r>
      <w:r w:rsidR="007F0148" w:rsidRPr="00DD5837">
        <w:rPr>
          <w:rFonts w:eastAsia="Calibri"/>
        </w:rPr>
        <w:t xml:space="preserve"> GDEs have not been </w:t>
      </w:r>
      <w:r w:rsidR="008776A9" w:rsidRPr="00DD5837">
        <w:rPr>
          <w:rFonts w:eastAsia="Calibri"/>
        </w:rPr>
        <w:t>described</w:t>
      </w:r>
      <w:r w:rsidR="0084257F" w:rsidRPr="00DD5837">
        <w:rPr>
          <w:rFonts w:eastAsia="Calibri"/>
        </w:rPr>
        <w:t xml:space="preserve">. </w:t>
      </w:r>
    </w:p>
    <w:p w:rsidR="0084257F" w:rsidRPr="00DD5837" w:rsidRDefault="0084257F" w:rsidP="0084257F">
      <w:pPr>
        <w:rPr>
          <w:rFonts w:eastAsia="Calibri" w:cs="Times New Roman"/>
        </w:rPr>
      </w:pPr>
      <w:r w:rsidRPr="00DD5837">
        <w:rPr>
          <w:rFonts w:eastAsia="Calibri" w:cs="Times New Roman"/>
        </w:rPr>
        <w:t xml:space="preserve">A site water balance has not been presented and therefore any impacts to water resources, such as those as a result of changes to the frequency of discharges, have not been </w:t>
      </w:r>
      <w:r w:rsidR="00CE4680" w:rsidRPr="00DD5837">
        <w:rPr>
          <w:rFonts w:eastAsia="Calibri" w:cs="Times New Roman"/>
        </w:rPr>
        <w:t>assessed</w:t>
      </w:r>
      <w:r w:rsidRPr="00DD5837">
        <w:rPr>
          <w:rFonts w:eastAsia="Calibri" w:cs="Times New Roman"/>
        </w:rPr>
        <w:t>.</w:t>
      </w:r>
    </w:p>
    <w:p w:rsidR="007203C3" w:rsidRPr="00DD5837" w:rsidRDefault="007203C3" w:rsidP="00D071B8">
      <w:pPr>
        <w:pStyle w:val="Heading3"/>
      </w:pPr>
      <w:r w:rsidRPr="00DD5837">
        <w:t>Advice</w:t>
      </w:r>
    </w:p>
    <w:p w:rsidR="007203C3" w:rsidRPr="00DD5837" w:rsidRDefault="007203C3" w:rsidP="007203C3">
      <w:pPr>
        <w:pStyle w:val="Default"/>
        <w:spacing w:after="200" w:line="276" w:lineRule="auto"/>
        <w:rPr>
          <w:rFonts w:ascii="Arial" w:eastAsia="Times New Roman" w:hAnsi="Arial" w:cs="Arial"/>
          <w:color w:val="auto"/>
          <w:sz w:val="20"/>
          <w:szCs w:val="20"/>
          <w:lang w:eastAsia="en-US"/>
        </w:rPr>
      </w:pPr>
      <w:r w:rsidRPr="00DD5837">
        <w:rPr>
          <w:rFonts w:ascii="Arial" w:eastAsia="Times New Roman" w:hAnsi="Arial" w:cs="Arial"/>
          <w:color w:val="auto"/>
          <w:sz w:val="20"/>
          <w:szCs w:val="20"/>
          <w:lang w:eastAsia="en-US"/>
        </w:rPr>
        <w:t xml:space="preserve">The </w:t>
      </w:r>
      <w:r w:rsidR="00CF562A" w:rsidRPr="00DD5837">
        <w:rPr>
          <w:rFonts w:ascii="Arial" w:eastAsia="Times New Roman" w:hAnsi="Arial" w:cs="Arial"/>
          <w:color w:val="auto"/>
          <w:sz w:val="20"/>
          <w:szCs w:val="20"/>
          <w:lang w:eastAsia="en-US"/>
        </w:rPr>
        <w:t>IESC</w:t>
      </w:r>
      <w:r w:rsidRPr="00DD5837">
        <w:rPr>
          <w:rFonts w:ascii="Arial" w:eastAsia="Times New Roman" w:hAnsi="Arial" w:cs="Arial"/>
          <w:color w:val="auto"/>
          <w:sz w:val="20"/>
          <w:szCs w:val="20"/>
          <w:lang w:eastAsia="en-US"/>
        </w:rPr>
        <w:t xml:space="preserve">’s advice, in response to the </w:t>
      </w:r>
      <w:r w:rsidR="00E57CD8" w:rsidRPr="00DD5837">
        <w:rPr>
          <w:rFonts w:ascii="Arial" w:eastAsia="Times New Roman" w:hAnsi="Arial" w:cs="Arial"/>
          <w:color w:val="auto"/>
          <w:sz w:val="20"/>
          <w:szCs w:val="20"/>
          <w:lang w:eastAsia="en-US"/>
        </w:rPr>
        <w:t>requesting agency</w:t>
      </w:r>
      <w:r w:rsidRPr="00DD5837">
        <w:rPr>
          <w:rFonts w:ascii="Arial" w:eastAsia="Times New Roman" w:hAnsi="Arial" w:cs="Arial"/>
          <w:color w:val="auto"/>
          <w:sz w:val="20"/>
          <w:szCs w:val="20"/>
          <w:lang w:eastAsia="en-US"/>
        </w:rPr>
        <w:t>’s</w:t>
      </w:r>
      <w:r w:rsidR="00D441B2" w:rsidRPr="00DD5837">
        <w:rPr>
          <w:rFonts w:ascii="Arial" w:eastAsia="Times New Roman" w:hAnsi="Arial" w:cs="Arial"/>
          <w:color w:val="auto"/>
          <w:sz w:val="20"/>
          <w:szCs w:val="20"/>
          <w:lang w:eastAsia="en-US"/>
        </w:rPr>
        <w:t xml:space="preserve"> </w:t>
      </w:r>
      <w:r w:rsidRPr="00DD5837">
        <w:rPr>
          <w:rFonts w:ascii="Arial" w:eastAsia="Times New Roman" w:hAnsi="Arial" w:cs="Arial"/>
          <w:color w:val="auto"/>
          <w:sz w:val="20"/>
          <w:szCs w:val="20"/>
          <w:lang w:eastAsia="en-US"/>
        </w:rPr>
        <w:t xml:space="preserve">specific questions is provided below. </w:t>
      </w:r>
    </w:p>
    <w:p w:rsidR="007203C3" w:rsidRPr="00DD5837" w:rsidRDefault="007203C3" w:rsidP="00D071B8">
      <w:pPr>
        <w:pStyle w:val="Question"/>
        <w:tabs>
          <w:tab w:val="left" w:pos="1860"/>
        </w:tabs>
        <w:rPr>
          <w:lang w:eastAsia="en-AU"/>
        </w:rPr>
      </w:pPr>
      <w:r w:rsidRPr="00DD5837">
        <w:t xml:space="preserve">Question 1: </w:t>
      </w:r>
      <w:r w:rsidR="00D071B8" w:rsidRPr="00DD5837">
        <w:t>Does the Committee consider that the proponent has presented appropriate information to identify key uncertainties and risks of the project in relation to water resources and water-dependent assets?</w:t>
      </w:r>
    </w:p>
    <w:p w:rsidR="007203C3" w:rsidRPr="00DD5837" w:rsidRDefault="00CF5929" w:rsidP="00D071B8">
      <w:pPr>
        <w:pStyle w:val="Heading4"/>
      </w:pPr>
      <w:r w:rsidRPr="00DD5837">
        <w:t>Response</w:t>
      </w:r>
    </w:p>
    <w:p w:rsidR="00CF13B2" w:rsidRPr="00DD5837" w:rsidRDefault="00D071B8" w:rsidP="00CF13B2">
      <w:pPr>
        <w:pStyle w:val="ListNumber"/>
      </w:pPr>
      <w:r w:rsidRPr="00DD5837">
        <w:t xml:space="preserve">No. </w:t>
      </w:r>
      <w:r w:rsidR="00062E8C" w:rsidRPr="00DD5837">
        <w:t>Impacts to water resources are uncertain at this stage</w:t>
      </w:r>
      <w:r w:rsidR="00B654FC" w:rsidRPr="00DD5837">
        <w:t xml:space="preserve"> as </w:t>
      </w:r>
      <w:r w:rsidR="003E5C7F" w:rsidRPr="00DD5837">
        <w:t>relevant</w:t>
      </w:r>
      <w:r w:rsidR="00B654FC" w:rsidRPr="00DD5837">
        <w:t xml:space="preserve"> information, such as groundwater level and surface water flow and quality data </w:t>
      </w:r>
      <w:r w:rsidR="0002428D" w:rsidRPr="00DD5837">
        <w:rPr>
          <w:rFonts w:eastAsia="Calibri" w:cs="Times New Roman"/>
        </w:rPr>
        <w:t>gathered during operation of the existing Curragh mine</w:t>
      </w:r>
      <w:r w:rsidR="007C0E95" w:rsidRPr="00DD5837">
        <w:t>, has not been presented</w:t>
      </w:r>
      <w:r w:rsidR="00062E8C" w:rsidRPr="00DD5837">
        <w:t xml:space="preserve">. </w:t>
      </w:r>
      <w:r w:rsidR="009373C5" w:rsidRPr="00DD5837">
        <w:t xml:space="preserve">A stand-alone quantitative risk assessment should be provided to identify key risks to </w:t>
      </w:r>
      <w:r w:rsidR="00940B06" w:rsidRPr="00DD5837">
        <w:t xml:space="preserve">the quality and quantity of </w:t>
      </w:r>
      <w:r w:rsidR="009373C5" w:rsidRPr="00DD5837">
        <w:t xml:space="preserve">water resources and water-dependent assets. </w:t>
      </w:r>
    </w:p>
    <w:p w:rsidR="00CF5929" w:rsidRPr="00DD5837" w:rsidRDefault="00CF5929" w:rsidP="00D071B8">
      <w:pPr>
        <w:pStyle w:val="Heading4"/>
      </w:pPr>
      <w:r w:rsidRPr="00DD5837">
        <w:lastRenderedPageBreak/>
        <w:t>Explanation</w:t>
      </w:r>
    </w:p>
    <w:p w:rsidR="007203C3" w:rsidRPr="00DD5837" w:rsidRDefault="00DC509A" w:rsidP="00D670ED">
      <w:pPr>
        <w:pStyle w:val="Heading5"/>
      </w:pPr>
      <w:r w:rsidRPr="00DD5837">
        <w:t>Risk assessment</w:t>
      </w:r>
    </w:p>
    <w:p w:rsidR="004F0913" w:rsidRPr="00DD5837" w:rsidRDefault="008A5EED" w:rsidP="00A77A38">
      <w:pPr>
        <w:pStyle w:val="ListNumber"/>
      </w:pPr>
      <w:bookmarkStart w:id="3" w:name="_Ref437414788"/>
      <w:r w:rsidRPr="00DD5837">
        <w:t>Hydrogeological c</w:t>
      </w:r>
      <w:r w:rsidR="00A77A38" w:rsidRPr="00DD5837">
        <w:t>onceptual models, including a series of cross-sections, have been developed for the four proposed pits based on d</w:t>
      </w:r>
      <w:r w:rsidR="004F0913" w:rsidRPr="00DD5837">
        <w:t xml:space="preserve">rill hole data across </w:t>
      </w:r>
      <w:r w:rsidR="00A77A38" w:rsidRPr="00DD5837">
        <w:t>the existing and proposed sites. Based on these conceptualisations and</w:t>
      </w:r>
      <w:r w:rsidR="009373C5" w:rsidRPr="00DD5837">
        <w:t xml:space="preserve"> a p</w:t>
      </w:r>
      <w:r w:rsidR="004F0913" w:rsidRPr="00DD5837">
        <w:t>reliminary risk assessment</w:t>
      </w:r>
      <w:r w:rsidR="00A77A38" w:rsidRPr="00DD5837">
        <w:t xml:space="preserve">, the proponent </w:t>
      </w:r>
      <w:r w:rsidR="004F0913" w:rsidRPr="00DD5837">
        <w:t xml:space="preserve">determined that </w:t>
      </w:r>
      <w:r w:rsidR="00CE4680" w:rsidRPr="00DD5837">
        <w:t xml:space="preserve">the </w:t>
      </w:r>
      <w:r w:rsidR="004F0913" w:rsidRPr="00DD5837">
        <w:t xml:space="preserve">key risk </w:t>
      </w:r>
      <w:r w:rsidR="0027671D" w:rsidRPr="00DD5837">
        <w:t xml:space="preserve">to water resources </w:t>
      </w:r>
      <w:r w:rsidR="004F0913" w:rsidRPr="00DD5837">
        <w:t xml:space="preserve">was </w:t>
      </w:r>
      <w:r w:rsidR="0027671D" w:rsidRPr="00DD5837">
        <w:t>posed by mining at</w:t>
      </w:r>
      <w:r w:rsidR="004F0913" w:rsidRPr="00DD5837">
        <w:t xml:space="preserve"> Pit X.</w:t>
      </w:r>
      <w:r w:rsidR="00B91B55" w:rsidRPr="00DD5837">
        <w:t xml:space="preserve"> T</w:t>
      </w:r>
      <w:r w:rsidR="003E5C7F" w:rsidRPr="00DD5837">
        <w:t>he IESC is unable to provide advice on t</w:t>
      </w:r>
      <w:r w:rsidR="00B91B55" w:rsidRPr="00DD5837">
        <w:t xml:space="preserve">his risk assessment </w:t>
      </w:r>
      <w:r w:rsidR="003E5C7F" w:rsidRPr="00DD5837">
        <w:t>as it has</w:t>
      </w:r>
      <w:r w:rsidR="00B91B55" w:rsidRPr="00DD5837">
        <w:t xml:space="preserve"> not been provided </w:t>
      </w:r>
      <w:r w:rsidR="00CE4680" w:rsidRPr="00DD5837">
        <w:t>in its original form</w:t>
      </w:r>
      <w:r w:rsidR="00B91B55" w:rsidRPr="00DD5837">
        <w:t>.</w:t>
      </w:r>
      <w:r w:rsidR="00DD5F30" w:rsidRPr="00DD5837">
        <w:t xml:space="preserve"> The proponent has presented insufficient evidence in the project assessment documentation to support the conclusions drawn from this risk assessment.</w:t>
      </w:r>
      <w:bookmarkEnd w:id="3"/>
    </w:p>
    <w:p w:rsidR="002707F3" w:rsidRPr="00DD5837" w:rsidRDefault="002707F3" w:rsidP="002707F3">
      <w:pPr>
        <w:pStyle w:val="ListNumber"/>
      </w:pPr>
      <w:r w:rsidRPr="00DD5837">
        <w:t xml:space="preserve">The project assessment documentation should include a </w:t>
      </w:r>
      <w:r w:rsidR="00785333" w:rsidRPr="00DD5837">
        <w:t>quantitative</w:t>
      </w:r>
      <w:r w:rsidRPr="00DD5837">
        <w:t xml:space="preserve"> assessment </w:t>
      </w:r>
      <w:r w:rsidR="009B5855" w:rsidRPr="00DD5837">
        <w:t xml:space="preserve">of </w:t>
      </w:r>
      <w:r w:rsidRPr="00DD5837">
        <w:t xml:space="preserve">the likelihood and consequence of </w:t>
      </w:r>
      <w:r w:rsidR="009B5855" w:rsidRPr="00DD5837">
        <w:t>potential</w:t>
      </w:r>
      <w:r w:rsidRPr="00DD5837">
        <w:t xml:space="preserve"> impacts </w:t>
      </w:r>
      <w:r w:rsidR="009B5855" w:rsidRPr="00DD5837">
        <w:t xml:space="preserve">to water resources and water-dependent assets </w:t>
      </w:r>
      <w:r w:rsidRPr="00DD5837">
        <w:t>and justify the residual</w:t>
      </w:r>
      <w:r w:rsidR="009B5855" w:rsidRPr="00DD5837">
        <w:t xml:space="preserve"> </w:t>
      </w:r>
      <w:r w:rsidRPr="00DD5837">
        <w:t>risk following application of proposed mitigation measures.</w:t>
      </w:r>
    </w:p>
    <w:p w:rsidR="007203C3" w:rsidRPr="00DD5837" w:rsidRDefault="007203C3" w:rsidP="00D622B9">
      <w:pPr>
        <w:pStyle w:val="Question"/>
      </w:pPr>
      <w:r w:rsidRPr="00DD5837">
        <w:t>Question 2:</w:t>
      </w:r>
      <w:r w:rsidR="00D071B8" w:rsidRPr="00DD5837">
        <w:t xml:space="preserve"> What does the Committee consider are the key uncertainties and risks of the project in relation to water resources and water-dependent assets?</w:t>
      </w:r>
    </w:p>
    <w:p w:rsidR="00CF5929" w:rsidRPr="00DD5837" w:rsidRDefault="00CF5929" w:rsidP="00D071B8">
      <w:pPr>
        <w:pStyle w:val="Heading4"/>
      </w:pPr>
      <w:r w:rsidRPr="00DD5837">
        <w:t>Response</w:t>
      </w:r>
    </w:p>
    <w:p w:rsidR="00F97134" w:rsidRPr="00DD5837" w:rsidRDefault="00994122" w:rsidP="00160082">
      <w:pPr>
        <w:pStyle w:val="ListNumber"/>
      </w:pPr>
      <w:r w:rsidRPr="00DD5837">
        <w:t xml:space="preserve">The key uncertainty is the prediction of impacts to water resources </w:t>
      </w:r>
      <w:r w:rsidR="00376580" w:rsidRPr="00DD5837">
        <w:t xml:space="preserve">and water-dependent assets </w:t>
      </w:r>
      <w:r w:rsidRPr="00DD5837">
        <w:t>given the limited confidence in numerical groundwater modelling. T</w:t>
      </w:r>
      <w:r w:rsidR="00E5287D" w:rsidRPr="00DD5837">
        <w:t xml:space="preserve">he key </w:t>
      </w:r>
      <w:r w:rsidR="005A2D73" w:rsidRPr="00DD5837">
        <w:t xml:space="preserve">risks of the proposed project </w:t>
      </w:r>
      <w:r w:rsidR="00CE4680" w:rsidRPr="00DD5837">
        <w:t>are</w:t>
      </w:r>
      <w:r w:rsidR="00F97134" w:rsidRPr="00DD5837">
        <w:t>:</w:t>
      </w:r>
    </w:p>
    <w:p w:rsidR="00073622" w:rsidRPr="00DD5837" w:rsidRDefault="003E5C7F" w:rsidP="005A2D73">
      <w:pPr>
        <w:pStyle w:val="ListNumber2"/>
      </w:pPr>
      <w:r w:rsidRPr="00DD5837">
        <w:t>impacts</w:t>
      </w:r>
      <w:r w:rsidR="00160082" w:rsidRPr="00DD5837">
        <w:t xml:space="preserve"> to</w:t>
      </w:r>
      <w:r w:rsidR="009B5855" w:rsidRPr="00DD5837">
        <w:t xml:space="preserve"> GDEs, particularly</w:t>
      </w:r>
      <w:r w:rsidR="00160082" w:rsidRPr="00DD5837">
        <w:t xml:space="preserve"> </w:t>
      </w:r>
      <w:r w:rsidR="005A2D73" w:rsidRPr="00DD5837">
        <w:t xml:space="preserve">to </w:t>
      </w:r>
      <w:r w:rsidR="00E5287D" w:rsidRPr="00DD5837">
        <w:t xml:space="preserve">the Mackenzie River, with </w:t>
      </w:r>
      <w:r w:rsidR="008B0F6B" w:rsidRPr="00DD5837">
        <w:t xml:space="preserve">subsequent </w:t>
      </w:r>
      <w:r w:rsidR="009B5855" w:rsidRPr="00DD5837">
        <w:t xml:space="preserve">cumulative </w:t>
      </w:r>
      <w:r w:rsidR="008B0F6B" w:rsidRPr="00DD5837">
        <w:t xml:space="preserve">impacts </w:t>
      </w:r>
      <w:r w:rsidR="00160082" w:rsidRPr="00DD5837">
        <w:t xml:space="preserve">on </w:t>
      </w:r>
      <w:r w:rsidR="008B0F6B" w:rsidRPr="00DD5837">
        <w:t xml:space="preserve">water supply reliability and </w:t>
      </w:r>
      <w:r w:rsidR="00160082" w:rsidRPr="00DD5837">
        <w:t>instream ecosystems (</w:t>
      </w:r>
      <w:r w:rsidR="008B0F6B" w:rsidRPr="00DD5837">
        <w:t xml:space="preserve">which are </w:t>
      </w:r>
      <w:r w:rsidR="00160082" w:rsidRPr="00DD5837">
        <w:t xml:space="preserve">known </w:t>
      </w:r>
      <w:r w:rsidR="008B0F6B" w:rsidRPr="00DD5837">
        <w:t xml:space="preserve">to provide habitat for </w:t>
      </w:r>
      <w:r w:rsidR="00652254" w:rsidRPr="00DD5837">
        <w:t>the</w:t>
      </w:r>
      <w:r w:rsidR="00666CFF" w:rsidRPr="00DD5837">
        <w:t xml:space="preserve"> Fitzroy River Turtle </w:t>
      </w:r>
      <w:r w:rsidR="00652254" w:rsidRPr="00DD5837">
        <w:t>(</w:t>
      </w:r>
      <w:r w:rsidR="00EC3F66" w:rsidRPr="00DD5837">
        <w:t xml:space="preserve">listed as </w:t>
      </w:r>
      <w:r w:rsidR="00652254" w:rsidRPr="00DD5837">
        <w:t>vulnerable under the</w:t>
      </w:r>
      <w:r w:rsidR="00652254" w:rsidRPr="00DD5837">
        <w:rPr>
          <w:i/>
        </w:rPr>
        <w:t xml:space="preserve"> </w:t>
      </w:r>
      <w:r w:rsidR="00994122" w:rsidRPr="00DD5837">
        <w:rPr>
          <w:i/>
        </w:rPr>
        <w:t>Environment Protection and Biodiversity Conservation</w:t>
      </w:r>
      <w:r w:rsidR="00652254" w:rsidRPr="00DD5837">
        <w:rPr>
          <w:i/>
        </w:rPr>
        <w:t xml:space="preserve"> Act</w:t>
      </w:r>
      <w:r w:rsidR="00994122" w:rsidRPr="00DD5837">
        <w:rPr>
          <w:i/>
        </w:rPr>
        <w:t xml:space="preserve"> 1999</w:t>
      </w:r>
      <w:r w:rsidR="00994122" w:rsidRPr="00DD5837">
        <w:t xml:space="preserve"> (EPBC Act</w:t>
      </w:r>
      <w:r w:rsidR="00652254" w:rsidRPr="00DD5837">
        <w:t xml:space="preserve">) </w:t>
      </w:r>
      <w:r w:rsidR="00666CFF" w:rsidRPr="00DD5837">
        <w:t>and the White-</w:t>
      </w:r>
      <w:r w:rsidR="00652254" w:rsidRPr="00DD5837">
        <w:t>t</w:t>
      </w:r>
      <w:r w:rsidR="00666CFF" w:rsidRPr="00DD5837">
        <w:t>hroated Snapping Turtle</w:t>
      </w:r>
      <w:r w:rsidR="00652254" w:rsidRPr="00DD5837">
        <w:t xml:space="preserve"> (critically endangered under the EPBC Act)</w:t>
      </w:r>
      <w:r w:rsidR="005A2D73" w:rsidRPr="00DD5837">
        <w:t xml:space="preserve">); </w:t>
      </w:r>
    </w:p>
    <w:p w:rsidR="005A2D73" w:rsidRPr="00DD5837" w:rsidRDefault="003E5C7F" w:rsidP="005A2D73">
      <w:pPr>
        <w:pStyle w:val="ListNumber2"/>
      </w:pPr>
      <w:r w:rsidRPr="00DD5837">
        <w:t>impacts</w:t>
      </w:r>
      <w:r w:rsidR="00073622" w:rsidRPr="00DD5837">
        <w:t xml:space="preserve"> to water resources as a result of cumulative impacts with the existing Curragh mine and other nearby mining operations (refer </w:t>
      </w:r>
      <w:r w:rsidRPr="00DD5837">
        <w:t xml:space="preserve">to </w:t>
      </w:r>
      <w:r w:rsidR="00376580" w:rsidRPr="00DD5837">
        <w:t>Paragraph</w:t>
      </w:r>
      <w:r w:rsidR="00073622" w:rsidRPr="00DD5837">
        <w:t xml:space="preserve"> </w:t>
      </w:r>
      <w:fldSimple w:instr=" REF _Ref437362274 \r \h  \* MERGEFORMAT ">
        <w:r w:rsidR="00337BDF" w:rsidRPr="00DD5837">
          <w:t>19</w:t>
        </w:r>
      </w:fldSimple>
      <w:r w:rsidR="00073622" w:rsidRPr="00DD5837">
        <w:t xml:space="preserve">); </w:t>
      </w:r>
      <w:r w:rsidR="005A2D73" w:rsidRPr="00DD5837">
        <w:t>and</w:t>
      </w:r>
    </w:p>
    <w:p w:rsidR="009A0708" w:rsidRPr="00DD5837" w:rsidRDefault="003E5C7F" w:rsidP="009A0708">
      <w:pPr>
        <w:pStyle w:val="ListNumber2"/>
      </w:pPr>
      <w:proofErr w:type="gramStart"/>
      <w:r w:rsidRPr="00DD5837">
        <w:t>impacts</w:t>
      </w:r>
      <w:proofErr w:type="gramEnd"/>
      <w:r w:rsidR="005A2D73" w:rsidRPr="00DD5837">
        <w:t xml:space="preserve"> to water resources</w:t>
      </w:r>
      <w:r w:rsidR="006104E1" w:rsidRPr="00DD5837">
        <w:t xml:space="preserve"> </w:t>
      </w:r>
      <w:r w:rsidR="006811DB" w:rsidRPr="00DD5837">
        <w:t>from</w:t>
      </w:r>
      <w:r w:rsidR="006104E1" w:rsidRPr="00DD5837">
        <w:t xml:space="preserve"> the final landform</w:t>
      </w:r>
      <w:r w:rsidRPr="00DD5837">
        <w:t xml:space="preserve"> (refer to Paragraphs </w:t>
      </w:r>
      <w:fldSimple w:instr=" REF _Ref437442592 \r \h  \* MERGEFORMAT ">
        <w:r w:rsidR="00337BDF" w:rsidRPr="00DD5837">
          <w:t>11</w:t>
        </w:r>
      </w:fldSimple>
      <w:r w:rsidRPr="00DD5837">
        <w:t xml:space="preserve"> and </w:t>
      </w:r>
      <w:fldSimple w:instr=" REF _Ref437442598 \r \h  \* MERGEFORMAT ">
        <w:r w:rsidR="00337BDF" w:rsidRPr="00DD5837">
          <w:t>12</w:t>
        </w:r>
      </w:fldSimple>
      <w:r w:rsidRPr="00DD5837">
        <w:t>)</w:t>
      </w:r>
      <w:r w:rsidR="006104E1" w:rsidRPr="00DD5837">
        <w:t>.</w:t>
      </w:r>
    </w:p>
    <w:p w:rsidR="00CF5929" w:rsidRPr="00DD5837" w:rsidRDefault="00CF5929" w:rsidP="00D071B8">
      <w:pPr>
        <w:pStyle w:val="Heading4"/>
      </w:pPr>
      <w:r w:rsidRPr="00DD5837">
        <w:t>Explanation</w:t>
      </w:r>
    </w:p>
    <w:p w:rsidR="00F97134" w:rsidRPr="00DD5837" w:rsidRDefault="008A5EED" w:rsidP="00F97134">
      <w:pPr>
        <w:pStyle w:val="Heading5"/>
      </w:pPr>
      <w:r w:rsidRPr="00DD5837">
        <w:t>Numerical g</w:t>
      </w:r>
      <w:r w:rsidR="00F97134" w:rsidRPr="00DD5837">
        <w:t>roundwater modelling</w:t>
      </w:r>
    </w:p>
    <w:p w:rsidR="00F97134" w:rsidRPr="00DD5837" w:rsidRDefault="00F97134" w:rsidP="00F97134">
      <w:pPr>
        <w:pStyle w:val="ListNumber"/>
      </w:pPr>
      <w:bookmarkStart w:id="4" w:name="_Ref436318355"/>
      <w:r w:rsidRPr="00DD5837">
        <w:t>The</w:t>
      </w:r>
      <w:r w:rsidR="002113DC" w:rsidRPr="00DD5837">
        <w:t>re is low confidence in the</w:t>
      </w:r>
      <w:r w:rsidRPr="00DD5837">
        <w:t xml:space="preserve"> numerical groundwater model developed by the proponent for Pit X</w:t>
      </w:r>
      <w:r w:rsidR="002113DC" w:rsidRPr="00DD5837">
        <w:t xml:space="preserve"> as it</w:t>
      </w:r>
      <w:r w:rsidRPr="00DD5837">
        <w:t>:</w:t>
      </w:r>
      <w:bookmarkEnd w:id="4"/>
    </w:p>
    <w:p w:rsidR="00F97134" w:rsidRPr="00DD5837" w:rsidRDefault="00F97134" w:rsidP="00F97134">
      <w:pPr>
        <w:pStyle w:val="ListNumber2"/>
      </w:pPr>
      <w:r w:rsidRPr="00DD5837">
        <w:t>does not allow for consideration of cumulative impacts from:</w:t>
      </w:r>
    </w:p>
    <w:p w:rsidR="00F97134" w:rsidRPr="00DD5837" w:rsidRDefault="00F97134" w:rsidP="00F97134">
      <w:pPr>
        <w:pStyle w:val="ListNumber3"/>
      </w:pPr>
      <w:r w:rsidRPr="00DD5837">
        <w:t>other</w:t>
      </w:r>
      <w:r w:rsidR="009A0708" w:rsidRPr="00DD5837">
        <w:t xml:space="preserve"> pits in the proposed extension;</w:t>
      </w:r>
    </w:p>
    <w:p w:rsidR="00F97134" w:rsidRPr="00DD5837" w:rsidRDefault="00F97134" w:rsidP="00F97134">
      <w:pPr>
        <w:pStyle w:val="ListNumber3"/>
      </w:pPr>
      <w:r w:rsidRPr="00DD5837">
        <w:t>existing operations at Curragh mine</w:t>
      </w:r>
      <w:r w:rsidR="00C4146A" w:rsidRPr="00DD5837">
        <w:t xml:space="preserve"> (in fact, the groundwater levels at the boundaries of the model domain are assumed to not be affected by existing operations at Curragh</w:t>
      </w:r>
      <w:r w:rsidR="008A5EED" w:rsidRPr="00DD5837">
        <w:t xml:space="preserve"> mine</w:t>
      </w:r>
      <w:r w:rsidR="00C43CAD" w:rsidRPr="00DD5837">
        <w:t>, which may not be the case depending on mine scheduling and groundwater recovery</w:t>
      </w:r>
      <w:r w:rsidR="00C4146A" w:rsidRPr="00DD5837">
        <w:t>)</w:t>
      </w:r>
      <w:r w:rsidR="009A0708" w:rsidRPr="00DD5837">
        <w:t>;</w:t>
      </w:r>
      <w:r w:rsidRPr="00DD5837">
        <w:t xml:space="preserve"> and</w:t>
      </w:r>
    </w:p>
    <w:p w:rsidR="00F97134" w:rsidRPr="00DD5837" w:rsidRDefault="00F97134" w:rsidP="00F97134">
      <w:pPr>
        <w:pStyle w:val="ListNumber3"/>
      </w:pPr>
      <w:r w:rsidRPr="00DD5837">
        <w:t>other nearby mining operations, particularly to the south and east;</w:t>
      </w:r>
    </w:p>
    <w:p w:rsidR="00F97134" w:rsidRPr="00DD5837" w:rsidRDefault="00730DF8" w:rsidP="00F97134">
      <w:pPr>
        <w:pStyle w:val="ListNumber2"/>
      </w:pPr>
      <w:r w:rsidRPr="00DD5837">
        <w:t xml:space="preserve">has not undergone formal </w:t>
      </w:r>
      <w:r w:rsidR="00F1740A" w:rsidRPr="00DD5837">
        <w:t xml:space="preserve">calibration, </w:t>
      </w:r>
      <w:r w:rsidRPr="00DD5837">
        <w:t xml:space="preserve">sensitivity analysis, </w:t>
      </w:r>
      <w:r w:rsidR="00F1740A" w:rsidRPr="00DD5837">
        <w:t xml:space="preserve">or </w:t>
      </w:r>
      <w:r w:rsidRPr="00DD5837">
        <w:t>uncertainty analysis;</w:t>
      </w:r>
      <w:r w:rsidR="00F97134" w:rsidRPr="00DD5837">
        <w:t xml:space="preserve"> </w:t>
      </w:r>
    </w:p>
    <w:p w:rsidR="00F97134" w:rsidRPr="00DD5837" w:rsidRDefault="00F97134" w:rsidP="00F97134">
      <w:pPr>
        <w:pStyle w:val="ListNumber2"/>
      </w:pPr>
      <w:r w:rsidRPr="00DD5837">
        <w:lastRenderedPageBreak/>
        <w:t>simplifies the known hydrogeology (i.e. combining all units above the Rangal Coal Measures into one layer), which means that variations in hydraulic properties, including the known influence of weathering, have not been represented;</w:t>
      </w:r>
      <w:r w:rsidR="00CE4680" w:rsidRPr="00DD5837">
        <w:t xml:space="preserve"> and</w:t>
      </w:r>
    </w:p>
    <w:p w:rsidR="00F97134" w:rsidRPr="00DD5837" w:rsidRDefault="00F97134" w:rsidP="00F97134">
      <w:pPr>
        <w:pStyle w:val="ListNumber2"/>
      </w:pPr>
      <w:proofErr w:type="gramStart"/>
      <w:r w:rsidRPr="00DD5837">
        <w:t>does</w:t>
      </w:r>
      <w:proofErr w:type="gramEnd"/>
      <w:r w:rsidRPr="00DD5837">
        <w:t xml:space="preserve"> not represent the potential effects of paleochannels, faults and other structural features.</w:t>
      </w:r>
    </w:p>
    <w:p w:rsidR="00D843E5" w:rsidRPr="00DD5837" w:rsidRDefault="00D843E5" w:rsidP="00D843E5">
      <w:pPr>
        <w:pStyle w:val="ListNumber"/>
      </w:pPr>
      <w:r w:rsidRPr="00DD5837">
        <w:t xml:space="preserve">Recommendations for future numerical groundwater modelling are provided in Paragraphs </w:t>
      </w:r>
      <w:fldSimple w:instr=" REF _Ref437442676 \r \h  \* MERGEFORMAT ">
        <w:r w:rsidR="00337BDF" w:rsidRPr="00DD5837">
          <w:t>18</w:t>
        </w:r>
      </w:fldSimple>
      <w:r w:rsidR="00337BDF" w:rsidRPr="00DD5837">
        <w:t xml:space="preserve"> </w:t>
      </w:r>
      <w:r w:rsidRPr="00DD5837">
        <w:t xml:space="preserve">and </w:t>
      </w:r>
      <w:fldSimple w:instr=" REF _Ref437442682 \r \h  \* MERGEFORMAT ">
        <w:r w:rsidR="00337BDF" w:rsidRPr="00DD5837">
          <w:t>20</w:t>
        </w:r>
      </w:fldSimple>
      <w:r w:rsidRPr="00DD5837">
        <w:t>.</w:t>
      </w:r>
    </w:p>
    <w:p w:rsidR="007B6DCA" w:rsidRPr="00DD5837" w:rsidRDefault="009A0708" w:rsidP="007B6DCA">
      <w:pPr>
        <w:pStyle w:val="Heading5"/>
      </w:pPr>
      <w:r w:rsidRPr="00DD5837">
        <w:t>Groundwater-</w:t>
      </w:r>
      <w:r w:rsidR="007B6DCA" w:rsidRPr="00DD5837">
        <w:t>dependent ecosystems</w:t>
      </w:r>
    </w:p>
    <w:p w:rsidR="007B6DCA" w:rsidRPr="00DD5837" w:rsidRDefault="002113DC" w:rsidP="007B6DCA">
      <w:pPr>
        <w:pStyle w:val="ListNumber"/>
      </w:pPr>
      <w:bookmarkStart w:id="5" w:name="_Ref436636888"/>
      <w:r w:rsidRPr="00DD5837">
        <w:t>Despite the a</w:t>
      </w:r>
      <w:r w:rsidR="00CE4680" w:rsidRPr="00DD5837">
        <w:t xml:space="preserve">dequate identification of GDEs </w:t>
      </w:r>
      <w:r w:rsidR="00730DF8" w:rsidRPr="00DD5837">
        <w:t>(</w:t>
      </w:r>
      <w:r w:rsidR="00CE4680" w:rsidRPr="00DD5837">
        <w:t>other than stygofauna</w:t>
      </w:r>
      <w:r w:rsidR="007C0E95" w:rsidRPr="00DD5837">
        <w:t xml:space="preserve">, as described in </w:t>
      </w:r>
      <w:r w:rsidR="00376580" w:rsidRPr="00DD5837">
        <w:t>Paragraph</w:t>
      </w:r>
      <w:r w:rsidR="007C0E95" w:rsidRPr="00DD5837">
        <w:t> </w:t>
      </w:r>
      <w:fldSimple w:instr=" REF _Ref437357239 \r \h  \* MERGEFORMAT ">
        <w:r w:rsidR="00337BDF" w:rsidRPr="00DD5837">
          <w:t>15</w:t>
        </w:r>
      </w:fldSimple>
      <w:r w:rsidR="00730DF8" w:rsidRPr="00DD5837">
        <w:t>)</w:t>
      </w:r>
      <w:r w:rsidRPr="00DD5837">
        <w:t xml:space="preserve">, impacts to GDEs as a result of the proposed project </w:t>
      </w:r>
      <w:proofErr w:type="gramStart"/>
      <w:r w:rsidRPr="00DD5837">
        <w:t>remain</w:t>
      </w:r>
      <w:proofErr w:type="gramEnd"/>
      <w:r w:rsidRPr="00DD5837">
        <w:t xml:space="preserve"> uncertain.</w:t>
      </w:r>
      <w:bookmarkEnd w:id="5"/>
    </w:p>
    <w:p w:rsidR="002038DF" w:rsidRPr="00DD5837" w:rsidRDefault="002113DC" w:rsidP="002038DF">
      <w:pPr>
        <w:pStyle w:val="ListNumber2"/>
      </w:pPr>
      <w:r w:rsidRPr="00DD5837">
        <w:t>T</w:t>
      </w:r>
      <w:r w:rsidR="002038DF" w:rsidRPr="00DD5837">
        <w:t xml:space="preserve">he water requirements of </w:t>
      </w:r>
      <w:r w:rsidR="00857194" w:rsidRPr="00DD5837">
        <w:t xml:space="preserve">potentially groundwater-dependent </w:t>
      </w:r>
      <w:r w:rsidR="002038DF" w:rsidRPr="00DD5837">
        <w:t>vegetation communities have not been identified.</w:t>
      </w:r>
      <w:r w:rsidR="00FC3936" w:rsidRPr="00DD5837">
        <w:t xml:space="preserve"> In particular:</w:t>
      </w:r>
    </w:p>
    <w:p w:rsidR="002038DF" w:rsidRPr="00DD5837" w:rsidRDefault="002038DF" w:rsidP="002038DF">
      <w:pPr>
        <w:pStyle w:val="ListNumber3"/>
      </w:pPr>
      <w:r w:rsidRPr="00DD5837">
        <w:t xml:space="preserve">Whilst the proponent predicts drawdown in </w:t>
      </w:r>
      <w:r w:rsidR="00EC3F66" w:rsidRPr="00DD5837">
        <w:t xml:space="preserve">the </w:t>
      </w:r>
      <w:r w:rsidRPr="00DD5837">
        <w:t xml:space="preserve">vicinity of Pit X, impacts on </w:t>
      </w:r>
      <w:r w:rsidR="00FC3936" w:rsidRPr="00DD5837">
        <w:t xml:space="preserve">nearby </w:t>
      </w:r>
      <w:r w:rsidRPr="00DD5837">
        <w:rPr>
          <w:i/>
        </w:rPr>
        <w:t>Acacia harpophylla</w:t>
      </w:r>
      <w:r w:rsidR="00FC3936" w:rsidRPr="00DD5837">
        <w:t xml:space="preserve">, </w:t>
      </w:r>
      <w:r w:rsidRPr="00DD5837">
        <w:rPr>
          <w:i/>
        </w:rPr>
        <w:t>Eucalyptus coolabah</w:t>
      </w:r>
      <w:r w:rsidRPr="00DD5837">
        <w:t xml:space="preserve"> </w:t>
      </w:r>
      <w:r w:rsidR="00FC3936" w:rsidRPr="00DD5837">
        <w:t xml:space="preserve">and </w:t>
      </w:r>
      <w:r w:rsidR="00F3132E" w:rsidRPr="00DD5837">
        <w:rPr>
          <w:i/>
        </w:rPr>
        <w:t xml:space="preserve">Eucalyptus </w:t>
      </w:r>
      <w:r w:rsidR="00FC3936" w:rsidRPr="00DD5837">
        <w:rPr>
          <w:i/>
        </w:rPr>
        <w:t>tereticornis</w:t>
      </w:r>
      <w:r w:rsidR="00FC3936" w:rsidRPr="00DD5837">
        <w:t xml:space="preserve"> </w:t>
      </w:r>
      <w:r w:rsidRPr="00DD5837">
        <w:t xml:space="preserve">have not been </w:t>
      </w:r>
      <w:r w:rsidR="00FC3936" w:rsidRPr="00DD5837">
        <w:t>quantified</w:t>
      </w:r>
      <w:r w:rsidRPr="00DD5837">
        <w:t xml:space="preserve">. </w:t>
      </w:r>
    </w:p>
    <w:p w:rsidR="002038DF" w:rsidRPr="00DD5837" w:rsidRDefault="002038DF" w:rsidP="002038DF">
      <w:pPr>
        <w:pStyle w:val="ListNumber3"/>
      </w:pPr>
      <w:r w:rsidRPr="00DD5837">
        <w:t xml:space="preserve">Impacts to </w:t>
      </w:r>
      <w:r w:rsidR="00FC3936" w:rsidRPr="00DD5837">
        <w:rPr>
          <w:i/>
        </w:rPr>
        <w:t>Acacia harpophylla</w:t>
      </w:r>
      <w:r w:rsidR="00FC2CD6" w:rsidRPr="00DD5837">
        <w:t xml:space="preserve"> adjacent to Pit J and in Blackwater R</w:t>
      </w:r>
      <w:r w:rsidR="00FC3936" w:rsidRPr="00DD5837">
        <w:t xml:space="preserve">egional </w:t>
      </w:r>
      <w:r w:rsidR="00FC2CD6" w:rsidRPr="00DD5837">
        <w:t>P</w:t>
      </w:r>
      <w:r w:rsidR="00FC3936" w:rsidRPr="00DD5837">
        <w:t>ark to the south of Pit Z have not been considered.</w:t>
      </w:r>
    </w:p>
    <w:p w:rsidR="00FC3936" w:rsidRPr="00DD5837" w:rsidRDefault="00857194" w:rsidP="002038DF">
      <w:pPr>
        <w:pStyle w:val="ListNumber3"/>
      </w:pPr>
      <w:r w:rsidRPr="00DD5837">
        <w:t xml:space="preserve">Impacts to </w:t>
      </w:r>
      <w:r w:rsidRPr="00DD5837">
        <w:rPr>
          <w:i/>
        </w:rPr>
        <w:t xml:space="preserve">Eucalyptus coolabah </w:t>
      </w:r>
      <w:r w:rsidRPr="00DD5837">
        <w:t>to the east of Pit</w:t>
      </w:r>
      <w:r w:rsidR="002113DC" w:rsidRPr="00DD5837">
        <w:t> D have not been considered.</w:t>
      </w:r>
    </w:p>
    <w:p w:rsidR="002038DF" w:rsidRPr="00DD5837" w:rsidRDefault="002113DC" w:rsidP="002038DF">
      <w:pPr>
        <w:pStyle w:val="ListNumber2"/>
      </w:pPr>
      <w:r w:rsidRPr="00DD5837">
        <w:t>P</w:t>
      </w:r>
      <w:r w:rsidR="002038DF" w:rsidRPr="00DD5837">
        <w:t xml:space="preserve">otential impact pathways </w:t>
      </w:r>
      <w:r w:rsidR="00730DF8" w:rsidRPr="00DD5837">
        <w:t>for</w:t>
      </w:r>
      <w:r w:rsidR="00857194" w:rsidRPr="00DD5837">
        <w:t xml:space="preserve"> GDEs </w:t>
      </w:r>
      <w:r w:rsidR="00187C21" w:rsidRPr="00DD5837">
        <w:t xml:space="preserve">reliant on the surface expression of water </w:t>
      </w:r>
      <w:r w:rsidR="00857194" w:rsidRPr="00DD5837">
        <w:t xml:space="preserve">have not been </w:t>
      </w:r>
      <w:r w:rsidR="002038DF" w:rsidRPr="00DD5837">
        <w:t>conceptualised</w:t>
      </w:r>
      <w:r w:rsidR="00ED716A" w:rsidRPr="00DD5837">
        <w:t xml:space="preserve"> (see </w:t>
      </w:r>
      <w:r w:rsidR="00A56261" w:rsidRPr="00DD5837">
        <w:t>Paragraph</w:t>
      </w:r>
      <w:r w:rsidR="00187C21" w:rsidRPr="00DD5837">
        <w:t> </w:t>
      </w:r>
      <w:r w:rsidR="00D843E5" w:rsidRPr="00DD5837">
        <w:t>10c</w:t>
      </w:r>
      <w:r w:rsidR="00ED716A" w:rsidRPr="00DD5837">
        <w:t>)</w:t>
      </w:r>
      <w:r w:rsidR="00857194" w:rsidRPr="00DD5837">
        <w:t>.</w:t>
      </w:r>
    </w:p>
    <w:p w:rsidR="007B6DCA" w:rsidRPr="00DD5837" w:rsidRDefault="001B6C0A" w:rsidP="007B6DCA">
      <w:pPr>
        <w:pStyle w:val="ListNumber"/>
      </w:pPr>
      <w:bookmarkStart w:id="6" w:name="_Ref436318747"/>
      <w:r w:rsidRPr="00DD5837">
        <w:t>The proponent commits to f</w:t>
      </w:r>
      <w:r w:rsidR="007B6DCA" w:rsidRPr="00DD5837">
        <w:t xml:space="preserve">ield verification of GDEs </w:t>
      </w:r>
      <w:r w:rsidRPr="00DD5837">
        <w:t xml:space="preserve">near </w:t>
      </w:r>
      <w:r w:rsidR="007B6DCA" w:rsidRPr="00DD5837">
        <w:t xml:space="preserve">Pit X prior to the commencement of mining in 2025 to confirm </w:t>
      </w:r>
      <w:r w:rsidRPr="00DD5837">
        <w:t>their presence</w:t>
      </w:r>
      <w:r w:rsidR="007B6DCA" w:rsidRPr="00DD5837">
        <w:t xml:space="preserve">, characterise the nature of groundwater dependence and assess potential risks associated with mining. </w:t>
      </w:r>
      <w:r w:rsidR="002113DC" w:rsidRPr="00DD5837">
        <w:t xml:space="preserve">Details of these </w:t>
      </w:r>
      <w:r w:rsidR="00CE4680" w:rsidRPr="00DD5837">
        <w:t xml:space="preserve">proposed </w:t>
      </w:r>
      <w:r w:rsidR="002113DC" w:rsidRPr="00DD5837">
        <w:t>studies have not been included within the project assessment documentation.</w:t>
      </w:r>
      <w:bookmarkEnd w:id="6"/>
    </w:p>
    <w:p w:rsidR="00D670ED" w:rsidRPr="00DD5837" w:rsidRDefault="00D670ED" w:rsidP="00D670ED">
      <w:pPr>
        <w:pStyle w:val="Heading5"/>
      </w:pPr>
      <w:r w:rsidRPr="00DD5837">
        <w:t>Mackenzie River</w:t>
      </w:r>
    </w:p>
    <w:p w:rsidR="00F378A0" w:rsidRPr="00DD5837" w:rsidRDefault="00730DF8" w:rsidP="0056256B">
      <w:pPr>
        <w:pStyle w:val="ListNumber"/>
      </w:pPr>
      <w:bookmarkStart w:id="7" w:name="_Ref436724112"/>
      <w:r w:rsidRPr="00DD5837">
        <w:t>Prior to the development of the existing Curragh mine, there was</w:t>
      </w:r>
      <w:r w:rsidR="0056256B" w:rsidRPr="00DD5837">
        <w:t xml:space="preserve"> reported to be groundwater discharge to the </w:t>
      </w:r>
      <w:r w:rsidRPr="00DD5837">
        <w:t>Mackenzie River</w:t>
      </w:r>
      <w:r w:rsidR="0056256B" w:rsidRPr="00DD5837">
        <w:t xml:space="preserve"> par</w:t>
      </w:r>
      <w:r w:rsidRPr="00DD5837">
        <w:t>ticularly during the wet season</w:t>
      </w:r>
      <w:r w:rsidR="0056256B" w:rsidRPr="00DD5837">
        <w:t xml:space="preserve"> and near Pit X.</w:t>
      </w:r>
      <w:r w:rsidRPr="00DD5837">
        <w:t xml:space="preserve"> </w:t>
      </w:r>
      <w:r w:rsidR="0056256B" w:rsidRPr="00DD5837">
        <w:t xml:space="preserve">Following mining, </w:t>
      </w:r>
      <w:r w:rsidR="00F378A0" w:rsidRPr="00DD5837">
        <w:t xml:space="preserve">evidence suggests that surface water may </w:t>
      </w:r>
      <w:r w:rsidR="0002428D" w:rsidRPr="00DD5837">
        <w:t>recharge</w:t>
      </w:r>
      <w:r w:rsidR="00F378A0" w:rsidRPr="00DD5837">
        <w:t xml:space="preserve"> groundwater, including:</w:t>
      </w:r>
      <w:bookmarkEnd w:id="7"/>
    </w:p>
    <w:p w:rsidR="00F378A0" w:rsidRPr="00DD5837" w:rsidRDefault="00F378A0" w:rsidP="00F378A0">
      <w:pPr>
        <w:pStyle w:val="ListNumber2"/>
      </w:pPr>
      <w:r w:rsidRPr="00DD5837">
        <w:t>observations</w:t>
      </w:r>
      <w:r w:rsidR="0056256B" w:rsidRPr="00DD5837">
        <w:t xml:space="preserve"> that</w:t>
      </w:r>
      <w:r w:rsidR="00187C21" w:rsidRPr="00DD5837">
        <w:t xml:space="preserve"> the alluvium </w:t>
      </w:r>
      <w:r w:rsidRPr="00DD5837">
        <w:t>at Pit S (300 m from the Mackenzie River</w:t>
      </w:r>
      <w:r w:rsidR="0008141E" w:rsidRPr="00DD5837">
        <w:t xml:space="preserve"> and to the north of the proposed Pit X</w:t>
      </w:r>
      <w:r w:rsidRPr="00DD5837">
        <w:t xml:space="preserve">) </w:t>
      </w:r>
      <w:r w:rsidR="00187C21" w:rsidRPr="00DD5837">
        <w:t>has been dewatered but</w:t>
      </w:r>
      <w:r w:rsidR="0056256B" w:rsidRPr="00DD5837">
        <w:t xml:space="preserve"> that the</w:t>
      </w:r>
      <w:r w:rsidR="00187C21" w:rsidRPr="00DD5837">
        <w:t xml:space="preserve"> Mackenzie River maintains flow</w:t>
      </w:r>
      <w:r w:rsidRPr="00DD5837">
        <w:t>; and</w:t>
      </w:r>
    </w:p>
    <w:p w:rsidR="00D670ED" w:rsidRPr="00DD5837" w:rsidRDefault="004F0913" w:rsidP="00F378A0">
      <w:pPr>
        <w:pStyle w:val="ListNumber2"/>
      </w:pPr>
      <w:r w:rsidRPr="00DD5837">
        <w:t xml:space="preserve">a trend in groundwater quality </w:t>
      </w:r>
      <w:r w:rsidR="00F378A0" w:rsidRPr="00DD5837">
        <w:t>within the</w:t>
      </w:r>
      <w:r w:rsidRPr="00DD5837">
        <w:t xml:space="preserve"> </w:t>
      </w:r>
      <w:r w:rsidR="00666CFF" w:rsidRPr="00DD5837">
        <w:t xml:space="preserve">alluvial </w:t>
      </w:r>
      <w:r w:rsidR="00F378A0" w:rsidRPr="00DD5837">
        <w:t>sediments and Rewan Formation</w:t>
      </w:r>
      <w:r w:rsidR="00666CFF" w:rsidRPr="00DD5837">
        <w:t xml:space="preserve"> </w:t>
      </w:r>
      <w:r w:rsidRPr="00DD5837">
        <w:t xml:space="preserve">whereby pH is increasing and </w:t>
      </w:r>
      <w:r w:rsidR="0056256B" w:rsidRPr="00DD5837">
        <w:t>electrical conductivity</w:t>
      </w:r>
      <w:r w:rsidRPr="00DD5837">
        <w:t xml:space="preserve"> is decreasing</w:t>
      </w:r>
      <w:r w:rsidR="0008141E" w:rsidRPr="00DD5837">
        <w:t xml:space="preserve"> over time</w:t>
      </w:r>
      <w:r w:rsidR="00F378A0" w:rsidRPr="00DD5837">
        <w:t xml:space="preserve">, which </w:t>
      </w:r>
      <w:r w:rsidR="00666CFF" w:rsidRPr="00DD5837">
        <w:t xml:space="preserve">is </w:t>
      </w:r>
      <w:r w:rsidRPr="00DD5837">
        <w:t>consi</w:t>
      </w:r>
      <w:r w:rsidR="00F1740A" w:rsidRPr="00DD5837">
        <w:t>stent with increasing</w:t>
      </w:r>
      <w:r w:rsidRPr="00DD5837">
        <w:t xml:space="preserve"> </w:t>
      </w:r>
      <w:r w:rsidR="00F378A0" w:rsidRPr="00DD5837">
        <w:t>surface water input</w:t>
      </w:r>
      <w:r w:rsidRPr="00DD5837">
        <w:t>.</w:t>
      </w:r>
    </w:p>
    <w:p w:rsidR="004749E5" w:rsidRPr="00DD5837" w:rsidRDefault="00F30C26" w:rsidP="00330CCC">
      <w:pPr>
        <w:pStyle w:val="ListNumber"/>
      </w:pPr>
      <w:bookmarkStart w:id="8" w:name="_Ref436299744"/>
      <w:r w:rsidRPr="00DD5837">
        <w:t xml:space="preserve">The proponent predicts no impact on instream ecosystems or surface water users </w:t>
      </w:r>
      <w:r w:rsidR="000107AA" w:rsidRPr="00DD5837">
        <w:t>of the</w:t>
      </w:r>
      <w:r w:rsidRPr="00DD5837">
        <w:t xml:space="preserve"> </w:t>
      </w:r>
      <w:r w:rsidR="0056256B" w:rsidRPr="00DD5837">
        <w:t>Mackenzie </w:t>
      </w:r>
      <w:r w:rsidRPr="00DD5837">
        <w:t>River as a result of the proposed project, as a</w:t>
      </w:r>
      <w:r w:rsidR="00330CCC" w:rsidRPr="00DD5837">
        <w:t xml:space="preserve"> water balance across the numerical groundwater model </w:t>
      </w:r>
      <w:r w:rsidRPr="00DD5837">
        <w:t xml:space="preserve">domain </w:t>
      </w:r>
      <w:r w:rsidR="00330CCC" w:rsidRPr="00DD5837">
        <w:t>predicts</w:t>
      </w:r>
      <w:r w:rsidR="004749E5" w:rsidRPr="00DD5837">
        <w:t xml:space="preserve"> no net reduction in flow in Mackenzie River</w:t>
      </w:r>
      <w:r w:rsidR="00330CCC" w:rsidRPr="00DD5837">
        <w:t>. However</w:t>
      </w:r>
      <w:r w:rsidR="007F0148" w:rsidRPr="00DD5837">
        <w:t>:</w:t>
      </w:r>
      <w:bookmarkEnd w:id="8"/>
    </w:p>
    <w:p w:rsidR="00F30C26" w:rsidRPr="00DD5837" w:rsidRDefault="00F30C26" w:rsidP="00F30C26">
      <w:pPr>
        <w:pStyle w:val="ListNumber2"/>
      </w:pPr>
      <w:r w:rsidRPr="00DD5837">
        <w:t xml:space="preserve">there is low confidence in results from the </w:t>
      </w:r>
      <w:r w:rsidR="008A5EED" w:rsidRPr="00DD5837">
        <w:t xml:space="preserve">numerical </w:t>
      </w:r>
      <w:r w:rsidRPr="00DD5837">
        <w:t xml:space="preserve">groundwater modelling (as described in </w:t>
      </w:r>
      <w:r w:rsidR="00A56261" w:rsidRPr="00DD5837">
        <w:t>Paragraph</w:t>
      </w:r>
      <w:r w:rsidR="00CE4680" w:rsidRPr="00DD5837">
        <w:t> </w:t>
      </w:r>
      <w:fldSimple w:instr=" REF _Ref436318355 \r \h  \* MERGEFORMAT ">
        <w:r w:rsidR="00337BDF" w:rsidRPr="00DD5837">
          <w:t>5</w:t>
        </w:r>
      </w:fldSimple>
      <w:r w:rsidRPr="00DD5837">
        <w:t>);</w:t>
      </w:r>
    </w:p>
    <w:p w:rsidR="009D5BD6" w:rsidRPr="00DD5837" w:rsidRDefault="009D5BD6" w:rsidP="007F0148">
      <w:pPr>
        <w:pStyle w:val="ListNumber2"/>
      </w:pPr>
      <w:r w:rsidRPr="00DD5837">
        <w:t xml:space="preserve">a net prediction across the </w:t>
      </w:r>
      <w:r w:rsidR="008A5EED" w:rsidRPr="00DD5837">
        <w:t xml:space="preserve">numerical groundwater </w:t>
      </w:r>
      <w:r w:rsidRPr="00DD5837">
        <w:t>model domain and the life of the proposed project does not provide adequate spatial and temporal resolution of the losin</w:t>
      </w:r>
      <w:r w:rsidR="00F30C26" w:rsidRPr="00DD5837">
        <w:t>g/gaining nature of the r</w:t>
      </w:r>
      <w:r w:rsidRPr="00DD5837">
        <w:t xml:space="preserve">iver during the </w:t>
      </w:r>
      <w:r w:rsidR="00C87F97" w:rsidRPr="00DD5837">
        <w:t xml:space="preserve">proposed </w:t>
      </w:r>
      <w:r w:rsidRPr="00DD5837">
        <w:t>mine operation;</w:t>
      </w:r>
    </w:p>
    <w:p w:rsidR="007F0148" w:rsidRPr="00DD5837" w:rsidRDefault="00A037B9" w:rsidP="007F0148">
      <w:pPr>
        <w:pStyle w:val="ListNumber2"/>
      </w:pPr>
      <w:bookmarkStart w:id="9" w:name="_Ref436317030"/>
      <w:r w:rsidRPr="00DD5837">
        <w:lastRenderedPageBreak/>
        <w:t>n</w:t>
      </w:r>
      <w:r w:rsidR="007F0148" w:rsidRPr="00DD5837">
        <w:t xml:space="preserve">o evidence has been provided to support the assertion that </w:t>
      </w:r>
      <w:r w:rsidR="0056256B" w:rsidRPr="00DD5837">
        <w:t>streamflow</w:t>
      </w:r>
      <w:r w:rsidR="007F0148" w:rsidRPr="00DD5837">
        <w:t xml:space="preserve"> (as a result of upstream regulation) will compensate for </w:t>
      </w:r>
      <w:r w:rsidRPr="00DD5837">
        <w:t xml:space="preserve">loss of </w:t>
      </w:r>
      <w:r w:rsidR="007F0148" w:rsidRPr="00DD5837">
        <w:t xml:space="preserve">groundwater </w:t>
      </w:r>
      <w:r w:rsidRPr="00DD5837">
        <w:t xml:space="preserve">baseflow to instream </w:t>
      </w:r>
      <w:r w:rsidR="0008141E" w:rsidRPr="00DD5837">
        <w:t>ecosystems</w:t>
      </w:r>
      <w:r w:rsidR="00CF3DF5" w:rsidRPr="00DD5837">
        <w:t xml:space="preserve"> (which provide known habitat for turtle species listed under the EPBC Act)</w:t>
      </w:r>
      <w:r w:rsidRPr="00DD5837">
        <w:t>; and</w:t>
      </w:r>
      <w:bookmarkEnd w:id="9"/>
    </w:p>
    <w:p w:rsidR="00A037B9" w:rsidRPr="00DD5837" w:rsidRDefault="00A037B9" w:rsidP="007F0148">
      <w:pPr>
        <w:pStyle w:val="ListNumber2"/>
      </w:pPr>
      <w:r w:rsidRPr="00DD5837">
        <w:t xml:space="preserve">the </w:t>
      </w:r>
      <w:r w:rsidR="00C87F97" w:rsidRPr="00DD5837">
        <w:t xml:space="preserve">potential for </w:t>
      </w:r>
      <w:r w:rsidRPr="00DD5837">
        <w:t xml:space="preserve">resultant impacts to </w:t>
      </w:r>
      <w:r w:rsidR="0056256B" w:rsidRPr="00DD5837">
        <w:t>reliability</w:t>
      </w:r>
      <w:r w:rsidR="00C87F97" w:rsidRPr="00DD5837">
        <w:t xml:space="preserve"> of water </w:t>
      </w:r>
      <w:r w:rsidR="0056256B" w:rsidRPr="00DD5837">
        <w:t xml:space="preserve">supply </w:t>
      </w:r>
      <w:r w:rsidR="00C87F97" w:rsidRPr="00DD5837">
        <w:t>through</w:t>
      </w:r>
      <w:r w:rsidRPr="00DD5837">
        <w:t xml:space="preserve"> the Nogoa Mackenzie Water Supply System </w:t>
      </w:r>
      <w:r w:rsidR="00C87F97" w:rsidRPr="00DD5837">
        <w:t>has</w:t>
      </w:r>
      <w:r w:rsidRPr="00DD5837">
        <w:t xml:space="preserve"> not been presented.</w:t>
      </w:r>
    </w:p>
    <w:p w:rsidR="00CF5929" w:rsidRPr="00DD5837" w:rsidRDefault="006104E1" w:rsidP="00D670ED">
      <w:pPr>
        <w:pStyle w:val="Heading5"/>
      </w:pPr>
      <w:r w:rsidRPr="00DD5837">
        <w:t>Final landform</w:t>
      </w:r>
    </w:p>
    <w:p w:rsidR="006104E1" w:rsidRPr="00DD5837" w:rsidRDefault="005C3995" w:rsidP="006104E1">
      <w:pPr>
        <w:pStyle w:val="ListNumber"/>
      </w:pPr>
      <w:bookmarkStart w:id="10" w:name="_Ref437442592"/>
      <w:r w:rsidRPr="00DD5837">
        <w:t>The proponent has not clarified whether residual voids will act</w:t>
      </w:r>
      <w:r w:rsidR="006104E1" w:rsidRPr="00DD5837">
        <w:t xml:space="preserve"> as groundwater sources (with potential groundwater quality impacts) or </w:t>
      </w:r>
      <w:r w:rsidRPr="00DD5837">
        <w:t xml:space="preserve">groundwater </w:t>
      </w:r>
      <w:r w:rsidR="006104E1" w:rsidRPr="00DD5837">
        <w:t>sinks (with potential long-term groundwater quantity impacts)</w:t>
      </w:r>
      <w:r w:rsidR="003455B2" w:rsidRPr="00DD5837">
        <w:t>.</w:t>
      </w:r>
      <w:r w:rsidRPr="00DD5837">
        <w:t xml:space="preserve"> As such, potential impacts associated with the final landform remain uncertain.</w:t>
      </w:r>
      <w:bookmarkEnd w:id="10"/>
      <w:r w:rsidRPr="00DD5837">
        <w:t xml:space="preserve"> </w:t>
      </w:r>
    </w:p>
    <w:p w:rsidR="00DB49DC" w:rsidRPr="00DD5837" w:rsidRDefault="00DB49DC" w:rsidP="00DB49DC">
      <w:pPr>
        <w:pStyle w:val="ListNumber"/>
      </w:pPr>
      <w:bookmarkStart w:id="11" w:name="_Ref437442598"/>
      <w:r w:rsidRPr="00DD5837">
        <w:t xml:space="preserve">In developing a residual void investigation plan, </w:t>
      </w:r>
      <w:r w:rsidR="00CE3EC7" w:rsidRPr="00DD5837">
        <w:t xml:space="preserve">various options for backfilling </w:t>
      </w:r>
      <w:r w:rsidRPr="00DD5837">
        <w:t>should be</w:t>
      </w:r>
      <w:r w:rsidR="00CE3EC7" w:rsidRPr="00DD5837">
        <w:t xml:space="preserve"> investigated. If final voids are not to be backfilled, results should be presented which show that complete backfilling is not financially or technically achievable and/or results in adverse environmental outcomes. </w:t>
      </w:r>
      <w:r w:rsidRPr="00DD5837">
        <w:t>The final landform should be designed with consideration of impacts to water resources in perpetuity, and ensure that these impacts are minimised through mitigation, monitoring and management measures.</w:t>
      </w:r>
      <w:bookmarkEnd w:id="11"/>
      <w:r w:rsidRPr="00DD5837">
        <w:t xml:space="preserve"> </w:t>
      </w:r>
    </w:p>
    <w:p w:rsidR="00D071B8" w:rsidRPr="00DD5837" w:rsidRDefault="00D071B8" w:rsidP="00D071B8">
      <w:pPr>
        <w:pStyle w:val="Question"/>
      </w:pPr>
      <w:r w:rsidRPr="00DD5837">
        <w:t>Question 3: Is there any additional information which would assist in the identification and assessment of impacts to water resources?</w:t>
      </w:r>
    </w:p>
    <w:p w:rsidR="00D071B8" w:rsidRPr="00DD5837" w:rsidRDefault="00D071B8" w:rsidP="00D071B8">
      <w:pPr>
        <w:pStyle w:val="Heading4"/>
      </w:pPr>
      <w:r w:rsidRPr="00DD5837">
        <w:t>Response</w:t>
      </w:r>
    </w:p>
    <w:p w:rsidR="00D071B8" w:rsidRPr="00DD5837" w:rsidRDefault="00160082" w:rsidP="00D071B8">
      <w:pPr>
        <w:pStyle w:val="ListNumber"/>
      </w:pPr>
      <w:r w:rsidRPr="00DD5837">
        <w:t xml:space="preserve">Yes. </w:t>
      </w:r>
      <w:r w:rsidR="000107AA" w:rsidRPr="00DD5837">
        <w:t xml:space="preserve">A detailed assessment of impacts to surface water resources is needed. </w:t>
      </w:r>
      <w:r w:rsidR="0061335F" w:rsidRPr="00DD5837">
        <w:t>A</w:t>
      </w:r>
      <w:r w:rsidRPr="00DD5837">
        <w:t>dditional information</w:t>
      </w:r>
      <w:r w:rsidR="0061335F" w:rsidRPr="00DD5837">
        <w:t xml:space="preserve"> should</w:t>
      </w:r>
      <w:r w:rsidRPr="00DD5837">
        <w:t xml:space="preserve"> be provided on </w:t>
      </w:r>
      <w:r w:rsidR="000107AA" w:rsidRPr="00DD5837">
        <w:t xml:space="preserve">the </w:t>
      </w:r>
      <w:r w:rsidR="007C0E95" w:rsidRPr="00DD5837">
        <w:t xml:space="preserve">presence or absence of stygofauna and the </w:t>
      </w:r>
      <w:r w:rsidR="000107AA" w:rsidRPr="00DD5837">
        <w:t xml:space="preserve">water requirements of </w:t>
      </w:r>
      <w:r w:rsidRPr="00DD5837">
        <w:t>GDEs</w:t>
      </w:r>
      <w:r w:rsidR="00EC3F66" w:rsidRPr="00DD5837">
        <w:t>. This information</w:t>
      </w:r>
      <w:r w:rsidR="000107AA" w:rsidRPr="00DD5837">
        <w:t xml:space="preserve"> should be</w:t>
      </w:r>
      <w:r w:rsidR="0061335F" w:rsidRPr="00DD5837">
        <w:t xml:space="preserve"> incorporated into revised </w:t>
      </w:r>
      <w:r w:rsidR="008A5EED" w:rsidRPr="00DD5837">
        <w:t xml:space="preserve">numerical </w:t>
      </w:r>
      <w:r w:rsidR="0061335F" w:rsidRPr="00DD5837">
        <w:t>groundwater modelling</w:t>
      </w:r>
      <w:r w:rsidR="00A04F6C" w:rsidRPr="00DD5837">
        <w:t xml:space="preserve"> which allows for the assessment of cumulative impacts</w:t>
      </w:r>
      <w:r w:rsidRPr="00DD5837">
        <w:t>.</w:t>
      </w:r>
      <w:r w:rsidR="0061335F" w:rsidRPr="00DD5837">
        <w:t xml:space="preserve"> The IESC information guidelines</w:t>
      </w:r>
      <w:r w:rsidR="00030F74" w:rsidRPr="00DD5837">
        <w:t xml:space="preserve"> </w:t>
      </w:r>
      <w:r w:rsidR="00686AC4" w:rsidRPr="00DD5837">
        <w:fldChar w:fldCharType="begin"/>
      </w:r>
      <w:r w:rsidR="00337BDF" w:rsidRPr="00DD5837">
        <w:instrText xml:space="preserve"> ADDIN EN.CITE &lt;EndNote&gt;&lt;Cite ExcludeAuth="1"&gt;&lt;Author&gt;IESC&lt;/Author&gt;&lt;Year&gt;2015&lt;/Year&gt;&lt;RecNum&gt;1617&lt;/RecNum&gt;&lt;DisplayText&gt;(2015)&lt;/DisplayText&gt;&lt;record&gt;&lt;rec-number&gt;1617&lt;/rec-number&gt;&lt;foreign-keys&gt;&lt;key app="EN" db-id="xz5vrd20mz9trjezvzzvf9fhsxvzatfrr59v"&gt;1617&lt;/key&gt;&lt;/foreign-keys&gt;&lt;ref-type name="Web Page"&gt;12&lt;/ref-type&gt;&lt;contributors&gt;&lt;authors&gt;&lt;author&gt;IESC&lt;/author&gt;&lt;/authors&gt;&lt;/contributors&gt;&lt;titles&gt;&lt;title&gt;Information Guidelines for the Independent Expert Scientific Committee advice on coal seam gas and large coal mining development proposals&lt;/title&gt;&lt;/titles&gt;&lt;dates&gt;&lt;year&gt;2015&lt;/year&gt;&lt;pub-dates&gt;&lt;date&gt;October 2015&lt;/date&gt;&lt;/pub-dates&gt;&lt;/dates&gt;&lt;urls&gt;&lt;related-urls&gt;&lt;url&gt;http://www.iesc.environment.gov.au/system/files/resources/012fa918-ee79-4131-9c8d-02c9b2de65cf/files/iesc-information-guidelines-oct-2015.pdf&lt;/url&gt;&lt;/related-urls&gt;&lt;/urls&gt;&lt;/record&gt;&lt;/Cite&gt;&lt;/EndNote&gt;</w:instrText>
      </w:r>
      <w:r w:rsidR="00686AC4" w:rsidRPr="00DD5837">
        <w:fldChar w:fldCharType="separate"/>
      </w:r>
      <w:r w:rsidR="00337BDF" w:rsidRPr="00DD5837">
        <w:rPr>
          <w:noProof/>
        </w:rPr>
        <w:t>(</w:t>
      </w:r>
      <w:hyperlink w:anchor="_ENREF_5" w:tooltip="IESC, 2015 #1617" w:history="1">
        <w:r w:rsidR="00104D28" w:rsidRPr="00DD5837">
          <w:rPr>
            <w:noProof/>
          </w:rPr>
          <w:t>2015</w:t>
        </w:r>
      </w:hyperlink>
      <w:r w:rsidR="00337BDF" w:rsidRPr="00DD5837">
        <w:rPr>
          <w:noProof/>
        </w:rPr>
        <w:t>)</w:t>
      </w:r>
      <w:r w:rsidR="00686AC4" w:rsidRPr="00DD5837">
        <w:fldChar w:fldCharType="end"/>
      </w:r>
      <w:r w:rsidR="0061335F" w:rsidRPr="00DD5837">
        <w:t xml:space="preserve"> provide a framework for the identification and assessment of impacts to water resources.</w:t>
      </w:r>
    </w:p>
    <w:p w:rsidR="00D071B8" w:rsidRPr="00DD5837" w:rsidRDefault="00D071B8" w:rsidP="00D071B8">
      <w:pPr>
        <w:pStyle w:val="Heading4"/>
      </w:pPr>
      <w:r w:rsidRPr="00DD5837">
        <w:t>Explanation</w:t>
      </w:r>
    </w:p>
    <w:p w:rsidR="00D80781" w:rsidRPr="00DD5837" w:rsidRDefault="00F30C26" w:rsidP="00D80781">
      <w:pPr>
        <w:pStyle w:val="Heading5"/>
      </w:pPr>
      <w:r w:rsidRPr="00DD5837">
        <w:t>Surface water</w:t>
      </w:r>
      <w:r w:rsidR="00D80781" w:rsidRPr="00DD5837">
        <w:t xml:space="preserve"> resources</w:t>
      </w:r>
    </w:p>
    <w:p w:rsidR="00F30C26" w:rsidRPr="00DD5837" w:rsidRDefault="00F30C26" w:rsidP="00D80781">
      <w:pPr>
        <w:pStyle w:val="ListNumber"/>
      </w:pPr>
      <w:r w:rsidRPr="00DD5837">
        <w:t xml:space="preserve">The assessment of potential impacts to the Mackenzie River would benefit from </w:t>
      </w:r>
      <w:r w:rsidR="007C52F3" w:rsidRPr="00DD5837">
        <w:t>assessment</w:t>
      </w:r>
      <w:r w:rsidRPr="00DD5837">
        <w:t xml:space="preserve"> of combined impacts to streamflow (</w:t>
      </w:r>
      <w:r w:rsidR="0008141E" w:rsidRPr="00DD5837">
        <w:t>volume and rate</w:t>
      </w:r>
      <w:r w:rsidRPr="00DD5837">
        <w:t>)</w:t>
      </w:r>
      <w:r w:rsidR="00376580" w:rsidRPr="00DD5837">
        <w:t xml:space="preserve"> and water quality</w:t>
      </w:r>
      <w:r w:rsidRPr="00DD5837">
        <w:t>, including impacts at different locations (</w:t>
      </w:r>
      <w:r w:rsidR="007C0E95" w:rsidRPr="00DD5837">
        <w:t xml:space="preserve">particularly in critical habitats </w:t>
      </w:r>
      <w:r w:rsidR="00A04F6C" w:rsidRPr="00DD5837">
        <w:t xml:space="preserve">such as </w:t>
      </w:r>
      <w:r w:rsidR="00376580" w:rsidRPr="00DD5837">
        <w:t>refuge</w:t>
      </w:r>
      <w:r w:rsidR="00A04F6C" w:rsidRPr="00DD5837">
        <w:t xml:space="preserve"> pools </w:t>
      </w:r>
      <w:r w:rsidR="00376580" w:rsidRPr="00DD5837">
        <w:t xml:space="preserve">and riffles </w:t>
      </w:r>
      <w:r w:rsidR="00A04F6C" w:rsidRPr="00DD5837">
        <w:t xml:space="preserve">for turtle habitat and riffle crests </w:t>
      </w:r>
      <w:r w:rsidR="007C0E95" w:rsidRPr="00DD5837">
        <w:t>for fish passage</w:t>
      </w:r>
      <w:r w:rsidRPr="00DD5837">
        <w:t>) and under different flow conditions</w:t>
      </w:r>
      <w:r w:rsidR="0008141E" w:rsidRPr="00DD5837">
        <w:t xml:space="preserve"> (e.g. high flows, low flows, wet/dry season)</w:t>
      </w:r>
      <w:r w:rsidRPr="00DD5837">
        <w:t xml:space="preserve">. All likely impact pathways should be </w:t>
      </w:r>
      <w:r w:rsidR="007C52F3" w:rsidRPr="00DD5837">
        <w:t>assessed</w:t>
      </w:r>
      <w:r w:rsidRPr="00DD5837">
        <w:t>, including:</w:t>
      </w:r>
    </w:p>
    <w:p w:rsidR="00F30C26" w:rsidRPr="00DD5837" w:rsidRDefault="00F30C26" w:rsidP="00F30C26">
      <w:pPr>
        <w:pStyle w:val="ListNumber2"/>
      </w:pPr>
      <w:r w:rsidRPr="00DD5837">
        <w:t xml:space="preserve">groundwater drawdown and loss of baseflow (as described in </w:t>
      </w:r>
      <w:r w:rsidR="00A56261" w:rsidRPr="00DD5837">
        <w:t>Paragraph</w:t>
      </w:r>
      <w:r w:rsidR="008619EF" w:rsidRPr="00DD5837">
        <w:t xml:space="preserve">s </w:t>
      </w:r>
      <w:fldSimple w:instr=" REF _Ref436724112 \r \h  \* MERGEFORMAT ">
        <w:r w:rsidR="00337BDF" w:rsidRPr="00DD5837">
          <w:t>9</w:t>
        </w:r>
      </w:fldSimple>
      <w:r w:rsidR="008619EF" w:rsidRPr="00DD5837">
        <w:t xml:space="preserve"> and</w:t>
      </w:r>
      <w:r w:rsidRPr="00DD5837">
        <w:t xml:space="preserve"> </w:t>
      </w:r>
      <w:fldSimple w:instr=" REF _Ref436299744 \r \h  \* MERGEFORMAT ">
        <w:r w:rsidR="00337BDF" w:rsidRPr="00DD5837">
          <w:t>10</w:t>
        </w:r>
      </w:fldSimple>
      <w:r w:rsidRPr="00DD5837">
        <w:t>);</w:t>
      </w:r>
    </w:p>
    <w:p w:rsidR="00F30C26" w:rsidRPr="00DD5837" w:rsidRDefault="00F30C26" w:rsidP="00F30C26">
      <w:pPr>
        <w:pStyle w:val="ListNumber2"/>
      </w:pPr>
      <w:r w:rsidRPr="00DD5837">
        <w:t>loss of contributing catchment area (which, when considered with the existing operation, is predicted to result in a combined loss of 17% in Bonnie Doon Creek, 21% in Minnie Creek and 6.1% in Blackwater Creek);</w:t>
      </w:r>
    </w:p>
    <w:p w:rsidR="00F30C26" w:rsidRPr="00DD5837" w:rsidRDefault="00F30C26" w:rsidP="00F30C26">
      <w:pPr>
        <w:pStyle w:val="ListNumber2"/>
      </w:pPr>
      <w:r w:rsidRPr="00DD5837">
        <w:t>stream diversions</w:t>
      </w:r>
      <w:r w:rsidR="00FC2CD6" w:rsidRPr="00DD5837">
        <w:t xml:space="preserve"> (as discussed in </w:t>
      </w:r>
      <w:r w:rsidR="00A56261" w:rsidRPr="00DD5837">
        <w:t>Paragraph</w:t>
      </w:r>
      <w:r w:rsidR="00FC2CD6" w:rsidRPr="00DD5837">
        <w:t xml:space="preserve"> </w:t>
      </w:r>
      <w:fldSimple w:instr=" REF _Ref436395989 \r \h  \* MERGEFORMAT ">
        <w:r w:rsidR="00337BDF" w:rsidRPr="00DD5837">
          <w:t>28</w:t>
        </w:r>
      </w:fldSimple>
      <w:r w:rsidR="00FC2CD6" w:rsidRPr="00DD5837">
        <w:t>)</w:t>
      </w:r>
      <w:r w:rsidRPr="00DD5837">
        <w:t>; and</w:t>
      </w:r>
    </w:p>
    <w:p w:rsidR="00F30C26" w:rsidRPr="00DD5837" w:rsidRDefault="00F30C26" w:rsidP="00F30C26">
      <w:pPr>
        <w:pStyle w:val="ListNumber2"/>
      </w:pPr>
      <w:proofErr w:type="gramStart"/>
      <w:r w:rsidRPr="00DD5837">
        <w:t>controlled</w:t>
      </w:r>
      <w:proofErr w:type="gramEnd"/>
      <w:r w:rsidRPr="00DD5837">
        <w:t xml:space="preserve"> </w:t>
      </w:r>
      <w:r w:rsidR="00C87F97" w:rsidRPr="00DD5837">
        <w:t xml:space="preserve">or uncontrolled </w:t>
      </w:r>
      <w:r w:rsidRPr="00DD5837">
        <w:t>discharges</w:t>
      </w:r>
      <w:r w:rsidR="00FC2CD6" w:rsidRPr="00DD5837">
        <w:t xml:space="preserve"> (as discussed in </w:t>
      </w:r>
      <w:r w:rsidR="00A56261" w:rsidRPr="00DD5837">
        <w:t>Paragraph</w:t>
      </w:r>
      <w:r w:rsidR="00FC2CD6" w:rsidRPr="00DD5837">
        <w:t xml:space="preserve"> </w:t>
      </w:r>
      <w:fldSimple w:instr=" REF _Ref436395999 \r \h  \* MERGEFORMAT ">
        <w:r w:rsidR="00337BDF" w:rsidRPr="00DD5837">
          <w:t>29</w:t>
        </w:r>
      </w:fldSimple>
      <w:r w:rsidR="00FC2CD6" w:rsidRPr="00DD5837">
        <w:t>)</w:t>
      </w:r>
      <w:r w:rsidRPr="00DD5837">
        <w:t>.</w:t>
      </w:r>
    </w:p>
    <w:p w:rsidR="000107AA" w:rsidRPr="00DD5837" w:rsidRDefault="000107AA" w:rsidP="000107AA">
      <w:pPr>
        <w:pStyle w:val="Heading5"/>
      </w:pPr>
      <w:r w:rsidRPr="00DD5837">
        <w:lastRenderedPageBreak/>
        <w:t>Groundwater-dependent ecosystems</w:t>
      </w:r>
    </w:p>
    <w:p w:rsidR="000107AA" w:rsidRPr="00DD5837" w:rsidRDefault="000107AA" w:rsidP="000107AA">
      <w:pPr>
        <w:pStyle w:val="ListNumber"/>
      </w:pPr>
      <w:bookmarkStart w:id="12" w:name="_Ref437357239"/>
      <w:r w:rsidRPr="00DD5837">
        <w:t>The proponent’s desktop review concluded that suitable habitat for stygofauna was present</w:t>
      </w:r>
      <w:r w:rsidR="000F1C0E" w:rsidRPr="00DD5837">
        <w:t xml:space="preserve"> on site</w:t>
      </w:r>
      <w:r w:rsidRPr="00DD5837">
        <w:t xml:space="preserve">, but stygofaunal sampling to test this finding was not undertaken. Consistent with Queensland </w:t>
      </w:r>
      <w:r w:rsidR="0008141E" w:rsidRPr="00DD5837">
        <w:t xml:space="preserve">Government </w:t>
      </w:r>
      <w:r w:rsidRPr="00DD5837">
        <w:t xml:space="preserve">guidance </w:t>
      </w:r>
      <w:r w:rsidR="00686AC4" w:rsidRPr="00DD5837">
        <w:fldChar w:fldCharType="begin"/>
      </w:r>
      <w:r w:rsidR="004929F5" w:rsidRPr="00DD5837">
        <w:instrText xml:space="preserve"> ADDIN EN.CITE &lt;EndNote&gt;&lt;Cite&gt;&lt;Author&gt;DSITIA&lt;/Author&gt;&lt;Year&gt;2014&lt;/Year&gt;&lt;RecNum&gt;1800&lt;/RecNum&gt;&lt;DisplayText&gt;(DSITIA, 2014)&lt;/DisplayText&gt;&lt;record&gt;&lt;rec-number&gt;1800&lt;/rec-number&gt;&lt;foreign-keys&gt;&lt;key app="EN" db-id="xz5vrd20mz9trjezvzzvf9fhsxvzatfrr59v"&gt;1800&lt;/key&gt;&lt;/foreign-keys&gt;&lt;ref-type name="Government Document"&gt;46&lt;/ref-type&gt;&lt;contributors&gt;&lt;authors&gt;&lt;author&gt;DSITIA&lt;/author&gt;&lt;/authors&gt;&lt;/contributors&gt;&lt;titles&gt;&lt;title&gt;Guideline for the Environmental Assessment of Subterranean Aquatic Fauna: Sampling Methods and Survey Considerations&lt;/title&gt;&lt;/titles&gt;&lt;dates&gt;&lt;year&gt;2014&lt;/year&gt;&lt;/dates&gt;&lt;publisher&gt;Queensland Government&lt;/publisher&gt;&lt;urls&gt;&lt;related-urls&gt;&lt;url&gt;https://publications.qld.gov.au/storage/f/2014-12-08T02%3A58%3A15.319Z/guideline-subterranean-aquatic-fauna.pdf&lt;/url&gt;&lt;/related-urls&gt;&lt;/urls&gt;&lt;/record&gt;&lt;/Cite&gt;&lt;/EndNote&gt;</w:instrText>
      </w:r>
      <w:r w:rsidR="00686AC4" w:rsidRPr="00DD5837">
        <w:fldChar w:fldCharType="separate"/>
      </w:r>
      <w:r w:rsidR="004929F5" w:rsidRPr="00DD5837">
        <w:rPr>
          <w:noProof/>
        </w:rPr>
        <w:t>(</w:t>
      </w:r>
      <w:hyperlink w:anchor="_ENREF_3" w:tooltip="DSITIA, 2014 #1800" w:history="1">
        <w:r w:rsidR="00104D28" w:rsidRPr="00DD5837">
          <w:rPr>
            <w:noProof/>
          </w:rPr>
          <w:t>DSITIA, 2014</w:t>
        </w:r>
      </w:hyperlink>
      <w:r w:rsidR="004929F5" w:rsidRPr="00DD5837">
        <w:rPr>
          <w:noProof/>
        </w:rPr>
        <w:t>)</w:t>
      </w:r>
      <w:r w:rsidR="00686AC4" w:rsidRPr="00DD5837">
        <w:fldChar w:fldCharType="end"/>
      </w:r>
      <w:r w:rsidRPr="00DD5837">
        <w:t>, a pilot survey should be carried out to determine the presence or absence of stygofauna within the proposed project area.</w:t>
      </w:r>
      <w:bookmarkEnd w:id="12"/>
    </w:p>
    <w:p w:rsidR="000107AA" w:rsidRPr="00DD5837" w:rsidRDefault="000107AA" w:rsidP="000107AA">
      <w:pPr>
        <w:pStyle w:val="ListNumber"/>
      </w:pPr>
      <w:r w:rsidRPr="00DD5837">
        <w:t xml:space="preserve">Details of the methods to be used in the proposed field verification studies for GDEs (refer </w:t>
      </w:r>
      <w:r w:rsidR="00376580" w:rsidRPr="00DD5837">
        <w:t xml:space="preserve">to </w:t>
      </w:r>
      <w:r w:rsidRPr="00DD5837">
        <w:t>Paragraph </w:t>
      </w:r>
      <w:fldSimple w:instr=" REF _Ref436318747 \r \h  \* MERGEFORMAT ">
        <w:r w:rsidR="00337BDF" w:rsidRPr="00DD5837">
          <w:t>8</w:t>
        </w:r>
      </w:fldSimple>
      <w:r w:rsidRPr="00DD5837">
        <w:t>) should be explicitly described within the project assessment documentation</w:t>
      </w:r>
      <w:r w:rsidR="003B57FD" w:rsidRPr="00DD5837">
        <w:t xml:space="preserve"> and applied to GDEs within the vicinity of each of the four proposed pits</w:t>
      </w:r>
      <w:r w:rsidRPr="00DD5837">
        <w:t xml:space="preserve">. </w:t>
      </w:r>
    </w:p>
    <w:p w:rsidR="00CF13B2" w:rsidRPr="00DD5837" w:rsidRDefault="008A5EED" w:rsidP="00D670ED">
      <w:pPr>
        <w:pStyle w:val="Heading5"/>
      </w:pPr>
      <w:r w:rsidRPr="00DD5837">
        <w:t>Numerical g</w:t>
      </w:r>
      <w:r w:rsidR="00CF13B2" w:rsidRPr="00DD5837">
        <w:t>roundwater modelling</w:t>
      </w:r>
    </w:p>
    <w:p w:rsidR="001B1F6F" w:rsidRPr="00DD5837" w:rsidRDefault="00C87F97" w:rsidP="003455B2">
      <w:pPr>
        <w:pStyle w:val="ListNumber"/>
      </w:pPr>
      <w:bookmarkStart w:id="13" w:name="_Ref436651413"/>
      <w:r w:rsidRPr="00DD5837">
        <w:t>In order to upgrade the current Pit X groundwater model, t</w:t>
      </w:r>
      <w:r w:rsidR="00F97134" w:rsidRPr="00DD5837">
        <w:t>he proponent</w:t>
      </w:r>
      <w:r w:rsidR="001B1F6F" w:rsidRPr="00DD5837">
        <w:t xml:space="preserve"> commits to:</w:t>
      </w:r>
      <w:bookmarkEnd w:id="13"/>
    </w:p>
    <w:p w:rsidR="005B281D" w:rsidRPr="00DD5837" w:rsidRDefault="000107AA" w:rsidP="001B1F6F">
      <w:pPr>
        <w:pStyle w:val="ListNumber2"/>
      </w:pPr>
      <w:r w:rsidRPr="00DD5837">
        <w:t xml:space="preserve">collect and </w:t>
      </w:r>
      <w:r w:rsidR="003455B2" w:rsidRPr="00DD5837">
        <w:t xml:space="preserve">use groundwater monitoring bore data </w:t>
      </w:r>
      <w:r w:rsidR="005B281D" w:rsidRPr="00DD5837">
        <w:t>for calibration;</w:t>
      </w:r>
    </w:p>
    <w:p w:rsidR="001B1F6F" w:rsidRPr="00DD5837" w:rsidRDefault="005B281D" w:rsidP="001B1F6F">
      <w:pPr>
        <w:pStyle w:val="ListNumber2"/>
      </w:pPr>
      <w:r w:rsidRPr="00DD5837">
        <w:t xml:space="preserve">incorporate </w:t>
      </w:r>
      <w:r w:rsidR="00F97134" w:rsidRPr="00DD5837">
        <w:t>results of GDE field verification studies</w:t>
      </w:r>
      <w:r w:rsidR="001B1F6F" w:rsidRPr="00DD5837">
        <w:t>;</w:t>
      </w:r>
    </w:p>
    <w:p w:rsidR="001B1F6F" w:rsidRPr="00DD5837" w:rsidRDefault="001B1F6F" w:rsidP="001B1F6F">
      <w:pPr>
        <w:pStyle w:val="ListNumber2"/>
      </w:pPr>
      <w:r w:rsidRPr="00DD5837">
        <w:t>simulate the effects of backfilling mine pits on recharge and groundwater flow;</w:t>
      </w:r>
      <w:r w:rsidR="00C87F97" w:rsidRPr="00DD5837">
        <w:t xml:space="preserve"> and</w:t>
      </w:r>
    </w:p>
    <w:p w:rsidR="001B1F6F" w:rsidRPr="00DD5837" w:rsidRDefault="00C87F97" w:rsidP="001B1F6F">
      <w:pPr>
        <w:pStyle w:val="ListNumber2"/>
      </w:pPr>
      <w:r w:rsidRPr="00DD5837">
        <w:t xml:space="preserve">undertake </w:t>
      </w:r>
      <w:r w:rsidR="001B1F6F" w:rsidRPr="00DD5837">
        <w:t>sensitivity analysis and uncerta</w:t>
      </w:r>
      <w:r w:rsidRPr="00DD5837">
        <w:t>inty analysis.</w:t>
      </w:r>
    </w:p>
    <w:p w:rsidR="006468DA" w:rsidRPr="00DD5837" w:rsidRDefault="006468DA" w:rsidP="006468DA">
      <w:pPr>
        <w:pStyle w:val="ListNumber"/>
      </w:pPr>
      <w:bookmarkStart w:id="14" w:name="_Ref437442676"/>
      <w:r w:rsidRPr="00DD5837">
        <w:t xml:space="preserve">The deficiencies identified in </w:t>
      </w:r>
      <w:r w:rsidR="00A56261" w:rsidRPr="00DD5837">
        <w:t>Paragraph</w:t>
      </w:r>
      <w:r w:rsidRPr="00DD5837">
        <w:t xml:space="preserve"> </w:t>
      </w:r>
      <w:fldSimple w:instr=" REF _Ref436318355 \r \h  \* MERGEFORMAT ">
        <w:r w:rsidR="00337BDF" w:rsidRPr="00DD5837">
          <w:t>5</w:t>
        </w:r>
      </w:fldSimple>
      <w:r w:rsidR="0064059F" w:rsidRPr="00DD5837">
        <w:t xml:space="preserve"> </w:t>
      </w:r>
      <w:r w:rsidR="008A5EED" w:rsidRPr="00DD5837">
        <w:t xml:space="preserve">and the commitments in </w:t>
      </w:r>
      <w:r w:rsidR="00A56261" w:rsidRPr="00DD5837">
        <w:t>Paragraph</w:t>
      </w:r>
      <w:r w:rsidR="008A5EED" w:rsidRPr="00DD5837">
        <w:t xml:space="preserve"> </w:t>
      </w:r>
      <w:fldSimple w:instr=" REF _Ref436651413 \r \h  \* MERGEFORMAT ">
        <w:r w:rsidR="00337BDF" w:rsidRPr="00DD5837">
          <w:t>17</w:t>
        </w:r>
      </w:fldSimple>
      <w:r w:rsidR="008A5EED" w:rsidRPr="00DD5837">
        <w:t xml:space="preserve"> </w:t>
      </w:r>
      <w:r w:rsidR="000107AA" w:rsidRPr="00DD5837">
        <w:t>should be</w:t>
      </w:r>
      <w:r w:rsidRPr="00DD5837">
        <w:t xml:space="preserve"> addressed in future revisions of the numerical groundwater model</w:t>
      </w:r>
      <w:r w:rsidR="003B57FD" w:rsidRPr="00DD5837">
        <w:t xml:space="preserve"> for Pit X</w:t>
      </w:r>
      <w:r w:rsidRPr="00DD5837">
        <w:t>.</w:t>
      </w:r>
      <w:bookmarkEnd w:id="14"/>
      <w:r w:rsidRPr="00DD5837">
        <w:t xml:space="preserve"> </w:t>
      </w:r>
    </w:p>
    <w:p w:rsidR="00DF6253" w:rsidRPr="00DD5837" w:rsidRDefault="007C0E95" w:rsidP="00950830">
      <w:pPr>
        <w:pStyle w:val="ListNumber"/>
      </w:pPr>
      <w:bookmarkStart w:id="15" w:name="_Ref437442680"/>
      <w:bookmarkStart w:id="16" w:name="_Ref437362274"/>
      <w:r w:rsidRPr="00DD5837">
        <w:t xml:space="preserve">Pits D, J and </w:t>
      </w:r>
      <w:r w:rsidR="0064059F" w:rsidRPr="00DD5837">
        <w:t xml:space="preserve">Z </w:t>
      </w:r>
      <w:r w:rsidR="003B57FD" w:rsidRPr="00DD5837">
        <w:t xml:space="preserve">also </w:t>
      </w:r>
      <w:r w:rsidR="0064059F" w:rsidRPr="00DD5837">
        <w:t xml:space="preserve">pose potential </w:t>
      </w:r>
      <w:r w:rsidR="00605C22" w:rsidRPr="00DD5837">
        <w:t>risks</w:t>
      </w:r>
      <w:r w:rsidR="0064059F" w:rsidRPr="00DD5837">
        <w:t xml:space="preserve"> to </w:t>
      </w:r>
      <w:r w:rsidR="00FC2CD6" w:rsidRPr="00DD5837">
        <w:t xml:space="preserve">water-dependent assets including </w:t>
      </w:r>
      <w:r w:rsidR="00605C22" w:rsidRPr="00DD5837">
        <w:t xml:space="preserve">groundwater-dependent </w:t>
      </w:r>
      <w:r w:rsidR="0064059F" w:rsidRPr="00DD5837">
        <w:t>vegetation</w:t>
      </w:r>
      <w:r w:rsidR="00605C22" w:rsidRPr="00DD5837">
        <w:t>. There are potential</w:t>
      </w:r>
      <w:r w:rsidR="0064059F" w:rsidRPr="00DD5837">
        <w:t xml:space="preserve"> cumulative impacts</w:t>
      </w:r>
      <w:r w:rsidR="00FC2CD6" w:rsidRPr="00DD5837">
        <w:t xml:space="preserve"> to groundwater</w:t>
      </w:r>
      <w:r w:rsidR="0064059F" w:rsidRPr="00DD5837">
        <w:t xml:space="preserve"> when consid</w:t>
      </w:r>
      <w:r w:rsidR="00605C22" w:rsidRPr="00DD5837">
        <w:t xml:space="preserve">ered with </w:t>
      </w:r>
      <w:r w:rsidRPr="00DD5837">
        <w:t xml:space="preserve">coal </w:t>
      </w:r>
      <w:r w:rsidR="00950830" w:rsidRPr="00DD5837">
        <w:t>mining</w:t>
      </w:r>
      <w:r w:rsidR="00F4621C" w:rsidRPr="00DD5837">
        <w:t xml:space="preserve"> at the existing Curragh mine, </w:t>
      </w:r>
      <w:r w:rsidR="003B57FD" w:rsidRPr="00DD5837">
        <w:t xml:space="preserve">as well as the nearby </w:t>
      </w:r>
      <w:r w:rsidR="00F4621C" w:rsidRPr="00DD5837">
        <w:t>Blackwater, Washpool and Jellinbah</w:t>
      </w:r>
      <w:r w:rsidR="003B57FD" w:rsidRPr="00DD5837">
        <w:t xml:space="preserve"> mining complexes</w:t>
      </w:r>
      <w:r w:rsidR="0064059F" w:rsidRPr="00DD5837">
        <w:t>.</w:t>
      </w:r>
      <w:bookmarkEnd w:id="15"/>
      <w:r w:rsidR="0064059F" w:rsidRPr="00DD5837">
        <w:t xml:space="preserve"> </w:t>
      </w:r>
    </w:p>
    <w:p w:rsidR="0064059F" w:rsidRPr="00DD5837" w:rsidRDefault="00D843E5" w:rsidP="00950830">
      <w:pPr>
        <w:pStyle w:val="ListNumber"/>
      </w:pPr>
      <w:bookmarkStart w:id="17" w:name="_Ref437442682"/>
      <w:r w:rsidRPr="00DD5837">
        <w:t>A</w:t>
      </w:r>
      <w:r w:rsidR="006A51B5" w:rsidRPr="00DD5837">
        <w:t xml:space="preserve">s described in Paragraph </w:t>
      </w:r>
      <w:fldSimple w:instr=" REF _Ref437414788 \r \h  \* MERGEFORMAT ">
        <w:r w:rsidR="00337BDF" w:rsidRPr="00DD5837">
          <w:t>2</w:t>
        </w:r>
      </w:fldSimple>
      <w:r w:rsidR="006A51B5" w:rsidRPr="00DD5837">
        <w:t>, th</w:t>
      </w:r>
      <w:r w:rsidR="00376580" w:rsidRPr="00DD5837">
        <w:t xml:space="preserve">e </w:t>
      </w:r>
      <w:r w:rsidR="008021AB" w:rsidRPr="00DD5837">
        <w:t xml:space="preserve">conclusions from the </w:t>
      </w:r>
      <w:r w:rsidR="00376580" w:rsidRPr="00DD5837">
        <w:t xml:space="preserve">proponent’s risk assessment </w:t>
      </w:r>
      <w:r w:rsidR="008021AB" w:rsidRPr="00DD5837">
        <w:t>were</w:t>
      </w:r>
      <w:r w:rsidR="006A51B5" w:rsidRPr="00DD5837">
        <w:t xml:space="preserve"> not supported by sufficient evide</w:t>
      </w:r>
      <w:r w:rsidR="00FF0B5C" w:rsidRPr="00DD5837">
        <w:t>nce</w:t>
      </w:r>
      <w:r w:rsidRPr="00DD5837">
        <w:t>. The risk</w:t>
      </w:r>
      <w:r w:rsidR="00FC2CD6" w:rsidRPr="00DD5837">
        <w:t xml:space="preserve"> assessment</w:t>
      </w:r>
      <w:r w:rsidR="00605C22" w:rsidRPr="00DD5837">
        <w:t xml:space="preserve"> </w:t>
      </w:r>
      <w:r w:rsidR="00DF6253" w:rsidRPr="00DD5837">
        <w:t>should be based on</w:t>
      </w:r>
      <w:r w:rsidR="00605C22" w:rsidRPr="00DD5837">
        <w:t xml:space="preserve"> a </w:t>
      </w:r>
      <w:r w:rsidR="008A5EED" w:rsidRPr="00DD5837">
        <w:t xml:space="preserve">numerical </w:t>
      </w:r>
      <w:r w:rsidR="00605C22" w:rsidRPr="00DD5837">
        <w:t xml:space="preserve">groundwater model which </w:t>
      </w:r>
      <w:r w:rsidR="005B281D" w:rsidRPr="00DD5837">
        <w:t xml:space="preserve">enables prediction of </w:t>
      </w:r>
      <w:r w:rsidR="00605C22" w:rsidRPr="00DD5837">
        <w:t xml:space="preserve">cumulative </w:t>
      </w:r>
      <w:r w:rsidR="00DF6253" w:rsidRPr="00DD5837">
        <w:t xml:space="preserve">impacts with </w:t>
      </w:r>
      <w:r w:rsidR="00800827" w:rsidRPr="00DD5837">
        <w:t xml:space="preserve">the </w:t>
      </w:r>
      <w:r w:rsidR="00DF6253" w:rsidRPr="00DD5837">
        <w:t>existing and proposed mining developments</w:t>
      </w:r>
      <w:r w:rsidRPr="00DD5837">
        <w:t xml:space="preserve"> described in Paragraph </w:t>
      </w:r>
      <w:fldSimple w:instr=" REF _Ref437442680 \r \h  \* MERGEFORMAT ">
        <w:r w:rsidR="00337BDF" w:rsidRPr="00DD5837">
          <w:t>19</w:t>
        </w:r>
      </w:fldSimple>
      <w:r w:rsidR="00605C22" w:rsidRPr="00DD5837">
        <w:t>.</w:t>
      </w:r>
      <w:r w:rsidR="00950830" w:rsidRPr="00DD5837">
        <w:t xml:space="preserve"> </w:t>
      </w:r>
      <w:bookmarkEnd w:id="16"/>
      <w:bookmarkEnd w:id="17"/>
      <w:r w:rsidR="00F032A8" w:rsidRPr="00DD5837">
        <w:t>A sensitivity and uncertainty analysis should be conducted on the numerical groundwater model. The model should be peer reviewed.</w:t>
      </w:r>
    </w:p>
    <w:p w:rsidR="00D071B8" w:rsidRPr="00DD5837" w:rsidRDefault="00D071B8" w:rsidP="00D071B8">
      <w:pPr>
        <w:pStyle w:val="Question"/>
      </w:pPr>
      <w:r w:rsidRPr="00DD5837">
        <w:t>Question 4: What does the Committee consider are the features of a monitoring and management framework that would address these uncertainties and risks?</w:t>
      </w:r>
    </w:p>
    <w:p w:rsidR="00D071B8" w:rsidRPr="00DD5837" w:rsidRDefault="00D071B8" w:rsidP="00D071B8">
      <w:pPr>
        <w:pStyle w:val="Heading4"/>
      </w:pPr>
      <w:r w:rsidRPr="00DD5837">
        <w:t>Response</w:t>
      </w:r>
    </w:p>
    <w:p w:rsidR="00F57BEA" w:rsidRPr="00DD5837" w:rsidRDefault="0061335F" w:rsidP="002F4647">
      <w:pPr>
        <w:pStyle w:val="ListNumber"/>
      </w:pPr>
      <w:r w:rsidRPr="00DD5837">
        <w:t>A monitoring and management</w:t>
      </w:r>
      <w:r w:rsidR="00160082" w:rsidRPr="00DD5837">
        <w:t xml:space="preserve"> framework needs to be appropriately targeted for </w:t>
      </w:r>
      <w:r w:rsidRPr="00DD5837">
        <w:t xml:space="preserve">future </w:t>
      </w:r>
      <w:r w:rsidR="00160082" w:rsidRPr="00DD5837">
        <w:t xml:space="preserve">stages in the </w:t>
      </w:r>
      <w:r w:rsidRPr="00DD5837">
        <w:t>proposed development</w:t>
      </w:r>
      <w:r w:rsidR="00160082" w:rsidRPr="00DD5837">
        <w:t>, including</w:t>
      </w:r>
      <w:r w:rsidRPr="00DD5837">
        <w:t>:</w:t>
      </w:r>
      <w:r w:rsidR="00160082" w:rsidRPr="00DD5837">
        <w:t xml:space="preserve"> establishing an appropriate baseline fo</w:t>
      </w:r>
      <w:r w:rsidRPr="00DD5837">
        <w:t>r impact assessment;</w:t>
      </w:r>
      <w:r w:rsidR="00160082" w:rsidRPr="00DD5837">
        <w:t xml:space="preserve"> then</w:t>
      </w:r>
      <w:r w:rsidRPr="00DD5837">
        <w:t>,</w:t>
      </w:r>
      <w:r w:rsidR="00160082" w:rsidRPr="00DD5837">
        <w:t xml:space="preserve"> once the imp</w:t>
      </w:r>
      <w:r w:rsidRPr="00DD5837">
        <w:t>acts can be reliably assessed,</w:t>
      </w:r>
      <w:r w:rsidR="00160082" w:rsidRPr="00DD5837">
        <w:t xml:space="preserve"> </w:t>
      </w:r>
      <w:r w:rsidR="00376580" w:rsidRPr="00DD5837">
        <w:t>supporting</w:t>
      </w:r>
      <w:r w:rsidR="00160082" w:rsidRPr="00DD5837">
        <w:t xml:space="preserve"> an adaptive management approach.</w:t>
      </w:r>
      <w:r w:rsidR="00F57BEA" w:rsidRPr="00DD5837">
        <w:t xml:space="preserve"> Commitments for surface and groundwater monitoring should be presented as part of a water monitoring plan and should be consistent with the National Wat</w:t>
      </w:r>
      <w:r w:rsidR="0079778E" w:rsidRPr="00DD5837">
        <w:t>er Quality Management Strategy</w:t>
      </w:r>
      <w:r w:rsidR="00A04F6C" w:rsidRPr="00DD5837">
        <w:t xml:space="preserve"> </w:t>
      </w:r>
      <w:r w:rsidR="00686AC4" w:rsidRPr="00DD5837">
        <w:fldChar w:fldCharType="begin"/>
      </w:r>
      <w:r w:rsidR="004929F5" w:rsidRPr="00DD5837">
        <w:instrText xml:space="preserve"> ADDIN EN.CITE &lt;EndNote&gt;&lt;Cite&gt;&lt;Author&gt;Anzecc/Armcanz&lt;/Author&gt;&lt;Year&gt;2000&lt;/Year&gt;&lt;RecNum&gt;32&lt;/RecNum&gt;&lt;DisplayText&gt;(ANZECC/ARMCANZ, 2000)&lt;/DisplayText&gt;&lt;record&gt;&lt;rec-number&gt;32&lt;/rec-number&gt;&lt;foreign-keys&gt;&lt;key app="EN" db-id="xz5vrd20mz9trjezvzzvf9fhsxvzatfrr59v"&gt;32&lt;/key&gt;&lt;/foreign-keys&gt;&lt;ref-type name="Report"&gt;27&lt;/ref-type&gt;&lt;contributors&gt;&lt;authors&gt;&lt;author&gt;ANZECC/ARMCANZ&lt;/author&gt;&lt;/authors&gt;&lt;/contributors&gt;&lt;titles&gt;&lt;title&gt;Australian Guidelines for Water Quality Monitoring and Reporting&lt;/title&gt;&lt;secondary-title&gt;National Water Quality Management Strategy (NWQMS)&lt;/secondary-title&gt;&lt;/titles&gt;&lt;number&gt;Report&lt;/number&gt;&lt;num-vols&gt;7&lt;/num-vols&gt;&lt;dates&gt;&lt;year&gt;2000&lt;/year&gt;&lt;/dates&gt;&lt;pub-location&gt;Canberra&lt;/pub-location&gt;&lt;publisher&gt;Australian and New Zealand Environment and Conservation Council and Agriculture and Resource Management Council of Australia and New Zealand.&lt;/publisher&gt;&lt;urls&gt;&lt;/urls&gt;&lt;/record&gt;&lt;/Cite&gt;&lt;/EndNote&gt;</w:instrText>
      </w:r>
      <w:r w:rsidR="00686AC4" w:rsidRPr="00DD5837">
        <w:fldChar w:fldCharType="separate"/>
      </w:r>
      <w:r w:rsidR="004929F5" w:rsidRPr="00DD5837">
        <w:rPr>
          <w:noProof/>
        </w:rPr>
        <w:t>(</w:t>
      </w:r>
      <w:hyperlink w:anchor="_ENREF_1" w:tooltip="ANZECC/ARMCANZ, 2000 #32" w:history="1">
        <w:r w:rsidR="00104D28" w:rsidRPr="00DD5837">
          <w:rPr>
            <w:noProof/>
          </w:rPr>
          <w:t>ANZECC/ARMCANZ, 2000</w:t>
        </w:r>
      </w:hyperlink>
      <w:r w:rsidR="004929F5" w:rsidRPr="00DD5837">
        <w:rPr>
          <w:noProof/>
        </w:rPr>
        <w:t>)</w:t>
      </w:r>
      <w:r w:rsidR="00686AC4" w:rsidRPr="00DD5837">
        <w:fldChar w:fldCharType="end"/>
      </w:r>
      <w:r w:rsidR="0079778E" w:rsidRPr="00DD5837">
        <w:t xml:space="preserve"> and the </w:t>
      </w:r>
      <w:r w:rsidR="00693B52" w:rsidRPr="00DD5837">
        <w:t xml:space="preserve">Water Quality Objectives for the </w:t>
      </w:r>
      <w:r w:rsidR="0079778E" w:rsidRPr="00DD5837">
        <w:t>Fitzroy River</w:t>
      </w:r>
      <w:r w:rsidR="00693B52" w:rsidRPr="00DD5837">
        <w:t xml:space="preserve"> </w:t>
      </w:r>
      <w:r w:rsidR="00686AC4" w:rsidRPr="00DD5837">
        <w:fldChar w:fldCharType="begin"/>
      </w:r>
      <w:r w:rsidR="004929F5" w:rsidRPr="00DD5837">
        <w:instrText xml:space="preserve"> ADDIN EN.CITE &lt;EndNote&gt;&lt;Cite&gt;&lt;Author&gt;DEHP&lt;/Author&gt;&lt;Year&gt;2011&lt;/Year&gt;&lt;RecNum&gt;1802&lt;/RecNum&gt;&lt;DisplayText&gt;(DEHP, 2011)&lt;/DisplayText&gt;&lt;record&gt;&lt;rec-number&gt;1802&lt;/rec-number&gt;&lt;foreign-keys&gt;&lt;key app="EN" db-id="xz5vrd20mz9trjezvzzvf9fhsxvzatfrr59v"&gt;1802&lt;/key&gt;&lt;/foreign-keys&gt;&lt;ref-type name="Report"&gt;27&lt;/ref-type&gt;&lt;contributors&gt;&lt;authors&gt;&lt;author&gt;DEHP&lt;/author&gt;&lt;/authors&gt;&lt;/contributors&gt;&lt;titles&gt;&lt;title&gt;Fitzroy River Sub-basin Environmental Values and Water Quality Objectives&lt;/title&gt;&lt;secondary-title&gt;Envionmental Protection (Water) Policy 2009&lt;/secondary-title&gt;&lt;alt-title&gt;Basin No. 130 (part), including all waters of the Fitzroy River Sub-basin&lt;/alt-title&gt;&lt;/titles&gt;&lt;dates&gt;&lt;year&gt;2011&lt;/year&gt;&lt;pub-dates&gt;&lt;date&gt;Republished July 2013&lt;/date&gt;&lt;/pub-dates&gt;&lt;/dates&gt;&lt;publisher&gt;Queensland Goverment&lt;/publisher&gt;&lt;urls&gt;&lt;related-urls&gt;&lt;url&gt;https://www.ehp.qld.gov.au/water/policy/pdf/plans/fitzroy_fitzroy_river_wqo_290911.pdf&lt;/url&gt;&lt;/related-urls&gt;&lt;/urls&gt;&lt;/record&gt;&lt;/Cite&gt;&lt;/EndNote&gt;</w:instrText>
      </w:r>
      <w:r w:rsidR="00686AC4" w:rsidRPr="00DD5837">
        <w:fldChar w:fldCharType="separate"/>
      </w:r>
      <w:r w:rsidR="004929F5" w:rsidRPr="00DD5837">
        <w:rPr>
          <w:noProof/>
        </w:rPr>
        <w:t>(</w:t>
      </w:r>
      <w:hyperlink w:anchor="_ENREF_2" w:tooltip="DEHP, 2011 #1802" w:history="1">
        <w:r w:rsidR="00104D28" w:rsidRPr="00DD5837">
          <w:rPr>
            <w:noProof/>
          </w:rPr>
          <w:t>DEHP, 2011</w:t>
        </w:r>
      </w:hyperlink>
      <w:r w:rsidR="004929F5" w:rsidRPr="00DD5837">
        <w:rPr>
          <w:noProof/>
        </w:rPr>
        <w:t>)</w:t>
      </w:r>
      <w:r w:rsidR="00686AC4" w:rsidRPr="00DD5837">
        <w:fldChar w:fldCharType="end"/>
      </w:r>
      <w:r w:rsidR="00693B52" w:rsidRPr="00DD5837">
        <w:t>.</w:t>
      </w:r>
    </w:p>
    <w:p w:rsidR="00D071B8" w:rsidRPr="00DD5837" w:rsidRDefault="00D071B8" w:rsidP="00D071B8">
      <w:pPr>
        <w:pStyle w:val="Heading4"/>
      </w:pPr>
      <w:r w:rsidRPr="00DD5837">
        <w:lastRenderedPageBreak/>
        <w:t>Explanation</w:t>
      </w:r>
    </w:p>
    <w:p w:rsidR="00CF13B2" w:rsidRPr="00DD5837" w:rsidRDefault="00CF13B2" w:rsidP="00D670ED">
      <w:pPr>
        <w:pStyle w:val="Heading5"/>
      </w:pPr>
      <w:r w:rsidRPr="00DD5837">
        <w:t>Surface water</w:t>
      </w:r>
    </w:p>
    <w:p w:rsidR="00FE6F7E" w:rsidRPr="00DD5837" w:rsidRDefault="00B6684B" w:rsidP="008F2E99">
      <w:pPr>
        <w:pStyle w:val="ListNumber"/>
      </w:pPr>
      <w:r w:rsidRPr="00DD5837">
        <w:t>To ensure that potential impacts to water resources are identified, p</w:t>
      </w:r>
      <w:r w:rsidR="003F131C" w:rsidRPr="00DD5837">
        <w:t>roposed extensions to the</w:t>
      </w:r>
      <w:r w:rsidR="004749E5" w:rsidRPr="00DD5837">
        <w:t xml:space="preserve"> </w:t>
      </w:r>
      <w:r w:rsidR="00F57BEA" w:rsidRPr="00DD5837">
        <w:t xml:space="preserve">surface water </w:t>
      </w:r>
      <w:r w:rsidR="004749E5" w:rsidRPr="00DD5837">
        <w:t xml:space="preserve">monitoring </w:t>
      </w:r>
      <w:r w:rsidR="003F131C" w:rsidRPr="00DD5837">
        <w:t>network</w:t>
      </w:r>
      <w:r w:rsidR="004749E5" w:rsidRPr="00DD5837">
        <w:t xml:space="preserve"> </w:t>
      </w:r>
      <w:r w:rsidR="003479A1" w:rsidRPr="00DD5837">
        <w:t>need to be</w:t>
      </w:r>
      <w:r w:rsidR="00F57BEA" w:rsidRPr="00DD5837">
        <w:t xml:space="preserve"> presented</w:t>
      </w:r>
      <w:r w:rsidR="000C38FE" w:rsidRPr="00DD5837">
        <w:t xml:space="preserve"> within the project assessment documentation</w:t>
      </w:r>
      <w:r w:rsidR="00F57BEA" w:rsidRPr="00DD5837">
        <w:t xml:space="preserve">. </w:t>
      </w:r>
      <w:r w:rsidR="003F131C" w:rsidRPr="00DD5837">
        <w:t>Surface water</w:t>
      </w:r>
      <w:r w:rsidR="00F57BEA" w:rsidRPr="00DD5837">
        <w:t xml:space="preserve"> quality and quantity monitoring locations</w:t>
      </w:r>
      <w:r w:rsidR="003F131C" w:rsidRPr="00DD5837">
        <w:t xml:space="preserve"> should be co</w:t>
      </w:r>
      <w:r w:rsidR="00D70C98" w:rsidRPr="00DD5837">
        <w:t>-</w:t>
      </w:r>
      <w:r w:rsidR="003F131C" w:rsidRPr="00DD5837">
        <w:t>located and additional locations</w:t>
      </w:r>
      <w:r w:rsidR="00F57BEA" w:rsidRPr="00DD5837">
        <w:t xml:space="preserve"> </w:t>
      </w:r>
      <w:r w:rsidR="003F131C" w:rsidRPr="00DD5837">
        <w:t xml:space="preserve">installed </w:t>
      </w:r>
      <w:r w:rsidR="00F57BEA" w:rsidRPr="00DD5837">
        <w:t xml:space="preserve">to </w:t>
      </w:r>
      <w:r w:rsidR="00FB6AEC" w:rsidRPr="00DD5837">
        <w:t xml:space="preserve">the </w:t>
      </w:r>
      <w:r w:rsidR="00F57BEA" w:rsidRPr="00DD5837">
        <w:t xml:space="preserve">west of </w:t>
      </w:r>
      <w:r w:rsidR="003F131C" w:rsidRPr="00DD5837">
        <w:t xml:space="preserve">the </w:t>
      </w:r>
      <w:r w:rsidR="00F57BEA" w:rsidRPr="00DD5837">
        <w:t xml:space="preserve">project area on Bonnie Doon Creek </w:t>
      </w:r>
      <w:r w:rsidR="003479A1" w:rsidRPr="00DD5837">
        <w:t>and</w:t>
      </w:r>
      <w:r w:rsidR="00F57BEA" w:rsidRPr="00DD5837">
        <w:t xml:space="preserve"> Minnie Creek</w:t>
      </w:r>
      <w:r w:rsidR="00B12E1E" w:rsidRPr="00DD5837">
        <w:t>,</w:t>
      </w:r>
      <w:r w:rsidR="003479A1" w:rsidRPr="00DD5837">
        <w:t xml:space="preserve"> both of </w:t>
      </w:r>
      <w:r w:rsidR="00F57BEA" w:rsidRPr="00DD5837">
        <w:t>which are proposed to be diverted.</w:t>
      </w:r>
    </w:p>
    <w:p w:rsidR="004F5A1A" w:rsidRPr="00DD5837" w:rsidRDefault="004F5A1A" w:rsidP="004F5A1A">
      <w:pPr>
        <w:pStyle w:val="ListNumber"/>
      </w:pPr>
      <w:r w:rsidRPr="00DD5837">
        <w:t xml:space="preserve">Installation of a flow gauging station on </w:t>
      </w:r>
      <w:r w:rsidR="00FB6AEC" w:rsidRPr="00DD5837">
        <w:t xml:space="preserve">the </w:t>
      </w:r>
      <w:r w:rsidRPr="00DD5837">
        <w:t>Mackenzie River immediately downstream of the Curragh mine would assist in determining any loss of surface flow within the reach downstream of Bedford weir under existing conditions and as a result of the proposed project.</w:t>
      </w:r>
    </w:p>
    <w:p w:rsidR="008F2E99" w:rsidRPr="00DD5837" w:rsidRDefault="007C52F3" w:rsidP="008F2E99">
      <w:pPr>
        <w:pStyle w:val="ListNumber"/>
      </w:pPr>
      <w:r w:rsidRPr="00DD5837">
        <w:t>The monitoring regime for proposed diversions would benefit from addition</w:t>
      </w:r>
      <w:r w:rsidR="00693B52" w:rsidRPr="00DD5837">
        <w:t xml:space="preserve"> of</w:t>
      </w:r>
      <w:r w:rsidRPr="00DD5837">
        <w:t xml:space="preserve"> </w:t>
      </w:r>
      <w:r w:rsidR="00D70C98" w:rsidRPr="00DD5837">
        <w:t>w</w:t>
      </w:r>
      <w:r w:rsidR="003F131C" w:rsidRPr="00DD5837">
        <w:t xml:space="preserve">ater quality </w:t>
      </w:r>
      <w:r w:rsidRPr="00DD5837">
        <w:t>parameters</w:t>
      </w:r>
      <w:r w:rsidR="00693B52" w:rsidRPr="00DD5837">
        <w:t xml:space="preserve"> (</w:t>
      </w:r>
      <w:r w:rsidR="00EC3F66" w:rsidRPr="00DD5837">
        <w:t xml:space="preserve">including </w:t>
      </w:r>
      <w:r w:rsidR="00693B52" w:rsidRPr="00DD5837">
        <w:t>pH, electrical cond</w:t>
      </w:r>
      <w:r w:rsidR="00EC3F66" w:rsidRPr="00DD5837">
        <w:t>uctivity and</w:t>
      </w:r>
      <w:r w:rsidR="00693B52" w:rsidRPr="00DD5837">
        <w:t xml:space="preserve"> </w:t>
      </w:r>
      <w:r w:rsidR="00376580" w:rsidRPr="00DD5837">
        <w:t>total suspended solids</w:t>
      </w:r>
      <w:r w:rsidR="00EC3F66" w:rsidRPr="00DD5837">
        <w:t>)</w:t>
      </w:r>
      <w:r w:rsidR="008F2E99" w:rsidRPr="00DD5837">
        <w:t>.</w:t>
      </w:r>
      <w:r w:rsidR="00D70C98" w:rsidRPr="00DD5837">
        <w:t xml:space="preserve"> </w:t>
      </w:r>
      <w:r w:rsidRPr="00DD5837">
        <w:t>The frequency of flow monitoring should be</w:t>
      </w:r>
      <w:r w:rsidR="00D70C98" w:rsidRPr="00DD5837">
        <w:t xml:space="preserve"> similar to</w:t>
      </w:r>
      <w:r w:rsidR="00921D8E" w:rsidRPr="00DD5837">
        <w:t xml:space="preserve"> that of</w:t>
      </w:r>
      <w:r w:rsidR="00D70C98" w:rsidRPr="00DD5837">
        <w:t xml:space="preserve"> the existing location on the Blackwater Creek diversion </w:t>
      </w:r>
      <w:r w:rsidRPr="00DD5837">
        <w:t>to ensure that all flow events are recorded</w:t>
      </w:r>
      <w:r w:rsidR="00D70C98" w:rsidRPr="00DD5837">
        <w:t>.</w:t>
      </w:r>
    </w:p>
    <w:p w:rsidR="00CF13B2" w:rsidRPr="00DD5837" w:rsidRDefault="00CF13B2" w:rsidP="00D670ED">
      <w:pPr>
        <w:pStyle w:val="Heading5"/>
      </w:pPr>
      <w:r w:rsidRPr="00DD5837">
        <w:t>Groundwater</w:t>
      </w:r>
      <w:r w:rsidR="009A0708" w:rsidRPr="00DD5837">
        <w:t xml:space="preserve"> and groundwater-</w:t>
      </w:r>
      <w:r w:rsidR="0053261B" w:rsidRPr="00DD5837">
        <w:t>dependent ecosystems</w:t>
      </w:r>
    </w:p>
    <w:p w:rsidR="00694D1F" w:rsidRPr="00DD5837" w:rsidRDefault="00694D1F" w:rsidP="003455B2">
      <w:pPr>
        <w:pStyle w:val="ListNumber"/>
      </w:pPr>
      <w:r w:rsidRPr="00DD5837">
        <w:t>The IESC considers that:</w:t>
      </w:r>
    </w:p>
    <w:p w:rsidR="005B281D" w:rsidRPr="00DD5837" w:rsidRDefault="005B281D" w:rsidP="005B281D">
      <w:pPr>
        <w:pStyle w:val="ListNumber2"/>
      </w:pPr>
      <w:r w:rsidRPr="00DD5837">
        <w:t>a detailed description of the proposed baseline monitoring programme should be provided within the project assessment documentation, including</w:t>
      </w:r>
      <w:r w:rsidR="00A75014" w:rsidRPr="00DD5837">
        <w:t>:</w:t>
      </w:r>
      <w:r w:rsidRPr="00DD5837">
        <w:t xml:space="preserve"> how data will be incorporated into the numerical groundwater model</w:t>
      </w:r>
      <w:r w:rsidR="00A75014" w:rsidRPr="00DD5837">
        <w:t>s</w:t>
      </w:r>
      <w:r w:rsidRPr="00DD5837">
        <w:t xml:space="preserve"> </w:t>
      </w:r>
      <w:r w:rsidR="00A75014" w:rsidRPr="00DD5837">
        <w:t xml:space="preserve">for Pit X and cumulative impacts; </w:t>
      </w:r>
      <w:r w:rsidRPr="00DD5837">
        <w:t>and how the baseline network will be transitioned for use during operations;</w:t>
      </w:r>
    </w:p>
    <w:p w:rsidR="00FE6F7E" w:rsidRPr="00DD5837" w:rsidRDefault="00FE6F7E" w:rsidP="00694D1F">
      <w:pPr>
        <w:pStyle w:val="ListNumber2"/>
      </w:pPr>
      <w:r w:rsidRPr="00DD5837">
        <w:t>target formations for proposed monitoring bores should be described;</w:t>
      </w:r>
    </w:p>
    <w:p w:rsidR="003455B2" w:rsidRPr="00DD5837" w:rsidRDefault="00984EF6" w:rsidP="00694D1F">
      <w:pPr>
        <w:pStyle w:val="ListNumber2"/>
      </w:pPr>
      <w:r w:rsidRPr="00DD5837">
        <w:t xml:space="preserve">monitoring </w:t>
      </w:r>
      <w:r w:rsidR="003455B2" w:rsidRPr="00DD5837">
        <w:t xml:space="preserve">bores </w:t>
      </w:r>
      <w:r w:rsidR="00694D1F" w:rsidRPr="00DD5837">
        <w:t>proposed to better understand GDEs should be</w:t>
      </w:r>
      <w:r w:rsidR="003455B2" w:rsidRPr="00DD5837">
        <w:t xml:space="preserve"> nested – </w:t>
      </w:r>
      <w:r w:rsidR="00694D1F" w:rsidRPr="00DD5837">
        <w:t>both at the water table</w:t>
      </w:r>
      <w:r w:rsidR="003455B2" w:rsidRPr="00DD5837">
        <w:t xml:space="preserve"> and underlying confined or semi-conf</w:t>
      </w:r>
      <w:r w:rsidR="0053261B" w:rsidRPr="00DD5837">
        <w:t>ined strata;</w:t>
      </w:r>
      <w:r w:rsidR="005B281D" w:rsidRPr="00DD5837">
        <w:t xml:space="preserve"> and</w:t>
      </w:r>
    </w:p>
    <w:p w:rsidR="00694D1F" w:rsidRPr="00DD5837" w:rsidRDefault="00984EF6" w:rsidP="00694D1F">
      <w:pPr>
        <w:pStyle w:val="ListNumber2"/>
      </w:pPr>
      <w:r w:rsidRPr="00DD5837">
        <w:t xml:space="preserve">monitoring </w:t>
      </w:r>
      <w:r w:rsidR="0053261B" w:rsidRPr="00DD5837">
        <w:t xml:space="preserve">bores should be sampled </w:t>
      </w:r>
      <w:r w:rsidR="00694D1F" w:rsidRPr="00DD5837">
        <w:t>more frequent</w:t>
      </w:r>
      <w:r w:rsidRPr="00DD5837">
        <w:t>ly</w:t>
      </w:r>
      <w:r w:rsidR="00694D1F" w:rsidRPr="00DD5837">
        <w:t xml:space="preserve"> (at least monthly) </w:t>
      </w:r>
      <w:r w:rsidRPr="00DD5837">
        <w:t xml:space="preserve">during baseline </w:t>
      </w:r>
      <w:r w:rsidR="005B281D" w:rsidRPr="00DD5837">
        <w:t xml:space="preserve">data </w:t>
      </w:r>
      <w:r w:rsidRPr="00DD5837">
        <w:t xml:space="preserve">collection and operations </w:t>
      </w:r>
      <w:r w:rsidR="00694D1F" w:rsidRPr="00DD5837">
        <w:t xml:space="preserve">to </w:t>
      </w:r>
      <w:r w:rsidRPr="00DD5837">
        <w:t xml:space="preserve">better </w:t>
      </w:r>
      <w:r w:rsidR="00694D1F" w:rsidRPr="00DD5837">
        <w:t>understand temporal variation in s</w:t>
      </w:r>
      <w:r w:rsidR="0053261B" w:rsidRPr="00DD5837">
        <w:t>urface</w:t>
      </w:r>
      <w:r w:rsidR="00187C21" w:rsidRPr="00DD5837">
        <w:t xml:space="preserve"> water</w:t>
      </w:r>
      <w:r w:rsidR="005B281D" w:rsidRPr="00DD5837">
        <w:t>-groundwater interactions.</w:t>
      </w:r>
    </w:p>
    <w:p w:rsidR="00D071B8" w:rsidRPr="00DD5837" w:rsidRDefault="00D071B8" w:rsidP="00D071B8">
      <w:pPr>
        <w:pStyle w:val="Question"/>
      </w:pPr>
      <w:r w:rsidRPr="00DD5837">
        <w:t xml:space="preserve">Question 5: In addition to those identified by the proponent in the draft </w:t>
      </w:r>
      <w:bookmarkStart w:id="18" w:name="OLE_LINK1"/>
      <w:r w:rsidRPr="00DD5837">
        <w:t xml:space="preserve">Environmental Authority </w:t>
      </w:r>
      <w:bookmarkEnd w:id="18"/>
      <w:r w:rsidRPr="00DD5837">
        <w:t>for the project, are additional measures and commitments required to mitigate and manage impacts to water resources and water-dependent assets?</w:t>
      </w:r>
    </w:p>
    <w:p w:rsidR="00D071B8" w:rsidRPr="00DD5837" w:rsidRDefault="00D071B8" w:rsidP="00D071B8">
      <w:pPr>
        <w:pStyle w:val="Heading4"/>
      </w:pPr>
      <w:r w:rsidRPr="00DD5837">
        <w:t>Response</w:t>
      </w:r>
    </w:p>
    <w:p w:rsidR="00160082" w:rsidRPr="00DD5837" w:rsidRDefault="00800827" w:rsidP="00160082">
      <w:pPr>
        <w:pStyle w:val="ListNumber"/>
      </w:pPr>
      <w:r w:rsidRPr="00DD5837">
        <w:t xml:space="preserve">The IESC is unable to provide detailed </w:t>
      </w:r>
      <w:r w:rsidR="00B12E1E" w:rsidRPr="00DD5837">
        <w:t>advice</w:t>
      </w:r>
      <w:r w:rsidR="00160082" w:rsidRPr="00DD5837">
        <w:t xml:space="preserve"> on </w:t>
      </w:r>
      <w:r w:rsidRPr="00DD5837">
        <w:t>the effectiveness</w:t>
      </w:r>
      <w:r w:rsidR="00B12E1E" w:rsidRPr="00DD5837">
        <w:t xml:space="preserve"> of </w:t>
      </w:r>
      <w:r w:rsidR="00160082" w:rsidRPr="00DD5837">
        <w:t>mitigation and management</w:t>
      </w:r>
      <w:r w:rsidR="003C409C" w:rsidRPr="00DD5837">
        <w:t xml:space="preserve"> measures</w:t>
      </w:r>
      <w:r w:rsidR="00127784" w:rsidRPr="00DD5837">
        <w:t xml:space="preserve"> at this stage</w:t>
      </w:r>
      <w:r w:rsidR="003F209F" w:rsidRPr="00DD5837">
        <w:t xml:space="preserve"> as potential impacts are uncertain</w:t>
      </w:r>
      <w:r w:rsidR="00160082" w:rsidRPr="00DD5837">
        <w:t xml:space="preserve">. </w:t>
      </w:r>
      <w:r w:rsidRPr="00DD5837">
        <w:t xml:space="preserve">Some general advice is included in the explanation below. </w:t>
      </w:r>
      <w:r w:rsidR="003C409C" w:rsidRPr="00DD5837">
        <w:t xml:space="preserve">Once impacts have been assessed, mitigation and management measures </w:t>
      </w:r>
      <w:r w:rsidR="003479A1" w:rsidRPr="00DD5837">
        <w:t xml:space="preserve">associated with the existing operations </w:t>
      </w:r>
      <w:r w:rsidR="003C409C" w:rsidRPr="00DD5837">
        <w:t>should be reviewed and updated.</w:t>
      </w:r>
      <w:r w:rsidR="00127784" w:rsidRPr="00DD5837">
        <w:t xml:space="preserve"> </w:t>
      </w:r>
    </w:p>
    <w:p w:rsidR="00D071B8" w:rsidRPr="00DD5837" w:rsidRDefault="00D071B8" w:rsidP="00D071B8">
      <w:pPr>
        <w:pStyle w:val="Heading4"/>
      </w:pPr>
      <w:r w:rsidRPr="00DD5837">
        <w:lastRenderedPageBreak/>
        <w:t>Explanation</w:t>
      </w:r>
    </w:p>
    <w:p w:rsidR="009249E5" w:rsidRPr="00DD5837" w:rsidRDefault="009249E5" w:rsidP="009249E5">
      <w:pPr>
        <w:pStyle w:val="Heading5"/>
      </w:pPr>
      <w:r w:rsidRPr="00DD5837">
        <w:t>Mitigation and management</w:t>
      </w:r>
    </w:p>
    <w:p w:rsidR="009249E5" w:rsidRPr="00DD5837" w:rsidRDefault="009249E5" w:rsidP="009249E5">
      <w:pPr>
        <w:pStyle w:val="ListNumber"/>
      </w:pPr>
      <w:r w:rsidRPr="00DD5837">
        <w:t xml:space="preserve">Management plans should include </w:t>
      </w:r>
      <w:r w:rsidR="00B12E1E" w:rsidRPr="00DD5837">
        <w:t>a series of trigger</w:t>
      </w:r>
      <w:r w:rsidR="00FB6AEC" w:rsidRPr="00DD5837">
        <w:t xml:space="preserve"> levels</w:t>
      </w:r>
      <w:r w:rsidRPr="00DD5837">
        <w:t xml:space="preserve"> (early warning/investigation, mitigation/management and cease work) and associated response actions, to </w:t>
      </w:r>
      <w:r w:rsidR="00E8193E" w:rsidRPr="00DD5837">
        <w:t>allow for adaptive management</w:t>
      </w:r>
      <w:r w:rsidR="00376580" w:rsidRPr="00DD5837">
        <w:t xml:space="preserve"> based on identified environmental objectives</w:t>
      </w:r>
      <w:r w:rsidRPr="00DD5837">
        <w:t xml:space="preserve">. </w:t>
      </w:r>
      <w:r w:rsidR="004F5A1A" w:rsidRPr="00DD5837">
        <w:t xml:space="preserve">Cease-work triggers should be defined based on maximum acceptable limits for impacts to water resources or water-related assets, such as GDEs and the Mackenzie River. </w:t>
      </w:r>
      <w:r w:rsidRPr="00DD5837">
        <w:t xml:space="preserve">The </w:t>
      </w:r>
      <w:r w:rsidR="004F5A1A" w:rsidRPr="00DD5837">
        <w:t xml:space="preserve">proponent’s </w:t>
      </w:r>
      <w:r w:rsidRPr="00DD5837">
        <w:t xml:space="preserve">proposed approach of further monitoring, investigations and expert studies </w:t>
      </w:r>
      <w:r w:rsidR="00800827" w:rsidRPr="00DD5837">
        <w:t>may not enable</w:t>
      </w:r>
      <w:r w:rsidRPr="00DD5837">
        <w:t xml:space="preserve"> </w:t>
      </w:r>
      <w:r w:rsidR="00800827" w:rsidRPr="00DD5837">
        <w:t xml:space="preserve">impacts to be </w:t>
      </w:r>
      <w:r w:rsidRPr="00DD5837">
        <w:t xml:space="preserve">effectively mitigated or managed. </w:t>
      </w:r>
    </w:p>
    <w:p w:rsidR="00FB6AEC" w:rsidRPr="00DD5837" w:rsidRDefault="00FB6AEC" w:rsidP="00FB6AEC">
      <w:pPr>
        <w:pStyle w:val="Heading5"/>
      </w:pPr>
      <w:r w:rsidRPr="00DD5837">
        <w:t>Stream diversions</w:t>
      </w:r>
    </w:p>
    <w:p w:rsidR="00FB6AEC" w:rsidRPr="00DD5837" w:rsidRDefault="00FB6AEC" w:rsidP="00FB6AEC">
      <w:pPr>
        <w:pStyle w:val="ListNumber"/>
      </w:pPr>
      <w:bookmarkStart w:id="19" w:name="_Ref436395989"/>
      <w:r w:rsidRPr="00DD5837">
        <w:t>Detailed design and assessment of the proposed stream diversions should be undertaken. In particular:</w:t>
      </w:r>
      <w:bookmarkEnd w:id="19"/>
    </w:p>
    <w:p w:rsidR="00FB6AEC" w:rsidRPr="00DD5837" w:rsidRDefault="00FB6AEC" w:rsidP="00FB6AEC">
      <w:pPr>
        <w:pStyle w:val="ListNumber2"/>
      </w:pPr>
      <w:r w:rsidRPr="00DD5837">
        <w:t xml:space="preserve">The potential impacts of increases in peak flood levels in Minnie Creek should be assessed and minimised. </w:t>
      </w:r>
    </w:p>
    <w:p w:rsidR="00FB6AEC" w:rsidRPr="00DD5837" w:rsidRDefault="00FB6AEC" w:rsidP="00FB6AEC">
      <w:pPr>
        <w:pStyle w:val="ListNumber2"/>
      </w:pPr>
      <w:r w:rsidRPr="00DD5837">
        <w:t xml:space="preserve">Diversions should be constructed offline and not </w:t>
      </w:r>
      <w:r w:rsidR="00F032A8" w:rsidRPr="00DD5837">
        <w:t xml:space="preserve">be </w:t>
      </w:r>
      <w:r w:rsidRPr="00DD5837">
        <w:t>used for at least one wet season until the works have stabilised and vegetation has established.</w:t>
      </w:r>
    </w:p>
    <w:p w:rsidR="00EC3F66" w:rsidRPr="00DD5837" w:rsidRDefault="00B12E1E" w:rsidP="00FB6AEC">
      <w:pPr>
        <w:pStyle w:val="ListNumber2"/>
      </w:pPr>
      <w:r w:rsidRPr="00DD5837">
        <w:t>The effect of proposed stream diversions on alluvial groundwater flow paths and the water regime for nearby GDEs should be considered.</w:t>
      </w:r>
    </w:p>
    <w:p w:rsidR="00EC3F66" w:rsidRPr="00DD5837" w:rsidRDefault="00B12E1E" w:rsidP="00FB6AEC">
      <w:pPr>
        <w:pStyle w:val="ListNumber2"/>
      </w:pPr>
      <w:r w:rsidRPr="00DD5837">
        <w:t xml:space="preserve">The </w:t>
      </w:r>
      <w:r w:rsidR="00E73C67" w:rsidRPr="00DD5837">
        <w:t xml:space="preserve">potential </w:t>
      </w:r>
      <w:r w:rsidRPr="00DD5837">
        <w:t>transport of sediments from stream diversions downstream into the Mackenzie River</w:t>
      </w:r>
      <w:r w:rsidR="00E73C67" w:rsidRPr="00DD5837">
        <w:t xml:space="preserve"> should be assessed, as these sediments may affect habitat for the Fitzroy River Turtle and White-throated Snapping Turtle </w:t>
      </w:r>
      <w:r w:rsidR="00686AC4" w:rsidRPr="00DD5837">
        <w:fldChar w:fldCharType="begin"/>
      </w:r>
      <w:r w:rsidR="004929F5" w:rsidRPr="00DD5837">
        <w:instrText xml:space="preserve"> ADDIN EN.CITE &lt;EndNote&gt;&lt;Cite&gt;&lt;Author&gt;GHD&lt;/Author&gt;&lt;Year&gt;2015&lt;/Year&gt;&lt;RecNum&gt;1803&lt;/RecNum&gt;&lt;DisplayText&gt;(GHD, 2015)&lt;/DisplayText&gt;&lt;record&gt;&lt;rec-number&gt;1803&lt;/rec-number&gt;&lt;foreign-keys&gt;&lt;key app="EN" db-id="xz5vrd20mz9trjezvzzvf9fhsxvzatfrr59v"&gt;1803&lt;/key&gt;&lt;/foreign-keys&gt;&lt;ref-type name="Report"&gt;27&lt;/ref-type&gt;&lt;contributors&gt;&lt;authors&gt;&lt;author&gt;GHD&lt;/author&gt;&lt;/authors&gt;&lt;/contributors&gt;&lt;titles&gt;&lt;title&gt;&lt;style face="normal" font="default" size="100%"&gt;Appendix M Fitzroy River Turtle (&lt;/style&gt;&lt;style face="italic" font="default" size="100%"&gt;Rheodytes leukops&lt;/style&gt;&lt;style face="normal" font="default" size="100%"&gt;) species management program&lt;/style&gt;&lt;/title&gt;&lt;secondary-title&gt;Lower Fitzroy Infrastructure Project&lt;/secondary-title&gt;&lt;/titles&gt;&lt;dates&gt;&lt;year&gt;2015&lt;/year&gt;&lt;/dates&gt;&lt;publisher&gt;Report for Gladstone Area Water Board and Sunwater&lt;/publisher&gt;&lt;urls&gt;&lt;related-urls&gt;&lt;url&gt;http://eisdocs.dsdip.qld.gov.au/Lower%20Fitzroy%20River%20Infrastructure/EIS/Volume%203/V3%20Appendix%20M%20Fitzroy%20River%20turtle%20(Rheodytes%20leukops)%20species%20management%20program/vol3-app-m-fitzroy-river-turtle-species-management-program-jun15.pdf&lt;/url&gt;&lt;/related-urls&gt;&lt;/urls&gt;&lt;/record&gt;&lt;/Cite&gt;&lt;/EndNote&gt;</w:instrText>
      </w:r>
      <w:r w:rsidR="00686AC4" w:rsidRPr="00DD5837">
        <w:fldChar w:fldCharType="separate"/>
      </w:r>
      <w:r w:rsidR="004929F5" w:rsidRPr="00DD5837">
        <w:rPr>
          <w:noProof/>
        </w:rPr>
        <w:t>(</w:t>
      </w:r>
      <w:hyperlink w:anchor="_ENREF_4" w:tooltip="GHD, 2015 #1803" w:history="1">
        <w:r w:rsidR="00104D28" w:rsidRPr="00DD5837">
          <w:rPr>
            <w:noProof/>
          </w:rPr>
          <w:t>GHD, 2015</w:t>
        </w:r>
      </w:hyperlink>
      <w:r w:rsidR="004929F5" w:rsidRPr="00DD5837">
        <w:rPr>
          <w:noProof/>
        </w:rPr>
        <w:t>)</w:t>
      </w:r>
      <w:r w:rsidR="00686AC4" w:rsidRPr="00DD5837">
        <w:fldChar w:fldCharType="end"/>
      </w:r>
      <w:r w:rsidR="00E73C67" w:rsidRPr="00DD5837">
        <w:t>.</w:t>
      </w:r>
    </w:p>
    <w:p w:rsidR="00C3227B" w:rsidRPr="00DD5837" w:rsidRDefault="003C409C" w:rsidP="00C3227B">
      <w:pPr>
        <w:pStyle w:val="Heading5"/>
      </w:pPr>
      <w:r w:rsidRPr="00DD5837">
        <w:t>Mine-affected</w:t>
      </w:r>
      <w:r w:rsidR="00864975" w:rsidRPr="00DD5837">
        <w:t xml:space="preserve"> water </w:t>
      </w:r>
      <w:r w:rsidRPr="00DD5837">
        <w:t>releases</w:t>
      </w:r>
    </w:p>
    <w:p w:rsidR="007213EF" w:rsidRPr="00DD5837" w:rsidRDefault="003C409C" w:rsidP="007213EF">
      <w:pPr>
        <w:pStyle w:val="ListNumber"/>
      </w:pPr>
      <w:bookmarkStart w:id="20" w:name="_Ref436395999"/>
      <w:r w:rsidRPr="00DD5837">
        <w:t xml:space="preserve">An updated site water balance, based on revised </w:t>
      </w:r>
      <w:r w:rsidR="008A5EED" w:rsidRPr="00DD5837">
        <w:t xml:space="preserve">numerical </w:t>
      </w:r>
      <w:r w:rsidRPr="00DD5837">
        <w:t xml:space="preserve">groundwater model predictions and </w:t>
      </w:r>
      <w:r w:rsidR="00E73C67" w:rsidRPr="00DD5837">
        <w:t xml:space="preserve">a </w:t>
      </w:r>
      <w:r w:rsidRPr="00DD5837">
        <w:t xml:space="preserve">detailed water management system design, would be beneficial to </w:t>
      </w:r>
      <w:r w:rsidR="00E8193E" w:rsidRPr="00DD5837">
        <w:t>assess the impacts of the proposed project. Any change as a result of the proposed project in the</w:t>
      </w:r>
      <w:r w:rsidRPr="00DD5837">
        <w:t xml:space="preserve"> </w:t>
      </w:r>
      <w:r w:rsidR="00E8193E" w:rsidRPr="00DD5837">
        <w:t>frequency and duration</w:t>
      </w:r>
      <w:r w:rsidRPr="00DD5837">
        <w:t xml:space="preserve"> of </w:t>
      </w:r>
      <w:r w:rsidR="00E8193E" w:rsidRPr="00DD5837">
        <w:t xml:space="preserve">controlled or uncontrolled </w:t>
      </w:r>
      <w:r w:rsidRPr="00DD5837">
        <w:t xml:space="preserve">mine-affected </w:t>
      </w:r>
      <w:r w:rsidR="00E8193E" w:rsidRPr="00DD5837">
        <w:t xml:space="preserve">water </w:t>
      </w:r>
      <w:r w:rsidRPr="00DD5837">
        <w:t>discharge</w:t>
      </w:r>
      <w:r w:rsidR="00E8193E" w:rsidRPr="00DD5837">
        <w:t>s should be determined</w:t>
      </w:r>
      <w:r w:rsidRPr="00DD5837">
        <w:t>, particularly as t</w:t>
      </w:r>
      <w:r w:rsidR="0039750A" w:rsidRPr="00DD5837">
        <w:t xml:space="preserve">urtle species within the Mackenzie River are susceptible to </w:t>
      </w:r>
      <w:r w:rsidR="00E8193E" w:rsidRPr="00DD5837">
        <w:t>the</w:t>
      </w:r>
      <w:r w:rsidR="0039750A" w:rsidRPr="00DD5837">
        <w:t xml:space="preserve"> impacts of metals, metalloids </w:t>
      </w:r>
      <w:r w:rsidR="00FB6AEC" w:rsidRPr="00DD5837">
        <w:t>and</w:t>
      </w:r>
      <w:r w:rsidR="0039750A" w:rsidRPr="00DD5837">
        <w:t xml:space="preserve"> sulphates </w:t>
      </w:r>
      <w:r w:rsidR="00B6684B" w:rsidRPr="00DD5837">
        <w:t>i</w:t>
      </w:r>
      <w:r w:rsidR="0039750A" w:rsidRPr="00DD5837">
        <w:t>n their food sources.</w:t>
      </w:r>
      <w:bookmarkEnd w:id="20"/>
    </w:p>
    <w:p w:rsidR="00D071B8" w:rsidRPr="00DD5837" w:rsidRDefault="00D071B8" w:rsidP="00D071B8">
      <w:pPr>
        <w:pStyle w:val="Question"/>
      </w:pPr>
      <w:r w:rsidRPr="00DD5837">
        <w:t>Question 6: Have cumulative impacts with other developments in the region that may impact water resources been adequately addressed?</w:t>
      </w:r>
    </w:p>
    <w:p w:rsidR="00D071B8" w:rsidRPr="00DD5837" w:rsidRDefault="00D071B8" w:rsidP="00D071B8">
      <w:pPr>
        <w:pStyle w:val="Heading4"/>
      </w:pPr>
      <w:r w:rsidRPr="00DD5837">
        <w:t>Response</w:t>
      </w:r>
    </w:p>
    <w:p w:rsidR="004F5A1A" w:rsidRPr="00DD5837" w:rsidRDefault="00160082" w:rsidP="00D071B8">
      <w:pPr>
        <w:pStyle w:val="ListNumber"/>
      </w:pPr>
      <w:r w:rsidRPr="00DD5837">
        <w:t xml:space="preserve">No. There has been no quantification of impacts, particularly in terms of loss of catchment area to Blackwater Creek and groundwater impacts with the existing Curragh mine and </w:t>
      </w:r>
      <w:r w:rsidR="00551A1D" w:rsidRPr="00DD5837">
        <w:t>surrounding operations</w:t>
      </w:r>
      <w:r w:rsidR="00800827" w:rsidRPr="00DD5837">
        <w:t xml:space="preserve">. Numerical groundwater modelling as described in Paragraph </w:t>
      </w:r>
      <w:fldSimple w:instr=" REF _Ref437442682 \r \h  \* MERGEFORMAT ">
        <w:r w:rsidR="00337BDF" w:rsidRPr="00DD5837">
          <w:t>20</w:t>
        </w:r>
      </w:fldSimple>
      <w:r w:rsidR="00337BDF" w:rsidRPr="00DD5837">
        <w:t xml:space="preserve"> </w:t>
      </w:r>
      <w:r w:rsidR="00800827" w:rsidRPr="00DD5837">
        <w:t>and t</w:t>
      </w:r>
      <w:r w:rsidRPr="00DD5837">
        <w:t xml:space="preserve">he IESC cumulative impact checklist within the IESC information guidelines </w:t>
      </w:r>
      <w:r w:rsidR="00686AC4" w:rsidRPr="00DD5837">
        <w:fldChar w:fldCharType="begin"/>
      </w:r>
      <w:r w:rsidR="00800827" w:rsidRPr="00DD5837">
        <w:instrText xml:space="preserve"> ADDIN EN.CITE &lt;EndNote&gt;&lt;Cite ExcludeAuth="1"&gt;&lt;Author&gt;IESC&lt;/Author&gt;&lt;Year&gt;2015&lt;/Year&gt;&lt;RecNum&gt;1617&lt;/RecNum&gt;&lt;DisplayText&gt;(2015)&lt;/DisplayText&gt;&lt;record&gt;&lt;rec-number&gt;1617&lt;/rec-number&gt;&lt;foreign-keys&gt;&lt;key app="EN" db-id="xz5vrd20mz9trjezvzzvf9fhsxvzatfrr59v"&gt;1617&lt;/key&gt;&lt;/foreign-keys&gt;&lt;ref-type name="Web Page"&gt;12&lt;/ref-type&gt;&lt;contributors&gt;&lt;authors&gt;&lt;author&gt;IESC&lt;/author&gt;&lt;/authors&gt;&lt;/contributors&gt;&lt;titles&gt;&lt;title&gt;Information Guidelines for the Independent Expert Scientific Committee advice on coal seam gas and large coal mining development proposals&lt;/title&gt;&lt;/titles&gt;&lt;dates&gt;&lt;year&gt;2015&lt;/year&gt;&lt;pub-dates&gt;&lt;date&gt;October 2015&lt;/date&gt;&lt;/pub-dates&gt;&lt;/dates&gt;&lt;urls&gt;&lt;related-urls&gt;&lt;url&gt;http://www.iesc.environment.gov.au/system/files/resources/012fa918-ee79-4131-9c8d-02c9b2de65cf/files/iesc-information-guidelines-oct-2015.pdf&lt;/url&gt;&lt;/related-urls&gt;&lt;/urls&gt;&lt;/record&gt;&lt;/Cite&gt;&lt;/EndNote&gt;</w:instrText>
      </w:r>
      <w:r w:rsidR="00686AC4" w:rsidRPr="00DD5837">
        <w:fldChar w:fldCharType="separate"/>
      </w:r>
      <w:r w:rsidR="00800827" w:rsidRPr="00DD5837">
        <w:rPr>
          <w:noProof/>
        </w:rPr>
        <w:t>(</w:t>
      </w:r>
      <w:hyperlink w:anchor="_ENREF_5" w:tooltip="IESC, 2015 #1617" w:history="1">
        <w:r w:rsidR="00104D28" w:rsidRPr="00DD5837">
          <w:rPr>
            <w:noProof/>
          </w:rPr>
          <w:t>2015</w:t>
        </w:r>
      </w:hyperlink>
      <w:r w:rsidR="00800827" w:rsidRPr="00DD5837">
        <w:rPr>
          <w:noProof/>
        </w:rPr>
        <w:t>)</w:t>
      </w:r>
      <w:r w:rsidR="00686AC4" w:rsidRPr="00DD5837">
        <w:fldChar w:fldCharType="end"/>
      </w:r>
      <w:r w:rsidR="00800827" w:rsidRPr="00DD5837">
        <w:t xml:space="preserve"> </w:t>
      </w:r>
      <w:r w:rsidRPr="00DD5837">
        <w:t xml:space="preserve">should be used to inform </w:t>
      </w:r>
      <w:r w:rsidR="00A75014" w:rsidRPr="00DD5837">
        <w:t>a revised cumulative impact</w:t>
      </w:r>
      <w:r w:rsidRPr="00DD5837">
        <w:t xml:space="preserve"> assessment.</w:t>
      </w:r>
    </w:p>
    <w:p w:rsidR="00DD5837" w:rsidRDefault="00DD5837">
      <w:pPr>
        <w:autoSpaceDE/>
        <w:autoSpaceDN/>
        <w:adjustRightInd/>
        <w:spacing w:after="0" w:line="240" w:lineRule="auto"/>
      </w:pPr>
      <w:r>
        <w:br w:type="page"/>
      </w:r>
    </w:p>
    <w:p w:rsidR="004F5A1A" w:rsidRPr="00DD5837" w:rsidRDefault="004F5A1A">
      <w:pPr>
        <w:autoSpaceDE/>
        <w:autoSpaceDN/>
        <w:adjustRightInd/>
        <w:spacing w:after="0" w:line="240" w:lineRule="auto"/>
      </w:pPr>
    </w:p>
    <w:tbl>
      <w:tblPr>
        <w:tblW w:w="9968" w:type="dxa"/>
        <w:tblBorders>
          <w:insideH w:val="single" w:sz="4" w:space="0" w:color="auto"/>
        </w:tblBorders>
        <w:tblCellMar>
          <w:top w:w="113" w:type="dxa"/>
          <w:bottom w:w="113" w:type="dxa"/>
        </w:tblCellMar>
        <w:tblLook w:val="01E0"/>
      </w:tblPr>
      <w:tblGrid>
        <w:gridCol w:w="1809"/>
        <w:gridCol w:w="8159"/>
      </w:tblGrid>
      <w:tr w:rsidR="007203C3" w:rsidRPr="00DD5837" w:rsidTr="00B1520C">
        <w:trPr>
          <w:trHeight w:val="19"/>
        </w:trPr>
        <w:tc>
          <w:tcPr>
            <w:tcW w:w="1809" w:type="dxa"/>
            <w:tcBorders>
              <w:top w:val="single" w:sz="4" w:space="0" w:color="auto"/>
              <w:bottom w:val="single" w:sz="4" w:space="0" w:color="auto"/>
            </w:tcBorders>
          </w:tcPr>
          <w:p w:rsidR="007203C3" w:rsidRPr="00DD5837" w:rsidRDefault="007203C3" w:rsidP="00D622B9">
            <w:pPr>
              <w:pStyle w:val="Heading6"/>
            </w:pPr>
            <w:r w:rsidRPr="00DD5837">
              <w:t>Date of advice</w:t>
            </w:r>
          </w:p>
        </w:tc>
        <w:tc>
          <w:tcPr>
            <w:tcW w:w="8159" w:type="dxa"/>
            <w:tcBorders>
              <w:top w:val="single" w:sz="4" w:space="0" w:color="auto"/>
              <w:bottom w:val="single" w:sz="4" w:space="0" w:color="auto"/>
            </w:tcBorders>
          </w:tcPr>
          <w:p w:rsidR="007203C3" w:rsidRPr="00DD5837" w:rsidRDefault="00414540" w:rsidP="00C671F5">
            <w:pPr>
              <w:pStyle w:val="Tabletext"/>
            </w:pPr>
            <w:r w:rsidRPr="00DD5837">
              <w:t>10</w:t>
            </w:r>
            <w:r w:rsidR="00C671F5" w:rsidRPr="00DD5837">
              <w:t xml:space="preserve"> December</w:t>
            </w:r>
            <w:r w:rsidR="007203C3" w:rsidRPr="00DD5837">
              <w:t xml:space="preserve"> 201</w:t>
            </w:r>
            <w:r w:rsidR="00C671F5" w:rsidRPr="00DD5837">
              <w:t>5</w:t>
            </w:r>
          </w:p>
        </w:tc>
      </w:tr>
      <w:tr w:rsidR="007203C3" w:rsidRPr="00DD5837" w:rsidTr="00B1520C">
        <w:trPr>
          <w:trHeight w:val="161"/>
        </w:trPr>
        <w:tc>
          <w:tcPr>
            <w:tcW w:w="1809" w:type="dxa"/>
            <w:tcBorders>
              <w:top w:val="single" w:sz="4" w:space="0" w:color="auto"/>
              <w:bottom w:val="single" w:sz="4" w:space="0" w:color="auto"/>
            </w:tcBorders>
          </w:tcPr>
          <w:p w:rsidR="007203C3" w:rsidRPr="00DD5837" w:rsidRDefault="007203C3" w:rsidP="00D622B9">
            <w:pPr>
              <w:pStyle w:val="Heading6"/>
            </w:pPr>
            <w:r w:rsidRPr="00DD5837">
              <w:t xml:space="preserve">Source documentation available to the </w:t>
            </w:r>
            <w:r w:rsidR="00A83DF5" w:rsidRPr="00DD5837">
              <w:t>IESC</w:t>
            </w:r>
            <w:r w:rsidRPr="00DD5837">
              <w:t xml:space="preserve"> in the formulation of this advice</w:t>
            </w:r>
          </w:p>
        </w:tc>
        <w:tc>
          <w:tcPr>
            <w:tcW w:w="8159" w:type="dxa"/>
            <w:tcBorders>
              <w:top w:val="single" w:sz="4" w:space="0" w:color="auto"/>
              <w:bottom w:val="single" w:sz="4" w:space="0" w:color="auto"/>
            </w:tcBorders>
          </w:tcPr>
          <w:p w:rsidR="003A3D03" w:rsidRPr="00DD5837" w:rsidRDefault="003A3D03" w:rsidP="003A3D03">
            <w:pPr>
              <w:pStyle w:val="Reference"/>
            </w:pPr>
            <w:r w:rsidRPr="00DD5837">
              <w:t xml:space="preserve">Parsons Brinckerhoff Australia, 2015a. </w:t>
            </w:r>
            <w:r w:rsidRPr="00DD5837">
              <w:rPr>
                <w:i/>
              </w:rPr>
              <w:t>Curragh Extension Project - Blackwater, Queensland (EPBC 2015/7508) IESC Checklist</w:t>
            </w:r>
            <w:r w:rsidRPr="00DD5837">
              <w:t>. Document No: 2172652H-ENT-LTR-000 Rev A 29 October 2015.</w:t>
            </w:r>
          </w:p>
          <w:p w:rsidR="007203C3" w:rsidRPr="00DD5837" w:rsidRDefault="003A3D03" w:rsidP="003A3D03">
            <w:pPr>
              <w:pStyle w:val="Reference"/>
            </w:pPr>
            <w:r w:rsidRPr="00DD5837">
              <w:t xml:space="preserve">Parsons Brinckerhoff Australia, 2015b. </w:t>
            </w:r>
            <w:r w:rsidRPr="00DD5837">
              <w:rPr>
                <w:i/>
              </w:rPr>
              <w:t>Curragh Extension Project - Blackwater, Queensland (EPBC 2015/7508) Preliminary Documentation</w:t>
            </w:r>
            <w:r w:rsidRPr="00DD5837">
              <w:t>. Document No: 2172652H-ENV-REP-001 Rev A 27 October 2015.</w:t>
            </w:r>
          </w:p>
          <w:p w:rsidR="003A3D03" w:rsidRPr="00DD5837" w:rsidRDefault="003A3D03" w:rsidP="003A3D03">
            <w:pPr>
              <w:pStyle w:val="Reference"/>
            </w:pPr>
            <w:r w:rsidRPr="00DD5837">
              <w:t xml:space="preserve">Parsons Brinckerhoff Australia, 2015c. </w:t>
            </w:r>
            <w:r w:rsidRPr="00DD5837">
              <w:rPr>
                <w:i/>
              </w:rPr>
              <w:t>EPBC 2015/7508 Curragh Extension Project, Request for further information</w:t>
            </w:r>
            <w:r w:rsidRPr="00DD5837">
              <w:t>. Document No: 2172652H-ENT-LTR-005 Rev A 23 November 2015.</w:t>
            </w:r>
          </w:p>
        </w:tc>
      </w:tr>
      <w:tr w:rsidR="007203C3" w:rsidRPr="00304CA9" w:rsidTr="00B1520C">
        <w:trPr>
          <w:trHeight w:val="19"/>
        </w:trPr>
        <w:tc>
          <w:tcPr>
            <w:tcW w:w="1809" w:type="dxa"/>
            <w:tcBorders>
              <w:top w:val="single" w:sz="4" w:space="0" w:color="auto"/>
              <w:bottom w:val="single" w:sz="4" w:space="0" w:color="auto"/>
            </w:tcBorders>
          </w:tcPr>
          <w:p w:rsidR="007203C3" w:rsidRPr="00DD5837" w:rsidRDefault="007203C3" w:rsidP="00D622B9">
            <w:pPr>
              <w:pStyle w:val="Heading6"/>
            </w:pPr>
            <w:r w:rsidRPr="00DD5837">
              <w:t xml:space="preserve">References cited within the </w:t>
            </w:r>
            <w:r w:rsidR="00A83DF5" w:rsidRPr="00DD5837">
              <w:t>IESC</w:t>
            </w:r>
            <w:r w:rsidRPr="00DD5837">
              <w:t>’s advice</w:t>
            </w:r>
          </w:p>
        </w:tc>
        <w:tc>
          <w:tcPr>
            <w:tcW w:w="8159" w:type="dxa"/>
            <w:tcBorders>
              <w:top w:val="single" w:sz="4" w:space="0" w:color="auto"/>
              <w:bottom w:val="single" w:sz="4" w:space="0" w:color="auto"/>
            </w:tcBorders>
          </w:tcPr>
          <w:p w:rsidR="00104D28" w:rsidRPr="00DD5837" w:rsidRDefault="00686AC4" w:rsidP="00104D28">
            <w:pPr>
              <w:pStyle w:val="Tabletext"/>
              <w:spacing w:line="240" w:lineRule="auto"/>
              <w:ind w:left="720" w:hanging="720"/>
              <w:rPr>
                <w:noProof/>
              </w:rPr>
            </w:pPr>
            <w:r w:rsidRPr="00DD5837">
              <w:fldChar w:fldCharType="begin"/>
            </w:r>
            <w:r w:rsidR="00F657D7" w:rsidRPr="00DD5837">
              <w:instrText xml:space="preserve"> ADDIN EN.REFLIST </w:instrText>
            </w:r>
            <w:r w:rsidRPr="00DD5837">
              <w:fldChar w:fldCharType="separate"/>
            </w:r>
            <w:bookmarkStart w:id="21" w:name="_ENREF_1"/>
            <w:r w:rsidR="00104D28" w:rsidRPr="00DD5837">
              <w:rPr>
                <w:noProof/>
              </w:rPr>
              <w:t xml:space="preserve">ANZECC/ARMCANZ, 2000. Australian Guidelines for Water Quality Monitoring and Reporting. </w:t>
            </w:r>
            <w:r w:rsidR="00104D28" w:rsidRPr="00DD5837">
              <w:rPr>
                <w:i/>
                <w:noProof/>
              </w:rPr>
              <w:t>National Water Quality Management Strategy (NWQMS).</w:t>
            </w:r>
            <w:r w:rsidR="00104D28" w:rsidRPr="00DD5837">
              <w:rPr>
                <w:noProof/>
              </w:rPr>
              <w:t xml:space="preserve"> Canberra: Australian and New Zealand Environment and Conservation Council and Agriculture and Resource Management Council of Australia and New Zealand.</w:t>
            </w:r>
          </w:p>
          <w:bookmarkEnd w:id="21"/>
          <w:p w:rsidR="00104D28" w:rsidRPr="00DD5837" w:rsidRDefault="00104D28" w:rsidP="00104D28">
            <w:pPr>
              <w:pStyle w:val="Tabletext"/>
              <w:spacing w:line="240" w:lineRule="auto"/>
              <w:rPr>
                <w:noProof/>
              </w:rPr>
            </w:pPr>
          </w:p>
          <w:p w:rsidR="00104D28" w:rsidRPr="00DD5837" w:rsidRDefault="00104D28" w:rsidP="00104D28">
            <w:pPr>
              <w:pStyle w:val="Tabletext"/>
              <w:spacing w:line="240" w:lineRule="auto"/>
              <w:ind w:left="720" w:hanging="720"/>
              <w:rPr>
                <w:noProof/>
              </w:rPr>
            </w:pPr>
            <w:bookmarkStart w:id="22" w:name="_ENREF_2"/>
            <w:r w:rsidRPr="00DD5837">
              <w:rPr>
                <w:noProof/>
              </w:rPr>
              <w:t xml:space="preserve">DEHP, 2011. Fitzroy River Sub-basin Environmental Values and Water Quality Objectives. </w:t>
            </w:r>
            <w:r w:rsidRPr="00DD5837">
              <w:rPr>
                <w:i/>
                <w:noProof/>
              </w:rPr>
              <w:t>Envionmental Protection (Water) Policy 2009.</w:t>
            </w:r>
            <w:r w:rsidRPr="00DD5837">
              <w:rPr>
                <w:noProof/>
              </w:rPr>
              <w:t xml:space="preserve"> Queensland Goverment.</w:t>
            </w:r>
          </w:p>
          <w:bookmarkEnd w:id="22"/>
          <w:p w:rsidR="00104D28" w:rsidRPr="00DD5837" w:rsidRDefault="00104D28" w:rsidP="00104D28">
            <w:pPr>
              <w:pStyle w:val="Tabletext"/>
              <w:spacing w:line="240" w:lineRule="auto"/>
              <w:rPr>
                <w:noProof/>
              </w:rPr>
            </w:pPr>
          </w:p>
          <w:p w:rsidR="00104D28" w:rsidRPr="00DD5837" w:rsidRDefault="00104D28" w:rsidP="00104D28">
            <w:pPr>
              <w:pStyle w:val="Tabletext"/>
              <w:spacing w:line="240" w:lineRule="auto"/>
              <w:ind w:left="720" w:hanging="720"/>
              <w:rPr>
                <w:noProof/>
              </w:rPr>
            </w:pPr>
            <w:bookmarkStart w:id="23" w:name="_ENREF_3"/>
            <w:r w:rsidRPr="00DD5837">
              <w:rPr>
                <w:noProof/>
              </w:rPr>
              <w:t>DSITIA, 2014. Guideline for the Environmental Assessment of Subterranean Aquatic Fauna: Sampling Methods and Survey Considerations. Queensland Government.</w:t>
            </w:r>
          </w:p>
          <w:bookmarkEnd w:id="23"/>
          <w:p w:rsidR="00104D28" w:rsidRPr="00DD5837" w:rsidRDefault="00104D28" w:rsidP="00104D28">
            <w:pPr>
              <w:pStyle w:val="Tabletext"/>
              <w:spacing w:line="240" w:lineRule="auto"/>
              <w:rPr>
                <w:noProof/>
              </w:rPr>
            </w:pPr>
          </w:p>
          <w:p w:rsidR="00104D28" w:rsidRPr="00DD5837" w:rsidRDefault="00104D28" w:rsidP="00104D28">
            <w:pPr>
              <w:pStyle w:val="Tabletext"/>
              <w:spacing w:line="240" w:lineRule="auto"/>
              <w:ind w:left="720" w:hanging="720"/>
              <w:rPr>
                <w:noProof/>
              </w:rPr>
            </w:pPr>
            <w:bookmarkStart w:id="24" w:name="_ENREF_4"/>
            <w:r w:rsidRPr="00DD5837">
              <w:rPr>
                <w:noProof/>
              </w:rPr>
              <w:t>GHD, 2015. Appendix M Fitzroy River Turtle (</w:t>
            </w:r>
            <w:r w:rsidRPr="00DD5837">
              <w:rPr>
                <w:i/>
                <w:noProof/>
              </w:rPr>
              <w:t>Rheodytes leukops</w:t>
            </w:r>
            <w:r w:rsidRPr="00DD5837">
              <w:rPr>
                <w:noProof/>
              </w:rPr>
              <w:t xml:space="preserve">) species management program. </w:t>
            </w:r>
            <w:r w:rsidRPr="00DD5837">
              <w:rPr>
                <w:i/>
                <w:noProof/>
              </w:rPr>
              <w:t>Lower Fitzroy Infrastructure Project.</w:t>
            </w:r>
            <w:r w:rsidRPr="00DD5837">
              <w:rPr>
                <w:noProof/>
              </w:rPr>
              <w:t xml:space="preserve"> Report for Gladstone Area Water Board and Sunwater.</w:t>
            </w:r>
          </w:p>
          <w:bookmarkEnd w:id="24"/>
          <w:p w:rsidR="00104D28" w:rsidRPr="00DD5837" w:rsidRDefault="00104D28" w:rsidP="00104D28">
            <w:pPr>
              <w:pStyle w:val="Tabletext"/>
              <w:spacing w:line="240" w:lineRule="auto"/>
              <w:rPr>
                <w:noProof/>
              </w:rPr>
            </w:pPr>
          </w:p>
          <w:p w:rsidR="00104D28" w:rsidRPr="00DD5837" w:rsidRDefault="00104D28" w:rsidP="00104D28">
            <w:pPr>
              <w:pStyle w:val="Tabletext"/>
              <w:spacing w:line="240" w:lineRule="auto"/>
              <w:ind w:left="720" w:hanging="720"/>
              <w:rPr>
                <w:noProof/>
              </w:rPr>
            </w:pPr>
            <w:bookmarkStart w:id="25" w:name="_ENREF_5"/>
            <w:r w:rsidRPr="00DD5837">
              <w:rPr>
                <w:noProof/>
              </w:rPr>
              <w:t xml:space="preserve">IESC, 2015. </w:t>
            </w:r>
            <w:r w:rsidRPr="00DD5837">
              <w:rPr>
                <w:i/>
                <w:noProof/>
              </w:rPr>
              <w:t xml:space="preserve">Information Guidelines for the Independent Expert Scientific Committee advice on coal seam gas and large coal mining development proposals </w:t>
            </w:r>
            <w:r w:rsidRPr="00DD5837">
              <w:rPr>
                <w:noProof/>
              </w:rPr>
              <w:t xml:space="preserve">[Online]. Available: </w:t>
            </w:r>
            <w:hyperlink r:id="rId8" w:history="1">
              <w:r w:rsidRPr="00DD5837">
                <w:rPr>
                  <w:rStyle w:val="Hyperlink"/>
                  <w:noProof/>
                </w:rPr>
                <w:t>http://www.iesc.environment.gov.au/system/files/resources/012fa918-ee79-4131-9c8d-02c9b2de65cf/files/iesc-information-guidelines-oct-2015.pdf</w:t>
              </w:r>
            </w:hyperlink>
            <w:r w:rsidRPr="00DD5837">
              <w:rPr>
                <w:noProof/>
              </w:rPr>
              <w:t>.</w:t>
            </w:r>
          </w:p>
          <w:bookmarkEnd w:id="25"/>
          <w:p w:rsidR="00104D28" w:rsidRPr="00DD5837" w:rsidRDefault="00104D28" w:rsidP="00104D28">
            <w:pPr>
              <w:pStyle w:val="Tabletext"/>
              <w:spacing w:line="240" w:lineRule="auto"/>
              <w:rPr>
                <w:noProof/>
              </w:rPr>
            </w:pPr>
          </w:p>
          <w:p w:rsidR="00104D28" w:rsidRPr="00DD5837" w:rsidRDefault="00104D28" w:rsidP="00104D28">
            <w:pPr>
              <w:pStyle w:val="Tabletext"/>
              <w:spacing w:line="240" w:lineRule="auto"/>
              <w:rPr>
                <w:noProof/>
              </w:rPr>
            </w:pPr>
          </w:p>
          <w:p w:rsidR="00F657D7" w:rsidRPr="00EF5270" w:rsidRDefault="00686AC4" w:rsidP="00606D50">
            <w:pPr>
              <w:pStyle w:val="Tabletext"/>
            </w:pPr>
            <w:r w:rsidRPr="00DD5837">
              <w:fldChar w:fldCharType="end"/>
            </w:r>
          </w:p>
        </w:tc>
      </w:tr>
    </w:tbl>
    <w:p w:rsidR="007203C3" w:rsidRPr="00062A46" w:rsidRDefault="007203C3" w:rsidP="00D622B9"/>
    <w:sectPr w:rsidR="007203C3" w:rsidRPr="00062A46" w:rsidSect="00DD5837">
      <w:headerReference w:type="even" r:id="rId9"/>
      <w:footerReference w:type="default" r:id="rId10"/>
      <w:footerReference w:type="first" r:id="rId11"/>
      <w:pgSz w:w="11906" w:h="16838"/>
      <w:pgMar w:top="1440" w:right="1440" w:bottom="1440" w:left="1440"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F10" w:rsidRDefault="00453F10" w:rsidP="00D622B9">
      <w:r>
        <w:separator/>
      </w:r>
    </w:p>
  </w:endnote>
  <w:endnote w:type="continuationSeparator" w:id="0">
    <w:p w:rsidR="00453F10" w:rsidRDefault="00453F10" w:rsidP="00D622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F10" w:rsidRPr="00B9520A" w:rsidRDefault="00453F10" w:rsidP="00637239">
    <w:pPr>
      <w:pStyle w:val="Footer"/>
    </w:pPr>
  </w:p>
  <w:p w:rsidR="00453F10" w:rsidRPr="00637239" w:rsidRDefault="00DD5837" w:rsidP="00637239">
    <w:pPr>
      <w:pStyle w:val="Footer"/>
      <w:rPr>
        <w:sz w:val="20"/>
      </w:rPr>
    </w:pPr>
    <w:r>
      <w:rPr>
        <w:sz w:val="20"/>
      </w:rPr>
      <w:t xml:space="preserve">Final </w:t>
    </w:r>
    <w:r w:rsidR="00453F10" w:rsidRPr="00B9520A">
      <w:rPr>
        <w:sz w:val="20"/>
      </w:rPr>
      <w:t xml:space="preserve">Curragh Extension Project Advice </w:t>
    </w:r>
    <w:r w:rsidR="00453F10" w:rsidRPr="00DD5837">
      <w:rPr>
        <w:sz w:val="20"/>
      </w:rPr>
      <w:ptab w:relativeTo="margin" w:alignment="right" w:leader="none"/>
    </w:r>
    <w:r w:rsidR="00453F10" w:rsidRPr="00DD5837">
      <w:rPr>
        <w:sz w:val="20"/>
      </w:rPr>
      <w:t>10 December</w:t>
    </w:r>
    <w:r w:rsidR="00453F10" w:rsidRPr="00B9520A">
      <w:rPr>
        <w:sz w:val="20"/>
      </w:rPr>
      <w:t xml:space="preserve"> 2015</w:t>
    </w:r>
  </w:p>
  <w:p w:rsidR="00453F10" w:rsidRPr="00637239" w:rsidRDefault="00686AC4" w:rsidP="00637239">
    <w:pPr>
      <w:pStyle w:val="Footer"/>
      <w:jc w:val="center"/>
      <w:rPr>
        <w:sz w:val="20"/>
      </w:rPr>
    </w:pPr>
    <w:r w:rsidRPr="00637239">
      <w:rPr>
        <w:sz w:val="20"/>
      </w:rPr>
      <w:fldChar w:fldCharType="begin"/>
    </w:r>
    <w:r w:rsidR="00453F10" w:rsidRPr="00637239">
      <w:rPr>
        <w:sz w:val="20"/>
      </w:rPr>
      <w:instrText xml:space="preserve"> PAGE   \* MERGEFORMAT </w:instrText>
    </w:r>
    <w:r w:rsidRPr="00637239">
      <w:rPr>
        <w:sz w:val="20"/>
      </w:rPr>
      <w:fldChar w:fldCharType="separate"/>
    </w:r>
    <w:r w:rsidR="00BA4F10">
      <w:rPr>
        <w:noProof/>
        <w:sz w:val="20"/>
      </w:rPr>
      <w:t>1</w:t>
    </w:r>
    <w:r w:rsidRPr="00637239">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F10" w:rsidRPr="00D15280" w:rsidRDefault="00453F10" w:rsidP="00637239">
    <w:pPr>
      <w:pStyle w:val="Footer"/>
    </w:pPr>
    <w:r w:rsidRPr="00062A46">
      <w:t>Draft</w:t>
    </w:r>
    <w:r w:rsidRPr="00D15280">
      <w:t xml:space="preserve"> Advice</w:t>
    </w:r>
    <w:r>
      <w:t xml:space="preserve"> – Version </w:t>
    </w:r>
    <w:r w:rsidRPr="00062A46">
      <w:t>1</w:t>
    </w:r>
    <w:r w:rsidRPr="00D15280">
      <w:ptab w:relativeTo="margin" w:alignment="right" w:leader="none"/>
    </w:r>
    <w:r w:rsidRPr="00062A46">
      <w:rPr>
        <w:b/>
      </w:rPr>
      <w:t>DATE</w:t>
    </w:r>
  </w:p>
  <w:p w:rsidR="00453F10" w:rsidRPr="00062A46" w:rsidRDefault="00686AC4" w:rsidP="00637239">
    <w:pPr>
      <w:pStyle w:val="Footer"/>
    </w:pPr>
    <w:sdt>
      <w:sdtPr>
        <w:id w:val="32750052"/>
        <w:docPartObj>
          <w:docPartGallery w:val="Page Numbers (Bottom of Page)"/>
          <w:docPartUnique/>
        </w:docPartObj>
      </w:sdtPr>
      <w:sdtContent>
        <w:fldSimple w:instr=" PAGE   \* MERGEFORMAT ">
          <w:r w:rsidR="00453F10">
            <w:rPr>
              <w:noProof/>
            </w:rPr>
            <w:t>1</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F10" w:rsidRDefault="00453F10" w:rsidP="00D622B9">
      <w:r>
        <w:separator/>
      </w:r>
    </w:p>
  </w:footnote>
  <w:footnote w:type="continuationSeparator" w:id="0">
    <w:p w:rsidR="00453F10" w:rsidRDefault="00453F10" w:rsidP="00D62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F10" w:rsidRDefault="00453F10" w:rsidP="00D622B9">
    <w:pPr>
      <w:pStyle w:val="Classification"/>
    </w:pPr>
    <w:r>
      <w:rPr>
        <w:lang w:val="en-US"/>
      </w:rPr>
      <w:t>Error! Unknown document property name.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1C8EB454"/>
    <w:lvl w:ilvl="0">
      <w:start w:val="1"/>
      <w:numFmt w:val="decimal"/>
      <w:lvlText w:val="%1."/>
      <w:lvlJc w:val="left"/>
      <w:pPr>
        <w:tabs>
          <w:tab w:val="num" w:pos="926"/>
        </w:tabs>
        <w:ind w:left="926" w:hanging="360"/>
      </w:pPr>
    </w:lvl>
  </w:abstractNum>
  <w:abstractNum w:abstractNumId="1">
    <w:nsid w:val="FFFFFF7F"/>
    <w:multiLevelType w:val="singleLevel"/>
    <w:tmpl w:val="730E3BFA"/>
    <w:lvl w:ilvl="0">
      <w:start w:val="1"/>
      <w:numFmt w:val="decimal"/>
      <w:lvlText w:val="%1."/>
      <w:lvlJc w:val="left"/>
      <w:pPr>
        <w:tabs>
          <w:tab w:val="num" w:pos="643"/>
        </w:tabs>
        <w:ind w:left="643" w:hanging="360"/>
      </w:pPr>
    </w:lvl>
  </w:abstractNum>
  <w:abstractNum w:abstractNumId="2">
    <w:nsid w:val="FFFFFF88"/>
    <w:multiLevelType w:val="singleLevel"/>
    <w:tmpl w:val="DB9698EA"/>
    <w:lvl w:ilvl="0">
      <w:start w:val="1"/>
      <w:numFmt w:val="decimal"/>
      <w:lvlText w:val="%1."/>
      <w:lvlJc w:val="left"/>
      <w:pPr>
        <w:tabs>
          <w:tab w:val="num" w:pos="360"/>
        </w:tabs>
        <w:ind w:left="360" w:hanging="360"/>
      </w:pPr>
    </w:lvl>
  </w:abstractNum>
  <w:abstractNum w:abstractNumId="3">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5">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C203F93"/>
    <w:multiLevelType w:val="hybridMultilevel"/>
    <w:tmpl w:val="49907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5456429"/>
    <w:multiLevelType w:val="multilevel"/>
    <w:tmpl w:val="AD5C502C"/>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4">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72DD4FC6"/>
    <w:multiLevelType w:val="hybridMultilevel"/>
    <w:tmpl w:val="4ABC604C"/>
    <w:lvl w:ilvl="0" w:tplc="637260D4">
      <w:start w:val="1"/>
      <w:numFmt w:val="decimal"/>
      <w:lvlText w:val="%1."/>
      <w:lvlJc w:val="left"/>
      <w:pPr>
        <w:ind w:left="360" w:hanging="360"/>
      </w:pPr>
    </w:lvl>
    <w:lvl w:ilvl="1" w:tplc="390E484C">
      <w:start w:val="1"/>
      <w:numFmt w:val="lowerLetter"/>
      <w:lvlText w:val="%2."/>
      <w:lvlJc w:val="left"/>
      <w:pPr>
        <w:ind w:left="1080" w:hanging="360"/>
      </w:pPr>
    </w:lvl>
    <w:lvl w:ilvl="2" w:tplc="EED040D8" w:tentative="1">
      <w:start w:val="1"/>
      <w:numFmt w:val="lowerRoman"/>
      <w:lvlText w:val="%3."/>
      <w:lvlJc w:val="right"/>
      <w:pPr>
        <w:ind w:left="1800" w:hanging="180"/>
      </w:pPr>
    </w:lvl>
    <w:lvl w:ilvl="3" w:tplc="0A56C160" w:tentative="1">
      <w:start w:val="1"/>
      <w:numFmt w:val="decimal"/>
      <w:lvlText w:val="%4."/>
      <w:lvlJc w:val="left"/>
      <w:pPr>
        <w:ind w:left="2520" w:hanging="360"/>
      </w:pPr>
    </w:lvl>
    <w:lvl w:ilvl="4" w:tplc="237A6016" w:tentative="1">
      <w:start w:val="1"/>
      <w:numFmt w:val="lowerLetter"/>
      <w:lvlText w:val="%5."/>
      <w:lvlJc w:val="left"/>
      <w:pPr>
        <w:ind w:left="3240" w:hanging="360"/>
      </w:pPr>
    </w:lvl>
    <w:lvl w:ilvl="5" w:tplc="B6AEE7C6" w:tentative="1">
      <w:start w:val="1"/>
      <w:numFmt w:val="lowerRoman"/>
      <w:lvlText w:val="%6."/>
      <w:lvlJc w:val="right"/>
      <w:pPr>
        <w:ind w:left="3960" w:hanging="180"/>
      </w:pPr>
    </w:lvl>
    <w:lvl w:ilvl="6" w:tplc="2316604C" w:tentative="1">
      <w:start w:val="1"/>
      <w:numFmt w:val="decimal"/>
      <w:lvlText w:val="%7."/>
      <w:lvlJc w:val="left"/>
      <w:pPr>
        <w:ind w:left="4680" w:hanging="360"/>
      </w:pPr>
    </w:lvl>
    <w:lvl w:ilvl="7" w:tplc="97D8B3E0" w:tentative="1">
      <w:start w:val="1"/>
      <w:numFmt w:val="lowerLetter"/>
      <w:lvlText w:val="%8."/>
      <w:lvlJc w:val="left"/>
      <w:pPr>
        <w:ind w:left="5400" w:hanging="360"/>
      </w:pPr>
    </w:lvl>
    <w:lvl w:ilvl="8" w:tplc="446AE620" w:tentative="1">
      <w:start w:val="1"/>
      <w:numFmt w:val="lowerRoman"/>
      <w:lvlText w:val="%9."/>
      <w:lvlJc w:val="right"/>
      <w:pPr>
        <w:ind w:left="6120" w:hanging="180"/>
      </w:pPr>
    </w:lvl>
  </w:abstractNum>
  <w:abstractNum w:abstractNumId="16">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7">
    <w:nsid w:val="7B85684F"/>
    <w:multiLevelType w:val="hybridMultilevel"/>
    <w:tmpl w:val="BDCA9B80"/>
    <w:lvl w:ilvl="0" w:tplc="392E1BE8">
      <w:start w:val="1"/>
      <w:numFmt w:val="bullet"/>
      <w:lvlText w:val=""/>
      <w:lvlJc w:val="left"/>
      <w:pPr>
        <w:ind w:left="360" w:hanging="360"/>
      </w:pPr>
      <w:rPr>
        <w:rFonts w:ascii="Symbol" w:hAnsi="Symbol" w:hint="default"/>
      </w:rPr>
    </w:lvl>
    <w:lvl w:ilvl="1" w:tplc="1818CBB0" w:tentative="1">
      <w:start w:val="1"/>
      <w:numFmt w:val="bullet"/>
      <w:lvlText w:val="o"/>
      <w:lvlJc w:val="left"/>
      <w:pPr>
        <w:ind w:left="1080" w:hanging="360"/>
      </w:pPr>
      <w:rPr>
        <w:rFonts w:ascii="Courier New" w:hAnsi="Courier New" w:cs="Courier New" w:hint="default"/>
      </w:rPr>
    </w:lvl>
    <w:lvl w:ilvl="2" w:tplc="CADAA816" w:tentative="1">
      <w:start w:val="1"/>
      <w:numFmt w:val="bullet"/>
      <w:lvlText w:val=""/>
      <w:lvlJc w:val="left"/>
      <w:pPr>
        <w:ind w:left="1800" w:hanging="360"/>
      </w:pPr>
      <w:rPr>
        <w:rFonts w:ascii="Wingdings" w:hAnsi="Wingdings" w:hint="default"/>
      </w:rPr>
    </w:lvl>
    <w:lvl w:ilvl="3" w:tplc="D3D2D31A" w:tentative="1">
      <w:start w:val="1"/>
      <w:numFmt w:val="bullet"/>
      <w:lvlText w:val=""/>
      <w:lvlJc w:val="left"/>
      <w:pPr>
        <w:ind w:left="2520" w:hanging="360"/>
      </w:pPr>
      <w:rPr>
        <w:rFonts w:ascii="Symbol" w:hAnsi="Symbol" w:hint="default"/>
      </w:rPr>
    </w:lvl>
    <w:lvl w:ilvl="4" w:tplc="0AD27678" w:tentative="1">
      <w:start w:val="1"/>
      <w:numFmt w:val="bullet"/>
      <w:lvlText w:val="o"/>
      <w:lvlJc w:val="left"/>
      <w:pPr>
        <w:ind w:left="3240" w:hanging="360"/>
      </w:pPr>
      <w:rPr>
        <w:rFonts w:ascii="Courier New" w:hAnsi="Courier New" w:cs="Courier New" w:hint="default"/>
      </w:rPr>
    </w:lvl>
    <w:lvl w:ilvl="5" w:tplc="454869F4" w:tentative="1">
      <w:start w:val="1"/>
      <w:numFmt w:val="bullet"/>
      <w:lvlText w:val=""/>
      <w:lvlJc w:val="left"/>
      <w:pPr>
        <w:ind w:left="3960" w:hanging="360"/>
      </w:pPr>
      <w:rPr>
        <w:rFonts w:ascii="Wingdings" w:hAnsi="Wingdings" w:hint="default"/>
      </w:rPr>
    </w:lvl>
    <w:lvl w:ilvl="6" w:tplc="301299EA" w:tentative="1">
      <w:start w:val="1"/>
      <w:numFmt w:val="bullet"/>
      <w:lvlText w:val=""/>
      <w:lvlJc w:val="left"/>
      <w:pPr>
        <w:ind w:left="4680" w:hanging="360"/>
      </w:pPr>
      <w:rPr>
        <w:rFonts w:ascii="Symbol" w:hAnsi="Symbol" w:hint="default"/>
      </w:rPr>
    </w:lvl>
    <w:lvl w:ilvl="7" w:tplc="394694BA" w:tentative="1">
      <w:start w:val="1"/>
      <w:numFmt w:val="bullet"/>
      <w:lvlText w:val="o"/>
      <w:lvlJc w:val="left"/>
      <w:pPr>
        <w:ind w:left="5400" w:hanging="360"/>
      </w:pPr>
      <w:rPr>
        <w:rFonts w:ascii="Courier New" w:hAnsi="Courier New" w:cs="Courier New" w:hint="default"/>
      </w:rPr>
    </w:lvl>
    <w:lvl w:ilvl="8" w:tplc="4CB4F730" w:tentative="1">
      <w:start w:val="1"/>
      <w:numFmt w:val="bullet"/>
      <w:lvlText w:val=""/>
      <w:lvlJc w:val="left"/>
      <w:pPr>
        <w:ind w:left="6120" w:hanging="360"/>
      </w:pPr>
      <w:rPr>
        <w:rFonts w:ascii="Wingdings" w:hAnsi="Wingdings" w:hint="default"/>
      </w:rPr>
    </w:lvl>
  </w:abstractNum>
  <w:num w:numId="1">
    <w:abstractNumId w:val="16"/>
  </w:num>
  <w:num w:numId="2">
    <w:abstractNumId w:val="3"/>
  </w:num>
  <w:num w:numId="3">
    <w:abstractNumId w:val="8"/>
  </w:num>
  <w:num w:numId="4">
    <w:abstractNumId w:val="7"/>
  </w:num>
  <w:num w:numId="5">
    <w:abstractNumId w:val="13"/>
  </w:num>
  <w:num w:numId="6">
    <w:abstractNumId w:val="15"/>
  </w:num>
  <w:num w:numId="7">
    <w:abstractNumId w:val="11"/>
  </w:num>
  <w:num w:numId="8">
    <w:abstractNumId w:val="5"/>
  </w:num>
  <w:num w:numId="9">
    <w:abstractNumId w:val="17"/>
  </w:num>
  <w:num w:numId="10">
    <w:abstractNumId w:val="2"/>
  </w:num>
  <w:num w:numId="11">
    <w:abstractNumId w:val="1"/>
  </w:num>
  <w:num w:numId="12">
    <w:abstractNumId w:val="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num>
  <w:num w:numId="17">
    <w:abstractNumId w:val="12"/>
  </w:num>
  <w:num w:numId="18">
    <w:abstractNumId w:val="4"/>
  </w:num>
  <w:num w:numId="19">
    <w:abstractNumId w:val="14"/>
  </w:num>
  <w:num w:numId="20">
    <w:abstractNumId w:val="6"/>
  </w:num>
  <w:num w:numId="21">
    <w:abstractNumId w:val="10"/>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9"/>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3"/>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rsids>
    <w:rsidRoot w:val="0041275D"/>
    <w:rsid w:val="00002752"/>
    <w:rsid w:val="00004AEE"/>
    <w:rsid w:val="00005CAA"/>
    <w:rsid w:val="000079F3"/>
    <w:rsid w:val="00010210"/>
    <w:rsid w:val="000107AA"/>
    <w:rsid w:val="00012D66"/>
    <w:rsid w:val="00015ADA"/>
    <w:rsid w:val="0001745E"/>
    <w:rsid w:val="00020C99"/>
    <w:rsid w:val="0002113F"/>
    <w:rsid w:val="0002428D"/>
    <w:rsid w:val="0002707B"/>
    <w:rsid w:val="00030F74"/>
    <w:rsid w:val="00031B32"/>
    <w:rsid w:val="00041C97"/>
    <w:rsid w:val="0005148E"/>
    <w:rsid w:val="00052BD6"/>
    <w:rsid w:val="000547F0"/>
    <w:rsid w:val="000563DA"/>
    <w:rsid w:val="00057476"/>
    <w:rsid w:val="00062A46"/>
    <w:rsid w:val="00062E8C"/>
    <w:rsid w:val="00073622"/>
    <w:rsid w:val="00073B76"/>
    <w:rsid w:val="000759E5"/>
    <w:rsid w:val="0007601C"/>
    <w:rsid w:val="0008141E"/>
    <w:rsid w:val="00084AC6"/>
    <w:rsid w:val="0008565C"/>
    <w:rsid w:val="00085816"/>
    <w:rsid w:val="00090C8A"/>
    <w:rsid w:val="00091608"/>
    <w:rsid w:val="0009196E"/>
    <w:rsid w:val="00092F92"/>
    <w:rsid w:val="0009333C"/>
    <w:rsid w:val="0009704F"/>
    <w:rsid w:val="00097DC1"/>
    <w:rsid w:val="000A0F11"/>
    <w:rsid w:val="000A125A"/>
    <w:rsid w:val="000A228F"/>
    <w:rsid w:val="000A57CD"/>
    <w:rsid w:val="000B2FF3"/>
    <w:rsid w:val="000B3758"/>
    <w:rsid w:val="000B7681"/>
    <w:rsid w:val="000B7B42"/>
    <w:rsid w:val="000C02B7"/>
    <w:rsid w:val="000C2814"/>
    <w:rsid w:val="000C38FE"/>
    <w:rsid w:val="000C451B"/>
    <w:rsid w:val="000C5342"/>
    <w:rsid w:val="000C706A"/>
    <w:rsid w:val="000D2887"/>
    <w:rsid w:val="000D29BE"/>
    <w:rsid w:val="000D6D63"/>
    <w:rsid w:val="000D706B"/>
    <w:rsid w:val="000D7810"/>
    <w:rsid w:val="000E0081"/>
    <w:rsid w:val="000E07CF"/>
    <w:rsid w:val="000E0A0A"/>
    <w:rsid w:val="000F1C0E"/>
    <w:rsid w:val="00100BEF"/>
    <w:rsid w:val="00102E17"/>
    <w:rsid w:val="00104D28"/>
    <w:rsid w:val="00110EE8"/>
    <w:rsid w:val="0011498E"/>
    <w:rsid w:val="00116F28"/>
    <w:rsid w:val="00117A45"/>
    <w:rsid w:val="00120885"/>
    <w:rsid w:val="00121972"/>
    <w:rsid w:val="001224AE"/>
    <w:rsid w:val="00123035"/>
    <w:rsid w:val="00127784"/>
    <w:rsid w:val="001337D4"/>
    <w:rsid w:val="001340EA"/>
    <w:rsid w:val="00141E02"/>
    <w:rsid w:val="00142C34"/>
    <w:rsid w:val="00147C12"/>
    <w:rsid w:val="00147EFC"/>
    <w:rsid w:val="001527A1"/>
    <w:rsid w:val="001530DC"/>
    <w:rsid w:val="001539AF"/>
    <w:rsid w:val="00154989"/>
    <w:rsid w:val="00155A9F"/>
    <w:rsid w:val="0015684F"/>
    <w:rsid w:val="00160082"/>
    <w:rsid w:val="00160262"/>
    <w:rsid w:val="0016186F"/>
    <w:rsid w:val="001621FB"/>
    <w:rsid w:val="0016281C"/>
    <w:rsid w:val="0016433A"/>
    <w:rsid w:val="0016780A"/>
    <w:rsid w:val="001713FA"/>
    <w:rsid w:val="00173EBF"/>
    <w:rsid w:val="001765DA"/>
    <w:rsid w:val="001842A2"/>
    <w:rsid w:val="00184F64"/>
    <w:rsid w:val="00185039"/>
    <w:rsid w:val="00185407"/>
    <w:rsid w:val="00186465"/>
    <w:rsid w:val="00187C21"/>
    <w:rsid w:val="00187FA8"/>
    <w:rsid w:val="001922D0"/>
    <w:rsid w:val="00192F5E"/>
    <w:rsid w:val="00197772"/>
    <w:rsid w:val="001A1E9F"/>
    <w:rsid w:val="001A51C8"/>
    <w:rsid w:val="001A6200"/>
    <w:rsid w:val="001A7657"/>
    <w:rsid w:val="001B076B"/>
    <w:rsid w:val="001B1988"/>
    <w:rsid w:val="001B1F6F"/>
    <w:rsid w:val="001B472B"/>
    <w:rsid w:val="001B4CA8"/>
    <w:rsid w:val="001B6C0A"/>
    <w:rsid w:val="001C2A92"/>
    <w:rsid w:val="001C4F3D"/>
    <w:rsid w:val="001D0CDC"/>
    <w:rsid w:val="001D1D82"/>
    <w:rsid w:val="001E1182"/>
    <w:rsid w:val="001F0E8B"/>
    <w:rsid w:val="00200944"/>
    <w:rsid w:val="00202387"/>
    <w:rsid w:val="00202C90"/>
    <w:rsid w:val="002038DF"/>
    <w:rsid w:val="00211260"/>
    <w:rsid w:val="002113DC"/>
    <w:rsid w:val="00213DE8"/>
    <w:rsid w:val="00216118"/>
    <w:rsid w:val="00217B6B"/>
    <w:rsid w:val="002209AB"/>
    <w:rsid w:val="002251E3"/>
    <w:rsid w:val="002262E6"/>
    <w:rsid w:val="0022739F"/>
    <w:rsid w:val="00227A95"/>
    <w:rsid w:val="002316BD"/>
    <w:rsid w:val="002336F3"/>
    <w:rsid w:val="00246A76"/>
    <w:rsid w:val="002473FC"/>
    <w:rsid w:val="00252E3C"/>
    <w:rsid w:val="00262198"/>
    <w:rsid w:val="00264AF9"/>
    <w:rsid w:val="002707F3"/>
    <w:rsid w:val="0027403B"/>
    <w:rsid w:val="0027671D"/>
    <w:rsid w:val="00277426"/>
    <w:rsid w:val="00277A51"/>
    <w:rsid w:val="00285F1B"/>
    <w:rsid w:val="00292B81"/>
    <w:rsid w:val="0029322E"/>
    <w:rsid w:val="00294A0A"/>
    <w:rsid w:val="002958DF"/>
    <w:rsid w:val="00296477"/>
    <w:rsid w:val="00296A93"/>
    <w:rsid w:val="002974BC"/>
    <w:rsid w:val="002A5EC3"/>
    <w:rsid w:val="002B18AE"/>
    <w:rsid w:val="002B6472"/>
    <w:rsid w:val="002B67D3"/>
    <w:rsid w:val="002C1C93"/>
    <w:rsid w:val="002C3257"/>
    <w:rsid w:val="002C3738"/>
    <w:rsid w:val="002C5066"/>
    <w:rsid w:val="002C7B34"/>
    <w:rsid w:val="002D4AAC"/>
    <w:rsid w:val="002D6C33"/>
    <w:rsid w:val="002E1AB0"/>
    <w:rsid w:val="002E6E5D"/>
    <w:rsid w:val="002F045A"/>
    <w:rsid w:val="002F4647"/>
    <w:rsid w:val="0030039D"/>
    <w:rsid w:val="00300715"/>
    <w:rsid w:val="00301FEF"/>
    <w:rsid w:val="0030326F"/>
    <w:rsid w:val="00310701"/>
    <w:rsid w:val="00311510"/>
    <w:rsid w:val="003138AC"/>
    <w:rsid w:val="00315980"/>
    <w:rsid w:val="00316F7F"/>
    <w:rsid w:val="00320162"/>
    <w:rsid w:val="0032087E"/>
    <w:rsid w:val="003218E8"/>
    <w:rsid w:val="00330CCC"/>
    <w:rsid w:val="00330DCE"/>
    <w:rsid w:val="00331E11"/>
    <w:rsid w:val="00334761"/>
    <w:rsid w:val="00337BDF"/>
    <w:rsid w:val="00337EBC"/>
    <w:rsid w:val="0034033E"/>
    <w:rsid w:val="00341DCD"/>
    <w:rsid w:val="0034504D"/>
    <w:rsid w:val="003455B2"/>
    <w:rsid w:val="0034563E"/>
    <w:rsid w:val="003479A1"/>
    <w:rsid w:val="003504CC"/>
    <w:rsid w:val="003518D6"/>
    <w:rsid w:val="0035460C"/>
    <w:rsid w:val="003556BD"/>
    <w:rsid w:val="00364E6D"/>
    <w:rsid w:val="00365147"/>
    <w:rsid w:val="0037016E"/>
    <w:rsid w:val="00370E55"/>
    <w:rsid w:val="00372908"/>
    <w:rsid w:val="00376457"/>
    <w:rsid w:val="00376580"/>
    <w:rsid w:val="00381917"/>
    <w:rsid w:val="00383020"/>
    <w:rsid w:val="003929EF"/>
    <w:rsid w:val="0039750A"/>
    <w:rsid w:val="003975FD"/>
    <w:rsid w:val="003A0593"/>
    <w:rsid w:val="003A3D03"/>
    <w:rsid w:val="003B3CAA"/>
    <w:rsid w:val="003B57FD"/>
    <w:rsid w:val="003B60CC"/>
    <w:rsid w:val="003C1B25"/>
    <w:rsid w:val="003C2443"/>
    <w:rsid w:val="003C31E0"/>
    <w:rsid w:val="003C409C"/>
    <w:rsid w:val="003C5DA3"/>
    <w:rsid w:val="003D4BCD"/>
    <w:rsid w:val="003D504A"/>
    <w:rsid w:val="003E01D8"/>
    <w:rsid w:val="003E2100"/>
    <w:rsid w:val="003E2135"/>
    <w:rsid w:val="003E2BDB"/>
    <w:rsid w:val="003E45FA"/>
    <w:rsid w:val="003E53CA"/>
    <w:rsid w:val="003E5C7F"/>
    <w:rsid w:val="003E5ED5"/>
    <w:rsid w:val="003E723A"/>
    <w:rsid w:val="003F0CB7"/>
    <w:rsid w:val="003F131C"/>
    <w:rsid w:val="003F209F"/>
    <w:rsid w:val="003F6F5B"/>
    <w:rsid w:val="00400F8F"/>
    <w:rsid w:val="0040342D"/>
    <w:rsid w:val="00403FB9"/>
    <w:rsid w:val="00405E1C"/>
    <w:rsid w:val="004118D4"/>
    <w:rsid w:val="0041192D"/>
    <w:rsid w:val="0041275D"/>
    <w:rsid w:val="00413EE1"/>
    <w:rsid w:val="00414540"/>
    <w:rsid w:val="0042128E"/>
    <w:rsid w:val="0042465A"/>
    <w:rsid w:val="00432B60"/>
    <w:rsid w:val="004333E6"/>
    <w:rsid w:val="00440698"/>
    <w:rsid w:val="00453F10"/>
    <w:rsid w:val="004540E2"/>
    <w:rsid w:val="00454454"/>
    <w:rsid w:val="00462CEE"/>
    <w:rsid w:val="00467924"/>
    <w:rsid w:val="004712A5"/>
    <w:rsid w:val="0047266F"/>
    <w:rsid w:val="004749E5"/>
    <w:rsid w:val="004756EB"/>
    <w:rsid w:val="00476D6B"/>
    <w:rsid w:val="004858AA"/>
    <w:rsid w:val="004861E6"/>
    <w:rsid w:val="0049013A"/>
    <w:rsid w:val="00490EF5"/>
    <w:rsid w:val="004929F5"/>
    <w:rsid w:val="00492C16"/>
    <w:rsid w:val="004937D0"/>
    <w:rsid w:val="004A0678"/>
    <w:rsid w:val="004A3B2B"/>
    <w:rsid w:val="004A46D1"/>
    <w:rsid w:val="004A48A3"/>
    <w:rsid w:val="004A75BC"/>
    <w:rsid w:val="004B0D92"/>
    <w:rsid w:val="004B0EC0"/>
    <w:rsid w:val="004B32B2"/>
    <w:rsid w:val="004B5A51"/>
    <w:rsid w:val="004B66F1"/>
    <w:rsid w:val="004C3B7B"/>
    <w:rsid w:val="004C3EA0"/>
    <w:rsid w:val="004D46F2"/>
    <w:rsid w:val="004D74CD"/>
    <w:rsid w:val="004F0913"/>
    <w:rsid w:val="004F32CC"/>
    <w:rsid w:val="004F3D69"/>
    <w:rsid w:val="004F5A1A"/>
    <w:rsid w:val="004F7169"/>
    <w:rsid w:val="00500D66"/>
    <w:rsid w:val="005036A6"/>
    <w:rsid w:val="005057F9"/>
    <w:rsid w:val="00511E3E"/>
    <w:rsid w:val="00514C8E"/>
    <w:rsid w:val="00517F35"/>
    <w:rsid w:val="00523A57"/>
    <w:rsid w:val="00523ED3"/>
    <w:rsid w:val="00531DBF"/>
    <w:rsid w:val="0053261B"/>
    <w:rsid w:val="005337FC"/>
    <w:rsid w:val="00542673"/>
    <w:rsid w:val="00545759"/>
    <w:rsid w:val="00545BE0"/>
    <w:rsid w:val="00551A1D"/>
    <w:rsid w:val="00554C6A"/>
    <w:rsid w:val="0056256B"/>
    <w:rsid w:val="00562E85"/>
    <w:rsid w:val="0056332F"/>
    <w:rsid w:val="00581C39"/>
    <w:rsid w:val="005834A4"/>
    <w:rsid w:val="00584F6B"/>
    <w:rsid w:val="005903B6"/>
    <w:rsid w:val="00592B20"/>
    <w:rsid w:val="005A0247"/>
    <w:rsid w:val="005A0A43"/>
    <w:rsid w:val="005A126E"/>
    <w:rsid w:val="005A2D73"/>
    <w:rsid w:val="005A452F"/>
    <w:rsid w:val="005A4A5B"/>
    <w:rsid w:val="005A703F"/>
    <w:rsid w:val="005B140D"/>
    <w:rsid w:val="005B281D"/>
    <w:rsid w:val="005C1FEA"/>
    <w:rsid w:val="005C3495"/>
    <w:rsid w:val="005C3785"/>
    <w:rsid w:val="005C3995"/>
    <w:rsid w:val="005C7977"/>
    <w:rsid w:val="005D3647"/>
    <w:rsid w:val="005E13EA"/>
    <w:rsid w:val="005E15E0"/>
    <w:rsid w:val="005E3889"/>
    <w:rsid w:val="005E3DFC"/>
    <w:rsid w:val="005E60AF"/>
    <w:rsid w:val="005E7B4E"/>
    <w:rsid w:val="005F1DEA"/>
    <w:rsid w:val="005F4932"/>
    <w:rsid w:val="006011CF"/>
    <w:rsid w:val="00602FCB"/>
    <w:rsid w:val="00605C22"/>
    <w:rsid w:val="00606D50"/>
    <w:rsid w:val="00607FC9"/>
    <w:rsid w:val="006104E1"/>
    <w:rsid w:val="00610955"/>
    <w:rsid w:val="0061335F"/>
    <w:rsid w:val="0061490C"/>
    <w:rsid w:val="00616861"/>
    <w:rsid w:val="00622B29"/>
    <w:rsid w:val="00622FE1"/>
    <w:rsid w:val="00624846"/>
    <w:rsid w:val="0062521C"/>
    <w:rsid w:val="00630A2B"/>
    <w:rsid w:val="00630BA2"/>
    <w:rsid w:val="0063283F"/>
    <w:rsid w:val="00632DC7"/>
    <w:rsid w:val="00633896"/>
    <w:rsid w:val="006357FB"/>
    <w:rsid w:val="00637239"/>
    <w:rsid w:val="0064059F"/>
    <w:rsid w:val="006406FC"/>
    <w:rsid w:val="00643214"/>
    <w:rsid w:val="0064407B"/>
    <w:rsid w:val="00646122"/>
    <w:rsid w:val="006468DA"/>
    <w:rsid w:val="00652254"/>
    <w:rsid w:val="00653E16"/>
    <w:rsid w:val="00656261"/>
    <w:rsid w:val="00657220"/>
    <w:rsid w:val="0066104B"/>
    <w:rsid w:val="00661419"/>
    <w:rsid w:val="006655EE"/>
    <w:rsid w:val="00666CFF"/>
    <w:rsid w:val="00667C10"/>
    <w:rsid w:val="00667EF4"/>
    <w:rsid w:val="00672B85"/>
    <w:rsid w:val="00673B97"/>
    <w:rsid w:val="00674E59"/>
    <w:rsid w:val="00676FCA"/>
    <w:rsid w:val="00677177"/>
    <w:rsid w:val="00677A3D"/>
    <w:rsid w:val="0068056B"/>
    <w:rsid w:val="006811DB"/>
    <w:rsid w:val="0068612E"/>
    <w:rsid w:val="00686AC4"/>
    <w:rsid w:val="00687858"/>
    <w:rsid w:val="00687C92"/>
    <w:rsid w:val="006903B7"/>
    <w:rsid w:val="00692CF9"/>
    <w:rsid w:val="00693B52"/>
    <w:rsid w:val="00694D1F"/>
    <w:rsid w:val="0069534E"/>
    <w:rsid w:val="00696365"/>
    <w:rsid w:val="0069669C"/>
    <w:rsid w:val="006A1200"/>
    <w:rsid w:val="006A2C5A"/>
    <w:rsid w:val="006A4F4E"/>
    <w:rsid w:val="006A51B5"/>
    <w:rsid w:val="006B14DB"/>
    <w:rsid w:val="006B21C4"/>
    <w:rsid w:val="006C4A1A"/>
    <w:rsid w:val="006C7DAD"/>
    <w:rsid w:val="006D0393"/>
    <w:rsid w:val="006D1A83"/>
    <w:rsid w:val="006D2E5C"/>
    <w:rsid w:val="006D5D1E"/>
    <w:rsid w:val="006E1CFE"/>
    <w:rsid w:val="006E31A2"/>
    <w:rsid w:val="006E6D10"/>
    <w:rsid w:val="006F10C4"/>
    <w:rsid w:val="006F40E9"/>
    <w:rsid w:val="006F5603"/>
    <w:rsid w:val="00701400"/>
    <w:rsid w:val="007037CF"/>
    <w:rsid w:val="00703BB8"/>
    <w:rsid w:val="00704B37"/>
    <w:rsid w:val="00712A8B"/>
    <w:rsid w:val="00716583"/>
    <w:rsid w:val="007167C0"/>
    <w:rsid w:val="007203C3"/>
    <w:rsid w:val="00720481"/>
    <w:rsid w:val="007213EF"/>
    <w:rsid w:val="00721642"/>
    <w:rsid w:val="00721BC7"/>
    <w:rsid w:val="0072510B"/>
    <w:rsid w:val="00727C18"/>
    <w:rsid w:val="00727E2F"/>
    <w:rsid w:val="00730DF8"/>
    <w:rsid w:val="00733193"/>
    <w:rsid w:val="00737CBA"/>
    <w:rsid w:val="00752FF8"/>
    <w:rsid w:val="00754C17"/>
    <w:rsid w:val="0075732A"/>
    <w:rsid w:val="00760262"/>
    <w:rsid w:val="0076086B"/>
    <w:rsid w:val="0076310C"/>
    <w:rsid w:val="0076379E"/>
    <w:rsid w:val="0076744F"/>
    <w:rsid w:val="00767BCE"/>
    <w:rsid w:val="00767EFC"/>
    <w:rsid w:val="007707DE"/>
    <w:rsid w:val="00770B5D"/>
    <w:rsid w:val="007752F1"/>
    <w:rsid w:val="00776768"/>
    <w:rsid w:val="00781E2A"/>
    <w:rsid w:val="00782D61"/>
    <w:rsid w:val="00783585"/>
    <w:rsid w:val="00785333"/>
    <w:rsid w:val="00791024"/>
    <w:rsid w:val="007921C6"/>
    <w:rsid w:val="00794818"/>
    <w:rsid w:val="0079778E"/>
    <w:rsid w:val="007A2573"/>
    <w:rsid w:val="007A3B9C"/>
    <w:rsid w:val="007B047A"/>
    <w:rsid w:val="007B106C"/>
    <w:rsid w:val="007B1A4E"/>
    <w:rsid w:val="007B3D05"/>
    <w:rsid w:val="007B5503"/>
    <w:rsid w:val="007B6DCA"/>
    <w:rsid w:val="007B735F"/>
    <w:rsid w:val="007C0E95"/>
    <w:rsid w:val="007C52F3"/>
    <w:rsid w:val="007C6BB3"/>
    <w:rsid w:val="007D14B4"/>
    <w:rsid w:val="007D3AD7"/>
    <w:rsid w:val="007E24F6"/>
    <w:rsid w:val="007F0148"/>
    <w:rsid w:val="007F57C8"/>
    <w:rsid w:val="00800827"/>
    <w:rsid w:val="00800F64"/>
    <w:rsid w:val="008021AB"/>
    <w:rsid w:val="00802F0B"/>
    <w:rsid w:val="00810A67"/>
    <w:rsid w:val="0081315B"/>
    <w:rsid w:val="00823C38"/>
    <w:rsid w:val="00825553"/>
    <w:rsid w:val="008310EC"/>
    <w:rsid w:val="00833CF7"/>
    <w:rsid w:val="0083722D"/>
    <w:rsid w:val="0084257F"/>
    <w:rsid w:val="00843160"/>
    <w:rsid w:val="00845601"/>
    <w:rsid w:val="008524B9"/>
    <w:rsid w:val="00855C5C"/>
    <w:rsid w:val="00857194"/>
    <w:rsid w:val="008619EF"/>
    <w:rsid w:val="0086233C"/>
    <w:rsid w:val="00864975"/>
    <w:rsid w:val="00865CFA"/>
    <w:rsid w:val="008776A9"/>
    <w:rsid w:val="00883CE7"/>
    <w:rsid w:val="008938F7"/>
    <w:rsid w:val="008A187F"/>
    <w:rsid w:val="008A3C96"/>
    <w:rsid w:val="008A5EED"/>
    <w:rsid w:val="008A5EF8"/>
    <w:rsid w:val="008A7F3F"/>
    <w:rsid w:val="008B0BBA"/>
    <w:rsid w:val="008B0F6B"/>
    <w:rsid w:val="008B1627"/>
    <w:rsid w:val="008B4019"/>
    <w:rsid w:val="008B41AE"/>
    <w:rsid w:val="008B505F"/>
    <w:rsid w:val="008B65C9"/>
    <w:rsid w:val="008C00AD"/>
    <w:rsid w:val="008C2D4A"/>
    <w:rsid w:val="008C6A05"/>
    <w:rsid w:val="008C7DBB"/>
    <w:rsid w:val="008D3900"/>
    <w:rsid w:val="008D6E1D"/>
    <w:rsid w:val="008D6EDB"/>
    <w:rsid w:val="008E16FF"/>
    <w:rsid w:val="008E36FE"/>
    <w:rsid w:val="008F2E99"/>
    <w:rsid w:val="008F39B4"/>
    <w:rsid w:val="008F4162"/>
    <w:rsid w:val="00903E02"/>
    <w:rsid w:val="009110D5"/>
    <w:rsid w:val="00913175"/>
    <w:rsid w:val="00916EDB"/>
    <w:rsid w:val="00920861"/>
    <w:rsid w:val="00921D8E"/>
    <w:rsid w:val="00922B13"/>
    <w:rsid w:val="00923EC9"/>
    <w:rsid w:val="009242EF"/>
    <w:rsid w:val="009249E5"/>
    <w:rsid w:val="00924AB9"/>
    <w:rsid w:val="00926F52"/>
    <w:rsid w:val="00932291"/>
    <w:rsid w:val="00933B1B"/>
    <w:rsid w:val="0093408E"/>
    <w:rsid w:val="009373C5"/>
    <w:rsid w:val="00940467"/>
    <w:rsid w:val="00940B06"/>
    <w:rsid w:val="00942973"/>
    <w:rsid w:val="00944142"/>
    <w:rsid w:val="00947507"/>
    <w:rsid w:val="00950830"/>
    <w:rsid w:val="00952DDF"/>
    <w:rsid w:val="00952EC4"/>
    <w:rsid w:val="0095786F"/>
    <w:rsid w:val="00972423"/>
    <w:rsid w:val="00977AE6"/>
    <w:rsid w:val="009812D4"/>
    <w:rsid w:val="00982653"/>
    <w:rsid w:val="00984EF6"/>
    <w:rsid w:val="0098726C"/>
    <w:rsid w:val="009873F4"/>
    <w:rsid w:val="009920D8"/>
    <w:rsid w:val="00994122"/>
    <w:rsid w:val="00997C4E"/>
    <w:rsid w:val="009A0708"/>
    <w:rsid w:val="009A371F"/>
    <w:rsid w:val="009A4869"/>
    <w:rsid w:val="009B38BE"/>
    <w:rsid w:val="009B4556"/>
    <w:rsid w:val="009B5855"/>
    <w:rsid w:val="009B682F"/>
    <w:rsid w:val="009C3D0F"/>
    <w:rsid w:val="009D5BD6"/>
    <w:rsid w:val="009D6232"/>
    <w:rsid w:val="009E1B19"/>
    <w:rsid w:val="009E1D6D"/>
    <w:rsid w:val="009E67BE"/>
    <w:rsid w:val="009E79B6"/>
    <w:rsid w:val="009F35E2"/>
    <w:rsid w:val="009F438B"/>
    <w:rsid w:val="009F65F9"/>
    <w:rsid w:val="009F68BA"/>
    <w:rsid w:val="00A037B9"/>
    <w:rsid w:val="00A04F6C"/>
    <w:rsid w:val="00A06277"/>
    <w:rsid w:val="00A079DC"/>
    <w:rsid w:val="00A10BAB"/>
    <w:rsid w:val="00A111C2"/>
    <w:rsid w:val="00A17C39"/>
    <w:rsid w:val="00A21440"/>
    <w:rsid w:val="00A238AA"/>
    <w:rsid w:val="00A338E7"/>
    <w:rsid w:val="00A35CAA"/>
    <w:rsid w:val="00A36E7F"/>
    <w:rsid w:val="00A37598"/>
    <w:rsid w:val="00A41E65"/>
    <w:rsid w:val="00A426F9"/>
    <w:rsid w:val="00A43517"/>
    <w:rsid w:val="00A43E0A"/>
    <w:rsid w:val="00A46247"/>
    <w:rsid w:val="00A479C6"/>
    <w:rsid w:val="00A47F07"/>
    <w:rsid w:val="00A51143"/>
    <w:rsid w:val="00A530C7"/>
    <w:rsid w:val="00A5504B"/>
    <w:rsid w:val="00A55F5B"/>
    <w:rsid w:val="00A56261"/>
    <w:rsid w:val="00A60185"/>
    <w:rsid w:val="00A611EE"/>
    <w:rsid w:val="00A622EC"/>
    <w:rsid w:val="00A661EA"/>
    <w:rsid w:val="00A66263"/>
    <w:rsid w:val="00A6775C"/>
    <w:rsid w:val="00A70A6C"/>
    <w:rsid w:val="00A75014"/>
    <w:rsid w:val="00A77A38"/>
    <w:rsid w:val="00A830E5"/>
    <w:rsid w:val="00A83DF5"/>
    <w:rsid w:val="00A84BF3"/>
    <w:rsid w:val="00A84C21"/>
    <w:rsid w:val="00A87135"/>
    <w:rsid w:val="00A905DF"/>
    <w:rsid w:val="00A92913"/>
    <w:rsid w:val="00A93280"/>
    <w:rsid w:val="00A93C73"/>
    <w:rsid w:val="00A951EA"/>
    <w:rsid w:val="00A961A6"/>
    <w:rsid w:val="00A973E1"/>
    <w:rsid w:val="00A97F71"/>
    <w:rsid w:val="00AA1C65"/>
    <w:rsid w:val="00AA2237"/>
    <w:rsid w:val="00AA2548"/>
    <w:rsid w:val="00AA3B6E"/>
    <w:rsid w:val="00AA426D"/>
    <w:rsid w:val="00AA58C4"/>
    <w:rsid w:val="00AB014F"/>
    <w:rsid w:val="00AB11C8"/>
    <w:rsid w:val="00AB2248"/>
    <w:rsid w:val="00AB689D"/>
    <w:rsid w:val="00AC08A8"/>
    <w:rsid w:val="00AD20F6"/>
    <w:rsid w:val="00AD56C8"/>
    <w:rsid w:val="00AD58F2"/>
    <w:rsid w:val="00AE071C"/>
    <w:rsid w:val="00AE5712"/>
    <w:rsid w:val="00AF3236"/>
    <w:rsid w:val="00AF5EA3"/>
    <w:rsid w:val="00AF6573"/>
    <w:rsid w:val="00AF65FE"/>
    <w:rsid w:val="00AF7690"/>
    <w:rsid w:val="00B0512A"/>
    <w:rsid w:val="00B0529F"/>
    <w:rsid w:val="00B05D52"/>
    <w:rsid w:val="00B12E1E"/>
    <w:rsid w:val="00B1418B"/>
    <w:rsid w:val="00B151A0"/>
    <w:rsid w:val="00B1520C"/>
    <w:rsid w:val="00B1560E"/>
    <w:rsid w:val="00B21195"/>
    <w:rsid w:val="00B22B3D"/>
    <w:rsid w:val="00B24B22"/>
    <w:rsid w:val="00B25310"/>
    <w:rsid w:val="00B32F8F"/>
    <w:rsid w:val="00B376CA"/>
    <w:rsid w:val="00B42C1C"/>
    <w:rsid w:val="00B4690F"/>
    <w:rsid w:val="00B47C42"/>
    <w:rsid w:val="00B510B1"/>
    <w:rsid w:val="00B54DE9"/>
    <w:rsid w:val="00B553EC"/>
    <w:rsid w:val="00B55870"/>
    <w:rsid w:val="00B60059"/>
    <w:rsid w:val="00B654FC"/>
    <w:rsid w:val="00B6684B"/>
    <w:rsid w:val="00B77732"/>
    <w:rsid w:val="00B80D6D"/>
    <w:rsid w:val="00B9154F"/>
    <w:rsid w:val="00B91B55"/>
    <w:rsid w:val="00B93D04"/>
    <w:rsid w:val="00B93DD0"/>
    <w:rsid w:val="00B9520A"/>
    <w:rsid w:val="00B97732"/>
    <w:rsid w:val="00BA0849"/>
    <w:rsid w:val="00BA34EC"/>
    <w:rsid w:val="00BA4F10"/>
    <w:rsid w:val="00BA56D7"/>
    <w:rsid w:val="00BA65A8"/>
    <w:rsid w:val="00BA6A97"/>
    <w:rsid w:val="00BA6D19"/>
    <w:rsid w:val="00BA7461"/>
    <w:rsid w:val="00BA7DA9"/>
    <w:rsid w:val="00BC4215"/>
    <w:rsid w:val="00BD0396"/>
    <w:rsid w:val="00BD1A6F"/>
    <w:rsid w:val="00BD1C60"/>
    <w:rsid w:val="00BD5B71"/>
    <w:rsid w:val="00BE2FBE"/>
    <w:rsid w:val="00BE6D3C"/>
    <w:rsid w:val="00BE7852"/>
    <w:rsid w:val="00BF6D87"/>
    <w:rsid w:val="00BF7CEE"/>
    <w:rsid w:val="00C03880"/>
    <w:rsid w:val="00C135CF"/>
    <w:rsid w:val="00C14E3F"/>
    <w:rsid w:val="00C2683F"/>
    <w:rsid w:val="00C3184D"/>
    <w:rsid w:val="00C3227B"/>
    <w:rsid w:val="00C331D7"/>
    <w:rsid w:val="00C4146A"/>
    <w:rsid w:val="00C43084"/>
    <w:rsid w:val="00C43CAD"/>
    <w:rsid w:val="00C4714E"/>
    <w:rsid w:val="00C50941"/>
    <w:rsid w:val="00C5504F"/>
    <w:rsid w:val="00C55991"/>
    <w:rsid w:val="00C63376"/>
    <w:rsid w:val="00C66CB4"/>
    <w:rsid w:val="00C671F5"/>
    <w:rsid w:val="00C712FA"/>
    <w:rsid w:val="00C74F97"/>
    <w:rsid w:val="00C76A08"/>
    <w:rsid w:val="00C803D7"/>
    <w:rsid w:val="00C8276E"/>
    <w:rsid w:val="00C83AD1"/>
    <w:rsid w:val="00C842AC"/>
    <w:rsid w:val="00C85B7B"/>
    <w:rsid w:val="00C87F97"/>
    <w:rsid w:val="00C92AD5"/>
    <w:rsid w:val="00C93152"/>
    <w:rsid w:val="00C93FD9"/>
    <w:rsid w:val="00C96688"/>
    <w:rsid w:val="00CA0723"/>
    <w:rsid w:val="00CA37C1"/>
    <w:rsid w:val="00CA4542"/>
    <w:rsid w:val="00CB1690"/>
    <w:rsid w:val="00CC27E7"/>
    <w:rsid w:val="00CC2B33"/>
    <w:rsid w:val="00CC4365"/>
    <w:rsid w:val="00CD11B0"/>
    <w:rsid w:val="00CD446E"/>
    <w:rsid w:val="00CD4588"/>
    <w:rsid w:val="00CD5DA9"/>
    <w:rsid w:val="00CD5E0E"/>
    <w:rsid w:val="00CE3EC7"/>
    <w:rsid w:val="00CE4680"/>
    <w:rsid w:val="00CE71C2"/>
    <w:rsid w:val="00CF13B2"/>
    <w:rsid w:val="00CF2242"/>
    <w:rsid w:val="00CF3DF5"/>
    <w:rsid w:val="00CF42D5"/>
    <w:rsid w:val="00CF4EDA"/>
    <w:rsid w:val="00CF562A"/>
    <w:rsid w:val="00CF5929"/>
    <w:rsid w:val="00D00281"/>
    <w:rsid w:val="00D01E11"/>
    <w:rsid w:val="00D021CB"/>
    <w:rsid w:val="00D071B8"/>
    <w:rsid w:val="00D10C4C"/>
    <w:rsid w:val="00D10F1A"/>
    <w:rsid w:val="00D116F8"/>
    <w:rsid w:val="00D15280"/>
    <w:rsid w:val="00D17596"/>
    <w:rsid w:val="00D22640"/>
    <w:rsid w:val="00D26D3A"/>
    <w:rsid w:val="00D441B2"/>
    <w:rsid w:val="00D45C91"/>
    <w:rsid w:val="00D45EE3"/>
    <w:rsid w:val="00D50618"/>
    <w:rsid w:val="00D509E9"/>
    <w:rsid w:val="00D53B1C"/>
    <w:rsid w:val="00D61714"/>
    <w:rsid w:val="00D620BE"/>
    <w:rsid w:val="00D622B9"/>
    <w:rsid w:val="00D652C8"/>
    <w:rsid w:val="00D656FF"/>
    <w:rsid w:val="00D670ED"/>
    <w:rsid w:val="00D70C98"/>
    <w:rsid w:val="00D73238"/>
    <w:rsid w:val="00D75706"/>
    <w:rsid w:val="00D774D5"/>
    <w:rsid w:val="00D80781"/>
    <w:rsid w:val="00D82448"/>
    <w:rsid w:val="00D83615"/>
    <w:rsid w:val="00D83AAD"/>
    <w:rsid w:val="00D843E5"/>
    <w:rsid w:val="00D96904"/>
    <w:rsid w:val="00D97037"/>
    <w:rsid w:val="00DA1B12"/>
    <w:rsid w:val="00DA4F90"/>
    <w:rsid w:val="00DA53E1"/>
    <w:rsid w:val="00DA54C9"/>
    <w:rsid w:val="00DA6739"/>
    <w:rsid w:val="00DA6CAE"/>
    <w:rsid w:val="00DB1A9E"/>
    <w:rsid w:val="00DB31D6"/>
    <w:rsid w:val="00DB3296"/>
    <w:rsid w:val="00DB4005"/>
    <w:rsid w:val="00DB44E2"/>
    <w:rsid w:val="00DB49DC"/>
    <w:rsid w:val="00DB61F1"/>
    <w:rsid w:val="00DC325B"/>
    <w:rsid w:val="00DC34EB"/>
    <w:rsid w:val="00DC4E2E"/>
    <w:rsid w:val="00DC509A"/>
    <w:rsid w:val="00DC78C0"/>
    <w:rsid w:val="00DD5837"/>
    <w:rsid w:val="00DD5F30"/>
    <w:rsid w:val="00DE2C10"/>
    <w:rsid w:val="00DE42F9"/>
    <w:rsid w:val="00DF14C9"/>
    <w:rsid w:val="00DF1E5B"/>
    <w:rsid w:val="00DF2275"/>
    <w:rsid w:val="00DF3F5E"/>
    <w:rsid w:val="00DF5653"/>
    <w:rsid w:val="00DF6253"/>
    <w:rsid w:val="00E04DF5"/>
    <w:rsid w:val="00E0596E"/>
    <w:rsid w:val="00E06F66"/>
    <w:rsid w:val="00E10807"/>
    <w:rsid w:val="00E2111A"/>
    <w:rsid w:val="00E21678"/>
    <w:rsid w:val="00E2382F"/>
    <w:rsid w:val="00E270CE"/>
    <w:rsid w:val="00E344AA"/>
    <w:rsid w:val="00E356E5"/>
    <w:rsid w:val="00E36F81"/>
    <w:rsid w:val="00E378A8"/>
    <w:rsid w:val="00E40B9B"/>
    <w:rsid w:val="00E45765"/>
    <w:rsid w:val="00E5098C"/>
    <w:rsid w:val="00E5287D"/>
    <w:rsid w:val="00E54ECD"/>
    <w:rsid w:val="00E574EF"/>
    <w:rsid w:val="00E57CD8"/>
    <w:rsid w:val="00E57E07"/>
    <w:rsid w:val="00E60213"/>
    <w:rsid w:val="00E60824"/>
    <w:rsid w:val="00E661B2"/>
    <w:rsid w:val="00E70F73"/>
    <w:rsid w:val="00E73C67"/>
    <w:rsid w:val="00E74D29"/>
    <w:rsid w:val="00E806FF"/>
    <w:rsid w:val="00E81197"/>
    <w:rsid w:val="00E8193E"/>
    <w:rsid w:val="00E83C74"/>
    <w:rsid w:val="00E83CEE"/>
    <w:rsid w:val="00E91F18"/>
    <w:rsid w:val="00E9226D"/>
    <w:rsid w:val="00E96424"/>
    <w:rsid w:val="00EA2A91"/>
    <w:rsid w:val="00EA416C"/>
    <w:rsid w:val="00EA5941"/>
    <w:rsid w:val="00EB0865"/>
    <w:rsid w:val="00EB60CE"/>
    <w:rsid w:val="00EB7D53"/>
    <w:rsid w:val="00EC37F0"/>
    <w:rsid w:val="00EC3F66"/>
    <w:rsid w:val="00EC596B"/>
    <w:rsid w:val="00ED5EEB"/>
    <w:rsid w:val="00ED716A"/>
    <w:rsid w:val="00EE13C5"/>
    <w:rsid w:val="00EE3146"/>
    <w:rsid w:val="00EE53E3"/>
    <w:rsid w:val="00EF50BB"/>
    <w:rsid w:val="00EF5270"/>
    <w:rsid w:val="00EF71E4"/>
    <w:rsid w:val="00F00192"/>
    <w:rsid w:val="00F01DF6"/>
    <w:rsid w:val="00F027B8"/>
    <w:rsid w:val="00F032A8"/>
    <w:rsid w:val="00F0340D"/>
    <w:rsid w:val="00F035F2"/>
    <w:rsid w:val="00F059A6"/>
    <w:rsid w:val="00F14A04"/>
    <w:rsid w:val="00F1740A"/>
    <w:rsid w:val="00F23756"/>
    <w:rsid w:val="00F2464C"/>
    <w:rsid w:val="00F2523A"/>
    <w:rsid w:val="00F25FFA"/>
    <w:rsid w:val="00F30C26"/>
    <w:rsid w:val="00F310D2"/>
    <w:rsid w:val="00F3132E"/>
    <w:rsid w:val="00F31CF0"/>
    <w:rsid w:val="00F31E11"/>
    <w:rsid w:val="00F36F3D"/>
    <w:rsid w:val="00F378A0"/>
    <w:rsid w:val="00F37C48"/>
    <w:rsid w:val="00F4621C"/>
    <w:rsid w:val="00F477BD"/>
    <w:rsid w:val="00F50333"/>
    <w:rsid w:val="00F53491"/>
    <w:rsid w:val="00F54656"/>
    <w:rsid w:val="00F55386"/>
    <w:rsid w:val="00F56411"/>
    <w:rsid w:val="00F57BEA"/>
    <w:rsid w:val="00F60181"/>
    <w:rsid w:val="00F657D7"/>
    <w:rsid w:val="00F65A1C"/>
    <w:rsid w:val="00F66F50"/>
    <w:rsid w:val="00F72C89"/>
    <w:rsid w:val="00F77432"/>
    <w:rsid w:val="00F81162"/>
    <w:rsid w:val="00F8297F"/>
    <w:rsid w:val="00F82FF8"/>
    <w:rsid w:val="00F8330D"/>
    <w:rsid w:val="00F84305"/>
    <w:rsid w:val="00F8485C"/>
    <w:rsid w:val="00F87149"/>
    <w:rsid w:val="00F87FFE"/>
    <w:rsid w:val="00F9138D"/>
    <w:rsid w:val="00F954C9"/>
    <w:rsid w:val="00F97134"/>
    <w:rsid w:val="00FA4CF0"/>
    <w:rsid w:val="00FA61AA"/>
    <w:rsid w:val="00FA69A4"/>
    <w:rsid w:val="00FB1279"/>
    <w:rsid w:val="00FB1495"/>
    <w:rsid w:val="00FB6AEC"/>
    <w:rsid w:val="00FC147D"/>
    <w:rsid w:val="00FC20F8"/>
    <w:rsid w:val="00FC2CD6"/>
    <w:rsid w:val="00FC3936"/>
    <w:rsid w:val="00FD1694"/>
    <w:rsid w:val="00FD2134"/>
    <w:rsid w:val="00FD7636"/>
    <w:rsid w:val="00FE3229"/>
    <w:rsid w:val="00FE6F7E"/>
    <w:rsid w:val="00FE74C3"/>
    <w:rsid w:val="00FF0B5C"/>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qFormat="1"/>
    <w:lsdException w:name="List Number 3" w:semiHidden="0" w:unhideWhenUsed="0" w:qFormat="1"/>
    <w:lsdException w:name="List Number 4" w:semiHidden="0" w:unhideWhenUsed="0"/>
    <w:lsdException w:name="List Number 5" w:semiHidden="0" w:unhideWhenUsed="0"/>
    <w:lsdException w:name="Title" w:semiHidden="0" w:uiPriority="10" w:unhideWhenUsed="0"/>
    <w:lsdException w:name="Default Paragraph Font" w:uiPriority="1"/>
    <w:lsdException w:name="List Continue" w:semiHidden="0"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D622B9"/>
    <w:pPr>
      <w:jc w:val="center"/>
      <w:outlineLvl w:val="0"/>
    </w:pPr>
    <w:rPr>
      <w:b/>
      <w:sz w:val="24"/>
    </w:rPr>
  </w:style>
  <w:style w:type="paragraph" w:styleId="Heading2">
    <w:name w:val="heading 2"/>
    <w:basedOn w:val="Header"/>
    <w:next w:val="Normal"/>
    <w:link w:val="Heading2Char"/>
    <w:uiPriority w:val="9"/>
    <w:qFormat/>
    <w:rsid w:val="00704B37"/>
    <w:pPr>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D071B8"/>
    <w:pPr>
      <w:keepNext/>
      <w:spacing w:before="200"/>
      <w:outlineLvl w:val="2"/>
    </w:pPr>
    <w:rPr>
      <w:sz w:val="20"/>
    </w:rPr>
  </w:style>
  <w:style w:type="paragraph" w:styleId="Heading4">
    <w:name w:val="heading 4"/>
    <w:basedOn w:val="PlainText"/>
    <w:next w:val="Normal"/>
    <w:link w:val="Heading4Char"/>
    <w:uiPriority w:val="9"/>
    <w:qFormat/>
    <w:rsid w:val="00D071B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D071B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D622B9"/>
    <w:rPr>
      <w:rFonts w:eastAsia="Times New Roman" w:cs="Arial"/>
      <w:b/>
      <w:sz w:val="24"/>
      <w:lang w:eastAsia="en-US"/>
    </w:rPr>
  </w:style>
  <w:style w:type="character" w:customStyle="1" w:styleId="Heading2Char">
    <w:name w:val="Heading 2 Char"/>
    <w:basedOn w:val="DefaultParagraphFont"/>
    <w:link w:val="Heading2"/>
    <w:uiPriority w:val="9"/>
    <w:rsid w:val="00704B37"/>
    <w:rPr>
      <w:rFonts w:eastAsia="Times New Roman" w:cs="Arial"/>
      <w:b/>
      <w:szCs w:val="24"/>
    </w:rPr>
  </w:style>
  <w:style w:type="character" w:customStyle="1" w:styleId="Heading3Char">
    <w:name w:val="Heading 3 Char"/>
    <w:basedOn w:val="DefaultParagraphFont"/>
    <w:link w:val="Heading3"/>
    <w:uiPriority w:val="9"/>
    <w:rsid w:val="00D071B8"/>
    <w:rPr>
      <w:rFonts w:eastAsia="Times New Roman" w:cs="Arial"/>
      <w:b/>
      <w:lang w:eastAsia="en-US"/>
    </w:rPr>
  </w:style>
  <w:style w:type="character" w:customStyle="1" w:styleId="Heading4Char">
    <w:name w:val="Heading 4 Char"/>
    <w:basedOn w:val="DefaultParagraphFont"/>
    <w:link w:val="Heading4"/>
    <w:uiPriority w:val="9"/>
    <w:rsid w:val="00D071B8"/>
    <w:rPr>
      <w:rFonts w:eastAsia="Times New Roman" w:cs="Arial"/>
      <w:u w:val="single"/>
      <w:lang w:eastAsia="en-US"/>
    </w:rPr>
  </w:style>
  <w:style w:type="paragraph" w:styleId="ListBullet">
    <w:name w:val="List Bullet"/>
    <w:basedOn w:val="Normal"/>
    <w:uiPriority w:val="99"/>
    <w:unhideWhenUsed/>
    <w:qFormat/>
    <w:rsid w:val="00D441B2"/>
    <w:pPr>
      <w:numPr>
        <w:numId w:val="30"/>
      </w:numPr>
      <w:ind w:left="426" w:hanging="426"/>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D071B8"/>
    <w:pPr>
      <w:keepLines/>
      <w:numPr>
        <w:numId w:val="5"/>
      </w:numPr>
    </w:pPr>
  </w:style>
  <w:style w:type="paragraph" w:styleId="ListNumber2">
    <w:name w:val="List Number 2"/>
    <w:basedOn w:val="Normal"/>
    <w:uiPriority w:val="99"/>
    <w:qFormat/>
    <w:rsid w:val="00D071B8"/>
    <w:pPr>
      <w:keepLines/>
      <w:numPr>
        <w:ilvl w:val="1"/>
        <w:numId w:val="5"/>
      </w:numPr>
      <w:ind w:left="709" w:hanging="284"/>
    </w:pPr>
  </w:style>
  <w:style w:type="paragraph" w:styleId="ListNumber3">
    <w:name w:val="List Number 3"/>
    <w:basedOn w:val="Normal"/>
    <w:uiPriority w:val="99"/>
    <w:qFormat/>
    <w:rsid w:val="00D071B8"/>
    <w:pPr>
      <w:keepLines/>
      <w:numPr>
        <w:ilvl w:val="2"/>
        <w:numId w:val="5"/>
      </w:numPr>
      <w:ind w:left="993" w:hanging="284"/>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link w:val="TabletextChar"/>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D071B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semiHidden/>
    <w:unhideWhenUsed/>
    <w:rsid w:val="003E2135"/>
  </w:style>
  <w:style w:type="character" w:customStyle="1" w:styleId="CommentTextChar">
    <w:name w:val="Comment Text Char"/>
    <w:basedOn w:val="DefaultParagraphFont"/>
    <w:link w:val="CommentText"/>
    <w:uiPriority w:val="99"/>
    <w:semiHidden/>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b/>
      <w:bC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Reference">
    <w:name w:val="Reference"/>
    <w:basedOn w:val="Tabletext"/>
    <w:link w:val="ReferenceChar"/>
    <w:qFormat/>
    <w:rsid w:val="003A3D03"/>
    <w:pPr>
      <w:ind w:left="743" w:hanging="743"/>
    </w:pPr>
    <w:rPr>
      <w:szCs w:val="22"/>
    </w:rPr>
  </w:style>
  <w:style w:type="character" w:customStyle="1" w:styleId="TabletextChar">
    <w:name w:val="Table text Char"/>
    <w:basedOn w:val="DefaultParagraphFont"/>
    <w:link w:val="Tabletext"/>
    <w:uiPriority w:val="9"/>
    <w:rsid w:val="003A3D03"/>
    <w:rPr>
      <w:rFonts w:eastAsia="Times New Roman" w:cs="Arial"/>
      <w:lang w:eastAsia="en-US"/>
    </w:rPr>
  </w:style>
  <w:style w:type="character" w:customStyle="1" w:styleId="ReferenceChar">
    <w:name w:val="Reference Char"/>
    <w:basedOn w:val="TabletextChar"/>
    <w:link w:val="Reference"/>
    <w:rsid w:val="003A3D03"/>
    <w:rPr>
      <w:szCs w:val="22"/>
    </w:rPr>
  </w:style>
</w:styles>
</file>

<file path=word/webSettings.xml><?xml version="1.0" encoding="utf-8"?>
<w:webSettings xmlns:r="http://schemas.openxmlformats.org/officeDocument/2006/relationships" xmlns:w="http://schemas.openxmlformats.org/wordprocessingml/2006/main">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sc.environment.gov.au/system/files/resources/012fa918-ee79-4131-9c8d-02c9b2de65cf/files/iesc-information-guidelines-oct-2015.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4412</Words>
  <Characters>25151</Characters>
  <Application>Microsoft Office Word</Application>
  <DocSecurity>4</DocSecurity>
  <Lines>209</Lines>
  <Paragraphs>59</Paragraphs>
  <ScaleCrop>false</ScaleCrop>
  <HeadingPairs>
    <vt:vector size="2" baseType="variant">
      <vt:variant>
        <vt:lpstr>Title</vt:lpstr>
      </vt:variant>
      <vt:variant>
        <vt:i4>1</vt:i4>
      </vt:variant>
    </vt:vector>
  </HeadingPairs>
  <LinksUpToDate>false</LinksUpToDate>
  <CharactersWithSpaces>29504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IESC 2015-074: Curragh Extension Project (EPBC 2015/7508) – Expansion</dc:title>
  <dc:creator/>
  <cp:lastModifiedBy/>
  <cp:revision>1</cp:revision>
  <dcterms:created xsi:type="dcterms:W3CDTF">2015-12-17T00:44:00Z</dcterms:created>
  <dcterms:modified xsi:type="dcterms:W3CDTF">2015-12-17T00:44:00Z</dcterms:modified>
</cp:coreProperties>
</file>