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F4" w:rsidRDefault="000B6530"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72375" cy="2357120"/>
                    </a:xfrm>
                    <a:prstGeom prst="rect">
                      <a:avLst/>
                    </a:prstGeom>
                    <a:noFill/>
                  </pic:spPr>
                </pic:pic>
              </a:graphicData>
            </a:graphic>
          </wp:anchor>
        </w:drawing>
      </w:r>
      <w:proofErr w:type="spellStart"/>
      <w:r w:rsidR="006105F4" w:rsidRPr="002A5EC3">
        <w:rPr>
          <w:rFonts w:ascii="Arial" w:hAnsi="Arial" w:cs="Arial"/>
          <w:b/>
        </w:rPr>
        <w:t>Advi</w:t>
      </w:r>
      <w:proofErr w:type="spellEnd"/>
    </w:p>
    <w:p w:rsidR="006105F4" w:rsidRDefault="006105F4" w:rsidP="0032087E">
      <w:pPr>
        <w:pStyle w:val="Header"/>
        <w:keepLines/>
        <w:tabs>
          <w:tab w:val="left" w:pos="2835"/>
        </w:tabs>
        <w:spacing w:after="200" w:line="276" w:lineRule="auto"/>
        <w:ind w:left="-360" w:right="-289"/>
        <w:jc w:val="center"/>
        <w:rPr>
          <w:rFonts w:ascii="Arial" w:hAnsi="Arial" w:cs="Arial"/>
          <w:b/>
        </w:rPr>
      </w:pPr>
    </w:p>
    <w:p w:rsidR="006105F4" w:rsidRDefault="006105F4" w:rsidP="0032087E">
      <w:pPr>
        <w:pStyle w:val="Header"/>
        <w:keepLines/>
        <w:tabs>
          <w:tab w:val="left" w:pos="2835"/>
        </w:tabs>
        <w:spacing w:after="200" w:line="276" w:lineRule="auto"/>
        <w:ind w:left="-360" w:right="-289"/>
        <w:jc w:val="center"/>
        <w:rPr>
          <w:rFonts w:ascii="Arial" w:hAnsi="Arial" w:cs="Arial"/>
          <w:b/>
        </w:rPr>
      </w:pPr>
    </w:p>
    <w:p w:rsidR="006105F4" w:rsidRDefault="006105F4" w:rsidP="0032087E">
      <w:pPr>
        <w:pStyle w:val="Header"/>
        <w:keepLines/>
        <w:tabs>
          <w:tab w:val="left" w:pos="2835"/>
        </w:tabs>
        <w:spacing w:after="200" w:line="276" w:lineRule="auto"/>
        <w:ind w:left="-360" w:right="-289"/>
        <w:jc w:val="center"/>
        <w:rPr>
          <w:rFonts w:ascii="Arial" w:hAnsi="Arial" w:cs="Arial"/>
          <w:b/>
        </w:rPr>
      </w:pPr>
    </w:p>
    <w:p w:rsidR="006105F4" w:rsidRDefault="006105F4" w:rsidP="0032087E">
      <w:pPr>
        <w:pStyle w:val="Header"/>
        <w:keepLines/>
        <w:tabs>
          <w:tab w:val="left" w:pos="2835"/>
        </w:tabs>
        <w:spacing w:after="200" w:line="276" w:lineRule="auto"/>
        <w:ind w:left="-360" w:right="-289"/>
        <w:jc w:val="center"/>
        <w:rPr>
          <w:rFonts w:ascii="Arial" w:hAnsi="Arial" w:cs="Arial"/>
          <w:b/>
        </w:rPr>
      </w:pPr>
    </w:p>
    <w:p w:rsidR="006105F4" w:rsidRPr="002A5EC3" w:rsidRDefault="006105F4"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Pr="002A5EC3">
        <w:rPr>
          <w:rFonts w:ascii="Arial" w:hAnsi="Arial" w:cs="Arial"/>
          <w:b/>
        </w:rPr>
        <w:t xml:space="preserve">ce to decision maker on coal mining project </w:t>
      </w:r>
    </w:p>
    <w:p w:rsidR="006105F4" w:rsidRPr="002A5EC3" w:rsidRDefault="006105F4"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 xml:space="preserve">Proposed action: </w:t>
      </w:r>
      <w:bookmarkStart w:id="0" w:name="OLE_LINK1"/>
      <w:bookmarkStart w:id="1" w:name="OLE_LINK2"/>
      <w:proofErr w:type="spellStart"/>
      <w:r w:rsidRPr="00FF17DE">
        <w:rPr>
          <w:rFonts w:ascii="Arial Bold" w:hAnsi="Arial Bold" w:cs="Arial"/>
          <w:b/>
          <w:sz w:val="20"/>
          <w:lang w:eastAsia="en-AU"/>
        </w:rPr>
        <w:t>Coalpac</w:t>
      </w:r>
      <w:proofErr w:type="spellEnd"/>
      <w:r w:rsidRPr="00FF17DE">
        <w:rPr>
          <w:rFonts w:ascii="Arial Bold" w:hAnsi="Arial Bold" w:cs="Arial"/>
          <w:b/>
          <w:sz w:val="20"/>
          <w:lang w:eastAsia="en-AU"/>
        </w:rPr>
        <w:t xml:space="preserve"> Consolidation Project</w:t>
      </w:r>
      <w:r>
        <w:rPr>
          <w:rFonts w:ascii="Arial Bold" w:hAnsi="Arial Bold" w:cs="Arial"/>
          <w:b/>
          <w:color w:val="FF0000"/>
          <w:sz w:val="20"/>
          <w:lang w:eastAsia="en-AU"/>
        </w:rPr>
        <w:t xml:space="preserve"> </w:t>
      </w:r>
      <w:r w:rsidRPr="002A5EC3">
        <w:rPr>
          <w:rFonts w:ascii="Arial" w:hAnsi="Arial" w:cs="Arial"/>
          <w:b/>
          <w:sz w:val="20"/>
          <w:lang w:eastAsia="en-AU"/>
        </w:rPr>
        <w:t xml:space="preserve">(EPBC </w:t>
      </w:r>
      <w:r>
        <w:rPr>
          <w:rFonts w:ascii="Arial" w:hAnsi="Arial" w:cs="Arial"/>
          <w:b/>
          <w:sz w:val="20"/>
          <w:lang w:eastAsia="en-AU"/>
        </w:rPr>
        <w:t>2010</w:t>
      </w:r>
      <w:r w:rsidRPr="002A5EC3">
        <w:rPr>
          <w:rFonts w:ascii="Arial" w:hAnsi="Arial" w:cs="Arial"/>
          <w:b/>
          <w:sz w:val="20"/>
          <w:lang w:eastAsia="en-AU"/>
        </w:rPr>
        <w:t>/</w:t>
      </w:r>
      <w:r>
        <w:rPr>
          <w:rFonts w:ascii="Arial" w:hAnsi="Arial" w:cs="Arial"/>
          <w:b/>
          <w:sz w:val="20"/>
          <w:lang w:eastAsia="en-AU"/>
        </w:rPr>
        <w:t>5776</w:t>
      </w:r>
      <w:r w:rsidRPr="002A5EC3">
        <w:rPr>
          <w:rFonts w:ascii="Arial" w:hAnsi="Arial" w:cs="Arial"/>
          <w:b/>
          <w:sz w:val="20"/>
          <w:lang w:eastAsia="en-AU"/>
        </w:rPr>
        <w:t>)</w:t>
      </w:r>
      <w:r>
        <w:rPr>
          <w:rFonts w:ascii="Arial" w:hAnsi="Arial" w:cs="Arial"/>
          <w:b/>
          <w:sz w:val="20"/>
          <w:lang w:eastAsia="en-AU"/>
        </w:rPr>
        <w:t xml:space="preserve"> –</w:t>
      </w:r>
      <w:r>
        <w:rPr>
          <w:rFonts w:ascii="Arial" w:hAnsi="Arial" w:cs="Arial"/>
          <w:b/>
          <w:color w:val="FF0000"/>
          <w:sz w:val="20"/>
          <w:lang w:eastAsia="en-AU"/>
        </w:rPr>
        <w:t xml:space="preserve"> </w:t>
      </w:r>
      <w:r>
        <w:rPr>
          <w:rFonts w:ascii="Arial" w:hAnsi="Arial" w:cs="Arial"/>
          <w:b/>
          <w:sz w:val="20"/>
          <w:lang w:eastAsia="en-AU"/>
        </w:rPr>
        <w:t>Expansion</w:t>
      </w:r>
      <w:bookmarkEnd w:id="0"/>
      <w:bookmarkEnd w:id="1"/>
    </w:p>
    <w:tbl>
      <w:tblPr>
        <w:tblW w:w="9968" w:type="dxa"/>
        <w:tblBorders>
          <w:insideH w:val="single" w:sz="4" w:space="0" w:color="auto"/>
        </w:tblBorders>
        <w:tblCellMar>
          <w:top w:w="113" w:type="dxa"/>
          <w:bottom w:w="113" w:type="dxa"/>
        </w:tblCellMar>
        <w:tblLook w:val="01E0"/>
      </w:tblPr>
      <w:tblGrid>
        <w:gridCol w:w="1809"/>
        <w:gridCol w:w="8159"/>
      </w:tblGrid>
      <w:tr w:rsidR="006105F4" w:rsidRPr="002A5EC3" w:rsidTr="00AD72CA">
        <w:trPr>
          <w:trHeight w:val="27"/>
        </w:trPr>
        <w:tc>
          <w:tcPr>
            <w:tcW w:w="1809" w:type="dxa"/>
          </w:tcPr>
          <w:p w:rsidR="006105F4" w:rsidRPr="002A5EC3" w:rsidRDefault="006105F4" w:rsidP="00062A46">
            <w:pPr>
              <w:pStyle w:val="tablelabel"/>
              <w:spacing w:line="276" w:lineRule="auto"/>
              <w:rPr>
                <w:rFonts w:cs="Arial"/>
                <w:b w:val="0"/>
                <w:color w:val="FF0000"/>
                <w:sz w:val="20"/>
              </w:rPr>
            </w:pPr>
            <w:r w:rsidRPr="002A5EC3">
              <w:rPr>
                <w:rFonts w:cs="Arial"/>
                <w:sz w:val="20"/>
              </w:rPr>
              <w:t>Requesting agency</w:t>
            </w:r>
          </w:p>
        </w:tc>
        <w:tc>
          <w:tcPr>
            <w:tcW w:w="8159" w:type="dxa"/>
          </w:tcPr>
          <w:p w:rsidR="006105F4" w:rsidRPr="002A5EC3" w:rsidRDefault="006105F4" w:rsidP="00FF17DE">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artment of Sustainability, Environment, Water, Population and Communities</w:t>
            </w:r>
            <w:r>
              <w:rPr>
                <w:rFonts w:ascii="Arial" w:hAnsi="Arial" w:cs="Arial"/>
                <w:sz w:val="20"/>
                <w:szCs w:val="20"/>
              </w:rPr>
              <w:t xml:space="preserve"> </w:t>
            </w:r>
          </w:p>
        </w:tc>
      </w:tr>
      <w:tr w:rsidR="006105F4" w:rsidRPr="002A5EC3" w:rsidTr="00DC325B">
        <w:trPr>
          <w:trHeight w:val="136"/>
        </w:trPr>
        <w:tc>
          <w:tcPr>
            <w:tcW w:w="1809" w:type="dxa"/>
          </w:tcPr>
          <w:p w:rsidR="006105F4" w:rsidRPr="002A5EC3" w:rsidRDefault="006105F4" w:rsidP="00062A46">
            <w:pPr>
              <w:pStyle w:val="tablelabel"/>
              <w:spacing w:line="276" w:lineRule="auto"/>
              <w:rPr>
                <w:rFonts w:cs="Arial"/>
                <w:sz w:val="20"/>
              </w:rPr>
            </w:pPr>
            <w:r w:rsidRPr="002A5EC3">
              <w:rPr>
                <w:rFonts w:cs="Arial"/>
                <w:sz w:val="20"/>
              </w:rPr>
              <w:t>Date of request</w:t>
            </w:r>
          </w:p>
        </w:tc>
        <w:tc>
          <w:tcPr>
            <w:tcW w:w="8159" w:type="dxa"/>
          </w:tcPr>
          <w:p w:rsidR="006105F4" w:rsidRPr="002A5EC3" w:rsidRDefault="00AD66CF" w:rsidP="00FF17DE">
            <w:pPr>
              <w:spacing w:line="276" w:lineRule="auto"/>
              <w:rPr>
                <w:rFonts w:ascii="Arial" w:hAnsi="Arial" w:cs="Arial"/>
                <w:sz w:val="20"/>
                <w:szCs w:val="20"/>
              </w:rPr>
            </w:pPr>
            <w:r>
              <w:rPr>
                <w:rFonts w:ascii="Arial" w:hAnsi="Arial" w:cs="Arial"/>
                <w:sz w:val="20"/>
                <w:szCs w:val="20"/>
              </w:rPr>
              <w:t>29  May</w:t>
            </w:r>
            <w:r w:rsidR="006105F4" w:rsidRPr="002A5EC3">
              <w:rPr>
                <w:rFonts w:ascii="Arial" w:hAnsi="Arial" w:cs="Arial"/>
                <w:sz w:val="20"/>
                <w:szCs w:val="20"/>
              </w:rPr>
              <w:t xml:space="preserve"> 201</w:t>
            </w:r>
            <w:r w:rsidR="006105F4">
              <w:rPr>
                <w:rFonts w:ascii="Arial" w:hAnsi="Arial" w:cs="Arial"/>
                <w:sz w:val="20"/>
                <w:szCs w:val="20"/>
              </w:rPr>
              <w:t>3</w:t>
            </w:r>
            <w:r w:rsidR="006105F4" w:rsidRPr="002A5EC3">
              <w:rPr>
                <w:rFonts w:ascii="Arial" w:hAnsi="Arial" w:cs="Arial"/>
                <w:b/>
                <w:color w:val="FF0000"/>
                <w:sz w:val="20"/>
                <w:szCs w:val="20"/>
              </w:rPr>
              <w:t xml:space="preserve"> </w:t>
            </w:r>
          </w:p>
        </w:tc>
      </w:tr>
      <w:tr w:rsidR="006105F4" w:rsidRPr="002A5EC3" w:rsidTr="00DC325B">
        <w:trPr>
          <w:trHeight w:val="19"/>
        </w:trPr>
        <w:tc>
          <w:tcPr>
            <w:tcW w:w="1809" w:type="dxa"/>
          </w:tcPr>
          <w:p w:rsidR="006105F4" w:rsidRPr="002A5EC3" w:rsidRDefault="006105F4" w:rsidP="00062A46">
            <w:pPr>
              <w:pStyle w:val="tablelabel"/>
              <w:spacing w:line="276" w:lineRule="auto"/>
              <w:rPr>
                <w:rFonts w:cs="Arial"/>
                <w:sz w:val="20"/>
              </w:rPr>
            </w:pPr>
            <w:r w:rsidRPr="002A5EC3">
              <w:rPr>
                <w:rFonts w:cs="Arial"/>
                <w:sz w:val="20"/>
              </w:rPr>
              <w:t>Date request accepted</w:t>
            </w:r>
          </w:p>
        </w:tc>
        <w:tc>
          <w:tcPr>
            <w:tcW w:w="8159" w:type="dxa"/>
          </w:tcPr>
          <w:p w:rsidR="006105F4" w:rsidRPr="002A5EC3" w:rsidRDefault="00AD66CF" w:rsidP="00FF17DE">
            <w:pPr>
              <w:spacing w:line="276" w:lineRule="auto"/>
              <w:rPr>
                <w:rFonts w:ascii="Arial" w:hAnsi="Arial" w:cs="Arial"/>
                <w:color w:val="FF0000"/>
                <w:sz w:val="20"/>
                <w:szCs w:val="20"/>
              </w:rPr>
            </w:pPr>
            <w:r>
              <w:rPr>
                <w:rFonts w:ascii="Arial" w:hAnsi="Arial" w:cs="Arial"/>
                <w:sz w:val="20"/>
                <w:szCs w:val="20"/>
              </w:rPr>
              <w:t>29  May</w:t>
            </w:r>
            <w:r w:rsidR="006105F4" w:rsidRPr="002A5EC3">
              <w:rPr>
                <w:rFonts w:ascii="Arial" w:hAnsi="Arial" w:cs="Arial"/>
                <w:sz w:val="20"/>
                <w:szCs w:val="20"/>
              </w:rPr>
              <w:t xml:space="preserve"> 201</w:t>
            </w:r>
            <w:r w:rsidR="006105F4">
              <w:rPr>
                <w:rFonts w:ascii="Arial" w:hAnsi="Arial" w:cs="Arial"/>
                <w:sz w:val="20"/>
                <w:szCs w:val="20"/>
              </w:rPr>
              <w:t>3</w:t>
            </w:r>
          </w:p>
        </w:tc>
      </w:tr>
      <w:tr w:rsidR="006105F4" w:rsidRPr="002A5EC3" w:rsidTr="00AD72CA">
        <w:trPr>
          <w:trHeight w:val="32"/>
        </w:trPr>
        <w:tc>
          <w:tcPr>
            <w:tcW w:w="1809" w:type="dxa"/>
            <w:vAlign w:val="center"/>
          </w:tcPr>
          <w:p w:rsidR="006105F4" w:rsidRPr="00B451D3" w:rsidRDefault="006105F4" w:rsidP="006903B7">
            <w:pPr>
              <w:pStyle w:val="tablelabel"/>
              <w:rPr>
                <w:rFonts w:cs="Arial"/>
                <w:b w:val="0"/>
                <w:color w:val="FF0000"/>
                <w:sz w:val="20"/>
              </w:rPr>
            </w:pPr>
            <w:r>
              <w:rPr>
                <w:rFonts w:cs="Arial"/>
                <w:sz w:val="20"/>
              </w:rPr>
              <w:t xml:space="preserve">Advice stage </w:t>
            </w:r>
          </w:p>
        </w:tc>
        <w:tc>
          <w:tcPr>
            <w:tcW w:w="8159" w:type="dxa"/>
            <w:vAlign w:val="center"/>
          </w:tcPr>
          <w:p w:rsidR="006105F4" w:rsidRPr="00B451D3" w:rsidRDefault="006105F4" w:rsidP="006903B7">
            <w:pPr>
              <w:autoSpaceDE w:val="0"/>
              <w:autoSpaceDN w:val="0"/>
              <w:adjustRightInd w:val="0"/>
              <w:rPr>
                <w:rFonts w:ascii="Arial" w:hAnsi="Arial" w:cs="Arial"/>
                <w:sz w:val="20"/>
                <w:szCs w:val="20"/>
                <w:lang w:eastAsia="en-AU"/>
              </w:rPr>
            </w:pPr>
            <w:r>
              <w:rPr>
                <w:rFonts w:ascii="Arial" w:hAnsi="Arial" w:cs="Arial"/>
                <w:sz w:val="20"/>
                <w:lang w:eastAsia="en-AU"/>
              </w:rPr>
              <w:t>Environment Impact Assessment (</w:t>
            </w:r>
            <w:r w:rsidRPr="002C3EC5">
              <w:rPr>
                <w:rFonts w:ascii="Arial" w:hAnsi="Arial" w:cs="Arial"/>
                <w:sz w:val="20"/>
                <w:lang w:eastAsia="en-AU"/>
              </w:rPr>
              <w:t>draft)</w:t>
            </w:r>
            <w:r w:rsidRPr="002C3EC5">
              <w:rPr>
                <w:rFonts w:ascii="Arial" w:hAnsi="Arial" w:cs="Arial"/>
                <w:sz w:val="20"/>
                <w:szCs w:val="20"/>
              </w:rPr>
              <w:t xml:space="preserve"> </w:t>
            </w:r>
            <w:r w:rsidR="002C3EC5" w:rsidRPr="002C3EC5">
              <w:rPr>
                <w:rFonts w:ascii="Arial" w:hAnsi="Arial" w:cs="Arial"/>
                <w:sz w:val="20"/>
                <w:szCs w:val="20"/>
              </w:rPr>
              <w:t>and</w:t>
            </w:r>
            <w:r w:rsidR="002C3EC5" w:rsidRPr="002C3EC5">
              <w:rPr>
                <w:rFonts w:ascii="Arial" w:hAnsi="Arial" w:cs="Arial"/>
                <w:b/>
                <w:sz w:val="20"/>
                <w:szCs w:val="20"/>
              </w:rPr>
              <w:t xml:space="preserve"> </w:t>
            </w:r>
            <w:r w:rsidR="002C3EC5">
              <w:rPr>
                <w:rFonts w:ascii="Arial" w:hAnsi="Arial" w:cs="Arial"/>
                <w:sz w:val="20"/>
                <w:lang w:eastAsia="en-AU"/>
              </w:rPr>
              <w:t>Environment Impact Assessment (supplementary)</w:t>
            </w:r>
          </w:p>
        </w:tc>
      </w:tr>
      <w:tr w:rsidR="006105F4" w:rsidRPr="002A5EC3" w:rsidTr="00DC325B">
        <w:trPr>
          <w:trHeight w:val="2588"/>
        </w:trPr>
        <w:tc>
          <w:tcPr>
            <w:tcW w:w="1809" w:type="dxa"/>
          </w:tcPr>
          <w:p w:rsidR="006105F4" w:rsidRPr="002A5EC3" w:rsidRDefault="006105F4" w:rsidP="00062A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tcPr>
          <w:p w:rsidR="006105F4" w:rsidRDefault="006105F4"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Environment Protection and Biodiversity Conservation Act 1999</w:t>
            </w:r>
            <w:r w:rsidRPr="002A5EC3">
              <w:rPr>
                <w:rFonts w:ascii="Arial" w:hAnsi="Arial" w:cs="Arial"/>
                <w:sz w:val="20"/>
                <w:szCs w:val="20"/>
              </w:rPr>
              <w:t xml:space="preserve"> (EPBC Act)</w:t>
            </w:r>
            <w:r>
              <w:rPr>
                <w:rFonts w:ascii="Arial" w:hAnsi="Arial" w:cs="Arial"/>
                <w:sz w:val="20"/>
                <w:szCs w:val="20"/>
              </w:rPr>
              <w:t>.</w:t>
            </w:r>
          </w:p>
          <w:p w:rsidR="006105F4" w:rsidRPr="002A5EC3" w:rsidRDefault="006105F4" w:rsidP="0032087E">
            <w:pPr>
              <w:pStyle w:val="Default"/>
              <w:spacing w:after="200" w:line="276" w:lineRule="auto"/>
              <w:rPr>
                <w:rFonts w:ascii="Arial" w:hAnsi="Arial" w:cs="Arial"/>
                <w:color w:val="auto"/>
                <w:sz w:val="20"/>
                <w:szCs w:val="20"/>
                <w:lang w:eastAsia="en-US"/>
              </w:rPr>
            </w:pPr>
            <w:r>
              <w:rPr>
                <w:rFonts w:ascii="Arial" w:hAnsi="Arial" w:cs="Arial"/>
                <w:color w:val="auto"/>
                <w:sz w:val="20"/>
                <w:szCs w:val="20"/>
                <w:lang w:eastAsia="en-US"/>
              </w:rPr>
              <w:t>The D</w:t>
            </w:r>
            <w:r w:rsidRPr="002A5EC3">
              <w:rPr>
                <w:rFonts w:ascii="Arial" w:hAnsi="Arial" w:cs="Arial"/>
                <w:color w:val="auto"/>
                <w:sz w:val="20"/>
                <w:szCs w:val="20"/>
                <w:lang w:eastAsia="en-US"/>
              </w:rPr>
              <w:t xml:space="preserve">epartment </w:t>
            </w:r>
            <w:r>
              <w:rPr>
                <w:rFonts w:ascii="Arial" w:hAnsi="Arial" w:cs="Arial"/>
                <w:color w:val="auto"/>
                <w:sz w:val="20"/>
                <w:szCs w:val="20"/>
                <w:lang w:eastAsia="en-US"/>
              </w:rPr>
              <w:t xml:space="preserve">notifies </w:t>
            </w:r>
            <w:r w:rsidRPr="002A5EC3">
              <w:rPr>
                <w:rFonts w:ascii="Arial" w:hAnsi="Arial" w:cs="Arial"/>
                <w:color w:val="auto"/>
                <w:sz w:val="20"/>
                <w:szCs w:val="20"/>
                <w:lang w:eastAsia="en-US"/>
              </w:rPr>
              <w:t xml:space="preserve">the Independent Expert Scientific Committee on Coal Seam Gas and </w:t>
            </w:r>
            <w:r>
              <w:rPr>
                <w:rFonts w:ascii="Arial" w:hAnsi="Arial" w:cs="Arial"/>
                <w:color w:val="auto"/>
                <w:sz w:val="20"/>
                <w:szCs w:val="20"/>
                <w:lang w:eastAsia="en-US"/>
              </w:rPr>
              <w:t xml:space="preserve">Large </w:t>
            </w:r>
            <w:r w:rsidRPr="002A5EC3">
              <w:rPr>
                <w:rFonts w:ascii="Arial" w:hAnsi="Arial" w:cs="Arial"/>
                <w:color w:val="auto"/>
                <w:sz w:val="20"/>
                <w:szCs w:val="20"/>
                <w:lang w:eastAsia="en-US"/>
              </w:rPr>
              <w:t xml:space="preserve">Coal Mining </w:t>
            </w:r>
            <w:r>
              <w:rPr>
                <w:rFonts w:ascii="Arial" w:hAnsi="Arial" w:cs="Arial"/>
                <w:color w:val="auto"/>
                <w:sz w:val="20"/>
                <w:szCs w:val="20"/>
                <w:lang w:eastAsia="en-US"/>
              </w:rPr>
              <w:t xml:space="preserve">Development </w:t>
            </w:r>
            <w:r w:rsidRPr="002A5EC3">
              <w:rPr>
                <w:rFonts w:ascii="Arial" w:hAnsi="Arial" w:cs="Arial"/>
                <w:color w:val="auto"/>
                <w:sz w:val="20"/>
                <w:szCs w:val="20"/>
                <w:lang w:eastAsia="en-US"/>
              </w:rPr>
              <w:t xml:space="preserve">(the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of an opportunity to comment on </w:t>
            </w:r>
            <w:r>
              <w:rPr>
                <w:rFonts w:ascii="Arial" w:hAnsi="Arial" w:cs="Arial"/>
                <w:color w:val="auto"/>
                <w:sz w:val="20"/>
                <w:szCs w:val="20"/>
                <w:lang w:eastAsia="en-US"/>
              </w:rPr>
              <w:t xml:space="preserve">the </w:t>
            </w:r>
            <w:r>
              <w:rPr>
                <w:rFonts w:ascii="Arial" w:hAnsi="Arial" w:cs="Arial"/>
                <w:color w:val="auto"/>
                <w:sz w:val="20"/>
                <w:szCs w:val="20"/>
              </w:rPr>
              <w:t xml:space="preserve">Draft Environmental Impact Statement. </w:t>
            </w:r>
            <w:r w:rsidRPr="002A5EC3">
              <w:rPr>
                <w:rFonts w:ascii="Arial" w:hAnsi="Arial" w:cs="Arial"/>
                <w:color w:val="auto"/>
                <w:sz w:val="20"/>
                <w:szCs w:val="20"/>
                <w:lang w:eastAsia="en-US"/>
              </w:rPr>
              <w:t xml:space="preserve"> Specifically, the </w:t>
            </w:r>
            <w:r>
              <w:rPr>
                <w:rFonts w:ascii="Arial" w:hAnsi="Arial" w:cs="Arial"/>
                <w:color w:val="auto"/>
                <w:sz w:val="20"/>
                <w:szCs w:val="20"/>
                <w:lang w:eastAsia="en-US"/>
              </w:rPr>
              <w:t>D</w:t>
            </w:r>
            <w:r w:rsidRPr="002A5EC3">
              <w:rPr>
                <w:rFonts w:ascii="Arial" w:hAnsi="Arial" w:cs="Arial"/>
                <w:color w:val="auto"/>
                <w:sz w:val="20"/>
                <w:szCs w:val="20"/>
                <w:lang w:eastAsia="en-US"/>
              </w:rPr>
              <w:t xml:space="preserve">epartment seeks the advice of 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on whether: </w:t>
            </w:r>
          </w:p>
          <w:p w:rsidR="00AD66CF" w:rsidRDefault="006105F4" w:rsidP="00AD72CA">
            <w:pPr>
              <w:pStyle w:val="Default"/>
              <w:numPr>
                <w:ilvl w:val="0"/>
                <w:numId w:val="9"/>
              </w:numPr>
              <w:spacing w:after="200" w:line="276" w:lineRule="auto"/>
              <w:rPr>
                <w:rFonts w:ascii="Arial" w:hAnsi="Arial" w:cs="Arial"/>
                <w:color w:val="auto"/>
                <w:sz w:val="20"/>
                <w:szCs w:val="20"/>
                <w:lang w:eastAsia="en-US"/>
              </w:rPr>
            </w:pPr>
            <w:r w:rsidRPr="00FF17DE">
              <w:rPr>
                <w:rFonts w:ascii="Arial" w:hAnsi="Arial" w:cs="Arial"/>
                <w:color w:val="auto"/>
                <w:sz w:val="20"/>
                <w:szCs w:val="20"/>
                <w:lang w:eastAsia="en-US"/>
              </w:rPr>
              <w:t xml:space="preserve">Does the Committee consider that the proponent has provided sufficient information on the water resources and its management to assess likely significant impacts from </w:t>
            </w:r>
            <w:r w:rsidR="00AD66CF">
              <w:rPr>
                <w:rFonts w:ascii="Arial" w:hAnsi="Arial" w:cs="Arial"/>
                <w:color w:val="auto"/>
                <w:sz w:val="20"/>
                <w:szCs w:val="20"/>
                <w:lang w:eastAsia="en-US"/>
              </w:rPr>
              <w:t xml:space="preserve">the </w:t>
            </w:r>
            <w:r w:rsidRPr="00FF17DE">
              <w:rPr>
                <w:rFonts w:ascii="Arial" w:hAnsi="Arial" w:cs="Arial"/>
                <w:color w:val="auto"/>
                <w:sz w:val="20"/>
                <w:szCs w:val="20"/>
                <w:lang w:eastAsia="en-US"/>
              </w:rPr>
              <w:t>proposed action</w:t>
            </w:r>
            <w:r w:rsidR="00AD66CF">
              <w:rPr>
                <w:rFonts w:ascii="Arial" w:hAnsi="Arial" w:cs="Arial"/>
                <w:color w:val="auto"/>
                <w:sz w:val="20"/>
                <w:szCs w:val="20"/>
                <w:lang w:eastAsia="en-US"/>
              </w:rPr>
              <w:t xml:space="preserve"> described in the Environmental Assessment and published in April 2012</w:t>
            </w:r>
            <w:r w:rsidRPr="00FF17DE">
              <w:rPr>
                <w:rFonts w:ascii="Arial" w:hAnsi="Arial" w:cs="Arial"/>
                <w:color w:val="auto"/>
                <w:sz w:val="20"/>
                <w:szCs w:val="20"/>
                <w:lang w:eastAsia="en-US"/>
              </w:rPr>
              <w:t xml:space="preserve">? </w:t>
            </w:r>
          </w:p>
          <w:p w:rsidR="006105F4" w:rsidRDefault="006105F4" w:rsidP="00AD72CA">
            <w:pPr>
              <w:pStyle w:val="Default"/>
              <w:numPr>
                <w:ilvl w:val="0"/>
                <w:numId w:val="7"/>
              </w:numPr>
              <w:spacing w:after="200" w:line="276" w:lineRule="auto"/>
              <w:ind w:left="743"/>
              <w:rPr>
                <w:rFonts w:ascii="Arial" w:hAnsi="Arial" w:cs="Arial"/>
                <w:color w:val="auto"/>
                <w:sz w:val="20"/>
                <w:szCs w:val="20"/>
                <w:lang w:eastAsia="en-US"/>
              </w:rPr>
            </w:pPr>
            <w:r w:rsidRPr="00FF17DE">
              <w:rPr>
                <w:rFonts w:ascii="Arial" w:hAnsi="Arial" w:cs="Arial"/>
                <w:color w:val="auto"/>
                <w:sz w:val="20"/>
                <w:szCs w:val="20"/>
                <w:lang w:eastAsia="en-US"/>
              </w:rPr>
              <w:t>If the information is considered insufficient for that purpose, what advice regarding areas of inadequacy can the Committee provide?</w:t>
            </w:r>
          </w:p>
          <w:p w:rsidR="00AD66CF" w:rsidRPr="002A5EC3" w:rsidRDefault="00AD66CF" w:rsidP="00AD72CA">
            <w:pPr>
              <w:pStyle w:val="Default"/>
              <w:numPr>
                <w:ilvl w:val="0"/>
                <w:numId w:val="7"/>
              </w:numPr>
              <w:spacing w:after="200" w:line="276" w:lineRule="auto"/>
              <w:ind w:left="743"/>
              <w:rPr>
                <w:rFonts w:ascii="Arial" w:hAnsi="Arial" w:cs="Arial"/>
                <w:color w:val="auto"/>
                <w:sz w:val="20"/>
                <w:szCs w:val="20"/>
                <w:lang w:eastAsia="en-US"/>
              </w:rPr>
            </w:pPr>
            <w:r>
              <w:rPr>
                <w:rFonts w:ascii="Arial" w:hAnsi="Arial" w:cs="Arial"/>
                <w:color w:val="auto"/>
                <w:sz w:val="20"/>
                <w:szCs w:val="20"/>
                <w:lang w:eastAsia="en-US"/>
              </w:rPr>
              <w:t xml:space="preserve">What are the </w:t>
            </w:r>
            <w:r w:rsidRPr="00AD66CF">
              <w:rPr>
                <w:rFonts w:ascii="Arial" w:hAnsi="Arial" w:cs="Arial"/>
                <w:color w:val="auto"/>
                <w:sz w:val="20"/>
                <w:szCs w:val="20"/>
                <w:lang w:eastAsia="en-US"/>
              </w:rPr>
              <w:t>likely impacts of the proposed mining operations on surface and groundwater resources? In particular changes to surface and groundwater hydrological regimes that may impact on remnant vegetation remaining on the project sites and in the vicinity of the project site.</w:t>
            </w:r>
          </w:p>
          <w:p w:rsidR="006105F4" w:rsidRPr="002A5EC3" w:rsidRDefault="00AD66CF" w:rsidP="00AD72CA">
            <w:pPr>
              <w:pStyle w:val="Default"/>
              <w:numPr>
                <w:ilvl w:val="0"/>
                <w:numId w:val="9"/>
              </w:numPr>
              <w:spacing w:after="200" w:line="276" w:lineRule="auto"/>
              <w:rPr>
                <w:rFonts w:ascii="Arial" w:hAnsi="Arial" w:cs="Arial"/>
                <w:sz w:val="20"/>
                <w:szCs w:val="20"/>
              </w:rPr>
            </w:pPr>
            <w:r w:rsidRPr="00AD66CF">
              <w:rPr>
                <w:rFonts w:ascii="Arial" w:hAnsi="Arial" w:cs="Arial"/>
                <w:color w:val="auto"/>
                <w:sz w:val="20"/>
                <w:szCs w:val="20"/>
                <w:lang w:eastAsia="en-US"/>
              </w:rPr>
              <w:t>In considering the various minor changes made to the project, as described in the Preferred Project Report and published in April 2013, would the Committee alter their advice relating to Question 1? If so, which elements would the Committee change and how so?</w:t>
            </w:r>
          </w:p>
        </w:tc>
      </w:tr>
    </w:tbl>
    <w:p w:rsidR="00DB2F51" w:rsidRDefault="00DB2F51">
      <w:r>
        <w:rPr>
          <w:b/>
        </w:rPr>
        <w:br w:type="page"/>
      </w:r>
    </w:p>
    <w:tbl>
      <w:tblPr>
        <w:tblW w:w="9968" w:type="dxa"/>
        <w:tblBorders>
          <w:insideH w:val="single" w:sz="4" w:space="0" w:color="auto"/>
        </w:tblBorders>
        <w:tblCellMar>
          <w:top w:w="113" w:type="dxa"/>
          <w:bottom w:w="113" w:type="dxa"/>
        </w:tblCellMar>
        <w:tblLook w:val="01E0"/>
      </w:tblPr>
      <w:tblGrid>
        <w:gridCol w:w="1809"/>
        <w:gridCol w:w="8159"/>
      </w:tblGrid>
      <w:tr w:rsidR="006105F4" w:rsidRPr="00B451D3" w:rsidTr="00DC325B">
        <w:trPr>
          <w:trHeight w:val="452"/>
        </w:trPr>
        <w:tc>
          <w:tcPr>
            <w:tcW w:w="9968" w:type="dxa"/>
            <w:gridSpan w:val="2"/>
          </w:tcPr>
          <w:p w:rsidR="006105F4" w:rsidRDefault="006105F4" w:rsidP="00062A46">
            <w:pPr>
              <w:pStyle w:val="tablelabel"/>
              <w:spacing w:after="200" w:line="276" w:lineRule="auto"/>
              <w:rPr>
                <w:rFonts w:cs="Arial"/>
                <w:sz w:val="20"/>
              </w:rPr>
            </w:pPr>
            <w:r w:rsidRPr="00F37C48">
              <w:rPr>
                <w:rFonts w:cs="Arial"/>
                <w:sz w:val="20"/>
              </w:rPr>
              <w:lastRenderedPageBreak/>
              <w:t>Advice</w:t>
            </w:r>
          </w:p>
          <w:p w:rsidR="006105F4" w:rsidRPr="00FA63AA" w:rsidRDefault="006105F4" w:rsidP="00DC325B">
            <w:pPr>
              <w:autoSpaceDE w:val="0"/>
              <w:autoSpaceDN w:val="0"/>
              <w:adjustRightInd w:val="0"/>
              <w:spacing w:after="200"/>
              <w:rPr>
                <w:rFonts w:ascii="Arial" w:hAnsi="Arial" w:cs="Arial"/>
                <w:sz w:val="20"/>
                <w:szCs w:val="20"/>
              </w:rPr>
            </w:pPr>
            <w:r>
              <w:rPr>
                <w:rFonts w:ascii="Arial" w:hAnsi="Arial" w:cs="Arial"/>
                <w:sz w:val="20"/>
                <w:szCs w:val="20"/>
              </w:rPr>
              <w:t>The Committee was re</w:t>
            </w:r>
            <w:r w:rsidRPr="00FA63AA">
              <w:rPr>
                <w:rFonts w:ascii="Arial" w:hAnsi="Arial" w:cs="Arial"/>
                <w:sz w:val="20"/>
                <w:szCs w:val="20"/>
              </w:rPr>
              <w:t xml:space="preserve">quested to provide advice on the </w:t>
            </w:r>
            <w:proofErr w:type="spellStart"/>
            <w:r w:rsidRPr="00FA63AA">
              <w:rPr>
                <w:rFonts w:ascii="Arial" w:hAnsi="Arial" w:cs="Arial"/>
                <w:sz w:val="20"/>
                <w:szCs w:val="20"/>
              </w:rPr>
              <w:t>Coalpac</w:t>
            </w:r>
            <w:proofErr w:type="spellEnd"/>
            <w:r w:rsidRPr="00FA63AA">
              <w:rPr>
                <w:rFonts w:ascii="Arial" w:hAnsi="Arial" w:cs="Arial"/>
                <w:sz w:val="20"/>
                <w:szCs w:val="20"/>
              </w:rPr>
              <w:t xml:space="preserve"> Consolidation Project in NSW to the Commonwealth</w:t>
            </w:r>
            <w:r w:rsidRPr="00FA63AA">
              <w:rPr>
                <w:rFonts w:ascii="Arial" w:hAnsi="Arial" w:cs="Arial"/>
                <w:sz w:val="20"/>
                <w:lang w:eastAsia="en-AU"/>
              </w:rPr>
              <w:t xml:space="preserve"> </w:t>
            </w:r>
            <w:r w:rsidRPr="00FA63AA">
              <w:rPr>
                <w:rFonts w:ascii="Arial" w:hAnsi="Arial" w:cs="Arial"/>
                <w:sz w:val="20"/>
                <w:szCs w:val="20"/>
              </w:rPr>
              <w:t>regulator at the Environmental Impact Assessment (draft) stage.</w:t>
            </w:r>
            <w:r w:rsidR="00620369">
              <w:rPr>
                <w:rFonts w:ascii="Arial" w:hAnsi="Arial" w:cs="Arial"/>
                <w:sz w:val="20"/>
                <w:szCs w:val="20"/>
              </w:rPr>
              <w:t xml:space="preserve"> The Committee was further requested to provide comment on the revised proposed project as presented in the Preferred Project Report released in April 2013.</w:t>
            </w:r>
          </w:p>
          <w:p w:rsidR="006105F4" w:rsidRPr="00A6775C" w:rsidRDefault="006105F4" w:rsidP="00D00281">
            <w:pPr>
              <w:autoSpaceDE w:val="0"/>
              <w:autoSpaceDN w:val="0"/>
              <w:adjustRightInd w:val="0"/>
              <w:spacing w:after="200" w:line="276" w:lineRule="auto"/>
              <w:rPr>
                <w:rFonts w:ascii="Arial" w:hAnsi="Arial" w:cs="Arial"/>
                <w:sz w:val="20"/>
                <w:szCs w:val="20"/>
              </w:rPr>
            </w:pPr>
            <w:r w:rsidRPr="00A6775C">
              <w:rPr>
                <w:rFonts w:ascii="Arial" w:hAnsi="Arial" w:cs="Arial"/>
                <w:sz w:val="20"/>
                <w:szCs w:val="20"/>
              </w:rPr>
              <w:t>This advice draws upon aspects of informatio</w:t>
            </w:r>
            <w:r w:rsidRPr="00FA63AA">
              <w:rPr>
                <w:rFonts w:ascii="Arial" w:hAnsi="Arial" w:cs="Arial"/>
                <w:sz w:val="20"/>
                <w:szCs w:val="20"/>
              </w:rPr>
              <w:t>n in the</w:t>
            </w:r>
            <w:r>
              <w:rPr>
                <w:rFonts w:ascii="Arial" w:hAnsi="Arial" w:cs="Arial"/>
                <w:sz w:val="20"/>
                <w:szCs w:val="20"/>
              </w:rPr>
              <w:t xml:space="preserve"> </w:t>
            </w:r>
            <w:r w:rsidR="00FF4B4D">
              <w:rPr>
                <w:rFonts w:ascii="Arial" w:hAnsi="Arial" w:cs="Arial"/>
                <w:sz w:val="20"/>
                <w:szCs w:val="20"/>
              </w:rPr>
              <w:t xml:space="preserve">Environmental Assessment and </w:t>
            </w:r>
            <w:r w:rsidR="00CB6FD7">
              <w:rPr>
                <w:rFonts w:ascii="Arial" w:hAnsi="Arial" w:cs="Arial"/>
                <w:sz w:val="20"/>
                <w:szCs w:val="20"/>
              </w:rPr>
              <w:t>Preferred Project Report,</w:t>
            </w:r>
            <w:r w:rsidRPr="00FA63AA">
              <w:rPr>
                <w:rFonts w:ascii="Arial" w:hAnsi="Arial" w:cs="Arial"/>
                <w:sz w:val="20"/>
                <w:szCs w:val="20"/>
              </w:rPr>
              <w:t xml:space="preserve"> together with the expert deliberations of the Committee. The </w:t>
            </w:r>
            <w:r w:rsidR="00FF4B4D">
              <w:rPr>
                <w:rFonts w:ascii="Arial" w:hAnsi="Arial" w:cs="Arial"/>
                <w:sz w:val="20"/>
                <w:szCs w:val="20"/>
              </w:rPr>
              <w:t>project assessment documentation</w:t>
            </w:r>
            <w:r w:rsidRPr="00FA63AA">
              <w:rPr>
                <w:rFonts w:ascii="Arial" w:hAnsi="Arial" w:cs="Arial"/>
                <w:sz w:val="20"/>
                <w:szCs w:val="20"/>
              </w:rPr>
              <w:t xml:space="preserve"> and</w:t>
            </w:r>
            <w:r w:rsidRPr="00A6775C">
              <w:rPr>
                <w:rFonts w:ascii="Arial" w:hAnsi="Arial" w:cs="Arial"/>
                <w:sz w:val="20"/>
                <w:szCs w:val="20"/>
              </w:rPr>
              <w:t xml:space="preserve"> information accessed by the Committee are listed in the source documentation at the end of this advice.</w:t>
            </w:r>
          </w:p>
          <w:p w:rsidR="006105F4" w:rsidRDefault="006105F4" w:rsidP="00D00281">
            <w:pPr>
              <w:autoSpaceDE w:val="0"/>
              <w:autoSpaceDN w:val="0"/>
              <w:adjustRightInd w:val="0"/>
              <w:spacing w:after="200" w:line="276" w:lineRule="auto"/>
              <w:rPr>
                <w:rFonts w:ascii="Arial" w:hAnsi="Arial" w:cs="Arial"/>
                <w:sz w:val="20"/>
                <w:szCs w:val="20"/>
              </w:rPr>
            </w:pPr>
            <w:r w:rsidRPr="00ED3882">
              <w:rPr>
                <w:rFonts w:ascii="Arial" w:hAnsi="Arial" w:cs="Arial"/>
                <w:sz w:val="20"/>
                <w:szCs w:val="20"/>
              </w:rPr>
              <w:t>The proposed project</w:t>
            </w:r>
            <w:r w:rsidR="00835A25">
              <w:rPr>
                <w:rFonts w:ascii="Arial" w:hAnsi="Arial" w:cs="Arial"/>
                <w:sz w:val="20"/>
                <w:szCs w:val="20"/>
              </w:rPr>
              <w:t xml:space="preserve"> as described in the Environmental Assessment</w:t>
            </w:r>
            <w:r w:rsidRPr="00ED3882">
              <w:rPr>
                <w:rFonts w:ascii="Arial" w:hAnsi="Arial" w:cs="Arial"/>
                <w:sz w:val="20"/>
                <w:szCs w:val="20"/>
              </w:rPr>
              <w:t xml:space="preserve"> is a consolidation and extension of two existing coal mining developments: Invincible Colliery and Cullen Valley coal mines, located in the Western Coalfields of New South Wales 25 km north-west of Lithgow. </w:t>
            </w:r>
            <w:r w:rsidRPr="000A6BEE">
              <w:rPr>
                <w:rFonts w:ascii="Arial" w:hAnsi="Arial" w:cs="Arial"/>
                <w:sz w:val="20"/>
                <w:szCs w:val="20"/>
              </w:rPr>
              <w:t xml:space="preserve">The proposed project would extract up to 108 million tonnes </w:t>
            </w:r>
            <w:r w:rsidR="00EB6751">
              <w:rPr>
                <w:rFonts w:ascii="Arial" w:hAnsi="Arial" w:cs="Arial"/>
                <w:sz w:val="20"/>
                <w:szCs w:val="20"/>
              </w:rPr>
              <w:t>r</w:t>
            </w:r>
            <w:r w:rsidRPr="000A6BEE">
              <w:rPr>
                <w:rFonts w:ascii="Arial" w:hAnsi="Arial" w:cs="Arial"/>
                <w:sz w:val="20"/>
                <w:szCs w:val="20"/>
              </w:rPr>
              <w:t xml:space="preserve">un of </w:t>
            </w:r>
            <w:r w:rsidR="00EB6751">
              <w:rPr>
                <w:rFonts w:ascii="Arial" w:hAnsi="Arial" w:cs="Arial"/>
                <w:sz w:val="20"/>
                <w:szCs w:val="20"/>
              </w:rPr>
              <w:t>m</w:t>
            </w:r>
            <w:r w:rsidRPr="000A6BEE">
              <w:rPr>
                <w:rFonts w:ascii="Arial" w:hAnsi="Arial" w:cs="Arial"/>
                <w:sz w:val="20"/>
                <w:szCs w:val="20"/>
              </w:rPr>
              <w:t>ine</w:t>
            </w:r>
            <w:r w:rsidR="00EB6751">
              <w:rPr>
                <w:rFonts w:ascii="Arial" w:hAnsi="Arial" w:cs="Arial"/>
                <w:sz w:val="20"/>
                <w:szCs w:val="20"/>
              </w:rPr>
              <w:t xml:space="preserve"> (ROM)</w:t>
            </w:r>
            <w:r w:rsidR="00FF4B4D">
              <w:rPr>
                <w:rFonts w:ascii="Arial" w:hAnsi="Arial" w:cs="Arial"/>
                <w:sz w:val="20"/>
                <w:szCs w:val="20"/>
              </w:rPr>
              <w:t xml:space="preserve"> coal</w:t>
            </w:r>
            <w:r w:rsidRPr="000A6BEE">
              <w:rPr>
                <w:rFonts w:ascii="Arial" w:hAnsi="Arial" w:cs="Arial"/>
                <w:sz w:val="20"/>
                <w:szCs w:val="20"/>
              </w:rPr>
              <w:t xml:space="preserve"> over the 21 year life of project, from </w:t>
            </w:r>
            <w:proofErr w:type="spellStart"/>
            <w:r w:rsidRPr="000A6BEE">
              <w:rPr>
                <w:rFonts w:ascii="Arial" w:hAnsi="Arial" w:cs="Arial"/>
                <w:sz w:val="20"/>
                <w:szCs w:val="20"/>
              </w:rPr>
              <w:t>highwall</w:t>
            </w:r>
            <w:proofErr w:type="spellEnd"/>
            <w:r w:rsidRPr="000A6BEE">
              <w:rPr>
                <w:rFonts w:ascii="Arial" w:hAnsi="Arial" w:cs="Arial"/>
                <w:sz w:val="20"/>
                <w:szCs w:val="20"/>
              </w:rPr>
              <w:t xml:space="preserve"> and open-cut mining operations covering an area of approximately 40 km</w:t>
            </w:r>
            <w:r w:rsidRPr="00ED3882">
              <w:rPr>
                <w:rFonts w:ascii="Arial" w:hAnsi="Arial" w:cs="Arial"/>
                <w:sz w:val="20"/>
                <w:szCs w:val="20"/>
                <w:vertAlign w:val="superscript"/>
              </w:rPr>
              <w:t>2</w:t>
            </w:r>
            <w:r w:rsidRPr="000A6BEE">
              <w:rPr>
                <w:rFonts w:ascii="Arial" w:hAnsi="Arial" w:cs="Arial"/>
                <w:sz w:val="20"/>
                <w:szCs w:val="20"/>
              </w:rPr>
              <w:t xml:space="preserve">. In addition, 5 million bank cubic metres of sand are proposed to be extracted from the Marrangaroo Formation. Associated proposed infrastructure includes: a coal conveyor over Castlereagh Highway; upgrading and building of coal preparation plants; bridge and </w:t>
            </w:r>
            <w:r>
              <w:rPr>
                <w:rFonts w:ascii="Arial" w:hAnsi="Arial" w:cs="Arial"/>
                <w:sz w:val="20"/>
                <w:szCs w:val="20"/>
              </w:rPr>
              <w:t xml:space="preserve">haul road across the </w:t>
            </w:r>
            <w:proofErr w:type="spellStart"/>
            <w:r>
              <w:rPr>
                <w:rFonts w:ascii="Arial" w:hAnsi="Arial" w:cs="Arial"/>
                <w:sz w:val="20"/>
                <w:szCs w:val="20"/>
              </w:rPr>
              <w:t>Wallerwary</w:t>
            </w:r>
            <w:proofErr w:type="spellEnd"/>
            <w:r>
              <w:rPr>
                <w:rFonts w:ascii="Arial" w:hAnsi="Arial" w:cs="Arial"/>
                <w:sz w:val="20"/>
                <w:szCs w:val="20"/>
              </w:rPr>
              <w:t xml:space="preserve"> </w:t>
            </w:r>
            <w:r w:rsidRPr="000A6BEE">
              <w:rPr>
                <w:rFonts w:ascii="Arial" w:hAnsi="Arial" w:cs="Arial"/>
                <w:sz w:val="20"/>
                <w:szCs w:val="20"/>
              </w:rPr>
              <w:t>Gwabegar railway line; and water management infrastructure.</w:t>
            </w:r>
          </w:p>
          <w:p w:rsidR="00EB6751" w:rsidRDefault="00835A25" w:rsidP="00D0028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revised project proposal outlined in the Preferred Project Report </w:t>
            </w:r>
            <w:r w:rsidR="00F50373">
              <w:rPr>
                <w:rFonts w:ascii="Arial" w:hAnsi="Arial" w:cs="Arial"/>
                <w:sz w:val="20"/>
                <w:szCs w:val="20"/>
              </w:rPr>
              <w:t>reduces</w:t>
            </w:r>
            <w:r w:rsidR="00EB6751">
              <w:rPr>
                <w:rFonts w:ascii="Arial" w:hAnsi="Arial" w:cs="Arial"/>
                <w:sz w:val="20"/>
                <w:szCs w:val="20"/>
              </w:rPr>
              <w:t xml:space="preserve"> the</w:t>
            </w:r>
            <w:r w:rsidR="00EB6751" w:rsidRPr="00EB6751">
              <w:rPr>
                <w:rFonts w:ascii="Arial" w:hAnsi="Arial" w:cs="Arial"/>
                <w:sz w:val="20"/>
                <w:szCs w:val="20"/>
              </w:rPr>
              <w:t xml:space="preserve"> total ROM </w:t>
            </w:r>
            <w:r w:rsidR="00FF4B4D">
              <w:rPr>
                <w:rFonts w:ascii="Arial" w:hAnsi="Arial" w:cs="Arial"/>
                <w:sz w:val="20"/>
                <w:szCs w:val="20"/>
              </w:rPr>
              <w:t xml:space="preserve">coal </w:t>
            </w:r>
            <w:r w:rsidR="00EB6751" w:rsidRPr="00EB6751">
              <w:rPr>
                <w:rFonts w:ascii="Arial" w:hAnsi="Arial" w:cs="Arial"/>
                <w:sz w:val="20"/>
                <w:szCs w:val="20"/>
              </w:rPr>
              <w:t xml:space="preserve">from open cut and </w:t>
            </w:r>
            <w:proofErr w:type="spellStart"/>
            <w:r w:rsidR="00EB6751" w:rsidRPr="00EB6751">
              <w:rPr>
                <w:rFonts w:ascii="Arial" w:hAnsi="Arial" w:cs="Arial"/>
                <w:sz w:val="20"/>
                <w:szCs w:val="20"/>
              </w:rPr>
              <w:t>highwal</w:t>
            </w:r>
            <w:r w:rsidR="00EB6751">
              <w:rPr>
                <w:rFonts w:ascii="Arial" w:hAnsi="Arial" w:cs="Arial"/>
                <w:sz w:val="20"/>
                <w:szCs w:val="20"/>
              </w:rPr>
              <w:t>l</w:t>
            </w:r>
            <w:proofErr w:type="spellEnd"/>
            <w:r w:rsidR="00EB6751">
              <w:rPr>
                <w:rFonts w:ascii="Arial" w:hAnsi="Arial" w:cs="Arial"/>
                <w:sz w:val="20"/>
                <w:szCs w:val="20"/>
              </w:rPr>
              <w:t xml:space="preserve"> mining operations by 11.8 Mt to 96.2 Mt</w:t>
            </w:r>
            <w:r w:rsidR="00EB6751" w:rsidRPr="00EB6751">
              <w:rPr>
                <w:rFonts w:ascii="Arial" w:hAnsi="Arial" w:cs="Arial"/>
                <w:sz w:val="20"/>
                <w:szCs w:val="20"/>
              </w:rPr>
              <w:t xml:space="preserve"> over the life of project</w:t>
            </w:r>
            <w:r w:rsidR="006335F5">
              <w:rPr>
                <w:rFonts w:ascii="Arial" w:hAnsi="Arial" w:cs="Arial"/>
                <w:sz w:val="20"/>
                <w:szCs w:val="20"/>
              </w:rPr>
              <w:t>, including exclusi</w:t>
            </w:r>
            <w:r w:rsidR="00D21A64">
              <w:rPr>
                <w:rFonts w:ascii="Arial" w:hAnsi="Arial" w:cs="Arial"/>
                <w:sz w:val="20"/>
                <w:szCs w:val="20"/>
              </w:rPr>
              <w:t xml:space="preserve">on of the </w:t>
            </w:r>
            <w:proofErr w:type="spellStart"/>
            <w:r w:rsidR="00D21A64">
              <w:rPr>
                <w:rFonts w:ascii="Arial" w:hAnsi="Arial" w:cs="Arial"/>
                <w:sz w:val="20"/>
                <w:szCs w:val="20"/>
              </w:rPr>
              <w:t>Hillcroft</w:t>
            </w:r>
            <w:proofErr w:type="spellEnd"/>
            <w:r w:rsidR="00D21A64">
              <w:rPr>
                <w:rFonts w:ascii="Arial" w:hAnsi="Arial" w:cs="Arial"/>
                <w:sz w:val="20"/>
                <w:szCs w:val="20"/>
              </w:rPr>
              <w:t xml:space="preserve"> mining area. </w:t>
            </w:r>
            <w:r w:rsidR="00EB6751">
              <w:rPr>
                <w:rFonts w:ascii="Arial" w:hAnsi="Arial" w:cs="Arial"/>
                <w:sz w:val="20"/>
                <w:szCs w:val="20"/>
              </w:rPr>
              <w:t>The proposed extraction of sand from the Marrangaroo Formation has also been removed</w:t>
            </w:r>
            <w:r w:rsidR="006335F5">
              <w:rPr>
                <w:rFonts w:ascii="Arial" w:hAnsi="Arial" w:cs="Arial"/>
                <w:sz w:val="20"/>
                <w:szCs w:val="20"/>
              </w:rPr>
              <w:t xml:space="preserve"> from the project</w:t>
            </w:r>
            <w:r w:rsidR="00EB6751">
              <w:rPr>
                <w:rFonts w:ascii="Arial" w:hAnsi="Arial" w:cs="Arial"/>
                <w:sz w:val="20"/>
                <w:szCs w:val="20"/>
              </w:rPr>
              <w:t>.</w:t>
            </w:r>
            <w:r w:rsidR="00EB6751" w:rsidRPr="00EB6751" w:rsidDel="00EB6751">
              <w:rPr>
                <w:rFonts w:ascii="Arial" w:hAnsi="Arial" w:cs="Arial"/>
                <w:sz w:val="20"/>
                <w:szCs w:val="20"/>
              </w:rPr>
              <w:t xml:space="preserve"> </w:t>
            </w:r>
          </w:p>
          <w:p w:rsidR="006105F4" w:rsidRPr="00A6775C" w:rsidRDefault="006105F4" w:rsidP="00D00281">
            <w:pPr>
              <w:autoSpaceDE w:val="0"/>
              <w:autoSpaceDN w:val="0"/>
              <w:adjustRightInd w:val="0"/>
              <w:spacing w:after="200" w:line="276" w:lineRule="auto"/>
              <w:rPr>
                <w:rFonts w:ascii="Arial" w:hAnsi="Arial" w:cs="Arial"/>
                <w:sz w:val="20"/>
                <w:szCs w:val="20"/>
              </w:rPr>
            </w:pPr>
            <w:r w:rsidRPr="00A6775C">
              <w:rPr>
                <w:rFonts w:ascii="Arial" w:hAnsi="Arial" w:cs="Arial"/>
                <w:sz w:val="20"/>
                <w:szCs w:val="20"/>
              </w:rPr>
              <w:t>The Committee, in line with its Information Guidelines</w:t>
            </w:r>
            <w:r w:rsidRPr="00A6775C">
              <w:rPr>
                <w:rFonts w:ascii="Arial" w:hAnsi="Arial" w:cs="Arial"/>
                <w:sz w:val="20"/>
                <w:szCs w:val="20"/>
                <w:vertAlign w:val="superscript"/>
              </w:rPr>
              <w:t>1</w:t>
            </w:r>
            <w:r w:rsidRPr="00A6775C">
              <w:rPr>
                <w:rFonts w:ascii="Arial" w:hAnsi="Arial" w:cs="Arial"/>
                <w:sz w:val="20"/>
                <w:szCs w:val="20"/>
              </w:rPr>
              <w:t>, has considered whether the proposed project assessment has used the following:</w:t>
            </w:r>
          </w:p>
          <w:p w:rsidR="006105F4" w:rsidRPr="00A6775C" w:rsidRDefault="006105F4" w:rsidP="00D00281">
            <w:pPr>
              <w:pStyle w:val="PlainText"/>
              <w:spacing w:after="200" w:line="276" w:lineRule="auto"/>
              <w:rPr>
                <w:rFonts w:ascii="Arial" w:hAnsi="Arial" w:cs="Arial"/>
                <w:sz w:val="20"/>
                <w:szCs w:val="20"/>
                <w:u w:val="single"/>
              </w:rPr>
            </w:pPr>
            <w:r w:rsidRPr="00A6775C">
              <w:rPr>
                <w:rFonts w:ascii="Arial" w:hAnsi="Arial" w:cs="Arial"/>
                <w:sz w:val="20"/>
                <w:szCs w:val="20"/>
                <w:u w:val="single"/>
              </w:rPr>
              <w:t>Relevant data and information: key conclusions</w:t>
            </w:r>
          </w:p>
          <w:p w:rsidR="00C64299" w:rsidRDefault="00972175" w:rsidP="00D00281">
            <w:pPr>
              <w:pStyle w:val="PlainText"/>
              <w:spacing w:after="200" w:line="276" w:lineRule="auto"/>
              <w:rPr>
                <w:rFonts w:ascii="Arial" w:hAnsi="Arial" w:cs="Arial"/>
                <w:sz w:val="20"/>
                <w:szCs w:val="20"/>
              </w:rPr>
            </w:pPr>
            <w:r>
              <w:rPr>
                <w:rFonts w:ascii="Arial" w:hAnsi="Arial" w:cs="Arial"/>
                <w:sz w:val="20"/>
                <w:szCs w:val="20"/>
              </w:rPr>
              <w:t xml:space="preserve">Given that </w:t>
            </w:r>
            <w:r w:rsidR="00073A15">
              <w:rPr>
                <w:rFonts w:ascii="Arial" w:hAnsi="Arial" w:cs="Arial"/>
                <w:sz w:val="20"/>
                <w:szCs w:val="20"/>
              </w:rPr>
              <w:t xml:space="preserve">the proponent has owned and operated mines in the Cullen Bullen region since 1989, </w:t>
            </w:r>
            <w:r w:rsidR="00C30715">
              <w:rPr>
                <w:rFonts w:ascii="Arial" w:hAnsi="Arial" w:cs="Arial"/>
                <w:sz w:val="20"/>
                <w:szCs w:val="20"/>
              </w:rPr>
              <w:t xml:space="preserve">it </w:t>
            </w:r>
            <w:r w:rsidR="00073A15">
              <w:rPr>
                <w:rFonts w:ascii="Arial" w:hAnsi="Arial" w:cs="Arial"/>
                <w:sz w:val="20"/>
                <w:szCs w:val="20"/>
              </w:rPr>
              <w:t xml:space="preserve">is </w:t>
            </w:r>
            <w:r w:rsidR="00C30715">
              <w:rPr>
                <w:rFonts w:ascii="Arial" w:hAnsi="Arial" w:cs="Arial"/>
                <w:sz w:val="20"/>
                <w:szCs w:val="20"/>
              </w:rPr>
              <w:t xml:space="preserve">expected that surface </w:t>
            </w:r>
            <w:r w:rsidR="0093373D">
              <w:rPr>
                <w:rFonts w:ascii="Arial" w:hAnsi="Arial" w:cs="Arial"/>
                <w:sz w:val="20"/>
                <w:szCs w:val="20"/>
              </w:rPr>
              <w:t xml:space="preserve">water </w:t>
            </w:r>
            <w:r w:rsidR="00C30715">
              <w:rPr>
                <w:rFonts w:ascii="Arial" w:hAnsi="Arial" w:cs="Arial"/>
                <w:sz w:val="20"/>
                <w:szCs w:val="20"/>
              </w:rPr>
              <w:t xml:space="preserve">and groundwater data </w:t>
            </w:r>
            <w:r w:rsidR="00C64299">
              <w:rPr>
                <w:rFonts w:ascii="Arial" w:hAnsi="Arial" w:cs="Arial"/>
                <w:sz w:val="20"/>
                <w:szCs w:val="20"/>
              </w:rPr>
              <w:t xml:space="preserve">would be available from </w:t>
            </w:r>
            <w:r w:rsidR="00194FC6">
              <w:rPr>
                <w:rFonts w:ascii="Arial" w:hAnsi="Arial" w:cs="Arial"/>
                <w:sz w:val="20"/>
                <w:szCs w:val="20"/>
              </w:rPr>
              <w:t>the proposed project site</w:t>
            </w:r>
            <w:r w:rsidR="00C30715">
              <w:rPr>
                <w:rFonts w:ascii="Arial" w:hAnsi="Arial" w:cs="Arial"/>
                <w:sz w:val="20"/>
                <w:szCs w:val="20"/>
              </w:rPr>
              <w:t xml:space="preserve"> and the surrounding region. </w:t>
            </w:r>
          </w:p>
          <w:p w:rsidR="006105F4" w:rsidRPr="00545DF9" w:rsidRDefault="00C30715" w:rsidP="00D00281">
            <w:pPr>
              <w:pStyle w:val="PlainText"/>
              <w:spacing w:after="200" w:line="276" w:lineRule="auto"/>
              <w:rPr>
                <w:rFonts w:ascii="Arial" w:hAnsi="Arial" w:cs="Arial"/>
                <w:sz w:val="20"/>
                <w:szCs w:val="20"/>
              </w:rPr>
            </w:pPr>
            <w:r>
              <w:rPr>
                <w:rFonts w:ascii="Arial" w:hAnsi="Arial" w:cs="Arial"/>
                <w:sz w:val="20"/>
                <w:szCs w:val="20"/>
              </w:rPr>
              <w:t xml:space="preserve">The Committee notes that there is limited data </w:t>
            </w:r>
            <w:r w:rsidR="00194FC6">
              <w:rPr>
                <w:rFonts w:ascii="Arial" w:hAnsi="Arial" w:cs="Arial"/>
                <w:sz w:val="20"/>
                <w:szCs w:val="20"/>
              </w:rPr>
              <w:t>in the Environmental Assess</w:t>
            </w:r>
            <w:r w:rsidR="00194FC6" w:rsidRPr="00194FC6">
              <w:rPr>
                <w:rFonts w:ascii="Arial" w:hAnsi="Arial" w:cs="Arial"/>
                <w:sz w:val="20"/>
                <w:szCs w:val="20"/>
              </w:rPr>
              <w:t>ment and Preferred Project Report</w:t>
            </w:r>
            <w:r w:rsidR="00194FC6">
              <w:rPr>
                <w:rFonts w:ascii="Arial" w:hAnsi="Arial" w:cs="Arial"/>
                <w:sz w:val="20"/>
                <w:szCs w:val="20"/>
              </w:rPr>
              <w:t xml:space="preserve"> </w:t>
            </w:r>
            <w:r>
              <w:rPr>
                <w:rFonts w:ascii="Arial" w:hAnsi="Arial" w:cs="Arial"/>
                <w:sz w:val="20"/>
                <w:szCs w:val="20"/>
              </w:rPr>
              <w:t xml:space="preserve">from </w:t>
            </w:r>
            <w:r w:rsidR="00C64299">
              <w:rPr>
                <w:rFonts w:ascii="Arial" w:hAnsi="Arial" w:cs="Arial"/>
                <w:sz w:val="20"/>
                <w:szCs w:val="20"/>
              </w:rPr>
              <w:t xml:space="preserve">previously undertaken monitoring or assessments within the existing mining operations </w:t>
            </w:r>
            <w:r w:rsidR="00073A15">
              <w:rPr>
                <w:rFonts w:ascii="Arial" w:hAnsi="Arial" w:cs="Arial"/>
                <w:sz w:val="20"/>
                <w:szCs w:val="20"/>
              </w:rPr>
              <w:t>or</w:t>
            </w:r>
            <w:r w:rsidR="00F2277E">
              <w:rPr>
                <w:rFonts w:ascii="Arial" w:hAnsi="Arial" w:cs="Arial"/>
                <w:sz w:val="20"/>
                <w:szCs w:val="20"/>
              </w:rPr>
              <w:t xml:space="preserve"> </w:t>
            </w:r>
            <w:r w:rsidR="00C64299">
              <w:rPr>
                <w:rFonts w:ascii="Arial" w:hAnsi="Arial" w:cs="Arial"/>
                <w:sz w:val="20"/>
                <w:szCs w:val="20"/>
              </w:rPr>
              <w:t xml:space="preserve">from </w:t>
            </w:r>
            <w:r>
              <w:rPr>
                <w:rFonts w:ascii="Arial" w:hAnsi="Arial" w:cs="Arial"/>
                <w:sz w:val="20"/>
                <w:szCs w:val="20"/>
              </w:rPr>
              <w:t>the</w:t>
            </w:r>
            <w:r w:rsidR="00C64299">
              <w:rPr>
                <w:rFonts w:ascii="Arial" w:hAnsi="Arial" w:cs="Arial"/>
                <w:sz w:val="20"/>
                <w:szCs w:val="20"/>
              </w:rPr>
              <w:t xml:space="preserve"> wider</w:t>
            </w:r>
            <w:r>
              <w:rPr>
                <w:rFonts w:ascii="Arial" w:hAnsi="Arial" w:cs="Arial"/>
                <w:sz w:val="20"/>
                <w:szCs w:val="20"/>
              </w:rPr>
              <w:t xml:space="preserve"> Turon River </w:t>
            </w:r>
            <w:r w:rsidR="00C86C0B">
              <w:rPr>
                <w:rFonts w:ascii="Arial" w:hAnsi="Arial" w:cs="Arial"/>
                <w:sz w:val="20"/>
                <w:szCs w:val="20"/>
              </w:rPr>
              <w:t>sub-</w:t>
            </w:r>
            <w:r w:rsidR="00194FC6">
              <w:rPr>
                <w:rFonts w:ascii="Arial" w:hAnsi="Arial" w:cs="Arial"/>
                <w:sz w:val="20"/>
                <w:szCs w:val="20"/>
              </w:rPr>
              <w:t>catchment</w:t>
            </w:r>
            <w:r w:rsidR="00C64299" w:rsidRPr="00194FC6">
              <w:rPr>
                <w:rFonts w:ascii="Arial" w:hAnsi="Arial" w:cs="Arial"/>
                <w:sz w:val="20"/>
                <w:szCs w:val="20"/>
              </w:rPr>
              <w:t>.</w:t>
            </w:r>
            <w:r w:rsidR="00194FC6">
              <w:rPr>
                <w:rFonts w:ascii="Arial" w:hAnsi="Arial" w:cs="Arial"/>
                <w:sz w:val="20"/>
                <w:szCs w:val="20"/>
              </w:rPr>
              <w:t xml:space="preserve"> </w:t>
            </w:r>
            <w:r w:rsidR="006105F4">
              <w:rPr>
                <w:rFonts w:ascii="Arial" w:hAnsi="Arial" w:cs="Arial"/>
                <w:sz w:val="20"/>
                <w:szCs w:val="20"/>
              </w:rPr>
              <w:t xml:space="preserve">Further information </w:t>
            </w:r>
            <w:r w:rsidR="00F2277E">
              <w:rPr>
                <w:rFonts w:ascii="Arial" w:hAnsi="Arial" w:cs="Arial"/>
                <w:sz w:val="20"/>
                <w:szCs w:val="20"/>
              </w:rPr>
              <w:t xml:space="preserve">should </w:t>
            </w:r>
            <w:r w:rsidR="006105F4">
              <w:rPr>
                <w:rFonts w:ascii="Arial" w:hAnsi="Arial" w:cs="Arial"/>
                <w:sz w:val="20"/>
                <w:szCs w:val="20"/>
              </w:rPr>
              <w:t>be included in the following broad areas: water quality and</w:t>
            </w:r>
            <w:r w:rsidR="0077706F">
              <w:rPr>
                <w:rFonts w:ascii="Arial" w:hAnsi="Arial" w:cs="Arial"/>
                <w:sz w:val="20"/>
                <w:szCs w:val="20"/>
              </w:rPr>
              <w:t xml:space="preserve"> surface</w:t>
            </w:r>
            <w:r w:rsidR="006105F4">
              <w:rPr>
                <w:rFonts w:ascii="Arial" w:hAnsi="Arial" w:cs="Arial"/>
                <w:sz w:val="20"/>
                <w:szCs w:val="20"/>
              </w:rPr>
              <w:t xml:space="preserve"> flow; existing subsidence</w:t>
            </w:r>
            <w:r w:rsidR="005A1F49">
              <w:rPr>
                <w:rFonts w:ascii="Arial" w:hAnsi="Arial" w:cs="Arial"/>
                <w:sz w:val="20"/>
                <w:szCs w:val="20"/>
              </w:rPr>
              <w:t xml:space="preserve"> within the project area</w:t>
            </w:r>
            <w:r w:rsidR="006105F4">
              <w:rPr>
                <w:rFonts w:ascii="Arial" w:hAnsi="Arial" w:cs="Arial"/>
                <w:sz w:val="20"/>
                <w:szCs w:val="20"/>
              </w:rPr>
              <w:t>; structural geology and regional hydrology.</w:t>
            </w:r>
          </w:p>
          <w:p w:rsidR="006105F4" w:rsidRPr="00A6775C" w:rsidRDefault="006105F4" w:rsidP="00D00281">
            <w:pPr>
              <w:pStyle w:val="PlainText"/>
              <w:spacing w:after="200" w:line="276" w:lineRule="auto"/>
              <w:rPr>
                <w:rFonts w:ascii="Arial" w:hAnsi="Arial" w:cs="Arial"/>
                <w:sz w:val="20"/>
                <w:szCs w:val="20"/>
                <w:u w:val="single"/>
              </w:rPr>
            </w:pPr>
            <w:r w:rsidRPr="00A6775C">
              <w:rPr>
                <w:rFonts w:ascii="Arial" w:hAnsi="Arial" w:cs="Arial"/>
                <w:sz w:val="20"/>
                <w:szCs w:val="20"/>
                <w:u w:val="single"/>
              </w:rPr>
              <w:t>Appropriate methodologies which have been applied correctly: key conclusions</w:t>
            </w:r>
          </w:p>
          <w:p w:rsidR="006105F4" w:rsidRPr="00A102FC" w:rsidRDefault="00794AA9" w:rsidP="00D00281">
            <w:pPr>
              <w:pStyle w:val="PlainText"/>
              <w:spacing w:after="200" w:line="276" w:lineRule="auto"/>
              <w:rPr>
                <w:rFonts w:ascii="Arial" w:hAnsi="Arial" w:cs="Arial"/>
                <w:sz w:val="20"/>
                <w:szCs w:val="20"/>
              </w:rPr>
            </w:pPr>
            <w:r>
              <w:rPr>
                <w:rFonts w:ascii="Arial" w:hAnsi="Arial" w:cs="Arial"/>
                <w:sz w:val="20"/>
                <w:szCs w:val="20"/>
              </w:rPr>
              <w:t>T</w:t>
            </w:r>
            <w:r w:rsidR="00620369">
              <w:rPr>
                <w:rFonts w:ascii="Arial" w:hAnsi="Arial" w:cs="Arial"/>
                <w:sz w:val="20"/>
                <w:szCs w:val="20"/>
              </w:rPr>
              <w:t>he inclusion of</w:t>
            </w:r>
            <w:r w:rsidR="006105F4">
              <w:rPr>
                <w:rFonts w:ascii="Arial" w:hAnsi="Arial" w:cs="Arial"/>
                <w:sz w:val="20"/>
                <w:szCs w:val="20"/>
              </w:rPr>
              <w:t xml:space="preserve"> </w:t>
            </w:r>
            <w:r>
              <w:rPr>
                <w:rFonts w:ascii="Arial" w:hAnsi="Arial" w:cs="Arial"/>
                <w:sz w:val="20"/>
                <w:szCs w:val="20"/>
              </w:rPr>
              <w:t xml:space="preserve">a regional water balance and the </w:t>
            </w:r>
            <w:r w:rsidR="006105F4">
              <w:rPr>
                <w:rFonts w:ascii="Arial" w:hAnsi="Arial" w:cs="Arial"/>
                <w:sz w:val="20"/>
                <w:szCs w:val="20"/>
              </w:rPr>
              <w:t>refi</w:t>
            </w:r>
            <w:r>
              <w:rPr>
                <w:rFonts w:ascii="Arial" w:hAnsi="Arial" w:cs="Arial"/>
                <w:sz w:val="20"/>
                <w:szCs w:val="20"/>
              </w:rPr>
              <w:t>nement of the groundwater model</w:t>
            </w:r>
            <w:r w:rsidR="006105F4">
              <w:rPr>
                <w:rFonts w:ascii="Arial" w:hAnsi="Arial" w:cs="Arial"/>
                <w:sz w:val="20"/>
                <w:szCs w:val="20"/>
              </w:rPr>
              <w:t xml:space="preserve">, site water balance and cumulative impact assessment would </w:t>
            </w:r>
            <w:r w:rsidR="006105F4" w:rsidRPr="00A102FC">
              <w:rPr>
                <w:rFonts w:ascii="Arial" w:hAnsi="Arial" w:cs="Arial"/>
                <w:sz w:val="20"/>
                <w:szCs w:val="20"/>
              </w:rPr>
              <w:t>improve quantification of potential impacts on groundwater and surface water resources.</w:t>
            </w:r>
          </w:p>
          <w:p w:rsidR="006105F4" w:rsidRDefault="006105F4" w:rsidP="00D00281">
            <w:pPr>
              <w:pStyle w:val="PlainText"/>
              <w:spacing w:after="200" w:line="276" w:lineRule="auto"/>
              <w:rPr>
                <w:rFonts w:ascii="Arial" w:hAnsi="Arial" w:cs="Arial"/>
                <w:sz w:val="20"/>
                <w:szCs w:val="20"/>
                <w:u w:val="single"/>
              </w:rPr>
            </w:pPr>
            <w:r w:rsidRPr="00A6775C">
              <w:rPr>
                <w:rFonts w:ascii="Arial" w:hAnsi="Arial" w:cs="Arial"/>
                <w:sz w:val="20"/>
                <w:szCs w:val="20"/>
                <w:u w:val="single"/>
              </w:rPr>
              <w:t>Reasonable values and parameters in calculation: key conclusions</w:t>
            </w:r>
          </w:p>
          <w:p w:rsidR="006105F4" w:rsidRDefault="006105F4" w:rsidP="00D00281">
            <w:pPr>
              <w:pStyle w:val="PlainText"/>
              <w:spacing w:after="200" w:line="276" w:lineRule="auto"/>
              <w:rPr>
                <w:rFonts w:ascii="Arial" w:hAnsi="Arial" w:cs="Arial"/>
                <w:sz w:val="20"/>
                <w:szCs w:val="20"/>
              </w:rPr>
            </w:pPr>
            <w:r>
              <w:rPr>
                <w:rFonts w:ascii="Arial" w:hAnsi="Arial" w:cs="Arial"/>
                <w:sz w:val="20"/>
                <w:szCs w:val="20"/>
              </w:rPr>
              <w:t>Water quality and flow data</w:t>
            </w:r>
            <w:r w:rsidR="008C6215">
              <w:rPr>
                <w:rFonts w:ascii="Arial" w:hAnsi="Arial" w:cs="Arial"/>
                <w:sz w:val="20"/>
                <w:szCs w:val="20"/>
              </w:rPr>
              <w:t xml:space="preserve"> should be </w:t>
            </w:r>
            <w:r w:rsidR="000B2E9B">
              <w:rPr>
                <w:rFonts w:ascii="Arial" w:hAnsi="Arial" w:cs="Arial"/>
                <w:sz w:val="20"/>
                <w:szCs w:val="20"/>
              </w:rPr>
              <w:t>gathered</w:t>
            </w:r>
            <w:r w:rsidR="008C6215">
              <w:rPr>
                <w:rFonts w:ascii="Arial" w:hAnsi="Arial" w:cs="Arial"/>
                <w:sz w:val="20"/>
                <w:szCs w:val="20"/>
              </w:rPr>
              <w:t xml:space="preserve"> from the surrounding </w:t>
            </w:r>
            <w:r w:rsidR="008C6215" w:rsidRPr="005856D7">
              <w:rPr>
                <w:rFonts w:ascii="Arial" w:hAnsi="Arial" w:cs="Arial"/>
                <w:sz w:val="20"/>
                <w:szCs w:val="20"/>
              </w:rPr>
              <w:t xml:space="preserve">Cullen, </w:t>
            </w:r>
            <w:proofErr w:type="spellStart"/>
            <w:r w:rsidR="008C6215" w:rsidRPr="005856D7">
              <w:rPr>
                <w:rFonts w:ascii="Arial" w:hAnsi="Arial" w:cs="Arial"/>
                <w:sz w:val="20"/>
                <w:szCs w:val="20"/>
              </w:rPr>
              <w:t>Dulhunty</w:t>
            </w:r>
            <w:proofErr w:type="spellEnd"/>
            <w:r w:rsidR="008C6215" w:rsidRPr="005856D7">
              <w:rPr>
                <w:rFonts w:ascii="Arial" w:hAnsi="Arial" w:cs="Arial"/>
                <w:sz w:val="20"/>
                <w:szCs w:val="20"/>
              </w:rPr>
              <w:t xml:space="preserve"> </w:t>
            </w:r>
            <w:r w:rsidR="00C86C0B">
              <w:rPr>
                <w:rFonts w:ascii="Arial" w:hAnsi="Arial" w:cs="Arial"/>
                <w:sz w:val="20"/>
                <w:szCs w:val="20"/>
              </w:rPr>
              <w:t>and</w:t>
            </w:r>
            <w:r w:rsidR="00C86C0B" w:rsidRPr="005856D7">
              <w:rPr>
                <w:rFonts w:ascii="Arial" w:hAnsi="Arial" w:cs="Arial"/>
                <w:sz w:val="20"/>
                <w:szCs w:val="20"/>
              </w:rPr>
              <w:t xml:space="preserve"> </w:t>
            </w:r>
            <w:r w:rsidR="008C6215" w:rsidRPr="005856D7">
              <w:rPr>
                <w:rFonts w:ascii="Arial" w:hAnsi="Arial" w:cs="Arial"/>
                <w:sz w:val="20"/>
                <w:szCs w:val="20"/>
              </w:rPr>
              <w:t>Jews Creeks</w:t>
            </w:r>
            <w:r w:rsidR="008C6215">
              <w:rPr>
                <w:rFonts w:ascii="Arial" w:hAnsi="Arial" w:cs="Arial"/>
                <w:sz w:val="20"/>
                <w:szCs w:val="20"/>
              </w:rPr>
              <w:t xml:space="preserve">. The data provided from </w:t>
            </w:r>
            <w:proofErr w:type="spellStart"/>
            <w:r>
              <w:rPr>
                <w:rFonts w:ascii="Arial" w:hAnsi="Arial" w:cs="Arial"/>
                <w:sz w:val="20"/>
                <w:szCs w:val="20"/>
              </w:rPr>
              <w:t>Wangcol</w:t>
            </w:r>
            <w:proofErr w:type="spellEnd"/>
            <w:r>
              <w:rPr>
                <w:rFonts w:ascii="Arial" w:hAnsi="Arial" w:cs="Arial"/>
                <w:sz w:val="20"/>
                <w:szCs w:val="20"/>
              </w:rPr>
              <w:t xml:space="preserve"> Creek </w:t>
            </w:r>
            <w:r w:rsidR="008C6215">
              <w:rPr>
                <w:rFonts w:ascii="Arial" w:hAnsi="Arial" w:cs="Arial"/>
                <w:sz w:val="20"/>
                <w:szCs w:val="20"/>
              </w:rPr>
              <w:t xml:space="preserve">may not </w:t>
            </w:r>
            <w:r w:rsidR="001F29E1">
              <w:rPr>
                <w:rFonts w:ascii="Arial" w:hAnsi="Arial" w:cs="Arial"/>
                <w:sz w:val="20"/>
                <w:szCs w:val="20"/>
              </w:rPr>
              <w:t>be</w:t>
            </w:r>
            <w:r>
              <w:rPr>
                <w:rFonts w:ascii="Arial" w:hAnsi="Arial" w:cs="Arial"/>
                <w:sz w:val="20"/>
                <w:szCs w:val="20"/>
              </w:rPr>
              <w:t xml:space="preserve"> an appropriate analogue </w:t>
            </w:r>
            <w:r w:rsidRPr="005856D7">
              <w:rPr>
                <w:rFonts w:ascii="Arial" w:hAnsi="Arial" w:cs="Arial"/>
                <w:sz w:val="20"/>
                <w:szCs w:val="20"/>
              </w:rPr>
              <w:t xml:space="preserve">as </w:t>
            </w:r>
            <w:r>
              <w:rPr>
                <w:rFonts w:ascii="Arial" w:hAnsi="Arial" w:cs="Arial"/>
                <w:sz w:val="20"/>
                <w:szCs w:val="20"/>
              </w:rPr>
              <w:t>the monitoring</w:t>
            </w:r>
            <w:r w:rsidRPr="005856D7">
              <w:rPr>
                <w:rFonts w:ascii="Arial" w:hAnsi="Arial" w:cs="Arial"/>
                <w:sz w:val="20"/>
                <w:szCs w:val="20"/>
              </w:rPr>
              <w:t xml:space="preserve"> </w:t>
            </w:r>
            <w:r>
              <w:rPr>
                <w:rFonts w:ascii="Arial" w:hAnsi="Arial" w:cs="Arial"/>
                <w:sz w:val="20"/>
                <w:szCs w:val="20"/>
              </w:rPr>
              <w:t xml:space="preserve">station </w:t>
            </w:r>
            <w:r w:rsidRPr="005856D7">
              <w:rPr>
                <w:rFonts w:ascii="Arial" w:hAnsi="Arial" w:cs="Arial"/>
                <w:sz w:val="20"/>
                <w:szCs w:val="20"/>
              </w:rPr>
              <w:t xml:space="preserve">is located 4.9 km </w:t>
            </w:r>
            <w:r>
              <w:rPr>
                <w:rFonts w:ascii="Arial" w:hAnsi="Arial" w:cs="Arial"/>
                <w:sz w:val="20"/>
                <w:szCs w:val="20"/>
              </w:rPr>
              <w:t>south of the proposed project and is</w:t>
            </w:r>
            <w:r w:rsidRPr="005856D7">
              <w:rPr>
                <w:rFonts w:ascii="Arial" w:hAnsi="Arial" w:cs="Arial"/>
                <w:sz w:val="20"/>
                <w:szCs w:val="20"/>
              </w:rPr>
              <w:t xml:space="preserve"> not in the</w:t>
            </w:r>
            <w:r>
              <w:rPr>
                <w:rFonts w:ascii="Arial" w:hAnsi="Arial" w:cs="Arial"/>
                <w:sz w:val="20"/>
                <w:szCs w:val="20"/>
              </w:rPr>
              <w:t xml:space="preserve"> Turon River sub-catchment</w:t>
            </w:r>
            <w:r w:rsidRPr="005856D7">
              <w:rPr>
                <w:rFonts w:ascii="Arial" w:hAnsi="Arial" w:cs="Arial"/>
                <w:sz w:val="20"/>
                <w:szCs w:val="20"/>
              </w:rPr>
              <w:t>.</w:t>
            </w:r>
          </w:p>
          <w:p w:rsidR="006105F4" w:rsidRPr="00DC325B" w:rsidRDefault="006105F4" w:rsidP="00DC325B">
            <w:pPr>
              <w:autoSpaceDE w:val="0"/>
              <w:autoSpaceDN w:val="0"/>
              <w:adjustRightInd w:val="0"/>
              <w:spacing w:after="200"/>
              <w:rPr>
                <w:rFonts w:ascii="Arial" w:hAnsi="Arial" w:cs="Arial"/>
                <w:i/>
                <w:color w:val="FF0000"/>
                <w:sz w:val="20"/>
                <w:lang w:eastAsia="en-AU"/>
              </w:rPr>
            </w:pPr>
            <w:r w:rsidRPr="00DC325B">
              <w:rPr>
                <w:rFonts w:ascii="Arial" w:hAnsi="Arial" w:cs="Arial"/>
                <w:i/>
                <w:sz w:val="20"/>
                <w:szCs w:val="20"/>
              </w:rPr>
              <w:t>Question 1</w:t>
            </w:r>
            <w:r w:rsidR="00A251DE">
              <w:rPr>
                <w:rFonts w:ascii="Arial" w:hAnsi="Arial" w:cs="Arial"/>
                <w:i/>
                <w:sz w:val="20"/>
                <w:szCs w:val="20"/>
              </w:rPr>
              <w:t>a</w:t>
            </w:r>
            <w:r w:rsidRPr="00DC325B">
              <w:rPr>
                <w:rFonts w:ascii="Arial" w:hAnsi="Arial" w:cs="Arial"/>
                <w:i/>
                <w:sz w:val="20"/>
                <w:szCs w:val="20"/>
              </w:rPr>
              <w:t>:</w:t>
            </w:r>
            <w:r>
              <w:rPr>
                <w:rFonts w:ascii="Arial" w:hAnsi="Arial" w:cs="Arial"/>
                <w:i/>
                <w:sz w:val="20"/>
                <w:szCs w:val="20"/>
              </w:rPr>
              <w:t xml:space="preserve"> </w:t>
            </w:r>
            <w:r w:rsidRPr="0005251F">
              <w:rPr>
                <w:rFonts w:ascii="Arial" w:hAnsi="Arial" w:cs="Arial"/>
                <w:i/>
                <w:sz w:val="20"/>
                <w:szCs w:val="20"/>
              </w:rPr>
              <w:t>Does the Committee consider that the proponent has provided sufficient information on the water resources and its management to assess likely significant impacts from its proposed action? – If the information is considered insufficient for that purpose, what advice regarding areas of inadequacy can the Committee provide?</w:t>
            </w:r>
          </w:p>
          <w:p w:rsidR="006105F4" w:rsidRPr="002A5EC3" w:rsidRDefault="006105F4"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The proponent has</w:t>
            </w:r>
            <w:r w:rsidR="009B6604">
              <w:rPr>
                <w:rFonts w:ascii="Arial" w:hAnsi="Arial" w:cs="Arial"/>
                <w:sz w:val="20"/>
                <w:szCs w:val="20"/>
              </w:rPr>
              <w:t xml:space="preserve"> not</w:t>
            </w:r>
            <w:r>
              <w:rPr>
                <w:rFonts w:ascii="Arial" w:hAnsi="Arial" w:cs="Arial"/>
                <w:sz w:val="20"/>
                <w:szCs w:val="20"/>
              </w:rPr>
              <w:t xml:space="preserve"> provided suff</w:t>
            </w:r>
            <w:r w:rsidR="00794AA9">
              <w:rPr>
                <w:rFonts w:ascii="Arial" w:hAnsi="Arial" w:cs="Arial"/>
                <w:sz w:val="20"/>
                <w:szCs w:val="20"/>
              </w:rPr>
              <w:t xml:space="preserve">icient information to </w:t>
            </w:r>
            <w:r w:rsidR="009B6604">
              <w:rPr>
                <w:rFonts w:ascii="Arial" w:hAnsi="Arial" w:cs="Arial"/>
                <w:sz w:val="20"/>
                <w:szCs w:val="20"/>
              </w:rPr>
              <w:t xml:space="preserve">fully </w:t>
            </w:r>
            <w:r>
              <w:rPr>
                <w:rFonts w:ascii="Arial" w:hAnsi="Arial" w:cs="Arial"/>
                <w:sz w:val="20"/>
                <w:szCs w:val="20"/>
              </w:rPr>
              <w:t xml:space="preserve">assess the likely impacts on water resources from the proposed consolidation project. The inclusion of the following analyses </w:t>
            </w:r>
            <w:r w:rsidRPr="009115F4">
              <w:rPr>
                <w:rFonts w:ascii="Arial" w:hAnsi="Arial" w:cs="Arial"/>
                <w:sz w:val="20"/>
                <w:szCs w:val="20"/>
              </w:rPr>
              <w:t xml:space="preserve">would improve </w:t>
            </w:r>
            <w:r w:rsidRPr="009115F4">
              <w:rPr>
                <w:rFonts w:ascii="Arial" w:hAnsi="Arial" w:cs="Arial"/>
                <w:sz w:val="20"/>
                <w:szCs w:val="20"/>
              </w:rPr>
              <w:lastRenderedPageBreak/>
              <w:t>quantification and confidence in the assessment of potential impacts on groundwater and surface water.</w:t>
            </w:r>
          </w:p>
          <w:p w:rsidR="00E075C6" w:rsidRPr="00E075C6" w:rsidRDefault="005A1F49" w:rsidP="00AD72CA">
            <w:pPr>
              <w:pStyle w:val="ListNumber2"/>
              <w:ind w:left="709"/>
            </w:pPr>
            <w:r w:rsidRPr="00E075C6">
              <w:t>A more detailed cumulative impact assessment and a regional water balance would increase confidence in the</w:t>
            </w:r>
            <w:r w:rsidR="00F915ED">
              <w:t xml:space="preserve"> proponent’s</w:t>
            </w:r>
            <w:r w:rsidRPr="00E075C6">
              <w:t xml:space="preserve"> assessment that there is low potential for impacts on surrounding groundwater dependent ecosystems</w:t>
            </w:r>
            <w:r w:rsidR="00E020A7">
              <w:t xml:space="preserve">, including the Jews Creek Swamp and </w:t>
            </w:r>
            <w:proofErr w:type="spellStart"/>
            <w:r w:rsidR="00E020A7">
              <w:t>Coxs</w:t>
            </w:r>
            <w:proofErr w:type="spellEnd"/>
            <w:r w:rsidR="00E020A7">
              <w:t xml:space="preserve"> River Swamp</w:t>
            </w:r>
            <w:r w:rsidRPr="00E075C6">
              <w:t xml:space="preserve">, other groundwater users in the region and on catchment water flow and quality. </w:t>
            </w:r>
          </w:p>
          <w:p w:rsidR="005A1F49" w:rsidRPr="00E075C6" w:rsidRDefault="00E075C6" w:rsidP="00AD72CA">
            <w:pPr>
              <w:pStyle w:val="ListNumber2"/>
              <w:ind w:left="709"/>
            </w:pPr>
            <w:r w:rsidRPr="00E075C6">
              <w:t xml:space="preserve">The water balance model </w:t>
            </w:r>
            <w:r w:rsidR="009B6604">
              <w:t xml:space="preserve">should </w:t>
            </w:r>
            <w:r w:rsidRPr="00E075C6">
              <w:t xml:space="preserve">be updated to include: regional water data including the inflows and outflows from the underground mine workings; definition of groundwater ingress into pits; definition of the amount of groundwater to be pumped from mine voids; the amount of water from storage </w:t>
            </w:r>
            <w:r w:rsidR="00783E75">
              <w:t>dams to be placed in mine voids and</w:t>
            </w:r>
            <w:r w:rsidRPr="00E075C6">
              <w:t xml:space="preserve"> proposed sediment dams. </w:t>
            </w:r>
          </w:p>
          <w:p w:rsidR="005A1F49" w:rsidRPr="00E075C6" w:rsidRDefault="004D220B" w:rsidP="00AD72CA">
            <w:pPr>
              <w:pStyle w:val="ListNumber2"/>
              <w:ind w:left="709"/>
            </w:pPr>
            <w:r w:rsidRPr="00E075C6">
              <w:t>The</w:t>
            </w:r>
            <w:r w:rsidR="00FF4B4D">
              <w:t xml:space="preserve"> project assessment documentation</w:t>
            </w:r>
            <w:r w:rsidRPr="00E075C6">
              <w:t xml:space="preserve"> does not provide information on the extent or measurement of the </w:t>
            </w:r>
            <w:r w:rsidR="00D32B57" w:rsidRPr="00E075C6">
              <w:t xml:space="preserve">subsidence that has occurred as a result of existing mining operations. This information would assist in quantification </w:t>
            </w:r>
            <w:r w:rsidR="00C075CF" w:rsidRPr="00E075C6">
              <w:t xml:space="preserve">in the water balance model </w:t>
            </w:r>
            <w:r w:rsidR="00D32B57" w:rsidRPr="00E075C6">
              <w:t>of predicted inflows</w:t>
            </w:r>
            <w:r w:rsidR="00C075CF" w:rsidRPr="00E075C6">
              <w:t xml:space="preserve"> to the open-cut areas and underground workings</w:t>
            </w:r>
            <w:r w:rsidR="00D32B57" w:rsidRPr="00E075C6">
              <w:t xml:space="preserve"> from runoff and </w:t>
            </w:r>
            <w:r w:rsidR="004030E8">
              <w:t>infiltration</w:t>
            </w:r>
            <w:r w:rsidR="00C075CF" w:rsidRPr="00E075C6">
              <w:t>. O</w:t>
            </w:r>
            <w:r w:rsidR="00D32B57" w:rsidRPr="00E075C6">
              <w:t>n</w:t>
            </w:r>
            <w:r w:rsidR="00F53C86">
              <w:t>-</w:t>
            </w:r>
            <w:r w:rsidR="00D32B57" w:rsidRPr="00E075C6">
              <w:t xml:space="preserve">site mine data </w:t>
            </w:r>
            <w:r w:rsidR="00C075CF" w:rsidRPr="00E075C6">
              <w:t xml:space="preserve">should be obtained, including mine water dam levels </w:t>
            </w:r>
            <w:r w:rsidR="00D32B57" w:rsidRPr="00E075C6">
              <w:t>to improve confidence in the assessment of runoff coefficients.</w:t>
            </w:r>
          </w:p>
          <w:p w:rsidR="00DB2F51" w:rsidRDefault="0016669C" w:rsidP="00AD72CA">
            <w:pPr>
              <w:pStyle w:val="ListNumber2"/>
              <w:ind w:left="709"/>
            </w:pPr>
            <w:r w:rsidRPr="00E075C6">
              <w:t xml:space="preserve">The groundwater impact assessment is based on a </w:t>
            </w:r>
            <w:r w:rsidR="00825A33" w:rsidRPr="00E075C6">
              <w:t xml:space="preserve">conceptual </w:t>
            </w:r>
            <w:r w:rsidRPr="00E075C6">
              <w:t xml:space="preserve">geological model and simplistic flow analysis. Further investigation is required into the Marrangaroo Sandstone, as the extent (including location of outcrop) and characteristics of this formation are not clearly defined in the conceptual geological model. The </w:t>
            </w:r>
            <w:r>
              <w:t xml:space="preserve">conceptual </w:t>
            </w:r>
            <w:r w:rsidRPr="00E075C6">
              <w:t xml:space="preserve">model should also consider the potential impacts of fault zones on groundwater hydrology, particularly the </w:t>
            </w:r>
            <w:proofErr w:type="spellStart"/>
            <w:r w:rsidRPr="00E075C6">
              <w:t>Coxs</w:t>
            </w:r>
            <w:proofErr w:type="spellEnd"/>
            <w:r w:rsidRPr="00E075C6">
              <w:t xml:space="preserve"> </w:t>
            </w:r>
            <w:proofErr w:type="spellStart"/>
            <w:r w:rsidR="007643E3">
              <w:t>G</w:t>
            </w:r>
            <w:r w:rsidRPr="00E075C6">
              <w:t>raben</w:t>
            </w:r>
            <w:proofErr w:type="spellEnd"/>
            <w:r w:rsidRPr="00E075C6">
              <w:t>.</w:t>
            </w:r>
            <w:r>
              <w:t xml:space="preserve"> </w:t>
            </w:r>
          </w:p>
          <w:p w:rsidR="00C64299" w:rsidRDefault="00F53021" w:rsidP="00AD72CA">
            <w:pPr>
              <w:pStyle w:val="ListNumber2"/>
              <w:ind w:left="709"/>
            </w:pPr>
            <w:r>
              <w:t>In addition to a conceptual model, the Committee</w:t>
            </w:r>
            <w:r w:rsidRPr="00D318F4">
              <w:t>, in line with its Information Guidelines</w:t>
            </w:r>
            <w:r w:rsidR="00565955" w:rsidRPr="0081110C">
              <w:rPr>
                <w:vertAlign w:val="superscript"/>
              </w:rPr>
              <w:t>1</w:t>
            </w:r>
            <w:r w:rsidRPr="00D318F4">
              <w:t>,</w:t>
            </w:r>
            <w:r>
              <w:t xml:space="preserve"> considers that it is best practice to develop a</w:t>
            </w:r>
            <w:r w:rsidRPr="008734AB">
              <w:t xml:space="preserve"> numerical groundwater model that is calibrated to baseline conditions and enables a probabilistic evaluation of potential future scenarios. The groundwater modelling should:</w:t>
            </w:r>
          </w:p>
          <w:p w:rsidR="00DB2F51" w:rsidRDefault="0016669C" w:rsidP="00AD72CA">
            <w:pPr>
              <w:pStyle w:val="ListNumber2"/>
              <w:numPr>
                <w:ilvl w:val="4"/>
                <w:numId w:val="8"/>
              </w:numPr>
              <w:ind w:left="1134"/>
            </w:pPr>
            <w:r w:rsidRPr="008734AB">
              <w:t>outline the model conceptualisation of the aquifer system or systems, including key assumptions and model limitations;</w:t>
            </w:r>
          </w:p>
          <w:p w:rsidR="00DB2F51" w:rsidRDefault="0016669C" w:rsidP="00AD72CA">
            <w:pPr>
              <w:pStyle w:val="ListNumber2"/>
              <w:numPr>
                <w:ilvl w:val="4"/>
                <w:numId w:val="8"/>
              </w:numPr>
              <w:ind w:left="1134"/>
            </w:pPr>
            <w:r w:rsidRPr="008734AB">
              <w:t>represent each aquifer, storage and flow characteristics of each aquifer, linkages between aquifers, if any, and the existing recharge/discharge pathways of the aquifers</w:t>
            </w:r>
            <w:r w:rsidR="00506743">
              <w:t>,</w:t>
            </w:r>
            <w:r w:rsidRPr="008734AB">
              <w:t xml:space="preserve"> and the changes that are predicted to occur upon commencement of the development activities;</w:t>
            </w:r>
          </w:p>
          <w:p w:rsidR="00DB2F51" w:rsidRDefault="0016669C" w:rsidP="00AD72CA">
            <w:pPr>
              <w:pStyle w:val="ListNumber2"/>
              <w:numPr>
                <w:ilvl w:val="4"/>
                <w:numId w:val="8"/>
              </w:numPr>
              <w:ind w:left="1134"/>
            </w:pPr>
            <w:r w:rsidRPr="008734AB">
              <w:t>incorporate the various stages of the proposed development and provide predictions of water level/pressure declines in each aquifer for the life of the project and beyond;</w:t>
            </w:r>
          </w:p>
          <w:p w:rsidR="00DB2F51" w:rsidRDefault="0016669C" w:rsidP="00AD72CA">
            <w:pPr>
              <w:pStyle w:val="ListNumber2"/>
              <w:numPr>
                <w:ilvl w:val="4"/>
                <w:numId w:val="8"/>
              </w:numPr>
              <w:ind w:left="1134"/>
            </w:pPr>
            <w:r w:rsidRPr="008734AB">
              <w:t>provide information on the time to maximum drawdown and the time for drawdown equilibrium to be reached;</w:t>
            </w:r>
          </w:p>
          <w:p w:rsidR="00DB2F51" w:rsidRDefault="0016669C" w:rsidP="00AD72CA">
            <w:pPr>
              <w:pStyle w:val="ListNumber2"/>
              <w:numPr>
                <w:ilvl w:val="4"/>
                <w:numId w:val="8"/>
              </w:numPr>
              <w:ind w:left="1134"/>
            </w:pPr>
            <w:r w:rsidRPr="008734AB">
              <w:t>identify the volumes predicted to be dewatered on an annual basis with an indication of the proportion supplied from each aquifer;</w:t>
            </w:r>
          </w:p>
          <w:p w:rsidR="00DB2F51" w:rsidRDefault="0016669C" w:rsidP="00AD72CA">
            <w:pPr>
              <w:pStyle w:val="ListNumber2"/>
              <w:numPr>
                <w:ilvl w:val="4"/>
                <w:numId w:val="8"/>
              </w:numPr>
              <w:ind w:left="1134"/>
            </w:pPr>
            <w:r w:rsidRPr="008734AB">
              <w:t xml:space="preserve">provide information on potential water level recovery rates and timeframes in each aquifer for the life of the project and until equilibrium is expected to be achieved; </w:t>
            </w:r>
          </w:p>
          <w:p w:rsidR="00DB2F51" w:rsidRDefault="0016669C" w:rsidP="00AD72CA">
            <w:pPr>
              <w:pStyle w:val="ListNumber2"/>
              <w:numPr>
                <w:ilvl w:val="4"/>
                <w:numId w:val="8"/>
              </w:numPr>
              <w:ind w:left="1134"/>
            </w:pPr>
            <w:r w:rsidRPr="008734AB">
              <w:t>include recommendations, a program for review and an update of the model as more data and information become available</w:t>
            </w:r>
            <w:r w:rsidR="00506743">
              <w:t>;</w:t>
            </w:r>
            <w:r w:rsidR="00506743" w:rsidRPr="008734AB">
              <w:t xml:space="preserve"> </w:t>
            </w:r>
            <w:r w:rsidR="00506743">
              <w:t>a</w:t>
            </w:r>
            <w:r w:rsidR="00506743" w:rsidRPr="008734AB">
              <w:t>nd</w:t>
            </w:r>
          </w:p>
          <w:p w:rsidR="00DB2F51" w:rsidRDefault="00506743" w:rsidP="00AD72CA">
            <w:pPr>
              <w:pStyle w:val="ListNumber2"/>
              <w:numPr>
                <w:ilvl w:val="4"/>
                <w:numId w:val="8"/>
              </w:numPr>
              <w:ind w:left="1134"/>
            </w:pPr>
            <w:proofErr w:type="gramStart"/>
            <w:r>
              <w:t>for</w:t>
            </w:r>
            <w:proofErr w:type="gramEnd"/>
            <w:r>
              <w:t xml:space="preserve"> this specific project, </w:t>
            </w:r>
            <w:r w:rsidR="00C86C0B">
              <w:t>include</w:t>
            </w:r>
            <w:r w:rsidR="00F902D1">
              <w:t xml:space="preserve"> the</w:t>
            </w:r>
            <w:r w:rsidR="00C86C0B">
              <w:t xml:space="preserve"> Jews Creek Swamp and </w:t>
            </w:r>
            <w:proofErr w:type="spellStart"/>
            <w:r w:rsidR="00C86C0B">
              <w:t>Coxs</w:t>
            </w:r>
            <w:proofErr w:type="spellEnd"/>
            <w:r w:rsidR="00C86C0B">
              <w:t xml:space="preserve"> River Swamp. </w:t>
            </w:r>
            <w:r>
              <w:t xml:space="preserve"> </w:t>
            </w:r>
          </w:p>
          <w:p w:rsidR="006105F4" w:rsidRDefault="00F61889" w:rsidP="00AD72CA">
            <w:pPr>
              <w:pStyle w:val="ListNumber2"/>
              <w:ind w:left="709"/>
            </w:pPr>
            <w:r w:rsidRPr="00E075C6">
              <w:t xml:space="preserve">Water quality data collected from existing monitoring points at Cullen and </w:t>
            </w:r>
            <w:proofErr w:type="spellStart"/>
            <w:r w:rsidRPr="00E075C6">
              <w:t>Dulhunty</w:t>
            </w:r>
            <w:proofErr w:type="spellEnd"/>
            <w:r w:rsidRPr="00E075C6">
              <w:t xml:space="preserve"> Creeks and surface water flow data for on</w:t>
            </w:r>
            <w:r w:rsidR="00F53C86">
              <w:t>-</w:t>
            </w:r>
            <w:r w:rsidRPr="00E075C6">
              <w:t xml:space="preserve">site minor tributaries and for the surrounding Cullen, </w:t>
            </w:r>
            <w:proofErr w:type="spellStart"/>
            <w:r w:rsidRPr="00E075C6">
              <w:t>Dulhunty</w:t>
            </w:r>
            <w:proofErr w:type="spellEnd"/>
            <w:r w:rsidRPr="00E075C6">
              <w:t xml:space="preserve"> and Jews Creeks</w:t>
            </w:r>
            <w:r w:rsidR="00BF6664">
              <w:t xml:space="preserve"> should be included in the surface water impact assessment</w:t>
            </w:r>
            <w:r w:rsidRPr="00E075C6">
              <w:t xml:space="preserve">. </w:t>
            </w:r>
            <w:r w:rsidR="000636A4" w:rsidRPr="00E075C6">
              <w:t xml:space="preserve">The proponent should </w:t>
            </w:r>
            <w:r w:rsidR="00910577">
              <w:t>install</w:t>
            </w:r>
            <w:r w:rsidR="004E7818">
              <w:t xml:space="preserve"> </w:t>
            </w:r>
            <w:r w:rsidR="000636A4" w:rsidRPr="00E075C6">
              <w:t xml:space="preserve">flow gauges on Cullen, </w:t>
            </w:r>
            <w:proofErr w:type="spellStart"/>
            <w:r w:rsidR="000636A4" w:rsidRPr="00E075C6">
              <w:t>Dulhuntys</w:t>
            </w:r>
            <w:proofErr w:type="spellEnd"/>
            <w:r w:rsidR="000636A4" w:rsidRPr="00E075C6">
              <w:t xml:space="preserve"> and Jews Creeks, </w:t>
            </w:r>
            <w:r w:rsidR="00825A33">
              <w:t xml:space="preserve">as part of the </w:t>
            </w:r>
            <w:r w:rsidR="000636A4" w:rsidRPr="00E075C6">
              <w:t xml:space="preserve">proposed monitoring </w:t>
            </w:r>
            <w:r w:rsidR="006B47FF">
              <w:t>network</w:t>
            </w:r>
            <w:r w:rsidR="000636A4" w:rsidRPr="00E075C6">
              <w:t xml:space="preserve"> to ensure </w:t>
            </w:r>
            <w:r w:rsidR="000636A4" w:rsidRPr="00E075C6">
              <w:lastRenderedPageBreak/>
              <w:t xml:space="preserve">that the hydrological condition of these creeks </w:t>
            </w:r>
            <w:r w:rsidR="00825A33">
              <w:t xml:space="preserve">is understood and </w:t>
            </w:r>
            <w:r w:rsidR="000636A4" w:rsidRPr="00E075C6">
              <w:t>maintained.</w:t>
            </w:r>
          </w:p>
          <w:p w:rsidR="00DB2F51" w:rsidRPr="00E075C6" w:rsidRDefault="006B47FF" w:rsidP="00AD72CA">
            <w:pPr>
              <w:pStyle w:val="ListNumber2"/>
              <w:ind w:left="709"/>
            </w:pPr>
            <w:r w:rsidRPr="00057797">
              <w:t>In consideration of the high biodiversity characteristics and values of the</w:t>
            </w:r>
            <w:r w:rsidR="005C6981">
              <w:t xml:space="preserve"> proposed project</w:t>
            </w:r>
            <w:r w:rsidRPr="00057797">
              <w:t xml:space="preserve"> site, further </w:t>
            </w:r>
            <w:r w:rsidR="00F94422">
              <w:t xml:space="preserve">survey </w:t>
            </w:r>
            <w:r w:rsidRPr="00057797">
              <w:t xml:space="preserve">effort </w:t>
            </w:r>
            <w:r w:rsidR="004030E8">
              <w:t>sh</w:t>
            </w:r>
            <w:r w:rsidRPr="00057797">
              <w:t xml:space="preserve">ould be undertaken in line with the </w:t>
            </w:r>
            <w:r>
              <w:t>N</w:t>
            </w:r>
            <w:r w:rsidR="004E7818">
              <w:t xml:space="preserve">ew </w:t>
            </w:r>
            <w:r>
              <w:t>S</w:t>
            </w:r>
            <w:r w:rsidR="004E7818">
              <w:t xml:space="preserve">outh </w:t>
            </w:r>
            <w:r>
              <w:t>W</w:t>
            </w:r>
            <w:r w:rsidR="004E7818">
              <w:t>ales</w:t>
            </w:r>
            <w:r>
              <w:t xml:space="preserve"> and Commonwealth guidelines; particularly related to amphibian</w:t>
            </w:r>
            <w:r w:rsidR="00CF14BA">
              <w:t>s</w:t>
            </w:r>
            <w:r>
              <w:t xml:space="preserve"> and other water dependent species.</w:t>
            </w:r>
            <w:r w:rsidR="00D264CE" w:rsidRPr="00D264CE">
              <w:rPr>
                <w:color w:val="000000" w:themeColor="text1"/>
                <w:lang w:eastAsia="en-AU"/>
              </w:rPr>
              <w:t xml:space="preserve"> </w:t>
            </w:r>
            <w:r w:rsidR="00DB2F51">
              <w:t xml:space="preserve">   </w:t>
            </w:r>
          </w:p>
          <w:p w:rsidR="00A251DE" w:rsidRPr="00A251DE" w:rsidRDefault="006105F4" w:rsidP="00A251DE">
            <w:pPr>
              <w:pStyle w:val="ListNumber"/>
              <w:spacing w:after="200" w:line="276" w:lineRule="auto"/>
              <w:ind w:left="0" w:firstLine="0"/>
              <w:rPr>
                <w:rFonts w:ascii="Arial" w:hAnsi="Arial" w:cs="Arial"/>
                <w:sz w:val="20"/>
                <w:szCs w:val="20"/>
              </w:rPr>
            </w:pPr>
            <w:r w:rsidRPr="00DC325B">
              <w:rPr>
                <w:rFonts w:ascii="Arial" w:hAnsi="Arial" w:cs="Arial"/>
                <w:i/>
                <w:sz w:val="20"/>
                <w:szCs w:val="20"/>
              </w:rPr>
              <w:t xml:space="preserve">Question </w:t>
            </w:r>
            <w:r w:rsidR="00A251DE">
              <w:rPr>
                <w:rFonts w:ascii="Arial" w:hAnsi="Arial" w:cs="Arial"/>
                <w:i/>
                <w:sz w:val="20"/>
                <w:szCs w:val="20"/>
              </w:rPr>
              <w:t>1b</w:t>
            </w:r>
            <w:r w:rsidRPr="00DC325B">
              <w:rPr>
                <w:rFonts w:ascii="Arial" w:hAnsi="Arial" w:cs="Arial"/>
                <w:i/>
                <w:sz w:val="20"/>
                <w:szCs w:val="20"/>
              </w:rPr>
              <w:t>:</w:t>
            </w:r>
            <w:r>
              <w:t xml:space="preserve"> </w:t>
            </w:r>
            <w:r w:rsidRPr="0005251F">
              <w:rPr>
                <w:rFonts w:ascii="Arial" w:hAnsi="Arial" w:cs="Arial"/>
                <w:i/>
                <w:sz w:val="20"/>
                <w:szCs w:val="20"/>
              </w:rPr>
              <w:t xml:space="preserve">What are the likely impacts of the proposed mining operations on surface and groundwater resources? </w:t>
            </w:r>
            <w:r w:rsidR="00A251DE" w:rsidRPr="00A251DE">
              <w:rPr>
                <w:rFonts w:ascii="Arial" w:hAnsi="Arial" w:cs="Arial"/>
                <w:i/>
                <w:sz w:val="20"/>
                <w:szCs w:val="20"/>
              </w:rPr>
              <w:t>In particular changes to surface and groundwater hydrological regimes that may impact on remnant vegetation remaining on the project sites and in the vicinity of the project site.</w:t>
            </w:r>
          </w:p>
          <w:p w:rsidR="006105F4" w:rsidRDefault="006105F4" w:rsidP="00AD72CA">
            <w:pPr>
              <w:pStyle w:val="ListNumber"/>
              <w:numPr>
                <w:ilvl w:val="0"/>
                <w:numId w:val="6"/>
              </w:numPr>
              <w:spacing w:after="200" w:line="276" w:lineRule="auto"/>
              <w:rPr>
                <w:rFonts w:ascii="Arial" w:hAnsi="Arial" w:cs="Arial"/>
                <w:sz w:val="20"/>
                <w:szCs w:val="20"/>
              </w:rPr>
            </w:pPr>
            <w:r w:rsidRPr="00C85A73">
              <w:rPr>
                <w:rFonts w:ascii="Arial" w:hAnsi="Arial" w:cs="Arial"/>
                <w:sz w:val="20"/>
                <w:szCs w:val="20"/>
              </w:rPr>
              <w:t xml:space="preserve">The proposed project </w:t>
            </w:r>
            <w:r w:rsidR="00910577">
              <w:rPr>
                <w:rFonts w:ascii="Arial" w:hAnsi="Arial" w:cs="Arial"/>
                <w:sz w:val="20"/>
                <w:szCs w:val="20"/>
              </w:rPr>
              <w:t>is likely to</w:t>
            </w:r>
            <w:r w:rsidRPr="00C85A73">
              <w:rPr>
                <w:rFonts w:ascii="Arial" w:hAnsi="Arial" w:cs="Arial"/>
                <w:sz w:val="20"/>
                <w:szCs w:val="20"/>
              </w:rPr>
              <w:t xml:space="preserve"> impact on the existing</w:t>
            </w:r>
            <w:r w:rsidR="00EE4B38">
              <w:rPr>
                <w:rFonts w:ascii="Arial" w:hAnsi="Arial" w:cs="Arial"/>
                <w:sz w:val="20"/>
                <w:szCs w:val="20"/>
              </w:rPr>
              <w:t xml:space="preserve"> unnamed</w:t>
            </w:r>
            <w:r w:rsidRPr="00C85A73">
              <w:rPr>
                <w:rFonts w:ascii="Arial" w:hAnsi="Arial" w:cs="Arial"/>
                <w:sz w:val="20"/>
                <w:szCs w:val="20"/>
              </w:rPr>
              <w:t xml:space="preserve"> minor tributaries within the proposed project boundary and result in changes of flow to the Cullen, </w:t>
            </w:r>
            <w:proofErr w:type="spellStart"/>
            <w:r w:rsidRPr="00C85A73">
              <w:rPr>
                <w:rFonts w:ascii="Arial" w:hAnsi="Arial" w:cs="Arial"/>
                <w:sz w:val="20"/>
                <w:szCs w:val="20"/>
              </w:rPr>
              <w:t>Dulhuntys</w:t>
            </w:r>
            <w:proofErr w:type="spellEnd"/>
            <w:r w:rsidRPr="00C85A73">
              <w:rPr>
                <w:rFonts w:ascii="Arial" w:hAnsi="Arial" w:cs="Arial"/>
                <w:sz w:val="20"/>
                <w:szCs w:val="20"/>
              </w:rPr>
              <w:t xml:space="preserve"> and Jews Creek, which ultimately converge into the Turon River. </w:t>
            </w:r>
            <w:r w:rsidR="004030E8">
              <w:rPr>
                <w:rFonts w:ascii="Arial" w:hAnsi="Arial" w:cs="Arial"/>
                <w:sz w:val="20"/>
                <w:szCs w:val="20"/>
              </w:rPr>
              <w:t>Further:</w:t>
            </w:r>
          </w:p>
          <w:p w:rsidR="00996857" w:rsidRPr="00A251DE" w:rsidRDefault="00996857" w:rsidP="00AD72CA">
            <w:pPr>
              <w:pStyle w:val="ListNumber2"/>
              <w:ind w:left="709"/>
            </w:pPr>
            <w:r w:rsidRPr="00C85A73">
              <w:t xml:space="preserve">The </w:t>
            </w:r>
            <w:r w:rsidR="00910577" w:rsidRPr="00C85A73">
              <w:t>analysis</w:t>
            </w:r>
            <w:r w:rsidRPr="00C85A73">
              <w:t xml:space="preserve"> of catchment</w:t>
            </w:r>
            <w:r w:rsidR="00910577" w:rsidRPr="00C85A73">
              <w:t xml:space="preserve"> loss</w:t>
            </w:r>
            <w:r w:rsidRPr="00C85A73">
              <w:t xml:space="preserve"> includes the physical disturbance </w:t>
            </w:r>
            <w:r w:rsidR="007974D2" w:rsidRPr="00C85A73">
              <w:t>area</w:t>
            </w:r>
            <w:r w:rsidR="00BA44CC">
              <w:t>,</w:t>
            </w:r>
            <w:r w:rsidRPr="00C85A73">
              <w:t xml:space="preserve"> however</w:t>
            </w:r>
            <w:r w:rsidR="00BA44CC">
              <w:t>,</w:t>
            </w:r>
            <w:r w:rsidRPr="00C85A73">
              <w:t xml:space="preserve"> the potential impacts to flow as a result of runoff draining into underground workings or </w:t>
            </w:r>
            <w:r w:rsidR="00C86C0B">
              <w:t xml:space="preserve">upstream </w:t>
            </w:r>
            <w:proofErr w:type="gramStart"/>
            <w:r w:rsidR="00C86C0B">
              <w:t xml:space="preserve">diversions </w:t>
            </w:r>
            <w:r w:rsidRPr="00C85A73">
              <w:t xml:space="preserve"> are</w:t>
            </w:r>
            <w:proofErr w:type="gramEnd"/>
            <w:r w:rsidRPr="00C85A73">
              <w:t xml:space="preserve"> not addressed by the proponent. Therefore, the potential impacts to the surrounding tributaries as a result of this reduction in catchment runoff, which is assumed to be a major contributor to flow, ha</w:t>
            </w:r>
            <w:r w:rsidR="006B47FF">
              <w:t>ve</w:t>
            </w:r>
            <w:r w:rsidRPr="00C85A73">
              <w:t xml:space="preserve"> not been considered. </w:t>
            </w:r>
          </w:p>
          <w:p w:rsidR="00EE4B38" w:rsidRPr="00C85A73" w:rsidRDefault="007C6424" w:rsidP="00AD72CA">
            <w:pPr>
              <w:pStyle w:val="ListNumber2"/>
              <w:ind w:left="709"/>
            </w:pPr>
            <w:r>
              <w:t>Surveys report that t</w:t>
            </w:r>
            <w:r w:rsidR="00996857">
              <w:t>he unnamed tributaries</w:t>
            </w:r>
            <w:r>
              <w:t xml:space="preserve"> within the project area</w:t>
            </w:r>
            <w:r w:rsidR="00996857">
              <w:t xml:space="preserve"> </w:t>
            </w:r>
            <w:r w:rsidR="00996857" w:rsidRPr="002E5BB4">
              <w:t>are considered to be ephemeral and generally poorly defined.</w:t>
            </w:r>
            <w:r w:rsidR="00996857">
              <w:t xml:space="preserve"> </w:t>
            </w:r>
            <w:r w:rsidR="00996857" w:rsidRPr="002E5BB4">
              <w:t>In areas where the catchment has been cleared there is reported to be significant erosion resulting in bare earth and grass lined channels with steep banks.</w:t>
            </w:r>
            <w:r w:rsidR="00996857">
              <w:t xml:space="preserve"> </w:t>
            </w:r>
            <w:r w:rsidR="00EE4B38" w:rsidRPr="002E5BB4">
              <w:t xml:space="preserve">The further clearing of vegetation and subsequent erosion, </w:t>
            </w:r>
            <w:r w:rsidR="00B90881">
              <w:t>are</w:t>
            </w:r>
            <w:r w:rsidR="009B6604">
              <w:t xml:space="preserve"> likel</w:t>
            </w:r>
            <w:r w:rsidR="00EE4B38" w:rsidRPr="002E5BB4">
              <w:t xml:space="preserve">y </w:t>
            </w:r>
            <w:r w:rsidR="009B6604">
              <w:t xml:space="preserve">to </w:t>
            </w:r>
            <w:r w:rsidR="00EE4B38" w:rsidRPr="002E5BB4">
              <w:t xml:space="preserve">impact on flow regimes and water quality by altering tributary morphology and sediment load in the </w:t>
            </w:r>
            <w:r w:rsidR="00875CD4">
              <w:t>unnamed</w:t>
            </w:r>
            <w:r w:rsidR="00EE4B38" w:rsidRPr="002E5BB4">
              <w:t xml:space="preserve"> tributaries in the proposed project area</w:t>
            </w:r>
            <w:r w:rsidR="00875CD4">
              <w:t>.</w:t>
            </w:r>
          </w:p>
          <w:p w:rsidR="0073764F" w:rsidRDefault="006105F4" w:rsidP="00AD72CA">
            <w:pPr>
              <w:pStyle w:val="ListNumber2"/>
              <w:ind w:left="709"/>
            </w:pPr>
            <w:r w:rsidRPr="0073764F">
              <w:t xml:space="preserve">The potential impacts on </w:t>
            </w:r>
            <w:r w:rsidR="00AF31E0" w:rsidRPr="0073764F">
              <w:t xml:space="preserve">the above mentioned </w:t>
            </w:r>
            <w:r w:rsidRPr="0073764F">
              <w:t>catchments are further compounded by subsidence, which is already observed in the proposed and existing Cullen Valley mine due to underground operations in the Ivanhoe mine, Old Invincible Colliery and Baal Bone Colliery and is likely to impact on surface water hydrology.</w:t>
            </w:r>
          </w:p>
          <w:p w:rsidR="00E2785B" w:rsidRPr="00E2785B" w:rsidRDefault="00E2785B" w:rsidP="00AD72CA">
            <w:pPr>
              <w:pStyle w:val="ListNumber2"/>
              <w:numPr>
                <w:ilvl w:val="0"/>
                <w:numId w:val="6"/>
              </w:numPr>
            </w:pPr>
            <w:r>
              <w:t xml:space="preserve">There is the potential that water quality in the surrounding tributaries </w:t>
            </w:r>
            <w:r w:rsidR="00705B2A">
              <w:t xml:space="preserve">will </w:t>
            </w:r>
            <w:r>
              <w:t xml:space="preserve">be impacted as a result of discharge from the proposed project.  </w:t>
            </w:r>
            <w:r w:rsidRPr="00022105">
              <w:t xml:space="preserve">Modelling undertaken for five </w:t>
            </w:r>
            <w:r>
              <w:t>stages of the proposed project</w:t>
            </w:r>
            <w:r w:rsidRPr="00022105">
              <w:t xml:space="preserve"> (</w:t>
            </w:r>
            <w:r w:rsidR="00C86C0B">
              <w:t>y</w:t>
            </w:r>
            <w:r w:rsidR="00C86C0B" w:rsidRPr="00022105">
              <w:t xml:space="preserve">ears </w:t>
            </w:r>
            <w:r w:rsidRPr="00022105">
              <w:t>0, 2, 8, 14 and 20) found that</w:t>
            </w:r>
            <w:r>
              <w:t xml:space="preserve"> the volumes of releases of water from the project are likely to </w:t>
            </w:r>
            <w:proofErr w:type="gramStart"/>
            <w:r>
              <w:t>vary,</w:t>
            </w:r>
            <w:proofErr w:type="gramEnd"/>
            <w:r>
              <w:t xml:space="preserve"> however, </w:t>
            </w:r>
            <w:r w:rsidRPr="00022105">
              <w:t>the proposed project will have spill</w:t>
            </w:r>
            <w:r>
              <w:t>s</w:t>
            </w:r>
            <w:r w:rsidRPr="00022105">
              <w:t xml:space="preserve"> in all years. The existing licence discharge points from Cullen Valley Dam 1 (LD001) and Cullen Valley Dam 4 (LD002) are predicted to </w:t>
            </w:r>
            <w:r w:rsidR="00825A33">
              <w:t>spill</w:t>
            </w:r>
            <w:r w:rsidR="00825A33" w:rsidRPr="00022105">
              <w:t xml:space="preserve"> </w:t>
            </w:r>
            <w:r w:rsidRPr="00022105">
              <w:t>under all climate scenarios.</w:t>
            </w:r>
            <w:r w:rsidRPr="00B63D90">
              <w:t xml:space="preserve"> The</w:t>
            </w:r>
            <w:r w:rsidR="00705B2A">
              <w:t xml:space="preserve"> collection and </w:t>
            </w:r>
            <w:r w:rsidR="00A703B4">
              <w:t>publishing</w:t>
            </w:r>
            <w:r w:rsidR="00705B2A">
              <w:t xml:space="preserve"> of baseline data and</w:t>
            </w:r>
            <w:r w:rsidRPr="00B63D90">
              <w:t xml:space="preserve"> implementation of the proposed ‘</w:t>
            </w:r>
            <w:r>
              <w:t>s</w:t>
            </w:r>
            <w:r w:rsidRPr="00B63D90">
              <w:t xml:space="preserve">urface water monitoring program’ </w:t>
            </w:r>
            <w:r w:rsidR="004E7818">
              <w:t xml:space="preserve">would </w:t>
            </w:r>
            <w:r w:rsidRPr="00B63D90">
              <w:t xml:space="preserve">address </w:t>
            </w:r>
            <w:r>
              <w:t xml:space="preserve">uncertainty </w:t>
            </w:r>
            <w:r w:rsidRPr="00B63D90">
              <w:t>regarding the potential impacts on the quality</w:t>
            </w:r>
            <w:r w:rsidR="00A703B4">
              <w:t xml:space="preserve"> </w:t>
            </w:r>
            <w:r w:rsidRPr="00B63D90">
              <w:t>and quantity</w:t>
            </w:r>
            <w:r w:rsidR="00B90881">
              <w:t xml:space="preserve"> of water</w:t>
            </w:r>
            <w:r w:rsidRPr="00B63D90">
              <w:t xml:space="preserve"> to the surrounding creeks. The proponent </w:t>
            </w:r>
            <w:r w:rsidR="004E7818">
              <w:t>should</w:t>
            </w:r>
            <w:r w:rsidR="004E7818" w:rsidRPr="00B63D90">
              <w:t xml:space="preserve"> </w:t>
            </w:r>
            <w:r w:rsidRPr="00B63D90">
              <w:t>also consider changing the monitoring period from quarterly to monthly when extensive clearing activities are being undertaken</w:t>
            </w:r>
            <w:r w:rsidR="00B90881">
              <w:t>, for the reasons outline in paragraph 2b above</w:t>
            </w:r>
            <w:r w:rsidRPr="00B63D90">
              <w:t>.</w:t>
            </w:r>
          </w:p>
          <w:p w:rsidR="00303DFF" w:rsidRPr="005A1F49" w:rsidRDefault="00303DFF" w:rsidP="00AD72CA">
            <w:pPr>
              <w:pStyle w:val="ListNumber2"/>
              <w:numPr>
                <w:ilvl w:val="0"/>
                <w:numId w:val="6"/>
              </w:numPr>
            </w:pPr>
            <w:r w:rsidRPr="002910D7">
              <w:rPr>
                <w:lang w:eastAsia="en-AU"/>
              </w:rPr>
              <w:t>It is noted that the</w:t>
            </w:r>
            <w:r w:rsidR="004B03D2">
              <w:rPr>
                <w:lang w:eastAsia="en-AU"/>
              </w:rPr>
              <w:t>re is the</w:t>
            </w:r>
            <w:r w:rsidRPr="002910D7">
              <w:rPr>
                <w:lang w:eastAsia="en-AU"/>
              </w:rPr>
              <w:t xml:space="preserve"> potential for acid drainage from the</w:t>
            </w:r>
            <w:r w:rsidR="005A1F49">
              <w:rPr>
                <w:lang w:eastAsia="en-AU"/>
              </w:rPr>
              <w:t xml:space="preserve"> Marrangaroo Formation and</w:t>
            </w:r>
            <w:r w:rsidRPr="002910D7">
              <w:rPr>
                <w:lang w:eastAsia="en-AU"/>
              </w:rPr>
              <w:t xml:space="preserve"> Lithgow Coal Seam rejects</w:t>
            </w:r>
            <w:r w:rsidR="00A703B4">
              <w:rPr>
                <w:lang w:eastAsia="en-AU"/>
              </w:rPr>
              <w:t>.</w:t>
            </w:r>
            <w:r w:rsidRPr="002910D7">
              <w:rPr>
                <w:lang w:eastAsia="en-AU"/>
              </w:rPr>
              <w:t xml:space="preserve"> </w:t>
            </w:r>
            <w:r w:rsidR="00825A33">
              <w:rPr>
                <w:lang w:eastAsia="en-AU"/>
              </w:rPr>
              <w:t xml:space="preserve">These formations </w:t>
            </w:r>
            <w:r w:rsidRPr="002910D7">
              <w:rPr>
                <w:lang w:eastAsia="en-AU"/>
              </w:rPr>
              <w:t>have been identified as</w:t>
            </w:r>
            <w:r w:rsidR="00A703B4">
              <w:rPr>
                <w:lang w:eastAsia="en-AU"/>
              </w:rPr>
              <w:t xml:space="preserve"> having</w:t>
            </w:r>
            <w:r w:rsidRPr="002910D7">
              <w:rPr>
                <w:lang w:eastAsia="en-AU"/>
              </w:rPr>
              <w:t xml:space="preserve"> </w:t>
            </w:r>
            <w:r w:rsidR="005A1F49">
              <w:rPr>
                <w:lang w:eastAsia="en-AU"/>
              </w:rPr>
              <w:t xml:space="preserve">moderate to </w:t>
            </w:r>
            <w:r w:rsidRPr="002910D7">
              <w:rPr>
                <w:lang w:eastAsia="en-AU"/>
              </w:rPr>
              <w:t xml:space="preserve">high acid forming capacity, which </w:t>
            </w:r>
            <w:r w:rsidR="001F27BD">
              <w:rPr>
                <w:lang w:eastAsia="en-AU"/>
              </w:rPr>
              <w:t>may</w:t>
            </w:r>
            <w:r w:rsidRPr="002910D7">
              <w:rPr>
                <w:lang w:eastAsia="en-AU"/>
              </w:rPr>
              <w:t xml:space="preserve"> generate acidic and more saline runoff if exposed to oxidising conditions. </w:t>
            </w:r>
            <w:r w:rsidR="005A1F49">
              <w:rPr>
                <w:lang w:eastAsia="en-AU"/>
              </w:rPr>
              <w:t xml:space="preserve"> </w:t>
            </w:r>
            <w:r w:rsidRPr="005A1F49">
              <w:rPr>
                <w:lang w:eastAsia="en-AU"/>
              </w:rPr>
              <w:t xml:space="preserve">Surface water and seepage from coal reject material and overburden should be monitored to ensure that key water quality parameters remain within appropriate levels. It is recommended that </w:t>
            </w:r>
            <w:r w:rsidR="00825A33">
              <w:rPr>
                <w:lang w:eastAsia="en-AU"/>
              </w:rPr>
              <w:t xml:space="preserve">the proponent </w:t>
            </w:r>
            <w:r w:rsidRPr="005A1F49">
              <w:rPr>
                <w:lang w:eastAsia="en-AU"/>
              </w:rPr>
              <w:t>monitor runoff and seepage from coal reject emplacement areas on a monthly basis</w:t>
            </w:r>
            <w:r w:rsidR="00825A33">
              <w:rPr>
                <w:lang w:eastAsia="en-AU"/>
              </w:rPr>
              <w:t>,</w:t>
            </w:r>
            <w:r w:rsidR="00A703B4">
              <w:rPr>
                <w:lang w:eastAsia="en-AU"/>
              </w:rPr>
              <w:t xml:space="preserve"> </w:t>
            </w:r>
            <w:r w:rsidR="00825A33" w:rsidRPr="005A1F49">
              <w:rPr>
                <w:lang w:eastAsia="en-AU"/>
              </w:rPr>
              <w:t>inclu</w:t>
            </w:r>
            <w:r w:rsidR="00825A33">
              <w:rPr>
                <w:lang w:eastAsia="en-AU"/>
              </w:rPr>
              <w:t>ding monitoring</w:t>
            </w:r>
            <w:r w:rsidR="00825A33" w:rsidRPr="005A1F49">
              <w:rPr>
                <w:lang w:eastAsia="en-AU"/>
              </w:rPr>
              <w:t xml:space="preserve"> </w:t>
            </w:r>
            <w:r w:rsidRPr="005A1F49">
              <w:rPr>
                <w:lang w:eastAsia="en-AU"/>
              </w:rPr>
              <w:t xml:space="preserve">dissolved metals, </w:t>
            </w:r>
            <w:r w:rsidR="00FF23FD">
              <w:rPr>
                <w:lang w:eastAsia="en-AU"/>
              </w:rPr>
              <w:t xml:space="preserve">pH </w:t>
            </w:r>
            <w:r w:rsidRPr="005A1F49">
              <w:rPr>
                <w:lang w:eastAsia="en-AU"/>
              </w:rPr>
              <w:t xml:space="preserve">and sulphate concentrations, to ensure </w:t>
            </w:r>
            <w:r w:rsidR="00C5174E" w:rsidRPr="005A1F49">
              <w:rPr>
                <w:lang w:eastAsia="en-AU"/>
              </w:rPr>
              <w:t>th</w:t>
            </w:r>
            <w:r w:rsidR="00C5174E">
              <w:rPr>
                <w:lang w:eastAsia="en-AU"/>
              </w:rPr>
              <w:t xml:space="preserve">ere </w:t>
            </w:r>
            <w:r w:rsidR="004B03D2">
              <w:rPr>
                <w:lang w:eastAsia="en-AU"/>
              </w:rPr>
              <w:t>are</w:t>
            </w:r>
            <w:r w:rsidRPr="005A1F49">
              <w:rPr>
                <w:lang w:eastAsia="en-AU"/>
              </w:rPr>
              <w:t xml:space="preserve"> no adverse impacts on water resources.</w:t>
            </w:r>
          </w:p>
          <w:p w:rsidR="00D264CE" w:rsidRDefault="00B27C0E" w:rsidP="00AD72CA">
            <w:pPr>
              <w:pStyle w:val="ListNumber"/>
              <w:numPr>
                <w:ilvl w:val="0"/>
                <w:numId w:val="6"/>
              </w:numPr>
              <w:spacing w:after="200" w:line="276" w:lineRule="auto"/>
              <w:rPr>
                <w:rFonts w:ascii="Arial" w:hAnsi="Arial" w:cs="Arial"/>
                <w:color w:val="000000" w:themeColor="text1"/>
                <w:sz w:val="20"/>
                <w:szCs w:val="20"/>
              </w:rPr>
            </w:pPr>
            <w:r w:rsidRPr="002910D7">
              <w:rPr>
                <w:rFonts w:ascii="Arial" w:hAnsi="Arial" w:cs="Arial"/>
                <w:color w:val="000000" w:themeColor="text1"/>
                <w:sz w:val="20"/>
                <w:szCs w:val="20"/>
                <w:lang w:eastAsia="en-AU"/>
              </w:rPr>
              <w:t>If disturbance</w:t>
            </w:r>
            <w:r>
              <w:rPr>
                <w:rFonts w:ascii="Arial" w:hAnsi="Arial" w:cs="Arial"/>
                <w:color w:val="000000" w:themeColor="text1"/>
                <w:sz w:val="20"/>
                <w:szCs w:val="20"/>
                <w:lang w:eastAsia="en-AU"/>
              </w:rPr>
              <w:t xml:space="preserve"> to rehabilita</w:t>
            </w:r>
            <w:r w:rsidR="00C81247">
              <w:rPr>
                <w:rFonts w:ascii="Arial" w:hAnsi="Arial" w:cs="Arial"/>
                <w:color w:val="000000" w:themeColor="text1"/>
                <w:sz w:val="20"/>
                <w:szCs w:val="20"/>
                <w:lang w:eastAsia="en-AU"/>
              </w:rPr>
              <w:t>ted</w:t>
            </w:r>
            <w:r>
              <w:rPr>
                <w:rFonts w:ascii="Arial" w:hAnsi="Arial" w:cs="Arial"/>
                <w:color w:val="000000" w:themeColor="text1"/>
                <w:sz w:val="20"/>
                <w:szCs w:val="20"/>
                <w:lang w:eastAsia="en-AU"/>
              </w:rPr>
              <w:t xml:space="preserve"> overburden emplacement</w:t>
            </w:r>
            <w:r w:rsidR="00C81247">
              <w:rPr>
                <w:rFonts w:ascii="Arial" w:hAnsi="Arial" w:cs="Arial"/>
                <w:color w:val="000000" w:themeColor="text1"/>
                <w:sz w:val="20"/>
                <w:szCs w:val="20"/>
                <w:lang w:eastAsia="en-AU"/>
              </w:rPr>
              <w:t xml:space="preserve"> areas</w:t>
            </w:r>
            <w:r w:rsidRPr="002910D7">
              <w:rPr>
                <w:rFonts w:ascii="Arial" w:hAnsi="Arial" w:cs="Arial"/>
                <w:color w:val="000000" w:themeColor="text1"/>
                <w:sz w:val="20"/>
                <w:szCs w:val="20"/>
                <w:lang w:eastAsia="en-AU"/>
              </w:rPr>
              <w:t xml:space="preserve"> occurs within the vicinity of drainage lines, th</w:t>
            </w:r>
            <w:r w:rsidR="00A703B4">
              <w:rPr>
                <w:rFonts w:ascii="Arial" w:hAnsi="Arial" w:cs="Arial"/>
                <w:color w:val="000000" w:themeColor="text1"/>
                <w:sz w:val="20"/>
                <w:szCs w:val="20"/>
                <w:lang w:eastAsia="en-AU"/>
              </w:rPr>
              <w:t>ere is</w:t>
            </w:r>
            <w:r w:rsidRPr="002910D7">
              <w:rPr>
                <w:rFonts w:ascii="Arial" w:hAnsi="Arial" w:cs="Arial"/>
                <w:color w:val="000000" w:themeColor="text1"/>
                <w:sz w:val="20"/>
                <w:szCs w:val="20"/>
                <w:lang w:eastAsia="en-AU"/>
              </w:rPr>
              <w:t xml:space="preserve"> the potential to impact the health of downstream watercourses, through an increase in </w:t>
            </w:r>
            <w:r>
              <w:rPr>
                <w:rFonts w:ascii="Arial" w:hAnsi="Arial" w:cs="Arial"/>
                <w:color w:val="000000" w:themeColor="text1"/>
                <w:sz w:val="20"/>
                <w:szCs w:val="20"/>
                <w:lang w:eastAsia="en-AU"/>
              </w:rPr>
              <w:t xml:space="preserve">sediment load and contamination </w:t>
            </w:r>
            <w:r w:rsidRPr="002910D7">
              <w:rPr>
                <w:rFonts w:ascii="Arial" w:hAnsi="Arial" w:cs="Arial"/>
                <w:color w:val="000000" w:themeColor="text1"/>
                <w:sz w:val="20"/>
                <w:szCs w:val="20"/>
                <w:lang w:eastAsia="en-AU"/>
              </w:rPr>
              <w:t xml:space="preserve">of water </w:t>
            </w:r>
            <w:r>
              <w:rPr>
                <w:rFonts w:ascii="Arial" w:hAnsi="Arial" w:cs="Arial"/>
                <w:color w:val="000000" w:themeColor="text1"/>
                <w:sz w:val="20"/>
                <w:szCs w:val="20"/>
                <w:lang w:eastAsia="en-AU"/>
              </w:rPr>
              <w:t xml:space="preserve">resources. </w:t>
            </w:r>
            <w:r w:rsidRPr="002910D7">
              <w:rPr>
                <w:rFonts w:ascii="Arial" w:hAnsi="Arial" w:cs="Arial"/>
                <w:color w:val="000000" w:themeColor="text1"/>
                <w:sz w:val="20"/>
                <w:szCs w:val="20"/>
                <w:lang w:eastAsia="en-AU"/>
              </w:rPr>
              <w:t>It is noted by the proponent that material below the topsoil layer and in the first 10</w:t>
            </w:r>
            <w:r w:rsidR="00C86C0B">
              <w:rPr>
                <w:rFonts w:ascii="Arial" w:hAnsi="Arial" w:cs="Arial"/>
                <w:color w:val="000000" w:themeColor="text1"/>
                <w:sz w:val="20"/>
                <w:szCs w:val="20"/>
                <w:lang w:eastAsia="en-AU"/>
              </w:rPr>
              <w:t xml:space="preserve"> </w:t>
            </w:r>
            <w:r w:rsidRPr="002910D7">
              <w:rPr>
                <w:rFonts w:ascii="Arial" w:hAnsi="Arial" w:cs="Arial"/>
                <w:color w:val="000000" w:themeColor="text1"/>
                <w:sz w:val="20"/>
                <w:szCs w:val="20"/>
                <w:lang w:eastAsia="en-AU"/>
              </w:rPr>
              <w:t xml:space="preserve">m from the surface may have the potential to be </w:t>
            </w:r>
            <w:proofErr w:type="spellStart"/>
            <w:r w:rsidRPr="002910D7">
              <w:rPr>
                <w:rFonts w:ascii="Arial" w:hAnsi="Arial" w:cs="Arial"/>
                <w:color w:val="000000" w:themeColor="text1"/>
                <w:sz w:val="20"/>
                <w:szCs w:val="20"/>
                <w:lang w:eastAsia="en-AU"/>
              </w:rPr>
              <w:t>sodic</w:t>
            </w:r>
            <w:proofErr w:type="spellEnd"/>
            <w:r w:rsidRPr="002910D7">
              <w:rPr>
                <w:rFonts w:ascii="Arial" w:hAnsi="Arial" w:cs="Arial"/>
                <w:color w:val="000000" w:themeColor="text1"/>
                <w:sz w:val="20"/>
                <w:szCs w:val="20"/>
                <w:lang w:eastAsia="en-AU"/>
              </w:rPr>
              <w:t xml:space="preserve"> and prone to dispersion and erosion. </w:t>
            </w:r>
            <w:r w:rsidR="00303DFF" w:rsidRPr="002910D7">
              <w:rPr>
                <w:rFonts w:ascii="Arial" w:hAnsi="Arial" w:cs="Arial"/>
                <w:color w:val="000000" w:themeColor="text1"/>
                <w:sz w:val="20"/>
                <w:szCs w:val="20"/>
                <w:lang w:eastAsia="en-AU"/>
              </w:rPr>
              <w:t>It is recommended that field trials be undertaken to identify the most appropriate topsoil and overburden materials for the revegetation and rehabilitation of final landforms</w:t>
            </w:r>
            <w:r w:rsidR="009B6604">
              <w:rPr>
                <w:rFonts w:ascii="Arial" w:hAnsi="Arial" w:cs="Arial"/>
                <w:color w:val="000000" w:themeColor="text1"/>
                <w:sz w:val="20"/>
                <w:szCs w:val="20"/>
                <w:lang w:eastAsia="en-AU"/>
              </w:rPr>
              <w:t xml:space="preserve"> to be included in the </w:t>
            </w:r>
            <w:r w:rsidR="009B6604">
              <w:rPr>
                <w:rFonts w:ascii="Arial" w:hAnsi="Arial" w:cs="Arial"/>
                <w:color w:val="000000" w:themeColor="text1"/>
                <w:sz w:val="20"/>
                <w:szCs w:val="20"/>
                <w:lang w:eastAsia="en-AU"/>
              </w:rPr>
              <w:lastRenderedPageBreak/>
              <w:t>appropriate post-mine rehabilitation plan</w:t>
            </w:r>
            <w:r w:rsidR="00303DFF" w:rsidRPr="002910D7">
              <w:rPr>
                <w:rFonts w:ascii="Arial" w:hAnsi="Arial" w:cs="Arial"/>
                <w:color w:val="000000" w:themeColor="text1"/>
                <w:sz w:val="20"/>
                <w:szCs w:val="20"/>
                <w:lang w:eastAsia="en-AU"/>
              </w:rPr>
              <w:t xml:space="preserve">. </w:t>
            </w:r>
          </w:p>
          <w:p w:rsidR="00DB2F51" w:rsidRDefault="00C524AF" w:rsidP="00AD72CA">
            <w:pPr>
              <w:pStyle w:val="ListNumber"/>
              <w:numPr>
                <w:ilvl w:val="0"/>
                <w:numId w:val="6"/>
              </w:numPr>
              <w:spacing w:after="200" w:line="276" w:lineRule="auto"/>
              <w:rPr>
                <w:color w:val="000000" w:themeColor="text1"/>
              </w:rPr>
            </w:pPr>
            <w:r w:rsidRPr="00C524AF">
              <w:rPr>
                <w:rFonts w:ascii="Arial" w:hAnsi="Arial" w:cs="Arial"/>
                <w:color w:val="000000" w:themeColor="text1"/>
                <w:sz w:val="20"/>
                <w:szCs w:val="20"/>
                <w:lang w:eastAsia="en-AU"/>
              </w:rPr>
              <w:t xml:space="preserve">The potential impacts as described above to water quality and flow are likely to impact downstream ecology. </w:t>
            </w:r>
            <w:r w:rsidR="00903FCB">
              <w:rPr>
                <w:rFonts w:ascii="Arial" w:hAnsi="Arial" w:cs="Arial"/>
                <w:color w:val="000000" w:themeColor="text1"/>
                <w:sz w:val="20"/>
                <w:szCs w:val="20"/>
                <w:lang w:eastAsia="en-AU"/>
              </w:rPr>
              <w:t xml:space="preserve"> Given that the fauna survey effort </w:t>
            </w:r>
            <w:r w:rsidR="00C5174E">
              <w:rPr>
                <w:rFonts w:ascii="Arial" w:hAnsi="Arial" w:cs="Arial"/>
                <w:color w:val="000000" w:themeColor="text1"/>
                <w:sz w:val="20"/>
                <w:szCs w:val="20"/>
                <w:lang w:eastAsia="en-AU"/>
              </w:rPr>
              <w:t xml:space="preserve">did not conform to </w:t>
            </w:r>
            <w:r w:rsidR="00B90881">
              <w:rPr>
                <w:rFonts w:ascii="Arial" w:hAnsi="Arial" w:cs="Arial"/>
                <w:color w:val="000000" w:themeColor="text1"/>
                <w:sz w:val="20"/>
                <w:szCs w:val="20"/>
                <w:lang w:eastAsia="en-AU"/>
              </w:rPr>
              <w:t>New South Wales</w:t>
            </w:r>
            <w:r w:rsidR="00903FCB">
              <w:rPr>
                <w:rFonts w:ascii="Arial" w:hAnsi="Arial" w:cs="Arial"/>
                <w:color w:val="000000" w:themeColor="text1"/>
                <w:sz w:val="20"/>
                <w:szCs w:val="20"/>
                <w:lang w:eastAsia="en-AU"/>
              </w:rPr>
              <w:t xml:space="preserve"> and Commonwealth guidelines, f</w:t>
            </w:r>
            <w:r w:rsidR="00565955">
              <w:rPr>
                <w:rFonts w:ascii="Arial" w:hAnsi="Arial" w:cs="Arial"/>
                <w:color w:val="000000" w:themeColor="text1"/>
                <w:sz w:val="20"/>
                <w:szCs w:val="20"/>
                <w:lang w:eastAsia="en-AU"/>
              </w:rPr>
              <w:t xml:space="preserve">urther survey effort is required to properly document the presence of </w:t>
            </w:r>
            <w:r w:rsidR="008741E4">
              <w:rPr>
                <w:rFonts w:ascii="Arial" w:hAnsi="Arial" w:cs="Arial"/>
                <w:color w:val="000000" w:themeColor="text1"/>
                <w:sz w:val="20"/>
                <w:szCs w:val="20"/>
                <w:lang w:eastAsia="en-AU"/>
              </w:rPr>
              <w:t>water-</w:t>
            </w:r>
            <w:r w:rsidR="008741E4" w:rsidRPr="00903FCB">
              <w:rPr>
                <w:rFonts w:ascii="Arial" w:hAnsi="Arial" w:cs="Arial"/>
                <w:color w:val="000000" w:themeColor="text1"/>
                <w:sz w:val="20"/>
                <w:szCs w:val="20"/>
                <w:lang w:eastAsia="en-AU"/>
              </w:rPr>
              <w:t>dependent species</w:t>
            </w:r>
            <w:r w:rsidR="008741E4">
              <w:rPr>
                <w:rFonts w:ascii="Arial" w:hAnsi="Arial" w:cs="Arial"/>
                <w:color w:val="000000" w:themeColor="text1"/>
                <w:sz w:val="20"/>
                <w:szCs w:val="20"/>
                <w:lang w:eastAsia="en-AU"/>
              </w:rPr>
              <w:t xml:space="preserve"> </w:t>
            </w:r>
            <w:r w:rsidR="00565955">
              <w:rPr>
                <w:rFonts w:ascii="Arial" w:hAnsi="Arial" w:cs="Arial"/>
                <w:color w:val="000000" w:themeColor="text1"/>
                <w:sz w:val="20"/>
                <w:szCs w:val="20"/>
                <w:lang w:eastAsia="en-AU"/>
              </w:rPr>
              <w:t>and identify whether there is likely to be suitable habitat</w:t>
            </w:r>
            <w:r w:rsidR="008741E4">
              <w:rPr>
                <w:rFonts w:ascii="Arial" w:hAnsi="Arial" w:cs="Arial"/>
                <w:color w:val="000000" w:themeColor="text1"/>
                <w:sz w:val="20"/>
                <w:szCs w:val="20"/>
                <w:lang w:eastAsia="en-AU"/>
              </w:rPr>
              <w:t xml:space="preserve"> for these species </w:t>
            </w:r>
            <w:r w:rsidR="00CA10A3">
              <w:rPr>
                <w:rFonts w:ascii="Arial" w:hAnsi="Arial" w:cs="Arial"/>
                <w:color w:val="000000" w:themeColor="text1"/>
                <w:sz w:val="20"/>
                <w:szCs w:val="20"/>
                <w:lang w:eastAsia="en-AU"/>
              </w:rPr>
              <w:t xml:space="preserve">in the Cullen, Jews and </w:t>
            </w:r>
            <w:proofErr w:type="spellStart"/>
            <w:r w:rsidR="00CA10A3">
              <w:rPr>
                <w:rFonts w:ascii="Arial" w:hAnsi="Arial" w:cs="Arial"/>
                <w:color w:val="000000" w:themeColor="text1"/>
                <w:sz w:val="20"/>
                <w:szCs w:val="20"/>
                <w:lang w:eastAsia="en-AU"/>
              </w:rPr>
              <w:t>Dulhuntys</w:t>
            </w:r>
            <w:proofErr w:type="spellEnd"/>
            <w:r w:rsidR="00CA10A3">
              <w:rPr>
                <w:rFonts w:ascii="Arial" w:hAnsi="Arial" w:cs="Arial"/>
                <w:color w:val="000000" w:themeColor="text1"/>
                <w:sz w:val="20"/>
                <w:szCs w:val="20"/>
                <w:lang w:eastAsia="en-AU"/>
              </w:rPr>
              <w:t xml:space="preserve"> Creeks</w:t>
            </w:r>
            <w:r w:rsidR="00565955">
              <w:rPr>
                <w:rFonts w:ascii="Arial" w:hAnsi="Arial" w:cs="Arial"/>
                <w:color w:val="000000" w:themeColor="text1"/>
                <w:sz w:val="20"/>
                <w:szCs w:val="20"/>
                <w:lang w:eastAsia="en-AU"/>
              </w:rPr>
              <w:t>.</w:t>
            </w:r>
            <w:r w:rsidR="00565955">
              <w:rPr>
                <w:rFonts w:ascii="Arial" w:hAnsi="Arial" w:cs="Arial"/>
                <w:color w:val="000000" w:themeColor="text1"/>
                <w:sz w:val="20"/>
                <w:szCs w:val="20"/>
              </w:rPr>
              <w:t xml:space="preserve"> </w:t>
            </w:r>
            <w:r w:rsidR="00903FCB">
              <w:rPr>
                <w:rFonts w:ascii="Arial" w:hAnsi="Arial" w:cs="Arial"/>
                <w:color w:val="000000" w:themeColor="text1"/>
                <w:sz w:val="20"/>
                <w:szCs w:val="20"/>
                <w:lang w:eastAsia="en-AU"/>
              </w:rPr>
              <w:t>T</w:t>
            </w:r>
            <w:r w:rsidR="00565955">
              <w:rPr>
                <w:rFonts w:ascii="Arial" w:hAnsi="Arial" w:cs="Arial"/>
                <w:color w:val="000000" w:themeColor="text1"/>
                <w:sz w:val="20"/>
                <w:szCs w:val="20"/>
                <w:lang w:eastAsia="en-AU"/>
              </w:rPr>
              <w:t xml:space="preserve">his information </w:t>
            </w:r>
            <w:r w:rsidR="00CA10A3">
              <w:rPr>
                <w:rFonts w:ascii="Arial" w:hAnsi="Arial" w:cs="Arial"/>
                <w:color w:val="000000" w:themeColor="text1"/>
                <w:sz w:val="20"/>
                <w:szCs w:val="20"/>
                <w:lang w:eastAsia="en-AU"/>
              </w:rPr>
              <w:t>should</w:t>
            </w:r>
            <w:r w:rsidR="00565955">
              <w:rPr>
                <w:rFonts w:ascii="Arial" w:hAnsi="Arial" w:cs="Arial"/>
                <w:color w:val="000000" w:themeColor="text1"/>
                <w:sz w:val="20"/>
                <w:szCs w:val="20"/>
                <w:lang w:eastAsia="en-AU"/>
              </w:rPr>
              <w:t xml:space="preserve"> inform an assessment of the likely ecological impacts as a result of changes in water </w:t>
            </w:r>
            <w:r w:rsidR="00FF23FD">
              <w:rPr>
                <w:rFonts w:ascii="Arial" w:hAnsi="Arial" w:cs="Arial"/>
                <w:color w:val="000000" w:themeColor="text1"/>
                <w:sz w:val="20"/>
                <w:szCs w:val="20"/>
                <w:lang w:eastAsia="en-AU"/>
              </w:rPr>
              <w:t xml:space="preserve">quality </w:t>
            </w:r>
            <w:r w:rsidR="00565955">
              <w:rPr>
                <w:rFonts w:ascii="Arial" w:hAnsi="Arial" w:cs="Arial"/>
                <w:color w:val="000000" w:themeColor="text1"/>
                <w:sz w:val="20"/>
                <w:szCs w:val="20"/>
                <w:lang w:eastAsia="en-AU"/>
              </w:rPr>
              <w:t>and flow within the tributaries that drain the proposed project boundary.</w:t>
            </w:r>
            <w:r w:rsidRPr="00C524AF">
              <w:rPr>
                <w:rFonts w:ascii="Arial" w:hAnsi="Arial" w:cs="Arial"/>
                <w:color w:val="000000" w:themeColor="text1"/>
                <w:sz w:val="20"/>
                <w:szCs w:val="20"/>
                <w:lang w:eastAsia="en-AU"/>
              </w:rPr>
              <w:t xml:space="preserve"> </w:t>
            </w:r>
          </w:p>
          <w:p w:rsidR="00DB2F51" w:rsidRDefault="00E2785B" w:rsidP="00AD72CA">
            <w:pPr>
              <w:pStyle w:val="ListNumber"/>
              <w:numPr>
                <w:ilvl w:val="0"/>
                <w:numId w:val="6"/>
              </w:numPr>
              <w:spacing w:after="200" w:line="276" w:lineRule="auto"/>
              <w:rPr>
                <w:rFonts w:ascii="Arial" w:hAnsi="Arial" w:cs="Arial"/>
                <w:sz w:val="20"/>
                <w:szCs w:val="20"/>
              </w:rPr>
            </w:pPr>
            <w:r w:rsidRPr="00D264CE">
              <w:rPr>
                <w:rFonts w:ascii="Arial" w:hAnsi="Arial" w:cs="Arial"/>
                <w:sz w:val="20"/>
                <w:szCs w:val="20"/>
              </w:rPr>
              <w:t>The site water balance predicts that between 379 to 926 ML/year of water will be needed for mine site water requirements. This water will be sourced from recycled water collected on</w:t>
            </w:r>
            <w:r w:rsidR="00F53C86">
              <w:rPr>
                <w:rFonts w:ascii="Arial" w:hAnsi="Arial" w:cs="Arial"/>
                <w:sz w:val="20"/>
                <w:szCs w:val="20"/>
              </w:rPr>
              <w:t>-</w:t>
            </w:r>
            <w:proofErr w:type="gramStart"/>
            <w:r w:rsidRPr="00D264CE">
              <w:rPr>
                <w:rFonts w:ascii="Arial" w:hAnsi="Arial" w:cs="Arial"/>
                <w:sz w:val="20"/>
                <w:szCs w:val="20"/>
              </w:rPr>
              <w:t>site,</w:t>
            </w:r>
            <w:proofErr w:type="gramEnd"/>
            <w:r w:rsidRPr="00D264CE">
              <w:rPr>
                <w:rFonts w:ascii="Arial" w:hAnsi="Arial" w:cs="Arial"/>
                <w:sz w:val="20"/>
                <w:szCs w:val="20"/>
              </w:rPr>
              <w:t xml:space="preserve"> however, if demand cannot be met it will be sourced from the Invincible, Old Invincible and Old </w:t>
            </w:r>
            <w:proofErr w:type="spellStart"/>
            <w:r w:rsidRPr="00D264CE">
              <w:rPr>
                <w:rFonts w:ascii="Arial" w:hAnsi="Arial" w:cs="Arial"/>
                <w:sz w:val="20"/>
                <w:szCs w:val="20"/>
              </w:rPr>
              <w:t>Tyldesley</w:t>
            </w:r>
            <w:proofErr w:type="spellEnd"/>
            <w:r w:rsidRPr="00D264CE">
              <w:rPr>
                <w:rFonts w:ascii="Arial" w:hAnsi="Arial" w:cs="Arial"/>
                <w:sz w:val="20"/>
                <w:szCs w:val="20"/>
              </w:rPr>
              <w:t xml:space="preserve"> underground workings. </w:t>
            </w:r>
            <w:r w:rsidR="00FF4B4D" w:rsidRPr="00D264CE">
              <w:rPr>
                <w:rFonts w:ascii="Arial" w:hAnsi="Arial" w:cs="Arial"/>
                <w:sz w:val="20"/>
                <w:szCs w:val="20"/>
              </w:rPr>
              <w:t xml:space="preserve">The potential impact of extracting water from the underground workings has not been fully assessed, including the potential to exacerbate the existing underground heating issue in the Old </w:t>
            </w:r>
            <w:proofErr w:type="spellStart"/>
            <w:r w:rsidR="00FF4B4D" w:rsidRPr="00D264CE">
              <w:rPr>
                <w:rFonts w:ascii="Arial" w:hAnsi="Arial" w:cs="Arial"/>
                <w:sz w:val="20"/>
                <w:szCs w:val="20"/>
              </w:rPr>
              <w:t>Tyldesley</w:t>
            </w:r>
            <w:proofErr w:type="spellEnd"/>
            <w:r w:rsidR="00FF4B4D" w:rsidRPr="00D264CE">
              <w:rPr>
                <w:rFonts w:ascii="Arial" w:hAnsi="Arial" w:cs="Arial"/>
                <w:sz w:val="20"/>
                <w:szCs w:val="20"/>
              </w:rPr>
              <w:t xml:space="preserve"> underground workings.</w:t>
            </w:r>
            <w:r w:rsidR="00C524AF">
              <w:rPr>
                <w:rFonts w:ascii="Arial" w:hAnsi="Arial" w:cs="Arial"/>
                <w:sz w:val="20"/>
                <w:szCs w:val="20"/>
              </w:rPr>
              <w:t xml:space="preserve"> </w:t>
            </w:r>
            <w:r w:rsidR="00BD77F9">
              <w:rPr>
                <w:rFonts w:ascii="Arial" w:hAnsi="Arial" w:cs="Arial"/>
                <w:sz w:val="20"/>
                <w:szCs w:val="20"/>
              </w:rPr>
              <w:t>To address some of the issues related to the water balance, t</w:t>
            </w:r>
            <w:r w:rsidR="00C524AF">
              <w:rPr>
                <w:rFonts w:ascii="Arial" w:hAnsi="Arial" w:cs="Arial"/>
                <w:sz w:val="20"/>
                <w:szCs w:val="20"/>
              </w:rPr>
              <w:t>he proponent should proceed with the existing plan to engage in a groundwater data sharing agreement with the Baal Bone Colliery and expand this to include the other mining operations in the area. This would increase the regional water data available and provide input into the water balance model.</w:t>
            </w:r>
          </w:p>
          <w:p w:rsidR="00365179" w:rsidRPr="0061358E" w:rsidRDefault="00365179"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T</w:t>
            </w:r>
            <w:r w:rsidRPr="009B5020">
              <w:rPr>
                <w:rFonts w:ascii="Arial" w:hAnsi="Arial" w:cs="Arial"/>
                <w:sz w:val="20"/>
                <w:szCs w:val="20"/>
              </w:rPr>
              <w:t>he potential impacts on the groundwater regime are</w:t>
            </w:r>
            <w:r w:rsidR="00D270B1">
              <w:rPr>
                <w:rFonts w:ascii="Arial" w:hAnsi="Arial" w:cs="Arial"/>
                <w:sz w:val="20"/>
                <w:szCs w:val="20"/>
              </w:rPr>
              <w:t xml:space="preserve"> predicted to be</w:t>
            </w:r>
            <w:r w:rsidRPr="009B5020">
              <w:rPr>
                <w:rFonts w:ascii="Arial" w:hAnsi="Arial" w:cs="Arial"/>
                <w:sz w:val="20"/>
                <w:szCs w:val="20"/>
              </w:rPr>
              <w:t xml:space="preserve"> </w:t>
            </w:r>
            <w:r w:rsidR="00A703B4">
              <w:rPr>
                <w:rFonts w:ascii="Arial" w:hAnsi="Arial" w:cs="Arial"/>
                <w:sz w:val="20"/>
                <w:szCs w:val="20"/>
              </w:rPr>
              <w:t xml:space="preserve">confined </w:t>
            </w:r>
            <w:r w:rsidRPr="009B5020">
              <w:rPr>
                <w:rFonts w:ascii="Arial" w:hAnsi="Arial" w:cs="Arial"/>
                <w:sz w:val="20"/>
                <w:szCs w:val="20"/>
              </w:rPr>
              <w:t>to the proposed</w:t>
            </w:r>
            <w:r>
              <w:rPr>
                <w:rFonts w:ascii="Arial" w:hAnsi="Arial" w:cs="Arial"/>
                <w:sz w:val="20"/>
                <w:szCs w:val="20"/>
              </w:rPr>
              <w:t xml:space="preserve"> project area and adjacent mines</w:t>
            </w:r>
            <w:r w:rsidR="00D270B1">
              <w:rPr>
                <w:rFonts w:ascii="Arial" w:hAnsi="Arial" w:cs="Arial"/>
                <w:sz w:val="20"/>
                <w:szCs w:val="20"/>
              </w:rPr>
              <w:t xml:space="preserve"> based on current information and assessment</w:t>
            </w:r>
            <w:r>
              <w:rPr>
                <w:rFonts w:ascii="Arial" w:hAnsi="Arial" w:cs="Arial"/>
                <w:sz w:val="20"/>
                <w:szCs w:val="20"/>
              </w:rPr>
              <w:t xml:space="preserve">. </w:t>
            </w:r>
            <w:r w:rsidRPr="009B5020">
              <w:rPr>
                <w:rFonts w:ascii="Arial" w:hAnsi="Arial" w:cs="Arial"/>
                <w:sz w:val="20"/>
                <w:szCs w:val="20"/>
              </w:rPr>
              <w:t>This is as a result of the slow hydraulic gradient and low hydraulic conductivity of the coal seam and sandstone aquifers, within a relatively confined system bordered by outcrops to the east and west of the proposed project area.</w:t>
            </w:r>
            <w:r>
              <w:rPr>
                <w:rFonts w:ascii="Arial" w:hAnsi="Arial" w:cs="Arial"/>
                <w:sz w:val="20"/>
                <w:szCs w:val="20"/>
              </w:rPr>
              <w:t xml:space="preserve"> </w:t>
            </w:r>
            <w:r w:rsidRPr="00FB5D86">
              <w:rPr>
                <w:rFonts w:ascii="Arial" w:hAnsi="Arial" w:cs="Arial"/>
                <w:sz w:val="20"/>
                <w:szCs w:val="20"/>
              </w:rPr>
              <w:t xml:space="preserve">Notwithstanding the </w:t>
            </w:r>
            <w:r w:rsidR="00D270B1">
              <w:rPr>
                <w:rFonts w:ascii="Arial" w:hAnsi="Arial" w:cs="Arial"/>
                <w:sz w:val="20"/>
                <w:szCs w:val="20"/>
              </w:rPr>
              <w:t>predicted</w:t>
            </w:r>
            <w:r w:rsidR="00D270B1" w:rsidRPr="00FB5D86">
              <w:rPr>
                <w:rFonts w:ascii="Arial" w:hAnsi="Arial" w:cs="Arial"/>
                <w:sz w:val="20"/>
                <w:szCs w:val="20"/>
              </w:rPr>
              <w:t xml:space="preserve"> </w:t>
            </w:r>
            <w:r w:rsidRPr="00FB5D86">
              <w:rPr>
                <w:rFonts w:ascii="Arial" w:hAnsi="Arial" w:cs="Arial"/>
                <w:sz w:val="20"/>
                <w:szCs w:val="20"/>
              </w:rPr>
              <w:t xml:space="preserve">localised </w:t>
            </w:r>
            <w:r w:rsidR="006439C1">
              <w:rPr>
                <w:rFonts w:ascii="Arial" w:hAnsi="Arial" w:cs="Arial"/>
                <w:sz w:val="20"/>
                <w:szCs w:val="20"/>
              </w:rPr>
              <w:t xml:space="preserve">impacts, the potential </w:t>
            </w:r>
            <w:r w:rsidRPr="00FB5D86">
              <w:rPr>
                <w:rFonts w:ascii="Arial" w:hAnsi="Arial" w:cs="Arial"/>
                <w:sz w:val="20"/>
                <w:szCs w:val="20"/>
              </w:rPr>
              <w:t>impacts</w:t>
            </w:r>
            <w:r w:rsidR="006439C1">
              <w:rPr>
                <w:rFonts w:ascii="Arial" w:hAnsi="Arial" w:cs="Arial"/>
                <w:sz w:val="20"/>
                <w:szCs w:val="20"/>
              </w:rPr>
              <w:t xml:space="preserve"> to aquifer integrity, groundwater dependent ecosystems and existing bores due to drawdown and depressurisation </w:t>
            </w:r>
            <w:r w:rsidRPr="00FB5D86">
              <w:rPr>
                <w:rFonts w:ascii="Arial" w:hAnsi="Arial" w:cs="Arial"/>
                <w:sz w:val="20"/>
                <w:szCs w:val="20"/>
              </w:rPr>
              <w:t>in the Permian Coal Measures should be quantified and mapped</w:t>
            </w:r>
            <w:r w:rsidR="00A703B4">
              <w:rPr>
                <w:rFonts w:ascii="Arial" w:hAnsi="Arial" w:cs="Arial"/>
                <w:sz w:val="20"/>
                <w:szCs w:val="20"/>
              </w:rPr>
              <w:t>,</w:t>
            </w:r>
            <w:r w:rsidR="00993AD6">
              <w:rPr>
                <w:rFonts w:ascii="Arial" w:hAnsi="Arial" w:cs="Arial"/>
                <w:sz w:val="20"/>
                <w:szCs w:val="20"/>
              </w:rPr>
              <w:t xml:space="preserve"> consistent with the advice provided in </w:t>
            </w:r>
            <w:r w:rsidR="00FF23FD">
              <w:rPr>
                <w:rFonts w:ascii="Arial" w:hAnsi="Arial" w:cs="Arial"/>
                <w:sz w:val="20"/>
                <w:szCs w:val="20"/>
              </w:rPr>
              <w:t xml:space="preserve">paragraph </w:t>
            </w:r>
            <w:r w:rsidR="00B57602">
              <w:rPr>
                <w:rFonts w:ascii="Arial" w:hAnsi="Arial" w:cs="Arial"/>
                <w:sz w:val="20"/>
                <w:szCs w:val="20"/>
              </w:rPr>
              <w:t xml:space="preserve">1e </w:t>
            </w:r>
            <w:r w:rsidR="00993AD6">
              <w:rPr>
                <w:rFonts w:ascii="Arial" w:hAnsi="Arial" w:cs="Arial"/>
                <w:sz w:val="20"/>
                <w:szCs w:val="20"/>
              </w:rPr>
              <w:t>above.</w:t>
            </w:r>
          </w:p>
          <w:p w:rsidR="00BE1C8B" w:rsidRPr="00506743" w:rsidRDefault="00365179" w:rsidP="00AD72CA">
            <w:pPr>
              <w:pStyle w:val="ListNumber"/>
              <w:numPr>
                <w:ilvl w:val="0"/>
                <w:numId w:val="6"/>
              </w:numPr>
              <w:spacing w:after="200" w:line="276" w:lineRule="auto"/>
              <w:rPr>
                <w:rFonts w:ascii="Arial" w:hAnsi="Arial" w:cs="Arial"/>
                <w:sz w:val="20"/>
                <w:szCs w:val="20"/>
              </w:rPr>
            </w:pPr>
            <w:r w:rsidRPr="00506743">
              <w:rPr>
                <w:rFonts w:ascii="Arial" w:hAnsi="Arial" w:cs="Arial"/>
                <w:sz w:val="20"/>
                <w:szCs w:val="20"/>
              </w:rPr>
              <w:t xml:space="preserve">There are no identified groundwater dependent ecosystems identified within or downstream of the proposed project area. The closest groundwater dependent ecosystems are </w:t>
            </w:r>
            <w:proofErr w:type="spellStart"/>
            <w:r w:rsidRPr="00506743">
              <w:rPr>
                <w:rFonts w:ascii="Arial" w:hAnsi="Arial" w:cs="Arial"/>
                <w:sz w:val="20"/>
                <w:szCs w:val="20"/>
              </w:rPr>
              <w:t>Coxs</w:t>
            </w:r>
            <w:proofErr w:type="spellEnd"/>
            <w:r w:rsidRPr="00506743">
              <w:rPr>
                <w:rFonts w:ascii="Arial" w:hAnsi="Arial" w:cs="Arial"/>
                <w:sz w:val="20"/>
                <w:szCs w:val="20"/>
              </w:rPr>
              <w:t xml:space="preserve"> River Swamp and Jews </w:t>
            </w:r>
            <w:r w:rsidR="00FF23FD">
              <w:rPr>
                <w:rFonts w:ascii="Arial" w:hAnsi="Arial" w:cs="Arial"/>
                <w:sz w:val="20"/>
                <w:szCs w:val="20"/>
              </w:rPr>
              <w:t>Creek</w:t>
            </w:r>
            <w:r w:rsidR="00F2277E">
              <w:rPr>
                <w:rFonts w:ascii="Arial" w:hAnsi="Arial" w:cs="Arial"/>
                <w:sz w:val="20"/>
                <w:szCs w:val="20"/>
              </w:rPr>
              <w:t xml:space="preserve"> </w:t>
            </w:r>
            <w:r w:rsidRPr="00506743">
              <w:rPr>
                <w:rFonts w:ascii="Arial" w:hAnsi="Arial" w:cs="Arial"/>
                <w:sz w:val="20"/>
                <w:szCs w:val="20"/>
              </w:rPr>
              <w:t>Swamp, which are located 2</w:t>
            </w:r>
            <w:r w:rsidR="00565955">
              <w:rPr>
                <w:rFonts w:ascii="Arial" w:hAnsi="Arial" w:cs="Arial"/>
                <w:sz w:val="20"/>
                <w:szCs w:val="20"/>
              </w:rPr>
              <w:t xml:space="preserve"> km and 3.5 km to the east and north east of the project boundary. These systems are fed by perched alluvial aquifers that are unlikely to be connected to the Permian Coal Measures; however, the existing Baal Bone Colliery monitoring stations should be used by the proponent to monitor the health of the swamps. If significant changes are observed</w:t>
            </w:r>
            <w:r w:rsidR="00A703B4">
              <w:rPr>
                <w:rFonts w:ascii="Arial" w:hAnsi="Arial" w:cs="Arial"/>
                <w:sz w:val="20"/>
                <w:szCs w:val="20"/>
              </w:rPr>
              <w:t>,</w:t>
            </w:r>
            <w:r w:rsidR="00565955">
              <w:rPr>
                <w:rFonts w:ascii="Arial" w:hAnsi="Arial" w:cs="Arial"/>
                <w:sz w:val="20"/>
                <w:szCs w:val="20"/>
              </w:rPr>
              <w:t xml:space="preserve"> the current conceptual geological model should be revised, as this would indicate a greater than anticipated level of interconnectivity between the alluvial aquifers, Triassic sediments and the Permian Coal Measures. </w:t>
            </w:r>
          </w:p>
          <w:p w:rsidR="00362B1E" w:rsidRDefault="00565955"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The groundwater regime falls within the Murray-Darling Basin Porous Rock Groundwater Sources and the Greater Metropolitan Region Groundwater Water Sources. All proposed development activities would need to be consistent with the</w:t>
            </w:r>
            <w:r w:rsidR="00FF23FD">
              <w:rPr>
                <w:rFonts w:ascii="Arial" w:hAnsi="Arial" w:cs="Arial"/>
                <w:sz w:val="20"/>
                <w:szCs w:val="20"/>
              </w:rPr>
              <w:t xml:space="preserve"> associated</w:t>
            </w:r>
            <w:r>
              <w:rPr>
                <w:rFonts w:ascii="Arial" w:hAnsi="Arial" w:cs="Arial"/>
                <w:sz w:val="20"/>
                <w:szCs w:val="20"/>
              </w:rPr>
              <w:t xml:space="preserve"> water sharing plans</w:t>
            </w:r>
            <w:r w:rsidR="00FF23FD">
              <w:rPr>
                <w:rFonts w:ascii="Arial" w:hAnsi="Arial" w:cs="Arial"/>
                <w:sz w:val="20"/>
                <w:szCs w:val="20"/>
              </w:rPr>
              <w:t xml:space="preserve"> for these regions</w:t>
            </w:r>
            <w:r>
              <w:rPr>
                <w:rFonts w:ascii="Arial" w:hAnsi="Arial" w:cs="Arial"/>
                <w:sz w:val="20"/>
                <w:szCs w:val="20"/>
              </w:rPr>
              <w:t xml:space="preserve">. </w:t>
            </w:r>
          </w:p>
          <w:p w:rsidR="00362B1E" w:rsidRPr="00362B1E" w:rsidRDefault="00362B1E" w:rsidP="00362B1E">
            <w:pPr>
              <w:pStyle w:val="ListNumber"/>
              <w:spacing w:after="200" w:line="276" w:lineRule="auto"/>
              <w:ind w:left="0" w:firstLine="0"/>
              <w:rPr>
                <w:rFonts w:ascii="Arial" w:hAnsi="Arial" w:cs="Arial"/>
                <w:i/>
                <w:sz w:val="20"/>
                <w:szCs w:val="20"/>
              </w:rPr>
            </w:pPr>
            <w:r w:rsidRPr="00DC325B">
              <w:rPr>
                <w:rFonts w:ascii="Arial" w:hAnsi="Arial" w:cs="Arial"/>
                <w:i/>
                <w:sz w:val="20"/>
                <w:szCs w:val="20"/>
              </w:rPr>
              <w:t xml:space="preserve">Question </w:t>
            </w:r>
            <w:r>
              <w:rPr>
                <w:rFonts w:ascii="Arial" w:hAnsi="Arial" w:cs="Arial"/>
                <w:i/>
                <w:sz w:val="20"/>
                <w:szCs w:val="20"/>
              </w:rPr>
              <w:t>2</w:t>
            </w:r>
            <w:r w:rsidRPr="00DC325B">
              <w:rPr>
                <w:rFonts w:ascii="Arial" w:hAnsi="Arial" w:cs="Arial"/>
                <w:i/>
                <w:sz w:val="20"/>
                <w:szCs w:val="20"/>
              </w:rPr>
              <w:t>:</w:t>
            </w:r>
            <w:r>
              <w:rPr>
                <w:rFonts w:ascii="Arial" w:hAnsi="Arial" w:cs="Arial"/>
                <w:i/>
                <w:sz w:val="20"/>
                <w:szCs w:val="20"/>
              </w:rPr>
              <w:t xml:space="preserve"> </w:t>
            </w:r>
            <w:r w:rsidRPr="00362B1E">
              <w:rPr>
                <w:rFonts w:ascii="Arial" w:hAnsi="Arial" w:cs="Arial"/>
                <w:i/>
                <w:sz w:val="20"/>
                <w:szCs w:val="20"/>
              </w:rPr>
              <w:t>In considering the various minor changes made to the project, as described in the Preferred Project Report and published in April 2013, would the Committee alter their advice relating to Question 1? If so, which elements would the Committee change and how so?</w:t>
            </w:r>
          </w:p>
          <w:p w:rsidR="00362B1E" w:rsidRDefault="006105F4" w:rsidP="00AD72CA">
            <w:pPr>
              <w:pStyle w:val="ListNumber"/>
              <w:numPr>
                <w:ilvl w:val="0"/>
                <w:numId w:val="6"/>
              </w:numPr>
              <w:spacing w:after="200" w:line="276" w:lineRule="auto"/>
              <w:rPr>
                <w:rFonts w:ascii="Arial" w:hAnsi="Arial" w:cs="Arial"/>
                <w:sz w:val="20"/>
                <w:szCs w:val="20"/>
              </w:rPr>
            </w:pPr>
            <w:r w:rsidRPr="00362B1E">
              <w:rPr>
                <w:rFonts w:ascii="Arial" w:hAnsi="Arial" w:cs="Arial"/>
                <w:sz w:val="20"/>
                <w:szCs w:val="20"/>
              </w:rPr>
              <w:t>The Committee notes that the proponent has submitted a Preferred Project Report at the request of the New South Wales Director General, in response to the Planning and Assessment Commission merit review</w:t>
            </w:r>
            <w:r w:rsidR="00382FB4" w:rsidRPr="00362B1E">
              <w:rPr>
                <w:rFonts w:ascii="Arial" w:hAnsi="Arial" w:cs="Arial"/>
                <w:sz w:val="20"/>
                <w:szCs w:val="20"/>
                <w:vertAlign w:val="superscript"/>
              </w:rPr>
              <w:t>2</w:t>
            </w:r>
            <w:r w:rsidRPr="00362B1E">
              <w:rPr>
                <w:rFonts w:ascii="Arial" w:hAnsi="Arial" w:cs="Arial"/>
                <w:sz w:val="20"/>
                <w:szCs w:val="20"/>
              </w:rPr>
              <w:t xml:space="preserve"> of the proposed project. </w:t>
            </w:r>
            <w:r w:rsidR="0037715D">
              <w:rPr>
                <w:rFonts w:ascii="Arial" w:hAnsi="Arial" w:cs="Arial"/>
                <w:sz w:val="20"/>
                <w:szCs w:val="20"/>
              </w:rPr>
              <w:t>This report does not contain further information or analysis on</w:t>
            </w:r>
            <w:r w:rsidR="00D21A64">
              <w:rPr>
                <w:rFonts w:ascii="Arial" w:hAnsi="Arial" w:cs="Arial"/>
                <w:sz w:val="20"/>
                <w:szCs w:val="20"/>
              </w:rPr>
              <w:t xml:space="preserve"> the</w:t>
            </w:r>
            <w:r w:rsidR="0037715D">
              <w:rPr>
                <w:rFonts w:ascii="Arial" w:hAnsi="Arial" w:cs="Arial"/>
                <w:sz w:val="20"/>
                <w:szCs w:val="20"/>
              </w:rPr>
              <w:t xml:space="preserve"> </w:t>
            </w:r>
            <w:r w:rsidR="00D21A64">
              <w:rPr>
                <w:rFonts w:ascii="Arial" w:hAnsi="Arial" w:cs="Arial"/>
                <w:sz w:val="20"/>
                <w:szCs w:val="20"/>
              </w:rPr>
              <w:t>potential impacts to</w:t>
            </w:r>
            <w:r w:rsidR="0037715D">
              <w:rPr>
                <w:rFonts w:ascii="Arial" w:hAnsi="Arial" w:cs="Arial"/>
                <w:sz w:val="20"/>
                <w:szCs w:val="20"/>
              </w:rPr>
              <w:t xml:space="preserve"> surface water or groundwater</w:t>
            </w:r>
            <w:r w:rsidR="00D21A64">
              <w:rPr>
                <w:rFonts w:ascii="Arial" w:hAnsi="Arial" w:cs="Arial"/>
                <w:sz w:val="20"/>
                <w:szCs w:val="20"/>
              </w:rPr>
              <w:t xml:space="preserve"> resources</w:t>
            </w:r>
            <w:r w:rsidR="007F283F">
              <w:rPr>
                <w:rFonts w:ascii="Arial" w:hAnsi="Arial" w:cs="Arial"/>
                <w:sz w:val="20"/>
                <w:szCs w:val="20"/>
              </w:rPr>
              <w:t>; however, the Statement of Commitments has been updated in areas relating to water resources.</w:t>
            </w:r>
          </w:p>
          <w:p w:rsidR="00150F7D" w:rsidRDefault="00150F7D"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 xml:space="preserve">The Committee considers that the </w:t>
            </w:r>
            <w:r w:rsidR="00A22C00" w:rsidRPr="00A22C00">
              <w:rPr>
                <w:rFonts w:ascii="Arial" w:hAnsi="Arial" w:cs="Arial"/>
                <w:sz w:val="20"/>
                <w:szCs w:val="20"/>
              </w:rPr>
              <w:t>likely impacts of the proposed mining operations on surface and groundwater resources</w:t>
            </w:r>
            <w:r w:rsidR="00A22C00">
              <w:rPr>
                <w:rFonts w:ascii="Arial" w:hAnsi="Arial" w:cs="Arial"/>
                <w:sz w:val="20"/>
                <w:szCs w:val="20"/>
              </w:rPr>
              <w:t xml:space="preserve"> </w:t>
            </w:r>
            <w:r w:rsidR="006E433A">
              <w:rPr>
                <w:rFonts w:ascii="Arial" w:hAnsi="Arial" w:cs="Arial"/>
                <w:sz w:val="20"/>
                <w:szCs w:val="20"/>
              </w:rPr>
              <w:t>identified</w:t>
            </w:r>
            <w:r w:rsidR="00BA44CC">
              <w:rPr>
                <w:rFonts w:ascii="Arial" w:hAnsi="Arial" w:cs="Arial"/>
                <w:sz w:val="20"/>
                <w:szCs w:val="20"/>
              </w:rPr>
              <w:t xml:space="preserve"> in paragraphs 2 to 10</w:t>
            </w:r>
            <w:r w:rsidR="006E433A">
              <w:rPr>
                <w:rFonts w:ascii="Arial" w:hAnsi="Arial" w:cs="Arial"/>
                <w:sz w:val="20"/>
                <w:szCs w:val="20"/>
              </w:rPr>
              <w:t xml:space="preserve"> are valid and continue to be applicable to the proposed project described in the Preferred Project Report.</w:t>
            </w:r>
          </w:p>
          <w:p w:rsidR="00B27C0E" w:rsidRDefault="00B27C0E" w:rsidP="00AD72CA">
            <w:pPr>
              <w:pStyle w:val="ListNumber2"/>
              <w:ind w:left="709"/>
            </w:pPr>
            <w:r>
              <w:t xml:space="preserve">The Committee notes that the extraction of sand from the Marrangaroo Formation has been removed from the Preferred Project Report. This will decrease </w:t>
            </w:r>
            <w:r w:rsidR="00EB7298">
              <w:t xml:space="preserve">the volume of water required in the proposed year of extraction and </w:t>
            </w:r>
            <w:r>
              <w:t>the potential for acid mine drainage</w:t>
            </w:r>
            <w:r w:rsidR="00EB7298">
              <w:t xml:space="preserve"> from the extraction and processing of the </w:t>
            </w:r>
            <w:r w:rsidR="00EB7298">
              <w:lastRenderedPageBreak/>
              <w:t xml:space="preserve">Marrangaroo Formation. However, there is still the potential for acid mine drainage from the Lithgow Coal rejects as described </w:t>
            </w:r>
            <w:r w:rsidR="00CB6FD7">
              <w:t>in</w:t>
            </w:r>
            <w:r w:rsidR="00FF23FD">
              <w:t xml:space="preserve"> paragraph</w:t>
            </w:r>
            <w:r w:rsidR="00CB6FD7">
              <w:t xml:space="preserve"> 4 above</w:t>
            </w:r>
            <w:r w:rsidR="00EB7298">
              <w:t>.</w:t>
            </w:r>
          </w:p>
          <w:p w:rsidR="006E433A" w:rsidRDefault="00631D38"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 xml:space="preserve">The </w:t>
            </w:r>
            <w:r w:rsidR="0037715D">
              <w:rPr>
                <w:rFonts w:ascii="Arial" w:hAnsi="Arial" w:cs="Arial"/>
                <w:sz w:val="20"/>
                <w:szCs w:val="20"/>
              </w:rPr>
              <w:t xml:space="preserve">implementation of the </w:t>
            </w:r>
            <w:r>
              <w:rPr>
                <w:rFonts w:ascii="Arial" w:hAnsi="Arial" w:cs="Arial"/>
                <w:sz w:val="20"/>
                <w:szCs w:val="20"/>
              </w:rPr>
              <w:t>following commitments made by the proponent in the Preferred Project Report would assist in further assessing and quantifying the potential likely impacts identified under Question 1:</w:t>
            </w:r>
          </w:p>
          <w:p w:rsidR="00631D38" w:rsidRPr="00631D38" w:rsidRDefault="00631D38" w:rsidP="00AD72CA">
            <w:pPr>
              <w:pStyle w:val="ListNumber2"/>
              <w:ind w:left="709"/>
            </w:pPr>
            <w:r>
              <w:t>T</w:t>
            </w:r>
            <w:r w:rsidRPr="00631D38">
              <w:t>he proponent will reconfirm predicted depressurisation and groundwater inflows, in consultation with</w:t>
            </w:r>
            <w:r w:rsidR="00FF23FD">
              <w:t xml:space="preserve"> the</w:t>
            </w:r>
            <w:r w:rsidRPr="00631D38">
              <w:t xml:space="preserve"> N</w:t>
            </w:r>
            <w:r w:rsidR="00FF23FD">
              <w:t xml:space="preserve">ew </w:t>
            </w:r>
            <w:r w:rsidRPr="00631D38">
              <w:t>S</w:t>
            </w:r>
            <w:r w:rsidR="00FF23FD">
              <w:t xml:space="preserve">outh </w:t>
            </w:r>
            <w:r w:rsidRPr="00631D38">
              <w:t>W</w:t>
            </w:r>
            <w:r w:rsidR="00FF23FD">
              <w:t>ales</w:t>
            </w:r>
            <w:r w:rsidRPr="00631D38">
              <w:t xml:space="preserve"> Office of Water, to provide a greater level of confidence that problems will not arise with groundwater or surface water resources.</w:t>
            </w:r>
            <w:r w:rsidR="00404858">
              <w:t xml:space="preserve"> </w:t>
            </w:r>
          </w:p>
          <w:p w:rsidR="00631D38" w:rsidRPr="00631D38" w:rsidRDefault="00631D38" w:rsidP="00AD72CA">
            <w:pPr>
              <w:pStyle w:val="ListNumber2"/>
              <w:ind w:left="709"/>
            </w:pPr>
            <w:r w:rsidRPr="00631D38">
              <w:t>The proponent will seek an environmental monitoring data sharing agreement with neighbouring industry to allow for the assessment of cumulative impacts and the development of co-operative management measures.</w:t>
            </w:r>
          </w:p>
          <w:p w:rsidR="00631D38" w:rsidRPr="00631D38" w:rsidRDefault="00631D38" w:rsidP="00AD72CA">
            <w:pPr>
              <w:pStyle w:val="ListNumber2"/>
              <w:ind w:left="709"/>
            </w:pPr>
            <w:r w:rsidRPr="00631D38">
              <w:t xml:space="preserve">Groundwater monitoring will continue to confirm the assessment of the condition of the historic flooded underground workings of Old Invincible Colliery and that this storage will not be significantly impacted by the </w:t>
            </w:r>
            <w:r w:rsidR="002C255E">
              <w:t>p</w:t>
            </w:r>
            <w:r w:rsidRPr="00631D38">
              <w:t>roject. This data (for a total period of at least two years) will be used to confirm the key findings of the surface water and groundwater assessments undertaken for the proposed</w:t>
            </w:r>
            <w:r w:rsidR="002C255E">
              <w:t xml:space="preserve"> p</w:t>
            </w:r>
            <w:r w:rsidRPr="00631D38">
              <w:t>roject.</w:t>
            </w:r>
          </w:p>
          <w:p w:rsidR="00D31B1F" w:rsidRDefault="00631D38" w:rsidP="00AD72CA">
            <w:pPr>
              <w:pStyle w:val="ListNumber2"/>
              <w:ind w:left="709"/>
            </w:pPr>
            <w:r w:rsidRPr="00631D38">
              <w:t>The proponent will implement a Plan of Works as agreed with N</w:t>
            </w:r>
            <w:r w:rsidR="00F2277E">
              <w:t xml:space="preserve">ew </w:t>
            </w:r>
            <w:r w:rsidRPr="00631D38">
              <w:t>S</w:t>
            </w:r>
            <w:r w:rsidR="00F2277E">
              <w:t xml:space="preserve">outh </w:t>
            </w:r>
            <w:r w:rsidRPr="00631D38">
              <w:t>W</w:t>
            </w:r>
            <w:r w:rsidR="00F2277E">
              <w:t>ales</w:t>
            </w:r>
            <w:r w:rsidRPr="00631D38">
              <w:t xml:space="preserve"> Division of Resources and Energy (DRE) for the management of historical subsurface heating in overburden emplacement areas and underground mine workings.</w:t>
            </w:r>
          </w:p>
          <w:p w:rsidR="00C85A73" w:rsidRDefault="00631D38" w:rsidP="00AD72CA">
            <w:pPr>
              <w:pStyle w:val="ListNumber2"/>
              <w:ind w:left="709"/>
            </w:pPr>
            <w:r w:rsidRPr="00D31B1F">
              <w:t xml:space="preserve">The proponent will include Potentially Acid Forming (PAF) material management measures and provide details on PAF monitoring and management in the Rehabilitation and Landscape Management Plan for the </w:t>
            </w:r>
            <w:r w:rsidR="002C255E">
              <w:t>p</w:t>
            </w:r>
            <w:r w:rsidRPr="00D31B1F">
              <w:t>roject.</w:t>
            </w:r>
            <w:r w:rsidR="00AA4FC2" w:rsidRPr="00D31B1F">
              <w:t xml:space="preserve"> </w:t>
            </w:r>
          </w:p>
          <w:p w:rsidR="00E4435C" w:rsidRPr="00C85A73" w:rsidRDefault="00E4435C"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Commitments for surface and groundwater monitoring should be presented as part of a water monitoring plan and should be consistent with the National Water Quality Management Strategy.</w:t>
            </w:r>
          </w:p>
          <w:p w:rsidR="00DB2F51" w:rsidRDefault="00362B1E" w:rsidP="00AD72CA">
            <w:pPr>
              <w:pStyle w:val="ListNumber"/>
              <w:numPr>
                <w:ilvl w:val="0"/>
                <w:numId w:val="6"/>
              </w:numPr>
              <w:spacing w:after="200" w:line="276" w:lineRule="auto"/>
              <w:rPr>
                <w:rFonts w:ascii="Arial" w:hAnsi="Arial" w:cs="Arial"/>
                <w:sz w:val="20"/>
                <w:szCs w:val="20"/>
              </w:rPr>
            </w:pPr>
            <w:r>
              <w:rPr>
                <w:rFonts w:ascii="Arial" w:hAnsi="Arial" w:cs="Arial"/>
                <w:sz w:val="20"/>
                <w:szCs w:val="20"/>
              </w:rPr>
              <w:t>D</w:t>
            </w:r>
            <w:r w:rsidRPr="00E41255">
              <w:rPr>
                <w:rFonts w:ascii="Arial" w:hAnsi="Arial" w:cs="Arial"/>
                <w:sz w:val="20"/>
                <w:szCs w:val="20"/>
              </w:rPr>
              <w:t xml:space="preserve">ata and relevant information from the </w:t>
            </w:r>
            <w:r>
              <w:rPr>
                <w:rFonts w:ascii="Arial" w:hAnsi="Arial" w:cs="Arial"/>
                <w:sz w:val="20"/>
                <w:szCs w:val="20"/>
              </w:rPr>
              <w:t xml:space="preserve">proposed </w:t>
            </w:r>
            <w:r w:rsidRPr="00E41255">
              <w:rPr>
                <w:rFonts w:ascii="Arial" w:hAnsi="Arial" w:cs="Arial"/>
                <w:sz w:val="20"/>
                <w:szCs w:val="20"/>
              </w:rPr>
              <w:t>project shoul</w:t>
            </w:r>
            <w:r w:rsidR="00006C68">
              <w:rPr>
                <w:rFonts w:ascii="Arial" w:hAnsi="Arial" w:cs="Arial"/>
                <w:sz w:val="20"/>
                <w:szCs w:val="20"/>
              </w:rPr>
              <w:t xml:space="preserve">d be made accessible for </w:t>
            </w:r>
            <w:r w:rsidR="00A00AF5">
              <w:rPr>
                <w:rFonts w:ascii="Arial" w:hAnsi="Arial" w:cs="Arial"/>
                <w:sz w:val="20"/>
                <w:szCs w:val="20"/>
              </w:rPr>
              <w:t>th</w:t>
            </w:r>
            <w:r w:rsidR="00B90881">
              <w:rPr>
                <w:rFonts w:ascii="Arial" w:hAnsi="Arial" w:cs="Arial"/>
                <w:sz w:val="20"/>
                <w:szCs w:val="20"/>
              </w:rPr>
              <w:t>e relevant</w:t>
            </w:r>
            <w:r w:rsidR="00A00AF5" w:rsidRPr="00E41255">
              <w:rPr>
                <w:rFonts w:ascii="Arial" w:hAnsi="Arial" w:cs="Arial"/>
                <w:sz w:val="20"/>
                <w:szCs w:val="20"/>
              </w:rPr>
              <w:t xml:space="preserve"> </w:t>
            </w:r>
            <w:r>
              <w:rPr>
                <w:rFonts w:ascii="Arial" w:hAnsi="Arial" w:cs="Arial"/>
                <w:sz w:val="20"/>
                <w:szCs w:val="20"/>
              </w:rPr>
              <w:t>B</w:t>
            </w:r>
            <w:r w:rsidRPr="00E41255">
              <w:rPr>
                <w:rFonts w:ascii="Arial" w:hAnsi="Arial" w:cs="Arial"/>
                <w:sz w:val="20"/>
                <w:szCs w:val="20"/>
              </w:rPr>
              <w:t xml:space="preserve">ioregional </w:t>
            </w:r>
            <w:r>
              <w:rPr>
                <w:rFonts w:ascii="Arial" w:hAnsi="Arial" w:cs="Arial"/>
                <w:sz w:val="20"/>
                <w:szCs w:val="20"/>
              </w:rPr>
              <w:t>A</w:t>
            </w:r>
            <w:r w:rsidRPr="00E41255">
              <w:rPr>
                <w:rFonts w:ascii="Arial" w:hAnsi="Arial" w:cs="Arial"/>
                <w:sz w:val="20"/>
                <w:szCs w:val="20"/>
              </w:rPr>
              <w:t>ssessment</w:t>
            </w:r>
            <w:r w:rsidR="005F4BD8">
              <w:rPr>
                <w:rFonts w:ascii="Arial" w:hAnsi="Arial" w:cs="Arial"/>
                <w:sz w:val="20"/>
                <w:szCs w:val="20"/>
              </w:rPr>
              <w:t>s</w:t>
            </w:r>
            <w:r>
              <w:rPr>
                <w:rFonts w:ascii="Arial" w:hAnsi="Arial" w:cs="Arial"/>
                <w:sz w:val="20"/>
                <w:szCs w:val="20"/>
              </w:rPr>
              <w:t xml:space="preserve"> to assist the knowledge base for regional scale assessments</w:t>
            </w:r>
            <w:r w:rsidRPr="00E41255">
              <w:rPr>
                <w:rFonts w:ascii="Arial" w:hAnsi="Arial" w:cs="Arial"/>
                <w:sz w:val="20"/>
                <w:szCs w:val="20"/>
              </w:rPr>
              <w:t>.</w:t>
            </w:r>
          </w:p>
        </w:tc>
      </w:tr>
      <w:tr w:rsidR="006105F4" w:rsidRPr="00B451D3" w:rsidTr="00DC325B">
        <w:trPr>
          <w:trHeight w:val="19"/>
        </w:trPr>
        <w:tc>
          <w:tcPr>
            <w:tcW w:w="1809" w:type="dxa"/>
          </w:tcPr>
          <w:p w:rsidR="006105F4" w:rsidRDefault="006105F4" w:rsidP="00062A46">
            <w:pPr>
              <w:pStyle w:val="tablelabel"/>
              <w:spacing w:line="276" w:lineRule="auto"/>
              <w:rPr>
                <w:rFonts w:cs="Arial"/>
                <w:sz w:val="20"/>
              </w:rPr>
            </w:pPr>
            <w:r>
              <w:rPr>
                <w:rFonts w:cs="Arial"/>
                <w:sz w:val="20"/>
              </w:rPr>
              <w:lastRenderedPageBreak/>
              <w:t>Date of advice</w:t>
            </w:r>
          </w:p>
        </w:tc>
        <w:tc>
          <w:tcPr>
            <w:tcW w:w="8159" w:type="dxa"/>
          </w:tcPr>
          <w:p w:rsidR="006105F4" w:rsidRPr="00B451D3" w:rsidRDefault="005D654D" w:rsidP="00DB6938">
            <w:pPr>
              <w:spacing w:line="276" w:lineRule="auto"/>
              <w:rPr>
                <w:rFonts w:ascii="Arial" w:hAnsi="Arial" w:cs="Arial"/>
                <w:sz w:val="20"/>
                <w:szCs w:val="20"/>
              </w:rPr>
            </w:pPr>
            <w:r>
              <w:rPr>
                <w:rFonts w:ascii="Arial" w:hAnsi="Arial" w:cs="Arial"/>
                <w:sz w:val="20"/>
                <w:szCs w:val="20"/>
              </w:rPr>
              <w:t>2</w:t>
            </w:r>
            <w:r w:rsidR="002C255E">
              <w:rPr>
                <w:rFonts w:ascii="Arial" w:hAnsi="Arial" w:cs="Arial"/>
                <w:sz w:val="20"/>
                <w:szCs w:val="20"/>
              </w:rPr>
              <w:t>7</w:t>
            </w:r>
            <w:r w:rsidR="006105F4">
              <w:rPr>
                <w:rFonts w:ascii="Arial" w:hAnsi="Arial" w:cs="Arial"/>
                <w:sz w:val="20"/>
                <w:szCs w:val="20"/>
              </w:rPr>
              <w:t xml:space="preserve">  </w:t>
            </w:r>
            <w:r>
              <w:rPr>
                <w:rFonts w:ascii="Arial" w:hAnsi="Arial" w:cs="Arial"/>
                <w:sz w:val="20"/>
                <w:szCs w:val="20"/>
              </w:rPr>
              <w:t xml:space="preserve">June </w:t>
            </w:r>
            <w:r w:rsidR="006105F4">
              <w:rPr>
                <w:rFonts w:ascii="Arial" w:hAnsi="Arial" w:cs="Arial"/>
                <w:sz w:val="20"/>
                <w:szCs w:val="20"/>
              </w:rPr>
              <w:t>2013</w:t>
            </w:r>
          </w:p>
        </w:tc>
      </w:tr>
      <w:tr w:rsidR="006105F4" w:rsidRPr="00B451D3" w:rsidTr="00DC325B">
        <w:trPr>
          <w:trHeight w:val="19"/>
        </w:trPr>
        <w:tc>
          <w:tcPr>
            <w:tcW w:w="1809" w:type="dxa"/>
          </w:tcPr>
          <w:p w:rsidR="006105F4" w:rsidRDefault="006105F4"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Pr>
          <w:p w:rsidR="006105F4" w:rsidRPr="002D3880" w:rsidRDefault="006105F4" w:rsidP="00DC325B">
            <w:pPr>
              <w:pStyle w:val="ListBullet"/>
              <w:rPr>
                <w:rFonts w:ascii="Arial" w:hAnsi="Arial" w:cs="Arial"/>
                <w:sz w:val="20"/>
              </w:rPr>
            </w:pPr>
            <w:r w:rsidRPr="002D3880">
              <w:rPr>
                <w:rFonts w:ascii="Arial" w:hAnsi="Arial" w:cs="Arial"/>
                <w:sz w:val="20"/>
                <w:szCs w:val="22"/>
              </w:rPr>
              <w:t>H</w:t>
            </w:r>
            <w:r>
              <w:rPr>
                <w:rFonts w:ascii="Arial" w:hAnsi="Arial" w:cs="Arial"/>
                <w:sz w:val="20"/>
                <w:szCs w:val="22"/>
              </w:rPr>
              <w:t>ansen Bailey</w:t>
            </w:r>
            <w:r w:rsidRPr="002D3880">
              <w:rPr>
                <w:rFonts w:ascii="Arial" w:hAnsi="Arial" w:cs="Arial"/>
                <w:sz w:val="20"/>
                <w:szCs w:val="22"/>
              </w:rPr>
              <w:t xml:space="preserve"> 2012. </w:t>
            </w:r>
            <w:proofErr w:type="spellStart"/>
            <w:r w:rsidRPr="002D3880">
              <w:rPr>
                <w:rFonts w:ascii="Arial" w:hAnsi="Arial" w:cs="Arial"/>
                <w:sz w:val="20"/>
                <w:szCs w:val="22"/>
              </w:rPr>
              <w:t>Coalpac</w:t>
            </w:r>
            <w:proofErr w:type="spellEnd"/>
            <w:r w:rsidRPr="002D3880">
              <w:rPr>
                <w:rFonts w:ascii="Arial" w:hAnsi="Arial" w:cs="Arial"/>
                <w:sz w:val="20"/>
                <w:szCs w:val="22"/>
              </w:rPr>
              <w:t xml:space="preserve"> Consolidation Project Environmental Assessment. Prepared for </w:t>
            </w:r>
            <w:proofErr w:type="spellStart"/>
            <w:r w:rsidRPr="002D3880">
              <w:rPr>
                <w:rFonts w:ascii="Arial" w:hAnsi="Arial" w:cs="Arial"/>
                <w:sz w:val="20"/>
                <w:szCs w:val="22"/>
              </w:rPr>
              <w:t>Coalpac</w:t>
            </w:r>
            <w:proofErr w:type="spellEnd"/>
            <w:r w:rsidRPr="002D3880">
              <w:rPr>
                <w:rFonts w:ascii="Arial" w:hAnsi="Arial" w:cs="Arial"/>
                <w:sz w:val="20"/>
                <w:szCs w:val="22"/>
              </w:rPr>
              <w:t xml:space="preserve"> Pty Ltd.</w:t>
            </w:r>
          </w:p>
          <w:p w:rsidR="006105F4" w:rsidRDefault="006105F4" w:rsidP="00D00281">
            <w:pPr>
              <w:pStyle w:val="ListBullet"/>
              <w:rPr>
                <w:rFonts w:ascii="Arial" w:hAnsi="Arial" w:cs="Arial"/>
                <w:sz w:val="20"/>
                <w:szCs w:val="20"/>
              </w:rPr>
            </w:pPr>
          </w:p>
          <w:p w:rsidR="00382FB4" w:rsidRDefault="006105F4" w:rsidP="00D00281">
            <w:pPr>
              <w:pStyle w:val="ListBullet"/>
              <w:rPr>
                <w:rFonts w:ascii="Arial" w:hAnsi="Arial" w:cs="Arial"/>
                <w:sz w:val="20"/>
              </w:rPr>
            </w:pPr>
            <w:r w:rsidRPr="002D3880">
              <w:rPr>
                <w:rFonts w:ascii="Arial" w:hAnsi="Arial" w:cs="Arial"/>
                <w:sz w:val="20"/>
                <w:szCs w:val="22"/>
              </w:rPr>
              <w:t>H</w:t>
            </w:r>
            <w:r>
              <w:rPr>
                <w:rFonts w:ascii="Arial" w:hAnsi="Arial" w:cs="Arial"/>
                <w:sz w:val="20"/>
                <w:szCs w:val="22"/>
              </w:rPr>
              <w:t>ansen Bailey</w:t>
            </w:r>
            <w:r w:rsidRPr="002D3880">
              <w:rPr>
                <w:rFonts w:ascii="Arial" w:hAnsi="Arial" w:cs="Arial"/>
                <w:sz w:val="20"/>
                <w:szCs w:val="20"/>
              </w:rPr>
              <w:t xml:space="preserve"> 2012. </w:t>
            </w:r>
            <w:proofErr w:type="spellStart"/>
            <w:r w:rsidRPr="002D3880">
              <w:rPr>
                <w:rFonts w:ascii="Arial" w:hAnsi="Arial" w:cs="Arial"/>
                <w:sz w:val="20"/>
                <w:szCs w:val="20"/>
              </w:rPr>
              <w:t>Coalpac</w:t>
            </w:r>
            <w:proofErr w:type="spellEnd"/>
            <w:r w:rsidRPr="002D3880">
              <w:rPr>
                <w:rFonts w:ascii="Arial" w:hAnsi="Arial" w:cs="Arial"/>
                <w:sz w:val="20"/>
                <w:szCs w:val="20"/>
              </w:rPr>
              <w:t xml:space="preserve"> Consolidation Project Environment Assessment Response to Submissions. Prepared for </w:t>
            </w:r>
            <w:proofErr w:type="spellStart"/>
            <w:r w:rsidRPr="002D3880">
              <w:rPr>
                <w:rFonts w:ascii="Arial" w:hAnsi="Arial" w:cs="Arial"/>
                <w:sz w:val="20"/>
                <w:szCs w:val="20"/>
              </w:rPr>
              <w:t>Coalpac</w:t>
            </w:r>
            <w:proofErr w:type="spellEnd"/>
            <w:r w:rsidRPr="002D3880">
              <w:rPr>
                <w:rFonts w:ascii="Arial" w:hAnsi="Arial" w:cs="Arial"/>
                <w:sz w:val="20"/>
                <w:szCs w:val="20"/>
              </w:rPr>
              <w:t xml:space="preserve"> Pty Ltd.</w:t>
            </w:r>
            <w:r w:rsidR="00382FB4" w:rsidRPr="002D3880">
              <w:rPr>
                <w:rFonts w:ascii="Arial" w:hAnsi="Arial" w:cs="Arial"/>
                <w:sz w:val="20"/>
                <w:szCs w:val="22"/>
              </w:rPr>
              <w:t xml:space="preserve"> </w:t>
            </w:r>
          </w:p>
          <w:p w:rsidR="00382FB4" w:rsidRDefault="00382FB4" w:rsidP="00D00281">
            <w:pPr>
              <w:pStyle w:val="ListBullet"/>
              <w:rPr>
                <w:rFonts w:ascii="Arial" w:hAnsi="Arial" w:cs="Arial"/>
                <w:sz w:val="20"/>
              </w:rPr>
            </w:pPr>
          </w:p>
          <w:p w:rsidR="006105F4" w:rsidRDefault="00382FB4" w:rsidP="00D00281">
            <w:pPr>
              <w:pStyle w:val="ListBullet"/>
              <w:rPr>
                <w:rFonts w:ascii="Arial" w:hAnsi="Arial" w:cs="Arial"/>
                <w:sz w:val="20"/>
                <w:szCs w:val="20"/>
              </w:rPr>
            </w:pPr>
            <w:r w:rsidRPr="002D3880">
              <w:rPr>
                <w:rFonts w:ascii="Arial" w:hAnsi="Arial" w:cs="Arial"/>
                <w:sz w:val="20"/>
                <w:szCs w:val="22"/>
              </w:rPr>
              <w:t>H</w:t>
            </w:r>
            <w:r>
              <w:rPr>
                <w:rFonts w:ascii="Arial" w:hAnsi="Arial" w:cs="Arial"/>
                <w:sz w:val="20"/>
                <w:szCs w:val="22"/>
              </w:rPr>
              <w:t>ansen Bailey</w:t>
            </w:r>
            <w:r w:rsidRPr="005034D1">
              <w:rPr>
                <w:rFonts w:ascii="Arial" w:hAnsi="Arial" w:cs="Arial"/>
                <w:sz w:val="20"/>
                <w:szCs w:val="20"/>
              </w:rPr>
              <w:t xml:space="preserve"> 2013. </w:t>
            </w:r>
            <w:proofErr w:type="spellStart"/>
            <w:r w:rsidRPr="005034D1">
              <w:rPr>
                <w:rFonts w:ascii="Arial" w:hAnsi="Arial" w:cs="Arial"/>
                <w:sz w:val="20"/>
                <w:szCs w:val="20"/>
              </w:rPr>
              <w:t>Coalpac</w:t>
            </w:r>
            <w:proofErr w:type="spellEnd"/>
            <w:r w:rsidRPr="005034D1">
              <w:rPr>
                <w:rFonts w:ascii="Arial" w:hAnsi="Arial" w:cs="Arial"/>
                <w:sz w:val="20"/>
                <w:szCs w:val="20"/>
              </w:rPr>
              <w:t xml:space="preserve"> Consolidation Project Preferred Project Report. Prepared for </w:t>
            </w:r>
            <w:proofErr w:type="spellStart"/>
            <w:r w:rsidRPr="005034D1">
              <w:rPr>
                <w:rFonts w:ascii="Arial" w:hAnsi="Arial" w:cs="Arial"/>
                <w:sz w:val="20"/>
                <w:szCs w:val="20"/>
              </w:rPr>
              <w:t>Coalpac</w:t>
            </w:r>
            <w:proofErr w:type="spellEnd"/>
            <w:r w:rsidRPr="005034D1">
              <w:rPr>
                <w:rFonts w:ascii="Arial" w:hAnsi="Arial" w:cs="Arial"/>
                <w:sz w:val="20"/>
                <w:szCs w:val="20"/>
              </w:rPr>
              <w:t xml:space="preserve"> Pty Ltd.</w:t>
            </w:r>
          </w:p>
        </w:tc>
      </w:tr>
      <w:tr w:rsidR="006105F4" w:rsidRPr="00B451D3" w:rsidTr="00DC325B">
        <w:trPr>
          <w:trHeight w:val="19"/>
        </w:trPr>
        <w:tc>
          <w:tcPr>
            <w:tcW w:w="1809" w:type="dxa"/>
          </w:tcPr>
          <w:p w:rsidR="006105F4" w:rsidRDefault="006105F4" w:rsidP="00D00281">
            <w:pPr>
              <w:pStyle w:val="tablelabel"/>
              <w:spacing w:line="276" w:lineRule="auto"/>
              <w:rPr>
                <w:rFonts w:cs="Arial"/>
                <w:sz w:val="20"/>
              </w:rPr>
            </w:pPr>
            <w:r w:rsidRPr="00B159F9">
              <w:rPr>
                <w:rFonts w:cs="Arial"/>
                <w:sz w:val="20"/>
              </w:rPr>
              <w:t>References cited within the Committee’s advice</w:t>
            </w:r>
          </w:p>
        </w:tc>
        <w:tc>
          <w:tcPr>
            <w:tcW w:w="8159" w:type="dxa"/>
          </w:tcPr>
          <w:p w:rsidR="006105F4" w:rsidRDefault="006105F4" w:rsidP="00D00281">
            <w:pPr>
              <w:pStyle w:val="ListNumber"/>
              <w:tabs>
                <w:tab w:val="left" w:pos="34"/>
              </w:tabs>
              <w:spacing w:after="120" w:line="276" w:lineRule="auto"/>
              <w:ind w:left="34" w:firstLine="0"/>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8" w:history="1">
              <w:r w:rsidRPr="00073D84">
                <w:rPr>
                  <w:rStyle w:val="Hyperlink"/>
                  <w:rFonts w:ascii="Arial" w:hAnsi="Arial" w:cs="Arial"/>
                  <w:sz w:val="20"/>
                  <w:szCs w:val="20"/>
                </w:rPr>
                <w:t>http://www.environment.gov.au/coal-seam-gas-mining/project-advice/pubs/iesc-information-guidelines.pdf</w:t>
              </w:r>
            </w:hyperlink>
          </w:p>
          <w:p w:rsidR="006105F4" w:rsidRDefault="006105F4" w:rsidP="00D00281">
            <w:pPr>
              <w:pStyle w:val="ListNumber"/>
              <w:tabs>
                <w:tab w:val="left" w:pos="34"/>
              </w:tabs>
              <w:spacing w:after="120" w:line="276" w:lineRule="auto"/>
              <w:ind w:left="34" w:firstLine="0"/>
              <w:rPr>
                <w:rFonts w:ascii="Arial" w:hAnsi="Arial" w:cs="Arial"/>
                <w:sz w:val="20"/>
                <w:szCs w:val="20"/>
              </w:rPr>
            </w:pPr>
            <w:r w:rsidRPr="005034D1">
              <w:rPr>
                <w:rFonts w:ascii="Arial" w:hAnsi="Arial" w:cs="Arial"/>
                <w:sz w:val="20"/>
                <w:szCs w:val="20"/>
                <w:vertAlign w:val="superscript"/>
              </w:rPr>
              <w:t>2</w:t>
            </w:r>
            <w:r>
              <w:rPr>
                <w:rFonts w:ascii="Arial" w:hAnsi="Arial" w:cs="Arial"/>
                <w:sz w:val="20"/>
                <w:szCs w:val="20"/>
                <w:vertAlign w:val="superscript"/>
              </w:rPr>
              <w:t xml:space="preserve"> </w:t>
            </w:r>
            <w:r w:rsidR="00382FB4" w:rsidRPr="00D34790">
              <w:rPr>
                <w:rFonts w:ascii="Arial" w:hAnsi="Arial" w:cs="Arial"/>
                <w:sz w:val="20"/>
                <w:szCs w:val="20"/>
              </w:rPr>
              <w:t xml:space="preserve">NSW </w:t>
            </w:r>
            <w:r w:rsidR="00382FB4">
              <w:rPr>
                <w:rFonts w:ascii="Arial" w:hAnsi="Arial" w:cs="Arial"/>
                <w:sz w:val="20"/>
                <w:szCs w:val="20"/>
              </w:rPr>
              <w:t>Planning a</w:t>
            </w:r>
            <w:r w:rsidR="00382FB4" w:rsidRPr="00D34790">
              <w:rPr>
                <w:rFonts w:ascii="Arial" w:hAnsi="Arial" w:cs="Arial"/>
                <w:sz w:val="20"/>
                <w:szCs w:val="20"/>
              </w:rPr>
              <w:t xml:space="preserve">nd Assessment Commission 2012. </w:t>
            </w:r>
            <w:proofErr w:type="spellStart"/>
            <w:r w:rsidR="00382FB4" w:rsidRPr="00D34790">
              <w:rPr>
                <w:rFonts w:ascii="Arial" w:hAnsi="Arial" w:cs="Arial"/>
                <w:sz w:val="20"/>
                <w:szCs w:val="20"/>
              </w:rPr>
              <w:t>Coalpac</w:t>
            </w:r>
            <w:proofErr w:type="spellEnd"/>
            <w:r w:rsidR="00382FB4" w:rsidRPr="00D34790">
              <w:rPr>
                <w:rFonts w:ascii="Arial" w:hAnsi="Arial" w:cs="Arial"/>
                <w:sz w:val="20"/>
                <w:szCs w:val="20"/>
              </w:rPr>
              <w:t xml:space="preserve"> Consolidation Review Main Report.</w:t>
            </w:r>
          </w:p>
          <w:p w:rsidR="006105F4" w:rsidRPr="00D34790" w:rsidRDefault="006105F4" w:rsidP="00382FB4">
            <w:pPr>
              <w:pStyle w:val="ListNumber"/>
              <w:tabs>
                <w:tab w:val="left" w:pos="34"/>
              </w:tabs>
              <w:spacing w:after="120" w:line="276" w:lineRule="auto"/>
              <w:ind w:left="34" w:firstLine="0"/>
              <w:rPr>
                <w:rFonts w:ascii="Arial" w:hAnsi="Arial" w:cs="Arial"/>
                <w:sz w:val="20"/>
                <w:szCs w:val="20"/>
              </w:rPr>
            </w:pPr>
          </w:p>
        </w:tc>
      </w:tr>
    </w:tbl>
    <w:p w:rsidR="006105F4" w:rsidRPr="00062A46" w:rsidRDefault="006105F4" w:rsidP="00DC325B"/>
    <w:sectPr w:rsidR="006105F4" w:rsidRPr="00062A46" w:rsidSect="00FA4CF0">
      <w:head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C6" w:rsidRDefault="00194FC6" w:rsidP="00A60185">
      <w:r>
        <w:separator/>
      </w:r>
    </w:p>
  </w:endnote>
  <w:endnote w:type="continuationSeparator" w:id="0">
    <w:p w:rsidR="00194FC6" w:rsidRDefault="00194FC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C6" w:rsidRPr="00185039" w:rsidRDefault="00C60544">
    <w:pPr>
      <w:pStyle w:val="Footer"/>
      <w:jc w:val="center"/>
      <w:rPr>
        <w:rFonts w:ascii="Arial" w:hAnsi="Arial" w:cs="Arial"/>
        <w:sz w:val="20"/>
        <w:szCs w:val="20"/>
      </w:rPr>
    </w:pPr>
    <w:r w:rsidRPr="00185039">
      <w:rPr>
        <w:rFonts w:ascii="Arial" w:hAnsi="Arial" w:cs="Arial"/>
        <w:sz w:val="20"/>
        <w:szCs w:val="20"/>
      </w:rPr>
      <w:fldChar w:fldCharType="begin"/>
    </w:r>
    <w:r w:rsidR="00194FC6"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476806">
      <w:rPr>
        <w:rFonts w:ascii="Arial" w:hAnsi="Arial" w:cs="Arial"/>
        <w:noProof/>
        <w:sz w:val="20"/>
        <w:szCs w:val="20"/>
      </w:rPr>
      <w:t>6</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C6" w:rsidRPr="00AD72CA" w:rsidRDefault="00D476C5" w:rsidP="00073D84">
    <w:pPr>
      <w:pStyle w:val="Footer"/>
      <w:tabs>
        <w:tab w:val="clear" w:pos="4513"/>
        <w:tab w:val="clear" w:pos="9026"/>
        <w:tab w:val="right" w:pos="9212"/>
      </w:tabs>
      <w:rPr>
        <w:rFonts w:ascii="Arial" w:hAnsi="Arial" w:cs="Arial"/>
        <w:sz w:val="20"/>
        <w:szCs w:val="20"/>
      </w:rPr>
    </w:pPr>
    <w:r w:rsidRPr="00AD72CA">
      <w:rPr>
        <w:rFonts w:ascii="Arial" w:hAnsi="Arial" w:cs="Arial"/>
        <w:color w:val="000000" w:themeColor="text1"/>
        <w:sz w:val="20"/>
        <w:szCs w:val="20"/>
      </w:rPr>
      <w:t xml:space="preserve">Final </w:t>
    </w:r>
    <w:r w:rsidR="00194FC6" w:rsidRPr="00AD72CA">
      <w:rPr>
        <w:rFonts w:ascii="Arial" w:hAnsi="Arial" w:cs="Arial"/>
        <w:color w:val="000000" w:themeColor="text1"/>
        <w:sz w:val="20"/>
        <w:szCs w:val="20"/>
      </w:rPr>
      <w:t>A</w:t>
    </w:r>
    <w:r w:rsidR="00194FC6" w:rsidRPr="00AD72CA">
      <w:rPr>
        <w:rFonts w:ascii="Arial" w:hAnsi="Arial" w:cs="Arial"/>
        <w:sz w:val="20"/>
        <w:szCs w:val="20"/>
      </w:rPr>
      <w:t>dvice</w:t>
    </w:r>
    <w:r w:rsidR="00194FC6" w:rsidRPr="00AD72CA">
      <w:rPr>
        <w:rFonts w:ascii="Arial" w:hAnsi="Arial" w:cs="Arial"/>
        <w:color w:val="FF0000"/>
        <w:sz w:val="20"/>
        <w:szCs w:val="20"/>
      </w:rPr>
      <w:tab/>
    </w:r>
    <w:r w:rsidR="00194FC6" w:rsidRPr="00AD72CA">
      <w:rPr>
        <w:rFonts w:ascii="Arial" w:hAnsi="Arial" w:cs="Arial"/>
        <w:color w:val="000000" w:themeColor="text1"/>
        <w:sz w:val="20"/>
        <w:szCs w:val="20"/>
      </w:rPr>
      <w:t>27 June 2013</w:t>
    </w:r>
  </w:p>
  <w:p w:rsidR="00194FC6" w:rsidRPr="00062A46" w:rsidRDefault="00C60544"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194FC6"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476806">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C6" w:rsidRDefault="00194FC6" w:rsidP="00A60185">
      <w:r>
        <w:separator/>
      </w:r>
    </w:p>
  </w:footnote>
  <w:footnote w:type="continuationSeparator" w:id="0">
    <w:p w:rsidR="00194FC6" w:rsidRDefault="00194FC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C6" w:rsidRDefault="00194FC6"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C6" w:rsidRDefault="00194FC6"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FCCA0DC"/>
    <w:lvl w:ilvl="0">
      <w:start w:val="1"/>
      <w:numFmt w:val="bullet"/>
      <w:pStyle w:val="ListNumber5"/>
      <w:lvlText w:val=""/>
      <w:lvlJc w:val="left"/>
      <w:pPr>
        <w:tabs>
          <w:tab w:val="num" w:pos="1492"/>
        </w:tabs>
        <w:ind w:left="1492" w:hanging="360"/>
      </w:pPr>
      <w:rPr>
        <w:rFonts w:ascii="Symbol" w:hAnsi="Symbol" w:hint="default"/>
      </w:r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nsid w:val="2DDF0E06"/>
    <w:multiLevelType w:val="hybridMultilevel"/>
    <w:tmpl w:val="65E8F43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3BC540AA"/>
    <w:multiLevelType w:val="multilevel"/>
    <w:tmpl w:val="F81CE9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5456429"/>
    <w:multiLevelType w:val="multilevel"/>
    <w:tmpl w:val="F008E71C"/>
    <w:lvl w:ilvl="0">
      <w:start w:val="1"/>
      <w:numFmt w:val="decimal"/>
      <w:lvlText w:val="%1."/>
      <w:lvlJc w:val="left"/>
      <w:pPr>
        <w:ind w:left="369" w:hanging="369"/>
      </w:pPr>
      <w:rPr>
        <w:rFonts w:ascii="Arial" w:hAnsi="Arial" w:cs="Times New Roman" w:hint="default"/>
        <w:sz w:val="20"/>
        <w:szCs w:val="20"/>
      </w:rPr>
    </w:lvl>
    <w:lvl w:ilvl="1">
      <w:start w:val="1"/>
      <w:numFmt w:val="lowerLetter"/>
      <w:pStyle w:val="ListNumber2"/>
      <w:lvlText w:val="%2."/>
      <w:lvlJc w:val="left"/>
      <w:pPr>
        <w:ind w:left="1078" w:hanging="369"/>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2">
      <w:start w:val="1"/>
      <w:numFmt w:val="lowerLetter"/>
      <w:lvlText w:val="%3."/>
      <w:lvlJc w:val="left"/>
      <w:pPr>
        <w:ind w:left="1107" w:hanging="369"/>
      </w:pPr>
      <w:rPr>
        <w:rFonts w:hint="default"/>
        <w:sz w:val="20"/>
        <w:szCs w:val="20"/>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7">
    <w:nsid w:val="68985FD3"/>
    <w:multiLevelType w:val="hybridMultilevel"/>
    <w:tmpl w:val="B720F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0"/>
  </w:num>
  <w:num w:numId="2">
    <w:abstractNumId w:val="8"/>
  </w:num>
  <w:num w:numId="3">
    <w:abstractNumId w:val="1"/>
  </w:num>
  <w:num w:numId="4">
    <w:abstractNumId w:val="4"/>
  </w:num>
  <w:num w:numId="5">
    <w:abstractNumId w:val="3"/>
  </w:num>
  <w:num w:numId="6">
    <w:abstractNumId w:val="6"/>
  </w:num>
  <w:num w:numId="7">
    <w:abstractNumId w:val="2"/>
  </w:num>
  <w:num w:numId="8">
    <w:abstractNumId w:val="5"/>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1275D"/>
    <w:rsid w:val="00002323"/>
    <w:rsid w:val="000023BB"/>
    <w:rsid w:val="00004AEE"/>
    <w:rsid w:val="00004CA5"/>
    <w:rsid w:val="00005CAA"/>
    <w:rsid w:val="00006C68"/>
    <w:rsid w:val="00010210"/>
    <w:rsid w:val="00012D66"/>
    <w:rsid w:val="00012E18"/>
    <w:rsid w:val="00015ADA"/>
    <w:rsid w:val="00020C99"/>
    <w:rsid w:val="00022105"/>
    <w:rsid w:val="0002707B"/>
    <w:rsid w:val="00031B32"/>
    <w:rsid w:val="000330F0"/>
    <w:rsid w:val="000440FD"/>
    <w:rsid w:val="00045407"/>
    <w:rsid w:val="0005148E"/>
    <w:rsid w:val="0005251F"/>
    <w:rsid w:val="000547F0"/>
    <w:rsid w:val="00057797"/>
    <w:rsid w:val="00062A46"/>
    <w:rsid w:val="000636A4"/>
    <w:rsid w:val="00073A15"/>
    <w:rsid w:val="00073D84"/>
    <w:rsid w:val="000759E5"/>
    <w:rsid w:val="0007601C"/>
    <w:rsid w:val="00084AC6"/>
    <w:rsid w:val="00090A5C"/>
    <w:rsid w:val="00091608"/>
    <w:rsid w:val="0009196E"/>
    <w:rsid w:val="00092F92"/>
    <w:rsid w:val="0009333C"/>
    <w:rsid w:val="0009704F"/>
    <w:rsid w:val="000A0D84"/>
    <w:rsid w:val="000A0F11"/>
    <w:rsid w:val="000A125A"/>
    <w:rsid w:val="000A228F"/>
    <w:rsid w:val="000A49FE"/>
    <w:rsid w:val="000A57CD"/>
    <w:rsid w:val="000A6BEE"/>
    <w:rsid w:val="000B120C"/>
    <w:rsid w:val="000B2E9B"/>
    <w:rsid w:val="000B3709"/>
    <w:rsid w:val="000B3758"/>
    <w:rsid w:val="000B6342"/>
    <w:rsid w:val="000B6530"/>
    <w:rsid w:val="000B7681"/>
    <w:rsid w:val="000B7B42"/>
    <w:rsid w:val="000C02B7"/>
    <w:rsid w:val="000C2814"/>
    <w:rsid w:val="000C451B"/>
    <w:rsid w:val="000C5342"/>
    <w:rsid w:val="000C706A"/>
    <w:rsid w:val="000D2887"/>
    <w:rsid w:val="000D6D63"/>
    <w:rsid w:val="000D706B"/>
    <w:rsid w:val="000D7810"/>
    <w:rsid w:val="000E0081"/>
    <w:rsid w:val="000E07CF"/>
    <w:rsid w:val="000E3BAD"/>
    <w:rsid w:val="00100BEF"/>
    <w:rsid w:val="00102E17"/>
    <w:rsid w:val="0010680A"/>
    <w:rsid w:val="0011498E"/>
    <w:rsid w:val="00117A45"/>
    <w:rsid w:val="001224AE"/>
    <w:rsid w:val="00123035"/>
    <w:rsid w:val="00126762"/>
    <w:rsid w:val="001275AC"/>
    <w:rsid w:val="00130F83"/>
    <w:rsid w:val="001337D4"/>
    <w:rsid w:val="001340EA"/>
    <w:rsid w:val="00147C12"/>
    <w:rsid w:val="00150F7D"/>
    <w:rsid w:val="001527A1"/>
    <w:rsid w:val="001530DC"/>
    <w:rsid w:val="00154989"/>
    <w:rsid w:val="00155A9F"/>
    <w:rsid w:val="0015684F"/>
    <w:rsid w:val="00157864"/>
    <w:rsid w:val="00160262"/>
    <w:rsid w:val="00160B1D"/>
    <w:rsid w:val="001614C5"/>
    <w:rsid w:val="0016186F"/>
    <w:rsid w:val="00161BE2"/>
    <w:rsid w:val="0016281C"/>
    <w:rsid w:val="0016433A"/>
    <w:rsid w:val="0016669C"/>
    <w:rsid w:val="0016780A"/>
    <w:rsid w:val="001713FA"/>
    <w:rsid w:val="00173EBF"/>
    <w:rsid w:val="001765DA"/>
    <w:rsid w:val="0018134D"/>
    <w:rsid w:val="00181B14"/>
    <w:rsid w:val="001842A2"/>
    <w:rsid w:val="00185039"/>
    <w:rsid w:val="00187FA8"/>
    <w:rsid w:val="00190C4C"/>
    <w:rsid w:val="001922D0"/>
    <w:rsid w:val="00192F5E"/>
    <w:rsid w:val="00194FC6"/>
    <w:rsid w:val="00197772"/>
    <w:rsid w:val="001A51C8"/>
    <w:rsid w:val="001B2511"/>
    <w:rsid w:val="001B472B"/>
    <w:rsid w:val="001B4CA8"/>
    <w:rsid w:val="001C123A"/>
    <w:rsid w:val="001C1307"/>
    <w:rsid w:val="001C4F3D"/>
    <w:rsid w:val="001C6668"/>
    <w:rsid w:val="001D0CDC"/>
    <w:rsid w:val="001D100C"/>
    <w:rsid w:val="001D1D82"/>
    <w:rsid w:val="001D5E29"/>
    <w:rsid w:val="001E1182"/>
    <w:rsid w:val="001F0E8B"/>
    <w:rsid w:val="001F27BD"/>
    <w:rsid w:val="001F29E1"/>
    <w:rsid w:val="001F5933"/>
    <w:rsid w:val="00200944"/>
    <w:rsid w:val="00202C90"/>
    <w:rsid w:val="002070F2"/>
    <w:rsid w:val="00213DE8"/>
    <w:rsid w:val="00216118"/>
    <w:rsid w:val="002209AB"/>
    <w:rsid w:val="002251E3"/>
    <w:rsid w:val="00227A95"/>
    <w:rsid w:val="002316BD"/>
    <w:rsid w:val="002336F3"/>
    <w:rsid w:val="0024454F"/>
    <w:rsid w:val="0024619A"/>
    <w:rsid w:val="002473FC"/>
    <w:rsid w:val="00252E3C"/>
    <w:rsid w:val="00262198"/>
    <w:rsid w:val="002642FD"/>
    <w:rsid w:val="00285F1B"/>
    <w:rsid w:val="002910D7"/>
    <w:rsid w:val="00292B81"/>
    <w:rsid w:val="0029322E"/>
    <w:rsid w:val="002956DD"/>
    <w:rsid w:val="00296477"/>
    <w:rsid w:val="002974BC"/>
    <w:rsid w:val="002A5EC3"/>
    <w:rsid w:val="002A7E79"/>
    <w:rsid w:val="002B18AE"/>
    <w:rsid w:val="002B6472"/>
    <w:rsid w:val="002B67D3"/>
    <w:rsid w:val="002C1C93"/>
    <w:rsid w:val="002C20C9"/>
    <w:rsid w:val="002C255E"/>
    <w:rsid w:val="002C3EC5"/>
    <w:rsid w:val="002C3F9F"/>
    <w:rsid w:val="002C5066"/>
    <w:rsid w:val="002D352B"/>
    <w:rsid w:val="002D3880"/>
    <w:rsid w:val="002D4AAC"/>
    <w:rsid w:val="002D6C33"/>
    <w:rsid w:val="002E4B9B"/>
    <w:rsid w:val="002E5453"/>
    <w:rsid w:val="002E5BB4"/>
    <w:rsid w:val="002F045A"/>
    <w:rsid w:val="002F0B8E"/>
    <w:rsid w:val="002F4B16"/>
    <w:rsid w:val="0030039D"/>
    <w:rsid w:val="00300715"/>
    <w:rsid w:val="0030326F"/>
    <w:rsid w:val="00303DFF"/>
    <w:rsid w:val="00310701"/>
    <w:rsid w:val="00311510"/>
    <w:rsid w:val="00315980"/>
    <w:rsid w:val="00316F7F"/>
    <w:rsid w:val="00320162"/>
    <w:rsid w:val="0032087E"/>
    <w:rsid w:val="003218E8"/>
    <w:rsid w:val="00330DCE"/>
    <w:rsid w:val="00331E11"/>
    <w:rsid w:val="00334761"/>
    <w:rsid w:val="00337EBC"/>
    <w:rsid w:val="0034033E"/>
    <w:rsid w:val="00341DCD"/>
    <w:rsid w:val="0034504D"/>
    <w:rsid w:val="0034563E"/>
    <w:rsid w:val="003460D6"/>
    <w:rsid w:val="003504CC"/>
    <w:rsid w:val="003518D6"/>
    <w:rsid w:val="0035460C"/>
    <w:rsid w:val="003556BD"/>
    <w:rsid w:val="00362B1E"/>
    <w:rsid w:val="00365147"/>
    <w:rsid w:val="00365179"/>
    <w:rsid w:val="0037016E"/>
    <w:rsid w:val="00370E55"/>
    <w:rsid w:val="00372908"/>
    <w:rsid w:val="0037479A"/>
    <w:rsid w:val="00376457"/>
    <w:rsid w:val="0037715D"/>
    <w:rsid w:val="00381917"/>
    <w:rsid w:val="00382FB4"/>
    <w:rsid w:val="00383020"/>
    <w:rsid w:val="00383943"/>
    <w:rsid w:val="00395E71"/>
    <w:rsid w:val="003975FD"/>
    <w:rsid w:val="003A0593"/>
    <w:rsid w:val="003A73FF"/>
    <w:rsid w:val="003A7A22"/>
    <w:rsid w:val="003A7A72"/>
    <w:rsid w:val="003B08A6"/>
    <w:rsid w:val="003B60CC"/>
    <w:rsid w:val="003C1B25"/>
    <w:rsid w:val="003C2443"/>
    <w:rsid w:val="003C31E0"/>
    <w:rsid w:val="003C400E"/>
    <w:rsid w:val="003C4345"/>
    <w:rsid w:val="003C5DA3"/>
    <w:rsid w:val="003C6F98"/>
    <w:rsid w:val="003D4BCD"/>
    <w:rsid w:val="003E01D8"/>
    <w:rsid w:val="003E2100"/>
    <w:rsid w:val="003E53CA"/>
    <w:rsid w:val="003E7239"/>
    <w:rsid w:val="003F0CB7"/>
    <w:rsid w:val="003F6F5B"/>
    <w:rsid w:val="004030E8"/>
    <w:rsid w:val="0040342D"/>
    <w:rsid w:val="00403589"/>
    <w:rsid w:val="00403FB9"/>
    <w:rsid w:val="00404858"/>
    <w:rsid w:val="00410EC5"/>
    <w:rsid w:val="0041192D"/>
    <w:rsid w:val="0041275D"/>
    <w:rsid w:val="00413EE1"/>
    <w:rsid w:val="0042128E"/>
    <w:rsid w:val="0042465A"/>
    <w:rsid w:val="00432B60"/>
    <w:rsid w:val="00440698"/>
    <w:rsid w:val="00440F0F"/>
    <w:rsid w:val="00451252"/>
    <w:rsid w:val="004523C9"/>
    <w:rsid w:val="0045322F"/>
    <w:rsid w:val="004540E2"/>
    <w:rsid w:val="00454454"/>
    <w:rsid w:val="00457229"/>
    <w:rsid w:val="00467924"/>
    <w:rsid w:val="004712A5"/>
    <w:rsid w:val="0047266F"/>
    <w:rsid w:val="00476806"/>
    <w:rsid w:val="00476D6B"/>
    <w:rsid w:val="0049013A"/>
    <w:rsid w:val="00492C16"/>
    <w:rsid w:val="004A0678"/>
    <w:rsid w:val="004A2E41"/>
    <w:rsid w:val="004A48A3"/>
    <w:rsid w:val="004A68C6"/>
    <w:rsid w:val="004B03D2"/>
    <w:rsid w:val="004B0D92"/>
    <w:rsid w:val="004B0EC0"/>
    <w:rsid w:val="004B66F1"/>
    <w:rsid w:val="004C3B7B"/>
    <w:rsid w:val="004C3EA0"/>
    <w:rsid w:val="004D220B"/>
    <w:rsid w:val="004E7818"/>
    <w:rsid w:val="004F34F3"/>
    <w:rsid w:val="004F39F9"/>
    <w:rsid w:val="004F3D69"/>
    <w:rsid w:val="004F7169"/>
    <w:rsid w:val="00500D66"/>
    <w:rsid w:val="00501EA5"/>
    <w:rsid w:val="005034D1"/>
    <w:rsid w:val="005036A6"/>
    <w:rsid w:val="00506743"/>
    <w:rsid w:val="00512FAB"/>
    <w:rsid w:val="00514C8E"/>
    <w:rsid w:val="00517F35"/>
    <w:rsid w:val="00523A57"/>
    <w:rsid w:val="00523ED3"/>
    <w:rsid w:val="005241E2"/>
    <w:rsid w:val="005270FE"/>
    <w:rsid w:val="00531DBF"/>
    <w:rsid w:val="005337FC"/>
    <w:rsid w:val="00534D03"/>
    <w:rsid w:val="00537E45"/>
    <w:rsid w:val="00543686"/>
    <w:rsid w:val="00545759"/>
    <w:rsid w:val="00545BE0"/>
    <w:rsid w:val="00545DF9"/>
    <w:rsid w:val="00554C6A"/>
    <w:rsid w:val="00562E85"/>
    <w:rsid w:val="0056332F"/>
    <w:rsid w:val="00565955"/>
    <w:rsid w:val="00571AF2"/>
    <w:rsid w:val="00581C39"/>
    <w:rsid w:val="00584F6B"/>
    <w:rsid w:val="005856D7"/>
    <w:rsid w:val="005903B6"/>
    <w:rsid w:val="0059259B"/>
    <w:rsid w:val="00592B20"/>
    <w:rsid w:val="00594092"/>
    <w:rsid w:val="005A0247"/>
    <w:rsid w:val="005A126E"/>
    <w:rsid w:val="005A1F49"/>
    <w:rsid w:val="005A452F"/>
    <w:rsid w:val="005A703F"/>
    <w:rsid w:val="005B140D"/>
    <w:rsid w:val="005C1FEA"/>
    <w:rsid w:val="005C3495"/>
    <w:rsid w:val="005C4FAF"/>
    <w:rsid w:val="005C6981"/>
    <w:rsid w:val="005D654D"/>
    <w:rsid w:val="005E13EA"/>
    <w:rsid w:val="005E3889"/>
    <w:rsid w:val="005E3DFC"/>
    <w:rsid w:val="005E60AF"/>
    <w:rsid w:val="005E7B4E"/>
    <w:rsid w:val="005F1DEA"/>
    <w:rsid w:val="005F4BD8"/>
    <w:rsid w:val="00601F61"/>
    <w:rsid w:val="00602FCB"/>
    <w:rsid w:val="00607FC9"/>
    <w:rsid w:val="006105F4"/>
    <w:rsid w:val="00610955"/>
    <w:rsid w:val="0061358E"/>
    <w:rsid w:val="0061490C"/>
    <w:rsid w:val="006158D9"/>
    <w:rsid w:val="00617CE0"/>
    <w:rsid w:val="00620369"/>
    <w:rsid w:val="006207FC"/>
    <w:rsid w:val="00622FE1"/>
    <w:rsid w:val="0062521C"/>
    <w:rsid w:val="00630A2B"/>
    <w:rsid w:val="00631D38"/>
    <w:rsid w:val="00632244"/>
    <w:rsid w:val="0063283F"/>
    <w:rsid w:val="00632DC7"/>
    <w:rsid w:val="006335F5"/>
    <w:rsid w:val="00633896"/>
    <w:rsid w:val="006357FB"/>
    <w:rsid w:val="006406FC"/>
    <w:rsid w:val="006439C1"/>
    <w:rsid w:val="0064407B"/>
    <w:rsid w:val="00646122"/>
    <w:rsid w:val="00653E16"/>
    <w:rsid w:val="00657220"/>
    <w:rsid w:val="0066104B"/>
    <w:rsid w:val="00661419"/>
    <w:rsid w:val="006655EE"/>
    <w:rsid w:val="00667C10"/>
    <w:rsid w:val="00667EF4"/>
    <w:rsid w:val="00672B85"/>
    <w:rsid w:val="00673B97"/>
    <w:rsid w:val="00674E59"/>
    <w:rsid w:val="00676FCA"/>
    <w:rsid w:val="00677177"/>
    <w:rsid w:val="0068056B"/>
    <w:rsid w:val="0068612E"/>
    <w:rsid w:val="00687858"/>
    <w:rsid w:val="00687C92"/>
    <w:rsid w:val="006903B7"/>
    <w:rsid w:val="0069534E"/>
    <w:rsid w:val="00696365"/>
    <w:rsid w:val="0069669C"/>
    <w:rsid w:val="006A0EF8"/>
    <w:rsid w:val="006A1200"/>
    <w:rsid w:val="006A2C5A"/>
    <w:rsid w:val="006A3073"/>
    <w:rsid w:val="006A4F4E"/>
    <w:rsid w:val="006A6CE6"/>
    <w:rsid w:val="006B14DB"/>
    <w:rsid w:val="006B21C4"/>
    <w:rsid w:val="006B2E98"/>
    <w:rsid w:val="006B47FF"/>
    <w:rsid w:val="006C2C24"/>
    <w:rsid w:val="006C3B35"/>
    <w:rsid w:val="006C4A1A"/>
    <w:rsid w:val="006C7DAD"/>
    <w:rsid w:val="006D0393"/>
    <w:rsid w:val="006D1575"/>
    <w:rsid w:val="006D1A83"/>
    <w:rsid w:val="006D5D1E"/>
    <w:rsid w:val="006E1CFE"/>
    <w:rsid w:val="006E31A2"/>
    <w:rsid w:val="006E433A"/>
    <w:rsid w:val="006F10C4"/>
    <w:rsid w:val="006F40E9"/>
    <w:rsid w:val="006F5603"/>
    <w:rsid w:val="00701400"/>
    <w:rsid w:val="007037CF"/>
    <w:rsid w:val="00703BB8"/>
    <w:rsid w:val="00705B2A"/>
    <w:rsid w:val="007130FC"/>
    <w:rsid w:val="00716583"/>
    <w:rsid w:val="007167C0"/>
    <w:rsid w:val="007179AF"/>
    <w:rsid w:val="00720481"/>
    <w:rsid w:val="00727C18"/>
    <w:rsid w:val="00727E2F"/>
    <w:rsid w:val="007327AB"/>
    <w:rsid w:val="00733193"/>
    <w:rsid w:val="0073430A"/>
    <w:rsid w:val="0073764F"/>
    <w:rsid w:val="00737CBA"/>
    <w:rsid w:val="00752FF8"/>
    <w:rsid w:val="00754488"/>
    <w:rsid w:val="007549CC"/>
    <w:rsid w:val="00754C17"/>
    <w:rsid w:val="0075727C"/>
    <w:rsid w:val="0075732A"/>
    <w:rsid w:val="00760262"/>
    <w:rsid w:val="0076310C"/>
    <w:rsid w:val="007643E3"/>
    <w:rsid w:val="0076744F"/>
    <w:rsid w:val="00767BCE"/>
    <w:rsid w:val="00767EFC"/>
    <w:rsid w:val="007707DE"/>
    <w:rsid w:val="00770B5D"/>
    <w:rsid w:val="007752F1"/>
    <w:rsid w:val="00776768"/>
    <w:rsid w:val="0077706F"/>
    <w:rsid w:val="00782D61"/>
    <w:rsid w:val="00783E75"/>
    <w:rsid w:val="00790154"/>
    <w:rsid w:val="00791024"/>
    <w:rsid w:val="007921C6"/>
    <w:rsid w:val="00794818"/>
    <w:rsid w:val="00794AA9"/>
    <w:rsid w:val="007974D2"/>
    <w:rsid w:val="007A2573"/>
    <w:rsid w:val="007A3B9C"/>
    <w:rsid w:val="007B106C"/>
    <w:rsid w:val="007B1A4E"/>
    <w:rsid w:val="007B3D05"/>
    <w:rsid w:val="007B5503"/>
    <w:rsid w:val="007C6424"/>
    <w:rsid w:val="007C6BB3"/>
    <w:rsid w:val="007D14B4"/>
    <w:rsid w:val="007D3AD7"/>
    <w:rsid w:val="007E24F6"/>
    <w:rsid w:val="007E30E6"/>
    <w:rsid w:val="007E688A"/>
    <w:rsid w:val="007F283F"/>
    <w:rsid w:val="007F3D21"/>
    <w:rsid w:val="00800F64"/>
    <w:rsid w:val="00802F0B"/>
    <w:rsid w:val="00810A67"/>
    <w:rsid w:val="0081110C"/>
    <w:rsid w:val="00816D4A"/>
    <w:rsid w:val="00825A33"/>
    <w:rsid w:val="00833CF7"/>
    <w:rsid w:val="0083499D"/>
    <w:rsid w:val="00835A25"/>
    <w:rsid w:val="00841669"/>
    <w:rsid w:val="00845601"/>
    <w:rsid w:val="008524B9"/>
    <w:rsid w:val="00854173"/>
    <w:rsid w:val="00855C5C"/>
    <w:rsid w:val="0086233C"/>
    <w:rsid w:val="008624F5"/>
    <w:rsid w:val="00862CC2"/>
    <w:rsid w:val="00865CFA"/>
    <w:rsid w:val="008741E4"/>
    <w:rsid w:val="00875CD4"/>
    <w:rsid w:val="008807F4"/>
    <w:rsid w:val="00883CE7"/>
    <w:rsid w:val="00887848"/>
    <w:rsid w:val="00893FA5"/>
    <w:rsid w:val="0089717F"/>
    <w:rsid w:val="008A187F"/>
    <w:rsid w:val="008A3C96"/>
    <w:rsid w:val="008B0BBA"/>
    <w:rsid w:val="008B1627"/>
    <w:rsid w:val="008B4019"/>
    <w:rsid w:val="008B505F"/>
    <w:rsid w:val="008B65C9"/>
    <w:rsid w:val="008C2D4A"/>
    <w:rsid w:val="008C6215"/>
    <w:rsid w:val="008C6A05"/>
    <w:rsid w:val="008C7DBB"/>
    <w:rsid w:val="008D3900"/>
    <w:rsid w:val="008D6E1D"/>
    <w:rsid w:val="008D6EDB"/>
    <w:rsid w:val="008E19A5"/>
    <w:rsid w:val="008E2EDA"/>
    <w:rsid w:val="008E36FE"/>
    <w:rsid w:val="008F39B4"/>
    <w:rsid w:val="008F4162"/>
    <w:rsid w:val="00903E02"/>
    <w:rsid w:val="00903FCB"/>
    <w:rsid w:val="00904ABF"/>
    <w:rsid w:val="00907381"/>
    <w:rsid w:val="00910577"/>
    <w:rsid w:val="009115F4"/>
    <w:rsid w:val="00913175"/>
    <w:rsid w:val="009161D8"/>
    <w:rsid w:val="00916EDB"/>
    <w:rsid w:val="00920861"/>
    <w:rsid w:val="00922B13"/>
    <w:rsid w:val="009242EF"/>
    <w:rsid w:val="00925B37"/>
    <w:rsid w:val="00932291"/>
    <w:rsid w:val="0093373D"/>
    <w:rsid w:val="0093408E"/>
    <w:rsid w:val="00940183"/>
    <w:rsid w:val="00947507"/>
    <w:rsid w:val="00951747"/>
    <w:rsid w:val="00952147"/>
    <w:rsid w:val="00952DDF"/>
    <w:rsid w:val="00952EC4"/>
    <w:rsid w:val="00972175"/>
    <w:rsid w:val="00972423"/>
    <w:rsid w:val="009812D4"/>
    <w:rsid w:val="00982653"/>
    <w:rsid w:val="00982803"/>
    <w:rsid w:val="009829AF"/>
    <w:rsid w:val="009873F4"/>
    <w:rsid w:val="009920D8"/>
    <w:rsid w:val="00993AD6"/>
    <w:rsid w:val="00996857"/>
    <w:rsid w:val="009A2A12"/>
    <w:rsid w:val="009A3334"/>
    <w:rsid w:val="009A371F"/>
    <w:rsid w:val="009B38BE"/>
    <w:rsid w:val="009B4556"/>
    <w:rsid w:val="009B5020"/>
    <w:rsid w:val="009B6604"/>
    <w:rsid w:val="009B682F"/>
    <w:rsid w:val="009C3D0F"/>
    <w:rsid w:val="009D3797"/>
    <w:rsid w:val="009D6232"/>
    <w:rsid w:val="009E1B19"/>
    <w:rsid w:val="009F35E2"/>
    <w:rsid w:val="009F438B"/>
    <w:rsid w:val="009F65F9"/>
    <w:rsid w:val="009F68BA"/>
    <w:rsid w:val="00A00AF5"/>
    <w:rsid w:val="00A01507"/>
    <w:rsid w:val="00A02C41"/>
    <w:rsid w:val="00A06277"/>
    <w:rsid w:val="00A079DC"/>
    <w:rsid w:val="00A102FC"/>
    <w:rsid w:val="00A10BAB"/>
    <w:rsid w:val="00A111C2"/>
    <w:rsid w:val="00A17C39"/>
    <w:rsid w:val="00A22C00"/>
    <w:rsid w:val="00A23013"/>
    <w:rsid w:val="00A238AA"/>
    <w:rsid w:val="00A251DE"/>
    <w:rsid w:val="00A25BDA"/>
    <w:rsid w:val="00A338E7"/>
    <w:rsid w:val="00A35CAA"/>
    <w:rsid w:val="00A36E7F"/>
    <w:rsid w:val="00A4189F"/>
    <w:rsid w:val="00A41E65"/>
    <w:rsid w:val="00A426F9"/>
    <w:rsid w:val="00A43517"/>
    <w:rsid w:val="00A43E0A"/>
    <w:rsid w:val="00A46247"/>
    <w:rsid w:val="00A530C7"/>
    <w:rsid w:val="00A55F5B"/>
    <w:rsid w:val="00A60185"/>
    <w:rsid w:val="00A661EA"/>
    <w:rsid w:val="00A6775C"/>
    <w:rsid w:val="00A703B4"/>
    <w:rsid w:val="00A70A6C"/>
    <w:rsid w:val="00A73938"/>
    <w:rsid w:val="00A764A0"/>
    <w:rsid w:val="00A81853"/>
    <w:rsid w:val="00A830E5"/>
    <w:rsid w:val="00A87135"/>
    <w:rsid w:val="00A93280"/>
    <w:rsid w:val="00A951EA"/>
    <w:rsid w:val="00A961A6"/>
    <w:rsid w:val="00A973E1"/>
    <w:rsid w:val="00AA1C65"/>
    <w:rsid w:val="00AA1FC6"/>
    <w:rsid w:val="00AA2548"/>
    <w:rsid w:val="00AA3B6E"/>
    <w:rsid w:val="00AA444C"/>
    <w:rsid w:val="00AA4FC2"/>
    <w:rsid w:val="00AA58C4"/>
    <w:rsid w:val="00AB11C8"/>
    <w:rsid w:val="00AB2C8C"/>
    <w:rsid w:val="00AC08A8"/>
    <w:rsid w:val="00AD56C8"/>
    <w:rsid w:val="00AD58F2"/>
    <w:rsid w:val="00AD66CF"/>
    <w:rsid w:val="00AD72CA"/>
    <w:rsid w:val="00AE31C4"/>
    <w:rsid w:val="00AF31E0"/>
    <w:rsid w:val="00AF5EA3"/>
    <w:rsid w:val="00AF6573"/>
    <w:rsid w:val="00AF737B"/>
    <w:rsid w:val="00AF7690"/>
    <w:rsid w:val="00B00D58"/>
    <w:rsid w:val="00B04DA2"/>
    <w:rsid w:val="00B0512A"/>
    <w:rsid w:val="00B0529F"/>
    <w:rsid w:val="00B05D52"/>
    <w:rsid w:val="00B115BD"/>
    <w:rsid w:val="00B1418B"/>
    <w:rsid w:val="00B151A0"/>
    <w:rsid w:val="00B1560E"/>
    <w:rsid w:val="00B159F9"/>
    <w:rsid w:val="00B161C9"/>
    <w:rsid w:val="00B21195"/>
    <w:rsid w:val="00B22B3D"/>
    <w:rsid w:val="00B2316B"/>
    <w:rsid w:val="00B24B22"/>
    <w:rsid w:val="00B25310"/>
    <w:rsid w:val="00B27C0E"/>
    <w:rsid w:val="00B32F8F"/>
    <w:rsid w:val="00B451D3"/>
    <w:rsid w:val="00B47C42"/>
    <w:rsid w:val="00B510B1"/>
    <w:rsid w:val="00B54DE9"/>
    <w:rsid w:val="00B553EC"/>
    <w:rsid w:val="00B55870"/>
    <w:rsid w:val="00B57602"/>
    <w:rsid w:val="00B57D87"/>
    <w:rsid w:val="00B63D90"/>
    <w:rsid w:val="00B64B7E"/>
    <w:rsid w:val="00B66E4B"/>
    <w:rsid w:val="00B77732"/>
    <w:rsid w:val="00B80D6D"/>
    <w:rsid w:val="00B84C2E"/>
    <w:rsid w:val="00B90881"/>
    <w:rsid w:val="00B9154F"/>
    <w:rsid w:val="00B93DD0"/>
    <w:rsid w:val="00B97732"/>
    <w:rsid w:val="00BA44CC"/>
    <w:rsid w:val="00BA561E"/>
    <w:rsid w:val="00BA56D7"/>
    <w:rsid w:val="00BA65A8"/>
    <w:rsid w:val="00BA6A97"/>
    <w:rsid w:val="00BA6D19"/>
    <w:rsid w:val="00BA7461"/>
    <w:rsid w:val="00BA7DA9"/>
    <w:rsid w:val="00BC4215"/>
    <w:rsid w:val="00BD0396"/>
    <w:rsid w:val="00BD0B1C"/>
    <w:rsid w:val="00BD0C7E"/>
    <w:rsid w:val="00BD1A6F"/>
    <w:rsid w:val="00BD2BFB"/>
    <w:rsid w:val="00BD5B71"/>
    <w:rsid w:val="00BD77F9"/>
    <w:rsid w:val="00BE1C8B"/>
    <w:rsid w:val="00BE6D3C"/>
    <w:rsid w:val="00BE7852"/>
    <w:rsid w:val="00BF061A"/>
    <w:rsid w:val="00BF3E38"/>
    <w:rsid w:val="00BF6664"/>
    <w:rsid w:val="00BF7CEE"/>
    <w:rsid w:val="00C02203"/>
    <w:rsid w:val="00C03880"/>
    <w:rsid w:val="00C0531E"/>
    <w:rsid w:val="00C075CF"/>
    <w:rsid w:val="00C135CF"/>
    <w:rsid w:val="00C2683F"/>
    <w:rsid w:val="00C30715"/>
    <w:rsid w:val="00C3184D"/>
    <w:rsid w:val="00C4714E"/>
    <w:rsid w:val="00C50941"/>
    <w:rsid w:val="00C5174E"/>
    <w:rsid w:val="00C524AF"/>
    <w:rsid w:val="00C53B60"/>
    <w:rsid w:val="00C5504F"/>
    <w:rsid w:val="00C55991"/>
    <w:rsid w:val="00C60544"/>
    <w:rsid w:val="00C63376"/>
    <w:rsid w:val="00C64299"/>
    <w:rsid w:val="00C65528"/>
    <w:rsid w:val="00C66CB4"/>
    <w:rsid w:val="00C713FD"/>
    <w:rsid w:val="00C74F97"/>
    <w:rsid w:val="00C76A08"/>
    <w:rsid w:val="00C803D7"/>
    <w:rsid w:val="00C81247"/>
    <w:rsid w:val="00C8276E"/>
    <w:rsid w:val="00C83AD1"/>
    <w:rsid w:val="00C842AC"/>
    <w:rsid w:val="00C853F9"/>
    <w:rsid w:val="00C85A73"/>
    <w:rsid w:val="00C86C0B"/>
    <w:rsid w:val="00C92AD5"/>
    <w:rsid w:val="00C93FD9"/>
    <w:rsid w:val="00C95E49"/>
    <w:rsid w:val="00C96688"/>
    <w:rsid w:val="00CA0723"/>
    <w:rsid w:val="00CA10A3"/>
    <w:rsid w:val="00CA4542"/>
    <w:rsid w:val="00CB1690"/>
    <w:rsid w:val="00CB6FD7"/>
    <w:rsid w:val="00CC4365"/>
    <w:rsid w:val="00CC5F20"/>
    <w:rsid w:val="00CD11B0"/>
    <w:rsid w:val="00CD5E0E"/>
    <w:rsid w:val="00CD65D4"/>
    <w:rsid w:val="00CE71C2"/>
    <w:rsid w:val="00CF14BA"/>
    <w:rsid w:val="00CF2242"/>
    <w:rsid w:val="00CF42D5"/>
    <w:rsid w:val="00CF4EDA"/>
    <w:rsid w:val="00CF4F8D"/>
    <w:rsid w:val="00D00281"/>
    <w:rsid w:val="00D01E11"/>
    <w:rsid w:val="00D021CB"/>
    <w:rsid w:val="00D10F1A"/>
    <w:rsid w:val="00D116F8"/>
    <w:rsid w:val="00D1328A"/>
    <w:rsid w:val="00D13541"/>
    <w:rsid w:val="00D15280"/>
    <w:rsid w:val="00D17596"/>
    <w:rsid w:val="00D21A64"/>
    <w:rsid w:val="00D22640"/>
    <w:rsid w:val="00D264CE"/>
    <w:rsid w:val="00D26D3A"/>
    <w:rsid w:val="00D270B1"/>
    <w:rsid w:val="00D31B1F"/>
    <w:rsid w:val="00D32B57"/>
    <w:rsid w:val="00D34790"/>
    <w:rsid w:val="00D36649"/>
    <w:rsid w:val="00D45C91"/>
    <w:rsid w:val="00D45EE3"/>
    <w:rsid w:val="00D476C5"/>
    <w:rsid w:val="00D50618"/>
    <w:rsid w:val="00D509E9"/>
    <w:rsid w:val="00D51931"/>
    <w:rsid w:val="00D53B1C"/>
    <w:rsid w:val="00D54F7C"/>
    <w:rsid w:val="00D552CB"/>
    <w:rsid w:val="00D65246"/>
    <w:rsid w:val="00D652C8"/>
    <w:rsid w:val="00D656FF"/>
    <w:rsid w:val="00D80217"/>
    <w:rsid w:val="00D82448"/>
    <w:rsid w:val="00D83615"/>
    <w:rsid w:val="00D97037"/>
    <w:rsid w:val="00DA1B12"/>
    <w:rsid w:val="00DA4F90"/>
    <w:rsid w:val="00DA4FA0"/>
    <w:rsid w:val="00DA54C9"/>
    <w:rsid w:val="00DA6739"/>
    <w:rsid w:val="00DA6CAE"/>
    <w:rsid w:val="00DB1A9E"/>
    <w:rsid w:val="00DB2524"/>
    <w:rsid w:val="00DB2F51"/>
    <w:rsid w:val="00DB31D6"/>
    <w:rsid w:val="00DB3296"/>
    <w:rsid w:val="00DB4005"/>
    <w:rsid w:val="00DB61F1"/>
    <w:rsid w:val="00DB6938"/>
    <w:rsid w:val="00DC325B"/>
    <w:rsid w:val="00DC34EB"/>
    <w:rsid w:val="00DC78C0"/>
    <w:rsid w:val="00DE2C10"/>
    <w:rsid w:val="00DF14C9"/>
    <w:rsid w:val="00DF1E5B"/>
    <w:rsid w:val="00DF2275"/>
    <w:rsid w:val="00DF3F5E"/>
    <w:rsid w:val="00DF5653"/>
    <w:rsid w:val="00E020A7"/>
    <w:rsid w:val="00E0596E"/>
    <w:rsid w:val="00E05E19"/>
    <w:rsid w:val="00E06F66"/>
    <w:rsid w:val="00E075C6"/>
    <w:rsid w:val="00E13AF4"/>
    <w:rsid w:val="00E173E7"/>
    <w:rsid w:val="00E17A8F"/>
    <w:rsid w:val="00E2111A"/>
    <w:rsid w:val="00E21678"/>
    <w:rsid w:val="00E23BA1"/>
    <w:rsid w:val="00E2785B"/>
    <w:rsid w:val="00E32675"/>
    <w:rsid w:val="00E3484C"/>
    <w:rsid w:val="00E356E5"/>
    <w:rsid w:val="00E36F81"/>
    <w:rsid w:val="00E378A8"/>
    <w:rsid w:val="00E40B24"/>
    <w:rsid w:val="00E40B9B"/>
    <w:rsid w:val="00E41255"/>
    <w:rsid w:val="00E4296B"/>
    <w:rsid w:val="00E4435C"/>
    <w:rsid w:val="00E45765"/>
    <w:rsid w:val="00E5098C"/>
    <w:rsid w:val="00E57E07"/>
    <w:rsid w:val="00E60213"/>
    <w:rsid w:val="00E661B2"/>
    <w:rsid w:val="00E73F24"/>
    <w:rsid w:val="00E74D29"/>
    <w:rsid w:val="00E806FF"/>
    <w:rsid w:val="00E83C74"/>
    <w:rsid w:val="00E83CEE"/>
    <w:rsid w:val="00E91F18"/>
    <w:rsid w:val="00E9226D"/>
    <w:rsid w:val="00EA416C"/>
    <w:rsid w:val="00EA5941"/>
    <w:rsid w:val="00EB60CE"/>
    <w:rsid w:val="00EB6751"/>
    <w:rsid w:val="00EB7298"/>
    <w:rsid w:val="00EB7D53"/>
    <w:rsid w:val="00EC53F0"/>
    <w:rsid w:val="00EC596B"/>
    <w:rsid w:val="00ED1383"/>
    <w:rsid w:val="00ED3882"/>
    <w:rsid w:val="00EE13C5"/>
    <w:rsid w:val="00EE27D7"/>
    <w:rsid w:val="00EE3146"/>
    <w:rsid w:val="00EE4B38"/>
    <w:rsid w:val="00EE6A96"/>
    <w:rsid w:val="00EF50BB"/>
    <w:rsid w:val="00EF71E4"/>
    <w:rsid w:val="00F00192"/>
    <w:rsid w:val="00F003E5"/>
    <w:rsid w:val="00F01DF6"/>
    <w:rsid w:val="00F027B8"/>
    <w:rsid w:val="00F0340D"/>
    <w:rsid w:val="00F059A6"/>
    <w:rsid w:val="00F07DFA"/>
    <w:rsid w:val="00F153FC"/>
    <w:rsid w:val="00F2277E"/>
    <w:rsid w:val="00F23756"/>
    <w:rsid w:val="00F2523A"/>
    <w:rsid w:val="00F25FFA"/>
    <w:rsid w:val="00F262EA"/>
    <w:rsid w:val="00F310D2"/>
    <w:rsid w:val="00F36F3D"/>
    <w:rsid w:val="00F374EC"/>
    <w:rsid w:val="00F37C48"/>
    <w:rsid w:val="00F477BD"/>
    <w:rsid w:val="00F50333"/>
    <w:rsid w:val="00F50373"/>
    <w:rsid w:val="00F519CE"/>
    <w:rsid w:val="00F53021"/>
    <w:rsid w:val="00F53491"/>
    <w:rsid w:val="00F53C86"/>
    <w:rsid w:val="00F54656"/>
    <w:rsid w:val="00F55386"/>
    <w:rsid w:val="00F56411"/>
    <w:rsid w:val="00F60181"/>
    <w:rsid w:val="00F61889"/>
    <w:rsid w:val="00F65369"/>
    <w:rsid w:val="00F65A1C"/>
    <w:rsid w:val="00F66F50"/>
    <w:rsid w:val="00F67AE0"/>
    <w:rsid w:val="00F73813"/>
    <w:rsid w:val="00F77432"/>
    <w:rsid w:val="00F81162"/>
    <w:rsid w:val="00F82FF8"/>
    <w:rsid w:val="00F8330D"/>
    <w:rsid w:val="00F84305"/>
    <w:rsid w:val="00F84485"/>
    <w:rsid w:val="00F8485C"/>
    <w:rsid w:val="00F87149"/>
    <w:rsid w:val="00F87FFE"/>
    <w:rsid w:val="00F902D1"/>
    <w:rsid w:val="00F915ED"/>
    <w:rsid w:val="00F94422"/>
    <w:rsid w:val="00F954C9"/>
    <w:rsid w:val="00FA4CF0"/>
    <w:rsid w:val="00FA50F7"/>
    <w:rsid w:val="00FA61AA"/>
    <w:rsid w:val="00FA63AA"/>
    <w:rsid w:val="00FA69A4"/>
    <w:rsid w:val="00FB1279"/>
    <w:rsid w:val="00FB1495"/>
    <w:rsid w:val="00FB5D86"/>
    <w:rsid w:val="00FC20F8"/>
    <w:rsid w:val="00FC7563"/>
    <w:rsid w:val="00FD1694"/>
    <w:rsid w:val="00FD7636"/>
    <w:rsid w:val="00FE3229"/>
    <w:rsid w:val="00FE74C3"/>
    <w:rsid w:val="00FF17DE"/>
    <w:rsid w:val="00FF215C"/>
    <w:rsid w:val="00FF23FD"/>
    <w:rsid w:val="00FF49E8"/>
    <w:rsid w:val="00FF4B4D"/>
    <w:rsid w:val="00FF5B8D"/>
    <w:rsid w:val="00FF61AD"/>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5"/>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6B47FF"/>
    <w:pPr>
      <w:numPr>
        <w:ilvl w:val="1"/>
        <w:numId w:val="6"/>
      </w:numPr>
      <w:spacing w:after="200" w:line="276" w:lineRule="auto"/>
    </w:pPr>
    <w:rPr>
      <w:rFonts w:ascii="Arial" w:hAnsi="Arial" w:cs="Arial"/>
      <w:sz w:val="20"/>
      <w:szCs w:val="20"/>
    </w:rPr>
  </w:style>
  <w:style w:type="paragraph" w:styleId="ListNumber3">
    <w:name w:val="List Number 3"/>
    <w:basedOn w:val="Normal"/>
    <w:uiPriority w:val="99"/>
    <w:rsid w:val="00005CAA"/>
    <w:pPr>
      <w:numPr>
        <w:ilvl w:val="2"/>
        <w:numId w:val="1"/>
      </w:numPr>
      <w:tabs>
        <w:tab w:val="clear" w:pos="1492"/>
      </w:tabs>
      <w:ind w:left="1107" w:hanging="369"/>
    </w:pPr>
  </w:style>
  <w:style w:type="paragraph" w:styleId="ListNumber4">
    <w:name w:val="List Number 4"/>
    <w:basedOn w:val="Normal"/>
    <w:uiPriority w:val="99"/>
    <w:rsid w:val="00005CAA"/>
    <w:pPr>
      <w:numPr>
        <w:ilvl w:val="3"/>
        <w:numId w:val="1"/>
      </w:numPr>
      <w:tabs>
        <w:tab w:val="clear" w:pos="1492"/>
      </w:tabs>
      <w:ind w:left="1476" w:hanging="369"/>
    </w:pPr>
  </w:style>
  <w:style w:type="paragraph" w:styleId="ListNumber5">
    <w:name w:val="List Number 5"/>
    <w:basedOn w:val="Normal"/>
    <w:uiPriority w:val="99"/>
    <w:rsid w:val="00005CAA"/>
    <w:pPr>
      <w:numPr>
        <w:ilvl w:val="4"/>
        <w:numId w:val="1"/>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rsid w:val="00D00281"/>
    <w:rPr>
      <w:rFonts w:ascii="Consolas" w:eastAsia="Calibri" w:hAnsi="Consolas"/>
      <w:sz w:val="21"/>
      <w:szCs w:val="21"/>
    </w:rPr>
  </w:style>
  <w:style w:type="character" w:customStyle="1" w:styleId="PlainTextChar">
    <w:name w:val="Plain Text Char"/>
    <w:basedOn w:val="DefaultParagraphFont"/>
    <w:link w:val="PlainText"/>
    <w:uiPriority w:val="99"/>
    <w:locked/>
    <w:rsid w:val="00D00281"/>
    <w:rPr>
      <w:rFonts w:ascii="Consolas" w:eastAsia="Times New Roman" w:hAnsi="Consolas" w:cs="Times New Roman"/>
      <w:sz w:val="21"/>
      <w:szCs w:val="21"/>
      <w:lang w:eastAsia="en-US"/>
    </w:rPr>
  </w:style>
  <w:style w:type="character" w:styleId="FollowedHyperlink">
    <w:name w:val="FollowedHyperlink"/>
    <w:basedOn w:val="DefaultParagraphFont"/>
    <w:uiPriority w:val="99"/>
    <w:semiHidden/>
    <w:rsid w:val="00FF17DE"/>
    <w:rPr>
      <w:rFonts w:cs="Times New Roman"/>
      <w:color w:val="800080"/>
      <w:u w:val="single"/>
    </w:rPr>
  </w:style>
  <w:style w:type="character" w:styleId="CommentReference">
    <w:name w:val="annotation reference"/>
    <w:basedOn w:val="DefaultParagraphFont"/>
    <w:uiPriority w:val="99"/>
    <w:semiHidden/>
    <w:rsid w:val="001C1307"/>
    <w:rPr>
      <w:rFonts w:cs="Times New Roman"/>
      <w:sz w:val="16"/>
      <w:szCs w:val="16"/>
    </w:rPr>
  </w:style>
  <w:style w:type="paragraph" w:styleId="CommentText">
    <w:name w:val="annotation text"/>
    <w:basedOn w:val="Normal"/>
    <w:link w:val="CommentTextChar"/>
    <w:uiPriority w:val="99"/>
    <w:semiHidden/>
    <w:rsid w:val="001C1307"/>
    <w:rPr>
      <w:sz w:val="20"/>
      <w:szCs w:val="20"/>
    </w:rPr>
  </w:style>
  <w:style w:type="character" w:customStyle="1" w:styleId="CommentTextChar">
    <w:name w:val="Comment Text Char"/>
    <w:basedOn w:val="DefaultParagraphFont"/>
    <w:link w:val="CommentText"/>
    <w:uiPriority w:val="99"/>
    <w:semiHidden/>
    <w:rsid w:val="0030286E"/>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1C1307"/>
    <w:rPr>
      <w:b/>
      <w:bCs/>
    </w:rPr>
  </w:style>
  <w:style w:type="character" w:customStyle="1" w:styleId="CommentSubjectChar">
    <w:name w:val="Comment Subject Char"/>
    <w:basedOn w:val="CommentTextChar"/>
    <w:link w:val="CommentSubject"/>
    <w:uiPriority w:val="99"/>
    <w:semiHidden/>
    <w:rsid w:val="0030286E"/>
    <w:rPr>
      <w:b/>
      <w:bCs/>
    </w:rPr>
  </w:style>
  <w:style w:type="numbering" w:customStyle="1" w:styleId="BulletList">
    <w:name w:val="Bullet List"/>
    <w:rsid w:val="0030286E"/>
    <w:pPr>
      <w:numPr>
        <w:numId w:val="3"/>
      </w:numPr>
    </w:pPr>
  </w:style>
  <w:style w:type="numbering" w:customStyle="1" w:styleId="Attach">
    <w:name w:val="Attach"/>
    <w:rsid w:val="0030286E"/>
    <w:pPr>
      <w:numPr>
        <w:numId w:val="4"/>
      </w:numPr>
    </w:pPr>
  </w:style>
  <w:style w:type="numbering" w:customStyle="1" w:styleId="KeyPoints">
    <w:name w:val="Key Points"/>
    <w:rsid w:val="0030286E"/>
    <w:pPr>
      <w:numPr>
        <w:numId w:val="2"/>
      </w:numPr>
    </w:pPr>
  </w:style>
</w:styles>
</file>

<file path=word/webSettings.xml><?xml version="1.0" encoding="utf-8"?>
<w:webSettings xmlns:r="http://schemas.openxmlformats.org/officeDocument/2006/relationships" xmlns:w="http://schemas.openxmlformats.org/wordprocessingml/2006/main">
  <w:divs>
    <w:div w:id="1441149460">
      <w:marLeft w:val="0"/>
      <w:marRight w:val="0"/>
      <w:marTop w:val="0"/>
      <w:marBottom w:val="0"/>
      <w:divBdr>
        <w:top w:val="none" w:sz="0" w:space="0" w:color="auto"/>
        <w:left w:val="none" w:sz="0" w:space="0" w:color="auto"/>
        <w:bottom w:val="none" w:sz="0" w:space="0" w:color="auto"/>
        <w:right w:val="none" w:sz="0" w:space="0" w:color="auto"/>
      </w:divBdr>
    </w:div>
    <w:div w:id="1441149461">
      <w:marLeft w:val="0"/>
      <w:marRight w:val="0"/>
      <w:marTop w:val="0"/>
      <w:marBottom w:val="0"/>
      <w:divBdr>
        <w:top w:val="none" w:sz="0" w:space="0" w:color="auto"/>
        <w:left w:val="none" w:sz="0" w:space="0" w:color="auto"/>
        <w:bottom w:val="none" w:sz="0" w:space="0" w:color="auto"/>
        <w:right w:val="none" w:sz="0" w:space="0" w:color="auto"/>
      </w:divBdr>
    </w:div>
    <w:div w:id="1441149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oal-seam-gas-mining/project-advice/pubs/iesc-information-guide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Coalpac Consolidation Project (EPBC 2010/5776) – Expansion</dc:title>
  <dc:creator/>
  <cp:lastModifiedBy/>
  <cp:revision>1</cp:revision>
  <dcterms:created xsi:type="dcterms:W3CDTF">2014-08-22T04:55:00Z</dcterms:created>
  <dcterms:modified xsi:type="dcterms:W3CDTF">2014-08-22T04:55:00Z</dcterms:modified>
</cp:coreProperties>
</file>