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-907260</wp:posOffset>
            </wp:positionH>
            <wp:positionV relativeFrom="paragraph">
              <wp:posOffset>-883178</wp:posOffset>
            </wp:positionV>
            <wp:extent cx="7572195" cy="235717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839" cy="2357371"/>
                    </a:xfrm>
                    <a:prstGeom prst="rect">
                      <a:avLst/>
                    </a:prstGeom>
                    <a:noFill/>
                    <a:ln w="9525">
                      <a:noFill/>
                      <a:miter lim="800000"/>
                      <a:headEnd/>
                      <a:tailEnd/>
                    </a:ln>
                  </pic:spPr>
                </pic:pic>
              </a:graphicData>
            </a:graphic>
          </wp:anchor>
        </w:drawing>
      </w:r>
      <w:proofErr w:type="spellStart"/>
      <w:r w:rsidR="001765DA" w:rsidRPr="002A5EC3">
        <w:rPr>
          <w:rFonts w:ascii="Arial" w:hAnsi="Arial" w:cs="Arial"/>
          <w:b/>
        </w:rPr>
        <w:t>Advi</w:t>
      </w:r>
      <w:proofErr w:type="spellEnd"/>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1765DA" w:rsidRPr="002A5EC3" w:rsidRDefault="00F027B8" w:rsidP="0032087E">
      <w:pPr>
        <w:pStyle w:val="Header"/>
        <w:keepLines/>
        <w:tabs>
          <w:tab w:val="left" w:pos="2835"/>
        </w:tabs>
        <w:spacing w:after="200" w:line="276" w:lineRule="auto"/>
        <w:ind w:left="-360" w:right="-289"/>
        <w:jc w:val="center"/>
        <w:rPr>
          <w:rFonts w:ascii="Arial" w:hAnsi="Arial" w:cs="Arial"/>
          <w:b/>
        </w:rPr>
      </w:pPr>
      <w:r>
        <w:rPr>
          <w:rFonts w:ascii="Arial" w:hAnsi="Arial" w:cs="Arial"/>
          <w:b/>
        </w:rPr>
        <w:t>Advi</w:t>
      </w:r>
      <w:r w:rsidR="001765DA" w:rsidRPr="002A5EC3">
        <w:rPr>
          <w:rFonts w:ascii="Arial" w:hAnsi="Arial" w:cs="Arial"/>
          <w:b/>
        </w:rPr>
        <w:t xml:space="preserve">ce to decision maker on </w:t>
      </w:r>
      <w:r w:rsidR="00E21678" w:rsidRPr="002A5EC3">
        <w:rPr>
          <w:rFonts w:ascii="Arial" w:hAnsi="Arial" w:cs="Arial"/>
          <w:b/>
        </w:rPr>
        <w:t>coal seam gas</w:t>
      </w:r>
      <w:r w:rsidR="001765DA" w:rsidRPr="002A5EC3">
        <w:rPr>
          <w:rFonts w:ascii="Arial" w:hAnsi="Arial" w:cs="Arial"/>
          <w:b/>
        </w:rPr>
        <w:t xml:space="preserve"> project</w:t>
      </w:r>
    </w:p>
    <w:p w:rsidR="008C6A05" w:rsidRPr="006D1C50" w:rsidRDefault="001765DA" w:rsidP="0032087E">
      <w:pPr>
        <w:pStyle w:val="Header"/>
        <w:keepLines/>
        <w:tabs>
          <w:tab w:val="left" w:pos="2835"/>
        </w:tabs>
        <w:spacing w:after="200" w:line="276" w:lineRule="auto"/>
        <w:ind w:left="-360" w:right="-289"/>
        <w:jc w:val="center"/>
        <w:rPr>
          <w:rFonts w:ascii="Arial" w:hAnsi="Arial" w:cs="Arial"/>
          <w:b/>
          <w:sz w:val="20"/>
          <w:lang w:eastAsia="en-AU"/>
        </w:rPr>
      </w:pPr>
      <w:r w:rsidRPr="006D1C50">
        <w:rPr>
          <w:rFonts w:ascii="Arial" w:hAnsi="Arial" w:cs="Arial"/>
          <w:b/>
          <w:sz w:val="20"/>
          <w:lang w:eastAsia="en-AU"/>
        </w:rPr>
        <w:t>Proposed action:</w:t>
      </w:r>
      <w:r w:rsidR="002974BC" w:rsidRPr="006D1C50">
        <w:rPr>
          <w:rFonts w:ascii="Arial" w:hAnsi="Arial" w:cs="Arial"/>
          <w:b/>
          <w:sz w:val="20"/>
          <w:lang w:eastAsia="en-AU"/>
        </w:rPr>
        <w:t xml:space="preserve"> </w:t>
      </w:r>
      <w:bookmarkStart w:id="0" w:name="OLE_LINK1"/>
      <w:bookmarkStart w:id="1" w:name="OLE_LINK2"/>
      <w:r w:rsidR="006D1C50" w:rsidRPr="006D1C50">
        <w:rPr>
          <w:rFonts w:ascii="Arial Bold" w:hAnsi="Arial Bold" w:cs="Arial"/>
          <w:b/>
          <w:sz w:val="20"/>
          <w:lang w:eastAsia="en-AU"/>
        </w:rPr>
        <w:t>Northern Expansion of the Camden Gas Project</w:t>
      </w:r>
      <w:r w:rsidR="00E21678" w:rsidRPr="006D1C50">
        <w:rPr>
          <w:rFonts w:ascii="Arial" w:hAnsi="Arial" w:cs="Arial"/>
          <w:b/>
          <w:sz w:val="20"/>
          <w:lang w:eastAsia="en-AU"/>
        </w:rPr>
        <w:t xml:space="preserve"> (</w:t>
      </w:r>
      <w:r w:rsidR="006D1C50" w:rsidRPr="006D1C50">
        <w:rPr>
          <w:rFonts w:ascii="Arial" w:hAnsi="Arial" w:cs="Arial"/>
          <w:b/>
          <w:sz w:val="20"/>
          <w:lang w:eastAsia="en-AU"/>
        </w:rPr>
        <w:t>E</w:t>
      </w:r>
      <w:r w:rsidR="00E21678" w:rsidRPr="006D1C50">
        <w:rPr>
          <w:rFonts w:ascii="Arial" w:hAnsi="Arial" w:cs="Arial"/>
          <w:b/>
          <w:sz w:val="20"/>
          <w:lang w:eastAsia="en-AU"/>
        </w:rPr>
        <w:t xml:space="preserve">PBC </w:t>
      </w:r>
      <w:r w:rsidR="006D1C50" w:rsidRPr="006D1C50">
        <w:rPr>
          <w:rFonts w:ascii="Arial" w:hAnsi="Arial" w:cs="Arial"/>
          <w:b/>
          <w:sz w:val="20"/>
          <w:lang w:eastAsia="en-AU"/>
        </w:rPr>
        <w:t>2012</w:t>
      </w:r>
      <w:r w:rsidR="00E21678" w:rsidRPr="006D1C50">
        <w:rPr>
          <w:rFonts w:ascii="Arial" w:hAnsi="Arial" w:cs="Arial"/>
          <w:b/>
          <w:sz w:val="20"/>
          <w:lang w:eastAsia="en-AU"/>
        </w:rPr>
        <w:t>/</w:t>
      </w:r>
      <w:r w:rsidR="006D1C50" w:rsidRPr="006D1C50">
        <w:rPr>
          <w:rFonts w:ascii="Arial" w:hAnsi="Arial" w:cs="Arial"/>
          <w:b/>
          <w:sz w:val="20"/>
          <w:lang w:eastAsia="en-AU"/>
        </w:rPr>
        <w:t>6638</w:t>
      </w:r>
      <w:r w:rsidR="00E21678" w:rsidRPr="006D1C50">
        <w:rPr>
          <w:rFonts w:ascii="Arial" w:hAnsi="Arial" w:cs="Arial"/>
          <w:b/>
          <w:sz w:val="20"/>
          <w:lang w:eastAsia="en-AU"/>
        </w:rPr>
        <w:t>)</w:t>
      </w:r>
      <w:bookmarkEnd w:id="0"/>
      <w:bookmarkEnd w:id="1"/>
    </w:p>
    <w:tbl>
      <w:tblPr>
        <w:tblW w:w="9809" w:type="dxa"/>
        <w:tblBorders>
          <w:insideH w:val="single" w:sz="4" w:space="0" w:color="auto"/>
        </w:tblBorders>
        <w:tblCellMar>
          <w:top w:w="113" w:type="dxa"/>
          <w:bottom w:w="113" w:type="dxa"/>
        </w:tblCellMar>
        <w:tblLook w:val="01E0"/>
      </w:tblPr>
      <w:tblGrid>
        <w:gridCol w:w="1526"/>
        <w:gridCol w:w="8283"/>
      </w:tblGrid>
      <w:tr w:rsidR="001765DA" w:rsidRPr="002A5EC3" w:rsidTr="0032087E">
        <w:trPr>
          <w:trHeight w:val="108"/>
        </w:trPr>
        <w:tc>
          <w:tcPr>
            <w:tcW w:w="1526" w:type="dxa"/>
            <w:tcBorders>
              <w:top w:val="single" w:sz="4" w:space="0" w:color="auto"/>
              <w:bottom w:val="single" w:sz="4" w:space="0" w:color="auto"/>
            </w:tcBorders>
          </w:tcPr>
          <w:p w:rsidR="001765DA" w:rsidRPr="00F1448C" w:rsidRDefault="001765DA" w:rsidP="005D7779">
            <w:pPr>
              <w:pStyle w:val="tablelabel"/>
              <w:spacing w:line="276" w:lineRule="auto"/>
              <w:rPr>
                <w:rFonts w:cs="Arial"/>
                <w:b w:val="0"/>
                <w:sz w:val="20"/>
              </w:rPr>
            </w:pPr>
            <w:r w:rsidRPr="00F1448C">
              <w:rPr>
                <w:rFonts w:cs="Arial"/>
                <w:sz w:val="20"/>
              </w:rPr>
              <w:t>Requesting agency</w:t>
            </w:r>
          </w:p>
        </w:tc>
        <w:tc>
          <w:tcPr>
            <w:tcW w:w="8283" w:type="dxa"/>
            <w:tcBorders>
              <w:top w:val="single" w:sz="4" w:space="0" w:color="auto"/>
              <w:bottom w:val="single" w:sz="4" w:space="0" w:color="auto"/>
            </w:tcBorders>
          </w:tcPr>
          <w:p w:rsidR="001765DA" w:rsidRPr="00F1448C" w:rsidRDefault="001765DA" w:rsidP="006D1C50">
            <w:pPr>
              <w:spacing w:after="200" w:line="276" w:lineRule="auto"/>
              <w:rPr>
                <w:rFonts w:ascii="Arial" w:hAnsi="Arial" w:cs="Arial"/>
                <w:sz w:val="20"/>
                <w:szCs w:val="20"/>
              </w:rPr>
            </w:pPr>
            <w:r w:rsidRPr="00F1448C">
              <w:rPr>
                <w:rFonts w:ascii="Arial" w:hAnsi="Arial" w:cs="Arial"/>
                <w:sz w:val="20"/>
                <w:szCs w:val="20"/>
              </w:rPr>
              <w:t xml:space="preserve">Department of Sustainability, Environment, Water, Population </w:t>
            </w:r>
            <w:r w:rsidR="002974BC" w:rsidRPr="00F1448C">
              <w:rPr>
                <w:rFonts w:ascii="Arial" w:hAnsi="Arial" w:cs="Arial"/>
                <w:sz w:val="20"/>
                <w:szCs w:val="20"/>
              </w:rPr>
              <w:t>and</w:t>
            </w:r>
            <w:r w:rsidRPr="00F1448C">
              <w:rPr>
                <w:rFonts w:ascii="Arial" w:hAnsi="Arial" w:cs="Arial"/>
                <w:sz w:val="20"/>
                <w:szCs w:val="20"/>
              </w:rPr>
              <w:t xml:space="preserve"> Communities</w:t>
            </w:r>
            <w:r w:rsidR="00F56411" w:rsidRPr="00F1448C">
              <w:rPr>
                <w:rFonts w:ascii="Arial" w:hAnsi="Arial" w:cs="Arial"/>
                <w:sz w:val="20"/>
                <w:szCs w:val="20"/>
              </w:rPr>
              <w:t xml:space="preserve"> </w:t>
            </w:r>
          </w:p>
        </w:tc>
      </w:tr>
      <w:tr w:rsidR="001765DA" w:rsidRPr="002A5EC3" w:rsidTr="0032087E">
        <w:trPr>
          <w:trHeight w:val="136"/>
        </w:trPr>
        <w:tc>
          <w:tcPr>
            <w:tcW w:w="1526" w:type="dxa"/>
            <w:tcBorders>
              <w:top w:val="single" w:sz="4" w:space="0" w:color="auto"/>
              <w:bottom w:val="single" w:sz="4" w:space="0" w:color="auto"/>
            </w:tcBorders>
          </w:tcPr>
          <w:p w:rsidR="001765DA" w:rsidRPr="00F1448C" w:rsidRDefault="001765DA" w:rsidP="005D7779">
            <w:pPr>
              <w:pStyle w:val="tablelabel"/>
              <w:spacing w:line="276" w:lineRule="auto"/>
              <w:rPr>
                <w:rFonts w:cs="Arial"/>
                <w:sz w:val="20"/>
              </w:rPr>
            </w:pPr>
            <w:r w:rsidRPr="00F1448C">
              <w:rPr>
                <w:rFonts w:cs="Arial"/>
                <w:sz w:val="20"/>
              </w:rPr>
              <w:t>Date of request</w:t>
            </w:r>
          </w:p>
        </w:tc>
        <w:tc>
          <w:tcPr>
            <w:tcW w:w="8283" w:type="dxa"/>
            <w:tcBorders>
              <w:top w:val="single" w:sz="4" w:space="0" w:color="auto"/>
              <w:bottom w:val="single" w:sz="4" w:space="0" w:color="auto"/>
            </w:tcBorders>
          </w:tcPr>
          <w:p w:rsidR="001765DA" w:rsidRPr="00F1448C" w:rsidRDefault="006D1C50" w:rsidP="006D1C50">
            <w:pPr>
              <w:spacing w:after="200" w:line="276" w:lineRule="auto"/>
              <w:rPr>
                <w:rFonts w:ascii="Arial" w:hAnsi="Arial" w:cs="Arial"/>
                <w:sz w:val="20"/>
                <w:szCs w:val="20"/>
              </w:rPr>
            </w:pPr>
            <w:r w:rsidRPr="00F1448C">
              <w:rPr>
                <w:rFonts w:ascii="Arial" w:hAnsi="Arial" w:cs="Arial"/>
                <w:sz w:val="20"/>
                <w:szCs w:val="20"/>
              </w:rPr>
              <w:t xml:space="preserve">17 December </w:t>
            </w:r>
            <w:r w:rsidR="00716583" w:rsidRPr="00F1448C">
              <w:rPr>
                <w:rFonts w:ascii="Arial" w:hAnsi="Arial" w:cs="Arial"/>
                <w:sz w:val="20"/>
                <w:szCs w:val="20"/>
              </w:rPr>
              <w:t>2012</w:t>
            </w:r>
          </w:p>
        </w:tc>
      </w:tr>
      <w:tr w:rsidR="00185039" w:rsidRPr="002A5EC3" w:rsidTr="002A5EC3">
        <w:trPr>
          <w:trHeight w:val="19"/>
        </w:trPr>
        <w:tc>
          <w:tcPr>
            <w:tcW w:w="1526" w:type="dxa"/>
            <w:tcBorders>
              <w:top w:val="single" w:sz="4" w:space="0" w:color="auto"/>
              <w:bottom w:val="single" w:sz="4" w:space="0" w:color="auto"/>
            </w:tcBorders>
          </w:tcPr>
          <w:p w:rsidR="00185039" w:rsidRPr="00F1448C" w:rsidRDefault="00185039" w:rsidP="005D7779">
            <w:pPr>
              <w:pStyle w:val="tablelabel"/>
              <w:spacing w:line="276" w:lineRule="auto"/>
              <w:rPr>
                <w:rFonts w:cs="Arial"/>
                <w:sz w:val="20"/>
              </w:rPr>
            </w:pPr>
            <w:r w:rsidRPr="00F1448C">
              <w:rPr>
                <w:rFonts w:cs="Arial"/>
                <w:sz w:val="20"/>
              </w:rPr>
              <w:t>Date request accepted</w:t>
            </w:r>
          </w:p>
        </w:tc>
        <w:tc>
          <w:tcPr>
            <w:tcW w:w="8283" w:type="dxa"/>
            <w:tcBorders>
              <w:top w:val="single" w:sz="4" w:space="0" w:color="auto"/>
              <w:bottom w:val="single" w:sz="4" w:space="0" w:color="auto"/>
            </w:tcBorders>
          </w:tcPr>
          <w:p w:rsidR="00185039" w:rsidRPr="00F1448C" w:rsidRDefault="006D1C50" w:rsidP="006D1C50">
            <w:pPr>
              <w:spacing w:after="200" w:line="276" w:lineRule="auto"/>
              <w:rPr>
                <w:rFonts w:ascii="Arial" w:hAnsi="Arial" w:cs="Arial"/>
                <w:sz w:val="20"/>
                <w:szCs w:val="20"/>
              </w:rPr>
            </w:pPr>
            <w:r w:rsidRPr="00F1448C">
              <w:rPr>
                <w:rFonts w:ascii="Arial" w:hAnsi="Arial" w:cs="Arial"/>
                <w:sz w:val="20"/>
                <w:szCs w:val="20"/>
              </w:rPr>
              <w:t xml:space="preserve">18 December </w:t>
            </w:r>
            <w:r w:rsidR="00185039" w:rsidRPr="00F1448C">
              <w:rPr>
                <w:rFonts w:ascii="Arial" w:hAnsi="Arial" w:cs="Arial"/>
                <w:sz w:val="20"/>
                <w:szCs w:val="20"/>
              </w:rPr>
              <w:t>2012</w:t>
            </w:r>
          </w:p>
        </w:tc>
      </w:tr>
      <w:tr w:rsidR="0005106F" w:rsidRPr="002A5EC3" w:rsidTr="008F6D04">
        <w:tc>
          <w:tcPr>
            <w:tcW w:w="1526" w:type="dxa"/>
            <w:tcBorders>
              <w:top w:val="single" w:sz="4" w:space="0" w:color="auto"/>
              <w:bottom w:val="single" w:sz="4" w:space="0" w:color="auto"/>
            </w:tcBorders>
          </w:tcPr>
          <w:p w:rsidR="0005106F" w:rsidRPr="002A5EC3" w:rsidRDefault="0005106F" w:rsidP="005D7779">
            <w:pPr>
              <w:pStyle w:val="tablelabel"/>
              <w:spacing w:line="276" w:lineRule="auto"/>
              <w:rPr>
                <w:rFonts w:cs="Arial"/>
                <w:sz w:val="20"/>
              </w:rPr>
            </w:pPr>
            <w:r>
              <w:rPr>
                <w:rFonts w:cs="Arial"/>
                <w:sz w:val="20"/>
              </w:rPr>
              <w:t>Advice stage</w:t>
            </w:r>
          </w:p>
        </w:tc>
        <w:tc>
          <w:tcPr>
            <w:tcW w:w="8283" w:type="dxa"/>
            <w:tcBorders>
              <w:top w:val="single" w:sz="4" w:space="0" w:color="auto"/>
              <w:bottom w:val="single" w:sz="4" w:space="0" w:color="auto"/>
            </w:tcBorders>
          </w:tcPr>
          <w:p w:rsidR="0005106F" w:rsidRPr="002A5EC3" w:rsidRDefault="0005106F" w:rsidP="00D97037">
            <w:pPr>
              <w:tabs>
                <w:tab w:val="left" w:pos="425"/>
              </w:tabs>
              <w:spacing w:after="200" w:line="276" w:lineRule="auto"/>
              <w:rPr>
                <w:rFonts w:ascii="Arial" w:hAnsi="Arial" w:cs="Arial"/>
                <w:sz w:val="20"/>
                <w:szCs w:val="20"/>
              </w:rPr>
            </w:pPr>
            <w:r>
              <w:rPr>
                <w:rFonts w:ascii="Arial" w:hAnsi="Arial" w:cs="Arial"/>
                <w:sz w:val="20"/>
                <w:szCs w:val="20"/>
              </w:rPr>
              <w:t>Referral</w:t>
            </w:r>
          </w:p>
        </w:tc>
      </w:tr>
      <w:tr w:rsidR="001765DA" w:rsidRPr="002A5EC3" w:rsidTr="008F6D04">
        <w:tc>
          <w:tcPr>
            <w:tcW w:w="1526" w:type="dxa"/>
            <w:tcBorders>
              <w:top w:val="single" w:sz="4" w:space="0" w:color="auto"/>
              <w:bottom w:val="single" w:sz="4" w:space="0" w:color="auto"/>
            </w:tcBorders>
          </w:tcPr>
          <w:p w:rsidR="001765DA" w:rsidRPr="002A5EC3" w:rsidRDefault="001765DA" w:rsidP="0032087E">
            <w:pPr>
              <w:pStyle w:val="tablelabel"/>
              <w:spacing w:after="200" w:line="276" w:lineRule="auto"/>
              <w:rPr>
                <w:rFonts w:cs="Arial"/>
                <w:sz w:val="20"/>
              </w:rPr>
            </w:pPr>
            <w:r w:rsidRPr="002A5EC3">
              <w:rPr>
                <w:rFonts w:cs="Arial"/>
                <w:sz w:val="20"/>
              </w:rPr>
              <w:t>Summary of request</w:t>
            </w:r>
            <w:r w:rsidR="00743A57">
              <w:rPr>
                <w:rFonts w:cs="Arial"/>
                <w:sz w:val="20"/>
              </w:rPr>
              <w:t xml:space="preserve"> from </w:t>
            </w:r>
            <w:r w:rsidR="0049544B">
              <w:rPr>
                <w:rFonts w:cs="Arial"/>
                <w:sz w:val="20"/>
              </w:rPr>
              <w:t xml:space="preserve">the </w:t>
            </w:r>
            <w:r w:rsidR="00743A57">
              <w:rPr>
                <w:rFonts w:cs="Arial"/>
                <w:sz w:val="20"/>
              </w:rPr>
              <w:t>regulator</w:t>
            </w:r>
          </w:p>
        </w:tc>
        <w:tc>
          <w:tcPr>
            <w:tcW w:w="8283" w:type="dxa"/>
            <w:tcBorders>
              <w:top w:val="single" w:sz="4" w:space="0" w:color="auto"/>
              <w:bottom w:val="single" w:sz="4" w:space="0" w:color="auto"/>
            </w:tcBorders>
          </w:tcPr>
          <w:p w:rsidR="00D97037" w:rsidRPr="008F6D04" w:rsidRDefault="00D97037" w:rsidP="00D97037">
            <w:pPr>
              <w:tabs>
                <w:tab w:val="left" w:pos="425"/>
              </w:tabs>
              <w:spacing w:after="200" w:line="276" w:lineRule="auto"/>
              <w:rPr>
                <w:rFonts w:ascii="Arial" w:hAnsi="Arial" w:cs="Arial"/>
                <w:b/>
                <w:sz w:val="20"/>
                <w:szCs w:val="20"/>
              </w:rPr>
            </w:pPr>
            <w:r w:rsidRPr="002A5EC3">
              <w:rPr>
                <w:rFonts w:ascii="Arial" w:hAnsi="Arial" w:cs="Arial"/>
                <w:sz w:val="20"/>
                <w:szCs w:val="20"/>
              </w:rPr>
              <w:t>The</w:t>
            </w:r>
            <w:r>
              <w:rPr>
                <w:rFonts w:ascii="Arial" w:hAnsi="Arial" w:cs="Arial"/>
                <w:sz w:val="20"/>
                <w:szCs w:val="20"/>
              </w:rPr>
              <w:t xml:space="preserve"> </w:t>
            </w:r>
            <w:r w:rsidR="001765DA" w:rsidRPr="002A5EC3">
              <w:rPr>
                <w:rFonts w:ascii="Arial" w:hAnsi="Arial" w:cs="Arial"/>
                <w:sz w:val="20"/>
                <w:szCs w:val="20"/>
              </w:rPr>
              <w:t xml:space="preserve">Department of Sustainability, Environment, Water, Population </w:t>
            </w:r>
            <w:r w:rsidR="002974BC" w:rsidRPr="002A5EC3">
              <w:rPr>
                <w:rFonts w:ascii="Arial" w:hAnsi="Arial" w:cs="Arial"/>
                <w:sz w:val="20"/>
                <w:szCs w:val="20"/>
              </w:rPr>
              <w:t>and</w:t>
            </w:r>
            <w:r w:rsidR="001765DA" w:rsidRPr="002A5EC3">
              <w:rPr>
                <w:rFonts w:ascii="Arial" w:hAnsi="Arial" w:cs="Arial"/>
                <w:sz w:val="20"/>
                <w:szCs w:val="20"/>
              </w:rPr>
              <w:t xml:space="preserve"> C</w:t>
            </w:r>
            <w:r w:rsidR="004D0982">
              <w:rPr>
                <w:rFonts w:ascii="Arial" w:hAnsi="Arial" w:cs="Arial"/>
                <w:sz w:val="20"/>
                <w:szCs w:val="20"/>
              </w:rPr>
              <w:t>ommunities (the D</w:t>
            </w:r>
            <w:r w:rsidR="00E21678" w:rsidRPr="002A5EC3">
              <w:rPr>
                <w:rFonts w:ascii="Arial" w:hAnsi="Arial" w:cs="Arial"/>
                <w:sz w:val="20"/>
                <w:szCs w:val="20"/>
              </w:rPr>
              <w:t xml:space="preserve">epartment) is currently </w:t>
            </w:r>
            <w:r w:rsidR="001765DA" w:rsidRPr="002A5EC3">
              <w:rPr>
                <w:rFonts w:ascii="Arial" w:hAnsi="Arial" w:cs="Arial"/>
                <w:sz w:val="20"/>
                <w:szCs w:val="20"/>
              </w:rPr>
              <w:t>assess</w:t>
            </w:r>
            <w:r w:rsidR="00E21678" w:rsidRPr="002A5EC3">
              <w:rPr>
                <w:rFonts w:ascii="Arial" w:hAnsi="Arial" w:cs="Arial"/>
                <w:sz w:val="20"/>
                <w:szCs w:val="20"/>
              </w:rPr>
              <w:t>ing</w:t>
            </w:r>
            <w:r w:rsidR="001765DA" w:rsidRPr="002A5EC3">
              <w:rPr>
                <w:rFonts w:ascii="Arial" w:hAnsi="Arial" w:cs="Arial"/>
                <w:sz w:val="20"/>
                <w:szCs w:val="20"/>
              </w:rPr>
              <w:t xml:space="preserve"> </w:t>
            </w:r>
            <w:r w:rsidR="00E21678" w:rsidRPr="002A5EC3">
              <w:rPr>
                <w:rFonts w:ascii="Arial" w:hAnsi="Arial" w:cs="Arial"/>
                <w:sz w:val="20"/>
                <w:szCs w:val="20"/>
              </w:rPr>
              <w:t xml:space="preserve">the </w:t>
            </w:r>
            <w:r w:rsidR="001765DA" w:rsidRPr="002A5EC3">
              <w:rPr>
                <w:rFonts w:ascii="Arial" w:hAnsi="Arial" w:cs="Arial"/>
                <w:sz w:val="20"/>
                <w:szCs w:val="20"/>
              </w:rPr>
              <w:t xml:space="preserve">proposed project in accordance with the provisions of the </w:t>
            </w:r>
            <w:r w:rsidR="00661419" w:rsidRPr="002A5EC3">
              <w:rPr>
                <w:rFonts w:ascii="Arial" w:hAnsi="Arial" w:cs="Arial"/>
                <w:i/>
                <w:sz w:val="20"/>
                <w:szCs w:val="20"/>
              </w:rPr>
              <w:t>E</w:t>
            </w:r>
            <w:r w:rsidR="001765DA" w:rsidRPr="002A5EC3">
              <w:rPr>
                <w:rFonts w:ascii="Arial" w:hAnsi="Arial" w:cs="Arial"/>
                <w:i/>
                <w:sz w:val="20"/>
                <w:szCs w:val="20"/>
              </w:rPr>
              <w:t>nvironment Protection and Biodiversity Conservation Act 1999</w:t>
            </w:r>
            <w:r w:rsidR="00E21678" w:rsidRPr="002A5EC3">
              <w:rPr>
                <w:rFonts w:ascii="Arial" w:hAnsi="Arial" w:cs="Arial"/>
                <w:i/>
                <w:sz w:val="20"/>
                <w:szCs w:val="20"/>
              </w:rPr>
              <w:t xml:space="preserve"> </w:t>
            </w:r>
            <w:r w:rsidR="00E21678" w:rsidRPr="002A5EC3">
              <w:rPr>
                <w:rFonts w:ascii="Arial" w:hAnsi="Arial" w:cs="Arial"/>
                <w:sz w:val="20"/>
                <w:szCs w:val="20"/>
              </w:rPr>
              <w:t>(</w:t>
            </w:r>
            <w:r w:rsidR="004A3D01">
              <w:rPr>
                <w:rFonts w:ascii="Arial" w:hAnsi="Arial" w:cs="Arial"/>
                <w:sz w:val="20"/>
                <w:szCs w:val="20"/>
              </w:rPr>
              <w:t xml:space="preserve">the </w:t>
            </w:r>
            <w:r w:rsidR="00E21678" w:rsidRPr="002A5EC3">
              <w:rPr>
                <w:rFonts w:ascii="Arial" w:hAnsi="Arial" w:cs="Arial"/>
                <w:sz w:val="20"/>
                <w:szCs w:val="20"/>
              </w:rPr>
              <w:t>EPBC Act)</w:t>
            </w:r>
            <w:r w:rsidR="0009196E">
              <w:rPr>
                <w:rFonts w:ascii="Arial" w:hAnsi="Arial" w:cs="Arial"/>
                <w:sz w:val="20"/>
                <w:szCs w:val="20"/>
              </w:rPr>
              <w:t>.</w:t>
            </w:r>
          </w:p>
          <w:p w:rsidR="00A10BAB" w:rsidRPr="002A5EC3" w:rsidRDefault="004D0982" w:rsidP="0032087E">
            <w:pPr>
              <w:pStyle w:val="Default"/>
              <w:spacing w:after="200" w:line="276" w:lineRule="auto"/>
              <w:rPr>
                <w:rFonts w:ascii="Arial" w:eastAsia="Times New Roman" w:hAnsi="Arial" w:cs="Arial"/>
                <w:color w:val="auto"/>
                <w:sz w:val="20"/>
                <w:szCs w:val="20"/>
                <w:lang w:eastAsia="en-US"/>
              </w:rPr>
            </w:pPr>
            <w:r w:rsidRPr="008F6D04">
              <w:rPr>
                <w:rFonts w:ascii="Arial" w:eastAsia="Times New Roman" w:hAnsi="Arial" w:cs="Arial"/>
                <w:color w:val="auto"/>
                <w:sz w:val="20"/>
                <w:szCs w:val="20"/>
                <w:lang w:eastAsia="en-US"/>
              </w:rPr>
              <w:t>The D</w:t>
            </w:r>
            <w:r w:rsidR="00703BB8" w:rsidRPr="008F6D04">
              <w:rPr>
                <w:rFonts w:ascii="Arial" w:eastAsia="Times New Roman" w:hAnsi="Arial" w:cs="Arial"/>
                <w:color w:val="auto"/>
                <w:sz w:val="20"/>
                <w:szCs w:val="20"/>
                <w:lang w:eastAsia="en-US"/>
              </w:rPr>
              <w:t xml:space="preserve">epartment </w:t>
            </w:r>
            <w:r w:rsidR="00743A57">
              <w:rPr>
                <w:rFonts w:ascii="Arial" w:eastAsia="Times New Roman" w:hAnsi="Arial" w:cs="Arial"/>
                <w:color w:val="auto"/>
                <w:sz w:val="20"/>
                <w:szCs w:val="20"/>
                <w:lang w:eastAsia="en-US"/>
              </w:rPr>
              <w:t>notifies</w:t>
            </w:r>
            <w:r w:rsidR="00743A57" w:rsidRPr="008F6D04">
              <w:rPr>
                <w:rFonts w:ascii="Arial" w:eastAsia="Times New Roman" w:hAnsi="Arial" w:cs="Arial"/>
                <w:color w:val="auto"/>
                <w:sz w:val="20"/>
                <w:szCs w:val="20"/>
                <w:lang w:eastAsia="en-US"/>
              </w:rPr>
              <w:t xml:space="preserve"> </w:t>
            </w:r>
            <w:r w:rsidR="00703BB8" w:rsidRPr="008F6D04">
              <w:rPr>
                <w:rFonts w:ascii="Arial" w:eastAsia="Times New Roman" w:hAnsi="Arial" w:cs="Arial"/>
                <w:color w:val="auto"/>
                <w:sz w:val="20"/>
                <w:szCs w:val="20"/>
                <w:lang w:eastAsia="en-US"/>
              </w:rPr>
              <w:t xml:space="preserve">the </w:t>
            </w:r>
            <w:r w:rsidR="009D6232" w:rsidRPr="008F6D04">
              <w:rPr>
                <w:rFonts w:ascii="Arial" w:eastAsia="Times New Roman" w:hAnsi="Arial" w:cs="Arial"/>
                <w:color w:val="auto"/>
                <w:sz w:val="20"/>
                <w:szCs w:val="20"/>
                <w:lang w:eastAsia="en-US"/>
              </w:rPr>
              <w:t xml:space="preserve">Independent Expert Scientific </w:t>
            </w:r>
            <w:r w:rsidR="00703BB8" w:rsidRPr="008F6D04">
              <w:rPr>
                <w:rFonts w:ascii="Arial" w:eastAsia="Times New Roman" w:hAnsi="Arial" w:cs="Arial"/>
                <w:color w:val="auto"/>
                <w:sz w:val="20"/>
                <w:szCs w:val="20"/>
                <w:lang w:eastAsia="en-US"/>
              </w:rPr>
              <w:t>Committee</w:t>
            </w:r>
            <w:r w:rsidR="009D6232" w:rsidRPr="008F6D04">
              <w:rPr>
                <w:rFonts w:ascii="Arial" w:eastAsia="Times New Roman" w:hAnsi="Arial" w:cs="Arial"/>
                <w:color w:val="auto"/>
                <w:sz w:val="20"/>
                <w:szCs w:val="20"/>
                <w:lang w:eastAsia="en-US"/>
              </w:rPr>
              <w:t xml:space="preserve"> on Coal Seam</w:t>
            </w:r>
            <w:r w:rsidR="009D6232" w:rsidRPr="002A5EC3">
              <w:rPr>
                <w:rFonts w:ascii="Arial" w:eastAsia="Times New Roman" w:hAnsi="Arial" w:cs="Arial"/>
                <w:color w:val="auto"/>
                <w:sz w:val="20"/>
                <w:szCs w:val="20"/>
                <w:lang w:eastAsia="en-US"/>
              </w:rPr>
              <w:t xml:space="preserve"> Gas and </w:t>
            </w:r>
            <w:r w:rsidR="00F56411">
              <w:rPr>
                <w:rFonts w:ascii="Arial" w:eastAsia="Times New Roman" w:hAnsi="Arial" w:cs="Arial"/>
                <w:color w:val="auto"/>
                <w:sz w:val="20"/>
                <w:szCs w:val="20"/>
                <w:lang w:eastAsia="en-US"/>
              </w:rPr>
              <w:t xml:space="preserve">Large </w:t>
            </w:r>
            <w:r w:rsidR="009D6232" w:rsidRPr="002A5EC3">
              <w:rPr>
                <w:rFonts w:ascii="Arial" w:eastAsia="Times New Roman" w:hAnsi="Arial" w:cs="Arial"/>
                <w:color w:val="auto"/>
                <w:sz w:val="20"/>
                <w:szCs w:val="20"/>
                <w:lang w:eastAsia="en-US"/>
              </w:rPr>
              <w:t xml:space="preserve">Coal Mining </w:t>
            </w:r>
            <w:r w:rsidR="00F56411">
              <w:rPr>
                <w:rFonts w:ascii="Arial" w:eastAsia="Times New Roman" w:hAnsi="Arial" w:cs="Arial"/>
                <w:color w:val="auto"/>
                <w:sz w:val="20"/>
                <w:szCs w:val="20"/>
                <w:lang w:eastAsia="en-US"/>
              </w:rPr>
              <w:t xml:space="preserve">Development </w:t>
            </w:r>
            <w:r>
              <w:rPr>
                <w:rFonts w:ascii="Arial" w:eastAsia="Times New Roman" w:hAnsi="Arial" w:cs="Arial"/>
                <w:color w:val="auto"/>
                <w:sz w:val="20"/>
                <w:szCs w:val="20"/>
                <w:lang w:eastAsia="en-US"/>
              </w:rPr>
              <w:t>(the C</w:t>
            </w:r>
            <w:r w:rsidR="009D6232" w:rsidRPr="002A5EC3">
              <w:rPr>
                <w:rFonts w:ascii="Arial" w:eastAsia="Times New Roman" w:hAnsi="Arial" w:cs="Arial"/>
                <w:color w:val="auto"/>
                <w:sz w:val="20"/>
                <w:szCs w:val="20"/>
                <w:lang w:eastAsia="en-US"/>
              </w:rPr>
              <w:t>ommittee)</w:t>
            </w:r>
            <w:r w:rsidR="00703BB8" w:rsidRPr="002A5EC3">
              <w:rPr>
                <w:rFonts w:ascii="Arial" w:eastAsia="Times New Roman" w:hAnsi="Arial" w:cs="Arial"/>
                <w:color w:val="auto"/>
                <w:sz w:val="20"/>
                <w:szCs w:val="20"/>
                <w:lang w:eastAsia="en-US"/>
              </w:rPr>
              <w:t xml:space="preserve"> of an opportunity to comment on </w:t>
            </w:r>
            <w:r>
              <w:rPr>
                <w:rFonts w:ascii="Arial" w:eastAsia="Times New Roman" w:hAnsi="Arial" w:cs="Arial"/>
                <w:color w:val="auto"/>
                <w:sz w:val="20"/>
                <w:szCs w:val="20"/>
                <w:lang w:eastAsia="en-US"/>
              </w:rPr>
              <w:t>whether the proposed project is likely to have significant impacts on matter</w:t>
            </w:r>
            <w:r w:rsidR="001038E9">
              <w:rPr>
                <w:rFonts w:ascii="Arial" w:eastAsia="Times New Roman" w:hAnsi="Arial" w:cs="Arial"/>
                <w:color w:val="auto"/>
                <w:sz w:val="20"/>
                <w:szCs w:val="20"/>
                <w:lang w:eastAsia="en-US"/>
              </w:rPr>
              <w:t>s</w:t>
            </w:r>
            <w:r>
              <w:rPr>
                <w:rFonts w:ascii="Arial" w:eastAsia="Times New Roman" w:hAnsi="Arial" w:cs="Arial"/>
                <w:color w:val="auto"/>
                <w:sz w:val="20"/>
                <w:szCs w:val="20"/>
                <w:lang w:eastAsia="en-US"/>
              </w:rPr>
              <w:t xml:space="preserve"> protected under the EPBC Act</w:t>
            </w:r>
            <w:r w:rsidR="001038E9">
              <w:rPr>
                <w:rFonts w:ascii="Arial" w:eastAsia="Times New Roman" w:hAnsi="Arial" w:cs="Arial"/>
                <w:color w:val="auto"/>
                <w:sz w:val="20"/>
                <w:szCs w:val="20"/>
                <w:lang w:eastAsia="en-US"/>
              </w:rPr>
              <w:t xml:space="preserve"> and </w:t>
            </w:r>
            <w:r w:rsidR="001038E9" w:rsidRPr="001038E9">
              <w:rPr>
                <w:rFonts w:ascii="Arial" w:eastAsia="Times New Roman" w:hAnsi="Arial" w:cs="Arial"/>
                <w:color w:val="auto"/>
                <w:sz w:val="20"/>
                <w:szCs w:val="20"/>
                <w:lang w:eastAsia="en-US"/>
              </w:rPr>
              <w:t>therefore requires formal Commonwealth assessment and approval</w:t>
            </w:r>
            <w:r w:rsidR="001038E9">
              <w:rPr>
                <w:rFonts w:ascii="Arial" w:eastAsia="Times New Roman" w:hAnsi="Arial" w:cs="Arial"/>
                <w:color w:val="auto"/>
                <w:sz w:val="20"/>
                <w:szCs w:val="20"/>
                <w:lang w:eastAsia="en-US"/>
              </w:rPr>
              <w:t>. Specifically, the D</w:t>
            </w:r>
            <w:r w:rsidR="00703BB8" w:rsidRPr="002A5EC3">
              <w:rPr>
                <w:rFonts w:ascii="Arial" w:eastAsia="Times New Roman" w:hAnsi="Arial" w:cs="Arial"/>
                <w:color w:val="auto"/>
                <w:sz w:val="20"/>
                <w:szCs w:val="20"/>
                <w:lang w:eastAsia="en-US"/>
              </w:rPr>
              <w:t xml:space="preserve">epartment seeks the advice of the </w:t>
            </w:r>
            <w:r w:rsidR="001038E9">
              <w:rPr>
                <w:rFonts w:ascii="Arial" w:eastAsia="Times New Roman" w:hAnsi="Arial" w:cs="Arial"/>
                <w:color w:val="auto"/>
                <w:sz w:val="20"/>
                <w:szCs w:val="20"/>
                <w:lang w:eastAsia="en-US"/>
              </w:rPr>
              <w:t>C</w:t>
            </w:r>
            <w:r w:rsidR="00703BB8" w:rsidRPr="002A5EC3">
              <w:rPr>
                <w:rFonts w:ascii="Arial" w:eastAsia="Times New Roman" w:hAnsi="Arial" w:cs="Arial"/>
                <w:color w:val="auto"/>
                <w:sz w:val="20"/>
                <w:szCs w:val="20"/>
                <w:lang w:eastAsia="en-US"/>
              </w:rPr>
              <w:t>ommittee on</w:t>
            </w:r>
            <w:r w:rsidR="00A10BAB" w:rsidRPr="002A5EC3">
              <w:rPr>
                <w:rFonts w:ascii="Arial" w:eastAsia="Times New Roman" w:hAnsi="Arial" w:cs="Arial"/>
                <w:color w:val="auto"/>
                <w:sz w:val="20"/>
                <w:szCs w:val="20"/>
                <w:lang w:eastAsia="en-US"/>
              </w:rPr>
              <w:t>:</w:t>
            </w:r>
            <w:r w:rsidR="00703BB8" w:rsidRPr="002A5EC3">
              <w:rPr>
                <w:rFonts w:ascii="Arial" w:eastAsia="Times New Roman" w:hAnsi="Arial" w:cs="Arial"/>
                <w:color w:val="auto"/>
                <w:sz w:val="20"/>
                <w:szCs w:val="20"/>
                <w:lang w:eastAsia="en-US"/>
              </w:rPr>
              <w:t xml:space="preserve"> </w:t>
            </w:r>
          </w:p>
          <w:p w:rsidR="001038E9" w:rsidRPr="001038E9" w:rsidRDefault="00A10BAB" w:rsidP="001038E9">
            <w:pPr>
              <w:pStyle w:val="Default"/>
              <w:spacing w:after="200" w:line="276" w:lineRule="auto"/>
              <w:rPr>
                <w:rFonts w:ascii="Arial" w:eastAsia="Times New Roman" w:hAnsi="Arial" w:cs="Arial"/>
                <w:color w:val="auto"/>
                <w:sz w:val="20"/>
                <w:szCs w:val="20"/>
                <w:lang w:eastAsia="en-US"/>
              </w:rPr>
            </w:pPr>
            <w:r w:rsidRPr="002A5EC3">
              <w:rPr>
                <w:rFonts w:ascii="Arial" w:eastAsia="Times New Roman" w:hAnsi="Arial" w:cs="Arial"/>
                <w:color w:val="auto"/>
                <w:sz w:val="20"/>
                <w:szCs w:val="20"/>
                <w:lang w:eastAsia="en-US"/>
              </w:rPr>
              <w:t>1.</w:t>
            </w:r>
            <w:r w:rsidR="001038E9" w:rsidRPr="001038E9">
              <w:rPr>
                <w:rFonts w:ascii="Arial" w:eastAsia="Times New Roman" w:hAnsi="Arial" w:cs="Arial"/>
                <w:color w:val="auto"/>
                <w:sz w:val="20"/>
                <w:szCs w:val="20"/>
                <w:lang w:eastAsia="en-US"/>
              </w:rPr>
              <w:t xml:space="preserve"> Is the information and modelling of the existing surface and groundwater environment within the project area accurate and comprehensive?</w:t>
            </w:r>
          </w:p>
          <w:p w:rsidR="001038E9" w:rsidRPr="001038E9" w:rsidRDefault="001038E9" w:rsidP="001038E9">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2. </w:t>
            </w:r>
            <w:r w:rsidRPr="001038E9">
              <w:rPr>
                <w:rFonts w:ascii="Arial" w:eastAsia="Times New Roman" w:hAnsi="Arial" w:cs="Arial"/>
                <w:color w:val="auto"/>
                <w:sz w:val="20"/>
                <w:szCs w:val="20"/>
                <w:lang w:eastAsia="en-US"/>
              </w:rPr>
              <w:t>What are the likely impacts of the proposed coal seam gas project on the quality and quantity (or any other impacts) of surface and ground water resources? In particular</w:t>
            </w:r>
            <w:r w:rsidR="004A3D01">
              <w:rPr>
                <w:rFonts w:ascii="Arial" w:eastAsia="Times New Roman" w:hAnsi="Arial" w:cs="Arial"/>
                <w:color w:val="auto"/>
                <w:sz w:val="20"/>
                <w:szCs w:val="20"/>
                <w:lang w:eastAsia="en-US"/>
              </w:rPr>
              <w:t>,</w:t>
            </w:r>
            <w:r w:rsidRPr="001038E9">
              <w:rPr>
                <w:rFonts w:ascii="Arial" w:eastAsia="Times New Roman" w:hAnsi="Arial" w:cs="Arial"/>
                <w:color w:val="auto"/>
                <w:sz w:val="20"/>
                <w:szCs w:val="20"/>
                <w:lang w:eastAsia="en-US"/>
              </w:rPr>
              <w:t xml:space="preserve"> are there any likely changes to surface and ground water dynamics which may support habitat for matters protected under the EPBC Act, as discussed in section 4.4? Where are these impacts likely to occur and how far are the</w:t>
            </w:r>
            <w:r w:rsidR="004A3D01">
              <w:rPr>
                <w:rFonts w:ascii="Arial" w:eastAsia="Times New Roman" w:hAnsi="Arial" w:cs="Arial"/>
                <w:color w:val="auto"/>
                <w:sz w:val="20"/>
                <w:szCs w:val="20"/>
                <w:lang w:eastAsia="en-US"/>
              </w:rPr>
              <w:t>y</w:t>
            </w:r>
            <w:r w:rsidRPr="001038E9">
              <w:rPr>
                <w:rFonts w:ascii="Arial" w:eastAsia="Times New Roman" w:hAnsi="Arial" w:cs="Arial"/>
                <w:color w:val="auto"/>
                <w:sz w:val="20"/>
                <w:szCs w:val="20"/>
                <w:lang w:eastAsia="en-US"/>
              </w:rPr>
              <w:t xml:space="preserve"> likely to extend?</w:t>
            </w:r>
          </w:p>
          <w:p w:rsidR="001038E9" w:rsidRPr="001038E9" w:rsidRDefault="001038E9" w:rsidP="001038E9">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3. </w:t>
            </w:r>
            <w:r w:rsidRPr="001038E9">
              <w:rPr>
                <w:rFonts w:ascii="Arial" w:eastAsia="Times New Roman" w:hAnsi="Arial" w:cs="Arial"/>
                <w:color w:val="auto"/>
                <w:sz w:val="20"/>
                <w:szCs w:val="20"/>
                <w:lang w:eastAsia="en-US"/>
              </w:rPr>
              <w:t>Does the Committee consider that landform subsidence and impacts to the surface environment (beyond direct disturbance from installation of infrastructure and wells) are likely to occur? If so, where, and what are the likely resulting impacts on surface and ground water?</w:t>
            </w:r>
          </w:p>
          <w:p w:rsidR="001038E9" w:rsidRPr="001038E9" w:rsidRDefault="001038E9" w:rsidP="001038E9">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4. </w:t>
            </w:r>
            <w:r w:rsidRPr="001038E9">
              <w:rPr>
                <w:rFonts w:ascii="Arial" w:eastAsia="Times New Roman" w:hAnsi="Arial" w:cs="Arial"/>
                <w:color w:val="auto"/>
                <w:sz w:val="20"/>
                <w:szCs w:val="20"/>
                <w:lang w:eastAsia="en-US"/>
              </w:rPr>
              <w:t>Does the Committee find the water balance model and conclusions relating to water impacts by the person proposing to take the action to be appropriate, reasonable and accurate?</w:t>
            </w:r>
          </w:p>
          <w:p w:rsidR="001038E9" w:rsidRPr="001038E9" w:rsidRDefault="001038E9" w:rsidP="001038E9">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5. </w:t>
            </w:r>
            <w:r w:rsidRPr="001038E9">
              <w:rPr>
                <w:rFonts w:ascii="Arial" w:eastAsia="Times New Roman" w:hAnsi="Arial" w:cs="Arial"/>
                <w:color w:val="auto"/>
                <w:sz w:val="20"/>
                <w:szCs w:val="20"/>
                <w:lang w:eastAsia="en-US"/>
              </w:rPr>
              <w:t xml:space="preserve">Does the Committee find the water management, mitigation and monitoring measures proposed to be appropriate, accurate, reasonable and effective? To what degree, if any, so </w:t>
            </w:r>
            <w:r w:rsidRPr="001038E9">
              <w:rPr>
                <w:rFonts w:ascii="Arial" w:eastAsia="Times New Roman" w:hAnsi="Arial" w:cs="Arial"/>
                <w:color w:val="auto"/>
                <w:sz w:val="20"/>
                <w:szCs w:val="20"/>
                <w:lang w:eastAsia="en-US"/>
              </w:rPr>
              <w:lastRenderedPageBreak/>
              <w:t>the proposed mitigation and management measures reduce impacts?</w:t>
            </w:r>
          </w:p>
          <w:p w:rsidR="001038E9" w:rsidRPr="001038E9" w:rsidRDefault="001038E9" w:rsidP="001038E9">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6. </w:t>
            </w:r>
            <w:r w:rsidRPr="001038E9">
              <w:rPr>
                <w:rFonts w:ascii="Arial" w:eastAsia="Times New Roman" w:hAnsi="Arial" w:cs="Arial"/>
                <w:color w:val="auto"/>
                <w:sz w:val="20"/>
                <w:szCs w:val="20"/>
                <w:lang w:eastAsia="en-US"/>
              </w:rPr>
              <w:t>Are there any other mitigation measures that could be implemented to further reduce any impacts?</w:t>
            </w:r>
          </w:p>
          <w:p w:rsidR="0032087E" w:rsidRPr="001038E9" w:rsidRDefault="008E7D50" w:rsidP="0049544B">
            <w:pPr>
              <w:pStyle w:val="Default"/>
              <w:spacing w:after="200" w:line="276" w:lineRule="auto"/>
              <w:rPr>
                <w:rFonts w:ascii="Arial" w:hAnsi="Arial" w:cs="Arial"/>
                <w:sz w:val="20"/>
                <w:szCs w:val="20"/>
              </w:rPr>
            </w:pPr>
            <w:r>
              <w:rPr>
                <w:rFonts w:ascii="Arial" w:eastAsia="Times New Roman" w:hAnsi="Arial" w:cs="Arial"/>
                <w:color w:val="auto"/>
                <w:sz w:val="20"/>
                <w:szCs w:val="20"/>
                <w:lang w:eastAsia="en-US"/>
              </w:rPr>
              <w:t>The D</w:t>
            </w:r>
            <w:r w:rsidR="0049544B">
              <w:rPr>
                <w:rFonts w:ascii="Arial" w:eastAsia="Times New Roman" w:hAnsi="Arial" w:cs="Arial"/>
                <w:color w:val="auto"/>
                <w:sz w:val="20"/>
                <w:szCs w:val="20"/>
                <w:lang w:eastAsia="en-US"/>
              </w:rPr>
              <w:t>epartment requests</w:t>
            </w:r>
            <w:r w:rsidR="00E21678" w:rsidRPr="002A5EC3">
              <w:rPr>
                <w:rFonts w:ascii="Arial" w:eastAsia="Times New Roman" w:hAnsi="Arial" w:cs="Arial"/>
                <w:color w:val="auto"/>
                <w:sz w:val="20"/>
                <w:szCs w:val="20"/>
                <w:lang w:eastAsia="en-US"/>
              </w:rPr>
              <w:t xml:space="preserve"> </w:t>
            </w:r>
            <w:r w:rsidR="004516D4">
              <w:rPr>
                <w:rFonts w:ascii="Arial" w:eastAsia="Times New Roman" w:hAnsi="Arial" w:cs="Arial"/>
                <w:color w:val="auto"/>
                <w:sz w:val="20"/>
                <w:szCs w:val="20"/>
                <w:lang w:eastAsia="en-US"/>
              </w:rPr>
              <w:t xml:space="preserve">that </w:t>
            </w:r>
            <w:r w:rsidR="00E21678" w:rsidRPr="002A5EC3">
              <w:rPr>
                <w:rFonts w:ascii="Arial" w:eastAsia="Times New Roman" w:hAnsi="Arial" w:cs="Arial"/>
                <w:color w:val="auto"/>
                <w:sz w:val="20"/>
                <w:szCs w:val="20"/>
                <w:lang w:eastAsia="en-US"/>
              </w:rPr>
              <w:t>advice be provided</w:t>
            </w:r>
            <w:r w:rsidR="00703BB8" w:rsidRPr="002A5EC3">
              <w:rPr>
                <w:rFonts w:ascii="Arial" w:eastAsia="Times New Roman" w:hAnsi="Arial" w:cs="Arial"/>
                <w:color w:val="auto"/>
                <w:sz w:val="20"/>
                <w:szCs w:val="20"/>
                <w:lang w:eastAsia="en-US"/>
              </w:rPr>
              <w:t xml:space="preserve"> </w:t>
            </w:r>
            <w:r w:rsidR="00E021FA">
              <w:rPr>
                <w:rFonts w:ascii="Arial" w:eastAsia="Times New Roman" w:hAnsi="Arial" w:cs="Arial"/>
                <w:color w:val="auto"/>
                <w:sz w:val="20"/>
                <w:szCs w:val="20"/>
                <w:lang w:eastAsia="en-US"/>
              </w:rPr>
              <w:t>as soon as possible after the Committee’s January meeting</w:t>
            </w:r>
            <w:r w:rsidR="00703BB8" w:rsidRPr="002A5EC3">
              <w:rPr>
                <w:rFonts w:ascii="Arial" w:eastAsia="Times New Roman" w:hAnsi="Arial" w:cs="Arial"/>
                <w:color w:val="auto"/>
                <w:sz w:val="20"/>
                <w:szCs w:val="20"/>
                <w:lang w:eastAsia="en-US"/>
              </w:rPr>
              <w:t>.</w:t>
            </w:r>
          </w:p>
        </w:tc>
      </w:tr>
      <w:tr w:rsidR="005D7779" w:rsidRPr="00B451D3" w:rsidTr="004D63EA">
        <w:trPr>
          <w:trHeight w:val="1006"/>
        </w:trPr>
        <w:tc>
          <w:tcPr>
            <w:tcW w:w="9809" w:type="dxa"/>
            <w:gridSpan w:val="2"/>
            <w:tcBorders>
              <w:top w:val="single" w:sz="4" w:space="0" w:color="auto"/>
              <w:bottom w:val="single" w:sz="4" w:space="0" w:color="auto"/>
            </w:tcBorders>
          </w:tcPr>
          <w:p w:rsidR="005D7779" w:rsidRDefault="005D7779" w:rsidP="001531E7">
            <w:pPr>
              <w:pStyle w:val="tablelabel"/>
              <w:spacing w:after="200" w:line="276" w:lineRule="auto"/>
              <w:rPr>
                <w:rFonts w:cs="Arial"/>
                <w:sz w:val="20"/>
              </w:rPr>
            </w:pPr>
            <w:r w:rsidRPr="00F37C48">
              <w:rPr>
                <w:rFonts w:cs="Arial"/>
                <w:sz w:val="20"/>
              </w:rPr>
              <w:lastRenderedPageBreak/>
              <w:t>Advice</w:t>
            </w:r>
          </w:p>
          <w:p w:rsidR="005D7779" w:rsidRDefault="005D7779" w:rsidP="00FA322C">
            <w:pPr>
              <w:pStyle w:val="ListNumber"/>
              <w:numPr>
                <w:ilvl w:val="0"/>
                <w:numId w:val="0"/>
              </w:numPr>
              <w:spacing w:after="200" w:line="276" w:lineRule="auto"/>
              <w:ind w:left="34"/>
              <w:rPr>
                <w:rFonts w:ascii="Arial" w:hAnsi="Arial" w:cs="Arial"/>
                <w:sz w:val="20"/>
                <w:szCs w:val="20"/>
              </w:rPr>
            </w:pPr>
            <w:r>
              <w:rPr>
                <w:rFonts w:ascii="Arial" w:hAnsi="Arial" w:cs="Arial"/>
                <w:sz w:val="20"/>
                <w:szCs w:val="20"/>
              </w:rPr>
              <w:t>The Committee was requested to provide advice to the Commonwealth regulator on the Northern Expansion of the Camden Gas Project at the referral stage, to assist in advising on whether significant impacts on matters protected under the EPBC Act are likely to occur.</w:t>
            </w:r>
          </w:p>
          <w:p w:rsidR="005D7779" w:rsidRDefault="005D7779" w:rsidP="00854F6C">
            <w:pPr>
              <w:pStyle w:val="ListNumber"/>
              <w:spacing w:after="200" w:line="276" w:lineRule="auto"/>
              <w:rPr>
                <w:rFonts w:ascii="Arial" w:hAnsi="Arial" w:cs="Arial"/>
                <w:sz w:val="20"/>
                <w:szCs w:val="20"/>
              </w:rPr>
            </w:pPr>
            <w:r>
              <w:rPr>
                <w:rFonts w:ascii="Arial" w:hAnsi="Arial" w:cs="Arial"/>
                <w:sz w:val="20"/>
                <w:szCs w:val="20"/>
              </w:rPr>
              <w:t>Based on the information available and the ten years of production history from the adjacent existing operations, t</w:t>
            </w:r>
            <w:r w:rsidRPr="00854F6C">
              <w:rPr>
                <w:rFonts w:ascii="Arial" w:hAnsi="Arial" w:cs="Arial"/>
                <w:sz w:val="20"/>
                <w:szCs w:val="20"/>
              </w:rPr>
              <w:t xml:space="preserve">he Committee considers </w:t>
            </w:r>
            <w:r>
              <w:rPr>
                <w:rFonts w:ascii="Arial" w:hAnsi="Arial" w:cs="Arial"/>
                <w:sz w:val="20"/>
                <w:szCs w:val="20"/>
              </w:rPr>
              <w:t>that the risk of water-related impacts on Matters of National Environmental Significance as a result of the proposal is low.</w:t>
            </w:r>
            <w:r w:rsidRPr="00854F6C">
              <w:rPr>
                <w:rFonts w:ascii="Arial" w:hAnsi="Arial" w:cs="Arial"/>
                <w:sz w:val="20"/>
                <w:szCs w:val="20"/>
              </w:rPr>
              <w:t xml:space="preserve"> </w:t>
            </w:r>
            <w:r>
              <w:rPr>
                <w:rFonts w:ascii="Arial" w:hAnsi="Arial" w:cs="Arial"/>
                <w:sz w:val="20"/>
                <w:szCs w:val="20"/>
              </w:rPr>
              <w:t>Notwithstanding this, further information is needed on the following:</w:t>
            </w:r>
          </w:p>
          <w:p w:rsidR="005D7779" w:rsidRDefault="005D7779">
            <w:pPr>
              <w:pStyle w:val="ListNumber2"/>
              <w:spacing w:after="200" w:line="276" w:lineRule="auto"/>
              <w:rPr>
                <w:rFonts w:ascii="Arial" w:hAnsi="Arial" w:cs="Arial"/>
                <w:sz w:val="20"/>
                <w:szCs w:val="20"/>
              </w:rPr>
            </w:pPr>
            <w:r>
              <w:rPr>
                <w:rFonts w:ascii="Arial" w:hAnsi="Arial" w:cs="Arial"/>
                <w:sz w:val="20"/>
                <w:szCs w:val="20"/>
              </w:rPr>
              <w:t>the nature and distribution of faults within the subsurface project area;</w:t>
            </w:r>
          </w:p>
          <w:p w:rsidR="005D7779" w:rsidRDefault="005D7779">
            <w:pPr>
              <w:pStyle w:val="ListNumber2"/>
              <w:spacing w:after="200" w:line="276" w:lineRule="auto"/>
              <w:rPr>
                <w:rFonts w:ascii="Arial" w:hAnsi="Arial" w:cs="Arial"/>
                <w:sz w:val="20"/>
                <w:szCs w:val="20"/>
              </w:rPr>
            </w:pPr>
            <w:r>
              <w:rPr>
                <w:rFonts w:ascii="Arial" w:hAnsi="Arial" w:cs="Arial"/>
                <w:sz w:val="20"/>
                <w:szCs w:val="20"/>
              </w:rPr>
              <w:t xml:space="preserve">the current and potential future extent of drawdown within the target coal seams; </w:t>
            </w:r>
          </w:p>
          <w:p w:rsidR="005D7779" w:rsidRDefault="005D7779">
            <w:pPr>
              <w:pStyle w:val="ListNumber2"/>
              <w:spacing w:after="200" w:line="276" w:lineRule="auto"/>
              <w:rPr>
                <w:rFonts w:ascii="Arial" w:hAnsi="Arial" w:cs="Arial"/>
                <w:sz w:val="20"/>
                <w:szCs w:val="20"/>
              </w:rPr>
            </w:pPr>
            <w:r>
              <w:rPr>
                <w:rFonts w:ascii="Arial" w:hAnsi="Arial" w:cs="Arial"/>
                <w:sz w:val="20"/>
                <w:szCs w:val="20"/>
              </w:rPr>
              <w:t>the plans for the use of hydraulic fracturing; and</w:t>
            </w:r>
          </w:p>
          <w:p w:rsidR="005D7779" w:rsidRDefault="005D7779">
            <w:pPr>
              <w:pStyle w:val="ListNumber2"/>
              <w:spacing w:after="200" w:line="276" w:lineRule="auto"/>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regional water balance for the Georges and Hawkesbury-</w:t>
            </w:r>
            <w:bookmarkStart w:id="2" w:name="_GoBack"/>
            <w:bookmarkEnd w:id="2"/>
            <w:r>
              <w:rPr>
                <w:rFonts w:ascii="Arial" w:hAnsi="Arial" w:cs="Arial"/>
                <w:sz w:val="20"/>
                <w:szCs w:val="20"/>
              </w:rPr>
              <w:t>Nepean catchments.</w:t>
            </w:r>
          </w:p>
          <w:p w:rsidR="005D7779" w:rsidRDefault="005D7779">
            <w:pPr>
              <w:pStyle w:val="ListNumber"/>
              <w:spacing w:after="200" w:line="276" w:lineRule="auto"/>
              <w:rPr>
                <w:rFonts w:ascii="Arial" w:hAnsi="Arial" w:cs="Arial"/>
                <w:sz w:val="20"/>
                <w:szCs w:val="20"/>
              </w:rPr>
            </w:pPr>
            <w:r>
              <w:rPr>
                <w:rFonts w:ascii="Arial" w:hAnsi="Arial" w:cs="Arial"/>
                <w:sz w:val="20"/>
                <w:szCs w:val="20"/>
              </w:rPr>
              <w:t>The Committee</w:t>
            </w:r>
            <w:r w:rsidRPr="008E7D50">
              <w:rPr>
                <w:rFonts w:ascii="Arial" w:hAnsi="Arial" w:cs="Arial"/>
                <w:sz w:val="20"/>
                <w:szCs w:val="20"/>
              </w:rPr>
              <w:t xml:space="preserve"> notes that the study </w:t>
            </w:r>
            <w:r>
              <w:rPr>
                <w:rFonts w:ascii="Arial" w:hAnsi="Arial" w:cs="Arial"/>
                <w:sz w:val="20"/>
                <w:szCs w:val="20"/>
              </w:rPr>
              <w:t>recommended by Parsons Brinckerhoff to investigate</w:t>
            </w:r>
            <w:r w:rsidRPr="008E7D50">
              <w:rPr>
                <w:rFonts w:ascii="Arial" w:hAnsi="Arial" w:cs="Arial"/>
                <w:sz w:val="20"/>
                <w:szCs w:val="20"/>
              </w:rPr>
              <w:t xml:space="preserve"> </w:t>
            </w:r>
            <w:r>
              <w:rPr>
                <w:rFonts w:ascii="Arial" w:hAnsi="Arial" w:cs="Arial"/>
                <w:sz w:val="20"/>
                <w:szCs w:val="20"/>
              </w:rPr>
              <w:t>“</w:t>
            </w:r>
            <w:r w:rsidRPr="008E7D50">
              <w:rPr>
                <w:rFonts w:ascii="Arial" w:hAnsi="Arial" w:cs="Arial"/>
                <w:sz w:val="20"/>
                <w:szCs w:val="20"/>
              </w:rPr>
              <w:t>the role of faults in groundwater flow and their potential for transmitting groundwater</w:t>
            </w:r>
            <w:r>
              <w:rPr>
                <w:rFonts w:ascii="Arial" w:hAnsi="Arial" w:cs="Arial"/>
                <w:sz w:val="20"/>
                <w:szCs w:val="20"/>
              </w:rPr>
              <w:t>”</w:t>
            </w:r>
            <w:r w:rsidRPr="008E7D50">
              <w:rPr>
                <w:rFonts w:ascii="Arial" w:hAnsi="Arial" w:cs="Arial"/>
                <w:sz w:val="20"/>
                <w:szCs w:val="20"/>
              </w:rPr>
              <w:t xml:space="preserve"> has not yet been presented. The Committee recommend</w:t>
            </w:r>
            <w:r>
              <w:rPr>
                <w:rFonts w:ascii="Arial" w:hAnsi="Arial" w:cs="Arial"/>
                <w:sz w:val="20"/>
                <w:szCs w:val="20"/>
              </w:rPr>
              <w:t>s</w:t>
            </w:r>
            <w:r w:rsidRPr="008E7D50">
              <w:rPr>
                <w:rFonts w:ascii="Arial" w:hAnsi="Arial" w:cs="Arial"/>
                <w:sz w:val="20"/>
                <w:szCs w:val="20"/>
              </w:rPr>
              <w:t xml:space="preserve"> that the proponent undertake </w:t>
            </w:r>
            <w:r>
              <w:rPr>
                <w:rFonts w:ascii="Arial" w:hAnsi="Arial" w:cs="Arial"/>
                <w:sz w:val="20"/>
                <w:szCs w:val="20"/>
              </w:rPr>
              <w:t xml:space="preserve">such </w:t>
            </w:r>
            <w:r w:rsidRPr="008E7D50">
              <w:rPr>
                <w:rFonts w:ascii="Arial" w:hAnsi="Arial" w:cs="Arial"/>
                <w:sz w:val="20"/>
                <w:szCs w:val="20"/>
              </w:rPr>
              <w:t>a study</w:t>
            </w:r>
            <w:r>
              <w:rPr>
                <w:rFonts w:ascii="Arial" w:hAnsi="Arial" w:cs="Arial"/>
                <w:sz w:val="20"/>
                <w:szCs w:val="20"/>
              </w:rPr>
              <w:t>, prior to commencement of works, with particular attention to</w:t>
            </w:r>
            <w:r w:rsidRPr="007434D9">
              <w:rPr>
                <w:rFonts w:ascii="Arial" w:hAnsi="Arial" w:cs="Arial"/>
                <w:sz w:val="20"/>
                <w:szCs w:val="20"/>
              </w:rPr>
              <w:t xml:space="preserve"> </w:t>
            </w:r>
            <w:r>
              <w:rPr>
                <w:rFonts w:ascii="Arial" w:hAnsi="Arial" w:cs="Arial"/>
                <w:sz w:val="20"/>
                <w:szCs w:val="20"/>
              </w:rPr>
              <w:t xml:space="preserve">any </w:t>
            </w:r>
            <w:r w:rsidRPr="007434D9">
              <w:rPr>
                <w:rFonts w:ascii="Arial" w:hAnsi="Arial" w:cs="Arial"/>
                <w:sz w:val="20"/>
                <w:szCs w:val="20"/>
              </w:rPr>
              <w:t>fractures or faults in the vicinity of shallow aquifer systems</w:t>
            </w:r>
            <w:r>
              <w:rPr>
                <w:rFonts w:ascii="Arial" w:hAnsi="Arial" w:cs="Arial"/>
                <w:sz w:val="20"/>
                <w:szCs w:val="20"/>
              </w:rPr>
              <w:t>. The study is needed to ensure that</w:t>
            </w:r>
            <w:r w:rsidRPr="007434D9">
              <w:rPr>
                <w:rFonts w:ascii="Arial" w:hAnsi="Arial" w:cs="Arial"/>
                <w:sz w:val="20"/>
                <w:szCs w:val="20"/>
              </w:rPr>
              <w:t xml:space="preserve"> </w:t>
            </w:r>
            <w:r>
              <w:rPr>
                <w:rFonts w:ascii="Arial" w:hAnsi="Arial" w:cs="Arial"/>
                <w:sz w:val="20"/>
                <w:szCs w:val="20"/>
              </w:rPr>
              <w:t xml:space="preserve">shallow groundwater systems, which support ecosystems such as the </w:t>
            </w:r>
            <w:r>
              <w:rPr>
                <w:rFonts w:ascii="Arial" w:hAnsi="Arial" w:cs="Arial"/>
                <w:i/>
                <w:sz w:val="20"/>
                <w:szCs w:val="20"/>
              </w:rPr>
              <w:t xml:space="preserve">Cumberland </w:t>
            </w:r>
            <w:r w:rsidRPr="0049544B">
              <w:rPr>
                <w:rFonts w:ascii="Arial" w:hAnsi="Arial" w:cs="Arial"/>
                <w:i/>
                <w:sz w:val="20"/>
                <w:szCs w:val="20"/>
              </w:rPr>
              <w:t>Plain Shale Woodlands</w:t>
            </w:r>
            <w:r>
              <w:rPr>
                <w:rFonts w:ascii="Arial" w:hAnsi="Arial" w:cs="Arial"/>
                <w:i/>
                <w:sz w:val="20"/>
                <w:szCs w:val="20"/>
              </w:rPr>
              <w:t>,</w:t>
            </w:r>
            <w:r>
              <w:rPr>
                <w:rFonts w:ascii="Arial" w:hAnsi="Arial" w:cs="Arial"/>
                <w:sz w:val="20"/>
                <w:szCs w:val="20"/>
              </w:rPr>
              <w:t xml:space="preserve"> will not be impacted by the proposal.</w:t>
            </w:r>
          </w:p>
          <w:p w:rsidR="005D7779" w:rsidRDefault="005D7779" w:rsidP="00976307">
            <w:pPr>
              <w:pStyle w:val="ListNumber"/>
              <w:spacing w:after="200" w:line="276" w:lineRule="auto"/>
              <w:rPr>
                <w:rFonts w:ascii="Arial" w:hAnsi="Arial" w:cs="Arial"/>
                <w:sz w:val="20"/>
                <w:szCs w:val="20"/>
              </w:rPr>
            </w:pPr>
            <w:r>
              <w:rPr>
                <w:rFonts w:ascii="Arial" w:hAnsi="Arial" w:cs="Arial"/>
                <w:sz w:val="20"/>
                <w:szCs w:val="20"/>
              </w:rPr>
              <w:t xml:space="preserve">The Committee notes that no information has been presented on the extent of regional drawdown of the target coal seams as a result of the existing Camden Gas Project operations, </w:t>
            </w:r>
            <w:proofErr w:type="gramStart"/>
            <w:r>
              <w:rPr>
                <w:rFonts w:ascii="Arial" w:hAnsi="Arial" w:cs="Arial"/>
                <w:sz w:val="20"/>
                <w:szCs w:val="20"/>
              </w:rPr>
              <w:t>nor</w:t>
            </w:r>
            <w:proofErr w:type="gramEnd"/>
            <w:r>
              <w:rPr>
                <w:rFonts w:ascii="Arial" w:hAnsi="Arial" w:cs="Arial"/>
                <w:sz w:val="20"/>
                <w:szCs w:val="20"/>
              </w:rPr>
              <w:t xml:space="preserve"> the predicted additional extent of drawdown from the proposed expansion. The Committee recommends that the proponent provide, prior to the commencement of works, details of the extent of the current and predicted drawdown.</w:t>
            </w:r>
          </w:p>
          <w:p w:rsidR="005D7779" w:rsidRDefault="005D7779" w:rsidP="00FA322C">
            <w:pPr>
              <w:pStyle w:val="ListNumber"/>
              <w:spacing w:after="200" w:line="276" w:lineRule="auto"/>
              <w:rPr>
                <w:rFonts w:ascii="Arial" w:hAnsi="Arial" w:cs="Arial"/>
                <w:sz w:val="20"/>
                <w:szCs w:val="20"/>
              </w:rPr>
            </w:pPr>
            <w:r>
              <w:rPr>
                <w:rFonts w:ascii="Arial" w:hAnsi="Arial" w:cs="Arial"/>
                <w:sz w:val="20"/>
                <w:szCs w:val="20"/>
              </w:rPr>
              <w:t>The Committee considers that any risks posed to water resources through the use of hydraulic fracturing cannot be assessed as insufficient information has been presente</w:t>
            </w:r>
            <w:r w:rsidRPr="007434D9">
              <w:rPr>
                <w:rFonts w:ascii="Arial" w:hAnsi="Arial" w:cs="Arial"/>
                <w:sz w:val="20"/>
                <w:szCs w:val="20"/>
              </w:rPr>
              <w:t xml:space="preserve">d. </w:t>
            </w:r>
          </w:p>
          <w:p w:rsidR="005D7779" w:rsidRDefault="005D7779" w:rsidP="00FA322C">
            <w:pPr>
              <w:pStyle w:val="ListNumber2"/>
              <w:spacing w:after="200" w:line="276" w:lineRule="auto"/>
              <w:rPr>
                <w:rFonts w:ascii="Arial" w:hAnsi="Arial" w:cs="Arial"/>
                <w:sz w:val="20"/>
                <w:szCs w:val="20"/>
              </w:rPr>
            </w:pPr>
            <w:r>
              <w:rPr>
                <w:rFonts w:ascii="Arial" w:hAnsi="Arial" w:cs="Arial"/>
                <w:sz w:val="20"/>
                <w:szCs w:val="20"/>
              </w:rPr>
              <w:t>So that appropriate regulatory controls can be implemented, t</w:t>
            </w:r>
            <w:r w:rsidRPr="007434D9">
              <w:rPr>
                <w:rFonts w:ascii="Arial" w:hAnsi="Arial" w:cs="Arial"/>
                <w:sz w:val="20"/>
                <w:szCs w:val="20"/>
              </w:rPr>
              <w:t xml:space="preserve">he Committee recommends that the proponent provide the following </w:t>
            </w:r>
            <w:r>
              <w:rPr>
                <w:rFonts w:ascii="Arial" w:hAnsi="Arial" w:cs="Arial"/>
                <w:sz w:val="20"/>
                <w:szCs w:val="20"/>
              </w:rPr>
              <w:t>information</w:t>
            </w:r>
            <w:r w:rsidRPr="007434D9">
              <w:rPr>
                <w:rFonts w:ascii="Arial" w:hAnsi="Arial" w:cs="Arial"/>
                <w:sz w:val="20"/>
                <w:szCs w:val="20"/>
              </w:rPr>
              <w:t>:</w:t>
            </w:r>
          </w:p>
          <w:p w:rsidR="005D7779" w:rsidRPr="007434D9" w:rsidRDefault="005D7779" w:rsidP="00FA322C">
            <w:pPr>
              <w:pStyle w:val="ListNumber3"/>
              <w:spacing w:before="120" w:after="120"/>
              <w:ind w:left="1106"/>
              <w:rPr>
                <w:rFonts w:ascii="Arial" w:hAnsi="Arial" w:cs="Arial"/>
                <w:sz w:val="20"/>
                <w:szCs w:val="20"/>
              </w:rPr>
            </w:pPr>
            <w:r w:rsidRPr="007434D9">
              <w:rPr>
                <w:rFonts w:ascii="Arial" w:hAnsi="Arial" w:cs="Arial"/>
                <w:sz w:val="20"/>
                <w:szCs w:val="20"/>
              </w:rPr>
              <w:t xml:space="preserve">the </w:t>
            </w:r>
            <w:r>
              <w:rPr>
                <w:rFonts w:ascii="Arial" w:hAnsi="Arial" w:cs="Arial"/>
                <w:sz w:val="20"/>
                <w:szCs w:val="20"/>
              </w:rPr>
              <w:t>location and depth below ground surface</w:t>
            </w:r>
            <w:r w:rsidRPr="007434D9">
              <w:rPr>
                <w:rFonts w:ascii="Arial" w:hAnsi="Arial" w:cs="Arial"/>
                <w:sz w:val="20"/>
                <w:szCs w:val="20"/>
              </w:rPr>
              <w:t xml:space="preserve"> of boreholes where hydraulic fracturing is</w:t>
            </w:r>
            <w:r>
              <w:rPr>
                <w:rFonts w:ascii="Arial" w:hAnsi="Arial" w:cs="Arial"/>
                <w:sz w:val="20"/>
                <w:szCs w:val="20"/>
              </w:rPr>
              <w:t xml:space="preserve"> to be</w:t>
            </w:r>
            <w:r w:rsidRPr="007434D9">
              <w:rPr>
                <w:rFonts w:ascii="Arial" w:hAnsi="Arial" w:cs="Arial"/>
                <w:sz w:val="20"/>
                <w:szCs w:val="20"/>
              </w:rPr>
              <w:t xml:space="preserve"> conducted</w:t>
            </w:r>
            <w:r>
              <w:rPr>
                <w:rFonts w:ascii="Arial" w:hAnsi="Arial" w:cs="Arial"/>
                <w:sz w:val="20"/>
                <w:szCs w:val="20"/>
              </w:rPr>
              <w:t>;</w:t>
            </w:r>
          </w:p>
          <w:p w:rsidR="005D7779" w:rsidRDefault="005D7779" w:rsidP="00FA322C">
            <w:pPr>
              <w:pStyle w:val="ListNumber3"/>
              <w:spacing w:before="120" w:after="120"/>
              <w:ind w:left="1106"/>
              <w:rPr>
                <w:rFonts w:ascii="Arial" w:hAnsi="Arial" w:cs="Arial"/>
                <w:sz w:val="20"/>
                <w:szCs w:val="20"/>
              </w:rPr>
            </w:pPr>
            <w:r w:rsidRPr="007434D9">
              <w:rPr>
                <w:rFonts w:ascii="Arial" w:hAnsi="Arial" w:cs="Arial"/>
                <w:sz w:val="20"/>
                <w:szCs w:val="20"/>
              </w:rPr>
              <w:t>the Chemical Abstracts Service number</w:t>
            </w:r>
            <w:r w:rsidRPr="008E7D50">
              <w:rPr>
                <w:rFonts w:ascii="Arial" w:hAnsi="Arial" w:cs="Arial"/>
                <w:sz w:val="20"/>
                <w:szCs w:val="20"/>
              </w:rPr>
              <w:t xml:space="preserve">, the typical load, concentration and the toxicity as total effluent toxicity and </w:t>
            </w:r>
            <w:proofErr w:type="spellStart"/>
            <w:r w:rsidRPr="008E7D50">
              <w:rPr>
                <w:rFonts w:ascii="Arial" w:hAnsi="Arial" w:cs="Arial"/>
                <w:sz w:val="20"/>
                <w:szCs w:val="20"/>
              </w:rPr>
              <w:t>ecotoxicity</w:t>
            </w:r>
            <w:proofErr w:type="spellEnd"/>
            <w:r w:rsidRPr="008E7D50">
              <w:rPr>
                <w:rFonts w:ascii="Arial" w:hAnsi="Arial" w:cs="Arial"/>
                <w:sz w:val="20"/>
                <w:szCs w:val="20"/>
              </w:rPr>
              <w:t>, based on methods outlined in the National Water Quality Management Strategy</w:t>
            </w:r>
            <w:r>
              <w:rPr>
                <w:rFonts w:ascii="Arial" w:hAnsi="Arial" w:cs="Arial"/>
                <w:sz w:val="20"/>
                <w:szCs w:val="20"/>
              </w:rPr>
              <w:t xml:space="preserve">, </w:t>
            </w:r>
            <w:r w:rsidRPr="008E7D50">
              <w:rPr>
                <w:rFonts w:ascii="Arial" w:hAnsi="Arial" w:cs="Arial"/>
                <w:sz w:val="20"/>
                <w:szCs w:val="20"/>
              </w:rPr>
              <w:t>for any hydraulic fracturing agents and any other reinjected fluids</w:t>
            </w:r>
            <w:r>
              <w:rPr>
                <w:rFonts w:ascii="Arial" w:hAnsi="Arial" w:cs="Arial"/>
                <w:sz w:val="20"/>
                <w:szCs w:val="20"/>
              </w:rPr>
              <w:t>; and</w:t>
            </w:r>
          </w:p>
          <w:p w:rsidR="005D7779" w:rsidRDefault="005D7779" w:rsidP="00FA322C">
            <w:pPr>
              <w:pStyle w:val="ListNumber3"/>
              <w:spacing w:before="120" w:after="120"/>
              <w:ind w:left="1106"/>
              <w:rPr>
                <w:rFonts w:ascii="Arial" w:hAnsi="Arial" w:cs="Arial"/>
                <w:sz w:val="20"/>
                <w:szCs w:val="20"/>
              </w:rPr>
            </w:pPr>
            <w:proofErr w:type="gramStart"/>
            <w:r w:rsidRPr="007A35F1">
              <w:rPr>
                <w:rFonts w:ascii="Arial" w:hAnsi="Arial" w:cs="Arial"/>
                <w:sz w:val="20"/>
                <w:szCs w:val="20"/>
              </w:rPr>
              <w:t>an</w:t>
            </w:r>
            <w:proofErr w:type="gramEnd"/>
            <w:r w:rsidRPr="007A35F1">
              <w:rPr>
                <w:rFonts w:ascii="Arial" w:hAnsi="Arial" w:cs="Arial"/>
                <w:sz w:val="20"/>
                <w:szCs w:val="20"/>
              </w:rPr>
              <w:t xml:space="preserve"> annual review of hydraulic fracturing locations and reporting of actual use</w:t>
            </w:r>
            <w:r>
              <w:rPr>
                <w:rFonts w:ascii="Arial" w:hAnsi="Arial" w:cs="Arial"/>
                <w:sz w:val="20"/>
                <w:szCs w:val="20"/>
              </w:rPr>
              <w:t xml:space="preserve">. </w:t>
            </w:r>
          </w:p>
          <w:p w:rsidR="005D7779" w:rsidRDefault="005D7779" w:rsidP="00FA322C">
            <w:pPr>
              <w:pStyle w:val="ListNumber2"/>
              <w:spacing w:after="200" w:line="276" w:lineRule="auto"/>
              <w:rPr>
                <w:rFonts w:ascii="Arial" w:hAnsi="Arial" w:cs="Arial"/>
                <w:sz w:val="20"/>
                <w:szCs w:val="20"/>
              </w:rPr>
            </w:pPr>
            <w:r>
              <w:rPr>
                <w:rFonts w:ascii="Arial" w:hAnsi="Arial" w:cs="Arial"/>
                <w:sz w:val="20"/>
                <w:szCs w:val="20"/>
              </w:rPr>
              <w:t>The Committee recommends that</w:t>
            </w:r>
            <w:r w:rsidRPr="007A35F1">
              <w:rPr>
                <w:rFonts w:ascii="Arial" w:hAnsi="Arial" w:cs="Arial"/>
                <w:sz w:val="20"/>
                <w:szCs w:val="20"/>
              </w:rPr>
              <w:t xml:space="preserve"> the proponent </w:t>
            </w:r>
            <w:r>
              <w:rPr>
                <w:rFonts w:ascii="Arial" w:hAnsi="Arial" w:cs="Arial"/>
                <w:sz w:val="20"/>
                <w:szCs w:val="20"/>
              </w:rPr>
              <w:t>publishes the</w:t>
            </w:r>
            <w:r w:rsidRPr="007A35F1">
              <w:rPr>
                <w:rFonts w:ascii="Arial" w:hAnsi="Arial" w:cs="Arial"/>
                <w:sz w:val="20"/>
                <w:szCs w:val="20"/>
              </w:rPr>
              <w:t xml:space="preserve"> hydraulic fracturing data on a publicly accessible website.</w:t>
            </w:r>
          </w:p>
          <w:p w:rsidR="005D7779" w:rsidRPr="000166A0" w:rsidRDefault="005D7779" w:rsidP="007F6CAC">
            <w:pPr>
              <w:pStyle w:val="ListNumber"/>
              <w:spacing w:after="200" w:line="276" w:lineRule="auto"/>
              <w:rPr>
                <w:rFonts w:ascii="Arial" w:hAnsi="Arial" w:cs="Arial"/>
                <w:sz w:val="20"/>
                <w:szCs w:val="20"/>
              </w:rPr>
            </w:pPr>
            <w:r w:rsidRPr="00965852">
              <w:rPr>
                <w:rFonts w:ascii="Arial" w:hAnsi="Arial" w:cs="Arial"/>
                <w:sz w:val="20"/>
                <w:szCs w:val="20"/>
              </w:rPr>
              <w:t>The Committee recommends the development of a more specific regional water bala</w:t>
            </w:r>
            <w:r w:rsidRPr="000166A0">
              <w:rPr>
                <w:rFonts w:ascii="Arial" w:hAnsi="Arial" w:cs="Arial"/>
                <w:sz w:val="20"/>
                <w:szCs w:val="20"/>
              </w:rPr>
              <w:t>nce for the south-</w:t>
            </w:r>
            <w:r w:rsidRPr="000166A0">
              <w:rPr>
                <w:rFonts w:ascii="Arial" w:hAnsi="Arial" w:cs="Arial"/>
                <w:sz w:val="20"/>
                <w:szCs w:val="20"/>
              </w:rPr>
              <w:lastRenderedPageBreak/>
              <w:t>western Sydney Basin</w:t>
            </w:r>
            <w:r>
              <w:rPr>
                <w:rFonts w:ascii="Arial" w:hAnsi="Arial" w:cs="Arial"/>
                <w:sz w:val="20"/>
                <w:szCs w:val="20"/>
              </w:rPr>
              <w:t>, incorporating both the Georges and Hawkesbury-Nepean catchments,</w:t>
            </w:r>
            <w:r w:rsidRPr="000166A0">
              <w:rPr>
                <w:rFonts w:ascii="Arial" w:hAnsi="Arial" w:cs="Arial"/>
                <w:sz w:val="20"/>
                <w:szCs w:val="20"/>
              </w:rPr>
              <w:t xml:space="preserve"> to </w:t>
            </w:r>
            <w:r>
              <w:rPr>
                <w:rFonts w:ascii="Arial" w:hAnsi="Arial" w:cs="Arial"/>
                <w:sz w:val="20"/>
                <w:szCs w:val="20"/>
              </w:rPr>
              <w:t>more appropriately</w:t>
            </w:r>
            <w:r w:rsidRPr="000166A0">
              <w:rPr>
                <w:rFonts w:ascii="Arial" w:hAnsi="Arial" w:cs="Arial"/>
                <w:sz w:val="20"/>
                <w:szCs w:val="20"/>
              </w:rPr>
              <w:t xml:space="preserve"> ascertain the local impacts from the </w:t>
            </w:r>
            <w:r>
              <w:rPr>
                <w:rFonts w:ascii="Arial" w:hAnsi="Arial" w:cs="Arial"/>
                <w:sz w:val="20"/>
                <w:szCs w:val="20"/>
              </w:rPr>
              <w:t>proposal</w:t>
            </w:r>
            <w:r w:rsidRPr="000166A0">
              <w:rPr>
                <w:rFonts w:ascii="Arial" w:hAnsi="Arial" w:cs="Arial"/>
                <w:sz w:val="20"/>
                <w:szCs w:val="20"/>
              </w:rPr>
              <w:t xml:space="preserve"> on the regional water balance. The Committee also recommends that the site specific water balance be </w:t>
            </w:r>
            <w:r>
              <w:rPr>
                <w:rFonts w:ascii="Arial" w:hAnsi="Arial" w:cs="Arial"/>
                <w:sz w:val="20"/>
                <w:szCs w:val="20"/>
              </w:rPr>
              <w:t>updated</w:t>
            </w:r>
            <w:r w:rsidRPr="000166A0">
              <w:rPr>
                <w:rFonts w:ascii="Arial" w:hAnsi="Arial" w:cs="Arial"/>
                <w:sz w:val="20"/>
                <w:szCs w:val="20"/>
              </w:rPr>
              <w:t xml:space="preserve"> as more </w:t>
            </w:r>
            <w:r>
              <w:rPr>
                <w:rFonts w:ascii="Arial" w:hAnsi="Arial" w:cs="Arial"/>
                <w:sz w:val="20"/>
                <w:szCs w:val="20"/>
              </w:rPr>
              <w:t>data</w:t>
            </w:r>
            <w:r w:rsidRPr="000166A0">
              <w:rPr>
                <w:rFonts w:ascii="Arial" w:hAnsi="Arial" w:cs="Arial"/>
                <w:sz w:val="20"/>
                <w:szCs w:val="20"/>
              </w:rPr>
              <w:t xml:space="preserve"> becomes available</w:t>
            </w:r>
            <w:r>
              <w:rPr>
                <w:rFonts w:ascii="Arial" w:hAnsi="Arial" w:cs="Arial"/>
                <w:sz w:val="20"/>
                <w:szCs w:val="20"/>
              </w:rPr>
              <w:t xml:space="preserve"> to improve its accuracy and usefulness in predicting impacts</w:t>
            </w:r>
            <w:r w:rsidRPr="000166A0">
              <w:rPr>
                <w:rFonts w:ascii="Arial" w:hAnsi="Arial" w:cs="Arial"/>
                <w:sz w:val="20"/>
                <w:szCs w:val="20"/>
              </w:rPr>
              <w:t>.</w:t>
            </w:r>
          </w:p>
          <w:p w:rsidR="005D7779" w:rsidRDefault="005D7779">
            <w:pPr>
              <w:pStyle w:val="ListNumber"/>
              <w:spacing w:after="200" w:line="276" w:lineRule="auto"/>
              <w:rPr>
                <w:rFonts w:ascii="Arial" w:hAnsi="Arial" w:cs="Arial"/>
                <w:sz w:val="20"/>
                <w:szCs w:val="20"/>
              </w:rPr>
            </w:pPr>
            <w:r>
              <w:rPr>
                <w:rFonts w:ascii="Arial" w:hAnsi="Arial" w:cs="Arial"/>
                <w:sz w:val="20"/>
                <w:szCs w:val="20"/>
              </w:rPr>
              <w:t>The Committee finds</w:t>
            </w:r>
            <w:r w:rsidRPr="008E7D50">
              <w:rPr>
                <w:rFonts w:ascii="Arial" w:hAnsi="Arial" w:cs="Arial"/>
                <w:sz w:val="20"/>
                <w:szCs w:val="20"/>
              </w:rPr>
              <w:t xml:space="preserve"> that the likelihood of surface subsidence </w:t>
            </w:r>
            <w:r>
              <w:rPr>
                <w:rFonts w:ascii="Arial" w:hAnsi="Arial" w:cs="Arial"/>
                <w:sz w:val="20"/>
                <w:szCs w:val="20"/>
              </w:rPr>
              <w:t xml:space="preserve">and impacts on the surface environment, </w:t>
            </w:r>
            <w:r w:rsidRPr="008E7D50">
              <w:rPr>
                <w:rFonts w:ascii="Arial" w:hAnsi="Arial" w:cs="Arial"/>
                <w:sz w:val="20"/>
                <w:szCs w:val="20"/>
              </w:rPr>
              <w:t xml:space="preserve">as a result of </w:t>
            </w:r>
            <w:r>
              <w:rPr>
                <w:rFonts w:ascii="Arial" w:hAnsi="Arial" w:cs="Arial"/>
                <w:sz w:val="20"/>
                <w:szCs w:val="20"/>
              </w:rPr>
              <w:t xml:space="preserve">the proposed </w:t>
            </w:r>
            <w:r w:rsidRPr="008E7D50">
              <w:rPr>
                <w:rFonts w:ascii="Arial" w:hAnsi="Arial" w:cs="Arial"/>
                <w:sz w:val="20"/>
                <w:szCs w:val="20"/>
              </w:rPr>
              <w:t>gas and water extraction</w:t>
            </w:r>
            <w:r>
              <w:rPr>
                <w:rFonts w:ascii="Arial" w:hAnsi="Arial" w:cs="Arial"/>
                <w:sz w:val="20"/>
                <w:szCs w:val="20"/>
              </w:rPr>
              <w:t>,</w:t>
            </w:r>
            <w:r w:rsidRPr="008E7D50">
              <w:rPr>
                <w:rFonts w:ascii="Arial" w:hAnsi="Arial" w:cs="Arial"/>
                <w:sz w:val="20"/>
                <w:szCs w:val="20"/>
              </w:rPr>
              <w:t xml:space="preserve"> is low</w:t>
            </w:r>
            <w:r>
              <w:rPr>
                <w:rFonts w:ascii="Arial" w:hAnsi="Arial" w:cs="Arial"/>
                <w:sz w:val="20"/>
                <w:szCs w:val="20"/>
              </w:rPr>
              <w:t xml:space="preserve"> and is unaware of any reported subsidence impacts in the existing Camden Gas Project production area. However, due to the presence of important surface water infrastructure within the proposal area, the Committee recommends that a subsidence monitoring program and management plan be developed prior to any works.</w:t>
            </w:r>
          </w:p>
          <w:p w:rsidR="005D7779" w:rsidRPr="007F6E85" w:rsidRDefault="005D7779" w:rsidP="007E565A">
            <w:pPr>
              <w:pStyle w:val="ListNumber"/>
              <w:spacing w:after="200" w:line="276" w:lineRule="auto"/>
              <w:rPr>
                <w:rFonts w:ascii="Arial" w:hAnsi="Arial" w:cs="Arial"/>
                <w:sz w:val="20"/>
                <w:szCs w:val="20"/>
              </w:rPr>
            </w:pPr>
            <w:r>
              <w:rPr>
                <w:rFonts w:ascii="Arial" w:hAnsi="Arial" w:cs="Arial"/>
                <w:sz w:val="20"/>
                <w:szCs w:val="20"/>
              </w:rPr>
              <w:t xml:space="preserve">The Committee considers that the proposed surface water monitoring and management measures are </w:t>
            </w:r>
            <w:r w:rsidRPr="007F6E85">
              <w:rPr>
                <w:rFonts w:ascii="Arial" w:hAnsi="Arial" w:cs="Arial"/>
                <w:sz w:val="20"/>
                <w:szCs w:val="20"/>
              </w:rPr>
              <w:t xml:space="preserve">inadequate </w:t>
            </w:r>
            <w:r>
              <w:rPr>
                <w:rFonts w:ascii="Arial" w:hAnsi="Arial" w:cs="Arial"/>
                <w:sz w:val="20"/>
                <w:szCs w:val="20"/>
              </w:rPr>
              <w:t>and</w:t>
            </w:r>
            <w:r w:rsidRPr="007F6E85">
              <w:rPr>
                <w:rFonts w:ascii="Arial" w:hAnsi="Arial" w:cs="Arial"/>
                <w:sz w:val="20"/>
                <w:szCs w:val="20"/>
              </w:rPr>
              <w:t xml:space="preserve"> recommends that </w:t>
            </w:r>
            <w:r>
              <w:rPr>
                <w:rFonts w:ascii="Arial" w:hAnsi="Arial" w:cs="Arial"/>
                <w:sz w:val="20"/>
                <w:szCs w:val="20"/>
              </w:rPr>
              <w:t xml:space="preserve">a surface water </w:t>
            </w:r>
            <w:r w:rsidRPr="007F6E85">
              <w:rPr>
                <w:rFonts w:ascii="Arial" w:hAnsi="Arial" w:cs="Arial"/>
                <w:sz w:val="20"/>
                <w:szCs w:val="20"/>
              </w:rPr>
              <w:t>monitoring</w:t>
            </w:r>
            <w:r>
              <w:rPr>
                <w:rFonts w:ascii="Arial" w:hAnsi="Arial" w:cs="Arial"/>
                <w:sz w:val="20"/>
                <w:szCs w:val="20"/>
              </w:rPr>
              <w:t>,</w:t>
            </w:r>
            <w:r w:rsidRPr="007F6E85">
              <w:rPr>
                <w:rFonts w:ascii="Arial" w:hAnsi="Arial" w:cs="Arial"/>
                <w:sz w:val="20"/>
                <w:szCs w:val="20"/>
              </w:rPr>
              <w:t xml:space="preserve"> management and mitigation </w:t>
            </w:r>
            <w:r>
              <w:rPr>
                <w:rFonts w:ascii="Arial" w:hAnsi="Arial" w:cs="Arial"/>
                <w:sz w:val="20"/>
                <w:szCs w:val="20"/>
              </w:rPr>
              <w:t>plan is developed</w:t>
            </w:r>
            <w:r w:rsidRPr="007F6E85">
              <w:rPr>
                <w:rFonts w:ascii="Arial" w:hAnsi="Arial" w:cs="Arial"/>
                <w:sz w:val="20"/>
                <w:szCs w:val="20"/>
              </w:rPr>
              <w:t>,</w:t>
            </w:r>
            <w:r>
              <w:rPr>
                <w:rFonts w:ascii="Arial" w:hAnsi="Arial" w:cs="Arial"/>
                <w:sz w:val="20"/>
                <w:szCs w:val="20"/>
              </w:rPr>
              <w:t xml:space="preserve"> which incorporates</w:t>
            </w:r>
            <w:r w:rsidRPr="007F6E85">
              <w:rPr>
                <w:rFonts w:ascii="Arial" w:hAnsi="Arial" w:cs="Arial"/>
                <w:sz w:val="20"/>
                <w:szCs w:val="20"/>
              </w:rPr>
              <w:t xml:space="preserve"> baseline monitoring and analysis</w:t>
            </w:r>
            <w:r>
              <w:rPr>
                <w:rFonts w:ascii="Arial" w:hAnsi="Arial" w:cs="Arial"/>
                <w:sz w:val="20"/>
                <w:szCs w:val="20"/>
              </w:rPr>
              <w:t>, prior to commencement of works</w:t>
            </w:r>
            <w:r w:rsidRPr="007F6E85">
              <w:rPr>
                <w:rFonts w:ascii="Arial" w:hAnsi="Arial" w:cs="Arial"/>
                <w:sz w:val="20"/>
                <w:szCs w:val="20"/>
              </w:rPr>
              <w:t>.</w:t>
            </w:r>
          </w:p>
          <w:p w:rsidR="005D7779" w:rsidRDefault="005D7779" w:rsidP="007E565A">
            <w:pPr>
              <w:pStyle w:val="ListNumber"/>
              <w:spacing w:after="200" w:line="276" w:lineRule="auto"/>
              <w:rPr>
                <w:rFonts w:ascii="Arial" w:hAnsi="Arial" w:cs="Arial"/>
                <w:sz w:val="20"/>
                <w:szCs w:val="20"/>
              </w:rPr>
            </w:pPr>
            <w:r>
              <w:rPr>
                <w:rFonts w:ascii="Arial" w:hAnsi="Arial" w:cs="Arial"/>
                <w:sz w:val="20"/>
                <w:szCs w:val="20"/>
              </w:rPr>
              <w:t>In order to confirm the apparent lack of connectivity between the target coal seams and overlying beneficial use aquifers and to provide</w:t>
            </w:r>
            <w:r w:rsidRPr="008E7D50">
              <w:rPr>
                <w:rFonts w:ascii="Arial" w:hAnsi="Arial" w:cs="Arial"/>
                <w:sz w:val="20"/>
                <w:szCs w:val="20"/>
              </w:rPr>
              <w:t xml:space="preserve"> an early warnin</w:t>
            </w:r>
            <w:r>
              <w:rPr>
                <w:rFonts w:ascii="Arial" w:hAnsi="Arial" w:cs="Arial"/>
                <w:sz w:val="20"/>
                <w:szCs w:val="20"/>
              </w:rPr>
              <w:t>g of potential depressurisation, the Committee recommends that:</w:t>
            </w:r>
          </w:p>
          <w:p w:rsidR="005D7779" w:rsidRDefault="005D7779" w:rsidP="004516D4">
            <w:pPr>
              <w:pStyle w:val="ListNumber2"/>
              <w:spacing w:after="200" w:line="276" w:lineRule="auto"/>
              <w:rPr>
                <w:rFonts w:ascii="Arial" w:hAnsi="Arial" w:cs="Arial"/>
                <w:sz w:val="20"/>
                <w:szCs w:val="20"/>
              </w:rPr>
            </w:pPr>
            <w:r w:rsidRPr="008E7D50">
              <w:rPr>
                <w:rFonts w:ascii="Arial" w:hAnsi="Arial" w:cs="Arial"/>
                <w:sz w:val="20"/>
                <w:szCs w:val="20"/>
              </w:rPr>
              <w:t xml:space="preserve">additional water quality </w:t>
            </w:r>
            <w:r>
              <w:rPr>
                <w:rFonts w:ascii="Arial" w:hAnsi="Arial" w:cs="Arial"/>
                <w:sz w:val="20"/>
                <w:szCs w:val="20"/>
              </w:rPr>
              <w:t>samples be taken from</w:t>
            </w:r>
            <w:r w:rsidRPr="008E7D50">
              <w:rPr>
                <w:rFonts w:ascii="Arial" w:hAnsi="Arial" w:cs="Arial"/>
                <w:sz w:val="20"/>
                <w:szCs w:val="20"/>
              </w:rPr>
              <w:t xml:space="preserve"> monitoring bores</w:t>
            </w:r>
            <w:r>
              <w:rPr>
                <w:rFonts w:ascii="Arial" w:hAnsi="Arial" w:cs="Arial"/>
                <w:sz w:val="20"/>
                <w:szCs w:val="20"/>
              </w:rPr>
              <w:t xml:space="preserve"> following a change in production well water quality;</w:t>
            </w:r>
          </w:p>
          <w:p w:rsidR="005D7779" w:rsidRDefault="005D7779" w:rsidP="004516D4">
            <w:pPr>
              <w:pStyle w:val="ListNumber2"/>
              <w:spacing w:after="200" w:line="276" w:lineRule="auto"/>
              <w:rPr>
                <w:rFonts w:ascii="Arial" w:hAnsi="Arial" w:cs="Arial"/>
                <w:sz w:val="20"/>
                <w:szCs w:val="20"/>
              </w:rPr>
            </w:pPr>
            <w:r>
              <w:rPr>
                <w:rFonts w:ascii="Arial" w:hAnsi="Arial" w:cs="Arial"/>
                <w:sz w:val="20"/>
                <w:szCs w:val="20"/>
              </w:rPr>
              <w:t>appropriately located former production wells</w:t>
            </w:r>
            <w:r w:rsidRPr="008E7D50">
              <w:rPr>
                <w:rFonts w:ascii="Arial" w:hAnsi="Arial" w:cs="Arial"/>
                <w:sz w:val="20"/>
                <w:szCs w:val="20"/>
              </w:rPr>
              <w:t xml:space="preserve"> in the existing </w:t>
            </w:r>
            <w:r>
              <w:rPr>
                <w:rFonts w:ascii="Arial" w:hAnsi="Arial" w:cs="Arial"/>
                <w:sz w:val="20"/>
                <w:szCs w:val="20"/>
              </w:rPr>
              <w:t xml:space="preserve">Camden Gas Project </w:t>
            </w:r>
            <w:r w:rsidRPr="008E7D50">
              <w:rPr>
                <w:rFonts w:ascii="Arial" w:hAnsi="Arial" w:cs="Arial"/>
                <w:sz w:val="20"/>
                <w:szCs w:val="20"/>
              </w:rPr>
              <w:t xml:space="preserve">production area </w:t>
            </w:r>
            <w:r>
              <w:rPr>
                <w:rFonts w:ascii="Arial" w:hAnsi="Arial" w:cs="Arial"/>
                <w:sz w:val="20"/>
                <w:szCs w:val="20"/>
              </w:rPr>
              <w:t>be reconfigured to monitor shallow aquifers;</w:t>
            </w:r>
          </w:p>
          <w:p w:rsidR="005D7779" w:rsidRDefault="005D7779" w:rsidP="004516D4">
            <w:pPr>
              <w:pStyle w:val="ListNumber2"/>
              <w:spacing w:after="200" w:line="276" w:lineRule="auto"/>
              <w:rPr>
                <w:rFonts w:ascii="Arial" w:hAnsi="Arial" w:cs="Arial"/>
                <w:sz w:val="20"/>
                <w:szCs w:val="20"/>
              </w:rPr>
            </w:pPr>
            <w:r>
              <w:rPr>
                <w:rFonts w:ascii="Arial" w:hAnsi="Arial" w:cs="Arial"/>
                <w:sz w:val="20"/>
                <w:szCs w:val="20"/>
              </w:rPr>
              <w:t xml:space="preserve">two additional nested groundwater </w:t>
            </w:r>
            <w:r w:rsidRPr="008E7D50">
              <w:rPr>
                <w:rFonts w:ascii="Arial" w:hAnsi="Arial" w:cs="Arial"/>
                <w:sz w:val="20"/>
                <w:szCs w:val="20"/>
              </w:rPr>
              <w:t xml:space="preserve">monitoring </w:t>
            </w:r>
            <w:r>
              <w:rPr>
                <w:rFonts w:ascii="Arial" w:hAnsi="Arial" w:cs="Arial"/>
                <w:sz w:val="20"/>
                <w:szCs w:val="20"/>
              </w:rPr>
              <w:t>sites be installed</w:t>
            </w:r>
            <w:r w:rsidRPr="008E7D50">
              <w:rPr>
                <w:rFonts w:ascii="Arial" w:hAnsi="Arial" w:cs="Arial"/>
                <w:sz w:val="20"/>
                <w:szCs w:val="20"/>
              </w:rPr>
              <w:t xml:space="preserve"> in the south-eastern and south-western portions of the subsurface project ar</w:t>
            </w:r>
            <w:r>
              <w:rPr>
                <w:rFonts w:ascii="Arial" w:hAnsi="Arial" w:cs="Arial"/>
                <w:sz w:val="20"/>
                <w:szCs w:val="20"/>
              </w:rPr>
              <w:t>ea; and</w:t>
            </w:r>
          </w:p>
          <w:p w:rsidR="005D7779" w:rsidRPr="008E7D50" w:rsidRDefault="005D7779" w:rsidP="004516D4">
            <w:pPr>
              <w:pStyle w:val="ListNumber2"/>
              <w:spacing w:after="200" w:line="276" w:lineRule="auto"/>
              <w:rPr>
                <w:rFonts w:ascii="Arial" w:hAnsi="Arial" w:cs="Arial"/>
                <w:sz w:val="20"/>
                <w:szCs w:val="20"/>
              </w:rPr>
            </w:pPr>
            <w:proofErr w:type="gramStart"/>
            <w:r>
              <w:rPr>
                <w:rFonts w:ascii="Arial" w:hAnsi="Arial" w:cs="Arial"/>
                <w:sz w:val="20"/>
                <w:szCs w:val="20"/>
              </w:rPr>
              <w:t>monitoring</w:t>
            </w:r>
            <w:proofErr w:type="gramEnd"/>
            <w:r>
              <w:rPr>
                <w:rFonts w:ascii="Arial" w:hAnsi="Arial" w:cs="Arial"/>
                <w:sz w:val="20"/>
                <w:szCs w:val="20"/>
              </w:rPr>
              <w:t xml:space="preserve"> bores be</w:t>
            </w:r>
            <w:r w:rsidRPr="008E7D50">
              <w:rPr>
                <w:rFonts w:ascii="Arial" w:hAnsi="Arial" w:cs="Arial"/>
                <w:sz w:val="20"/>
                <w:szCs w:val="20"/>
              </w:rPr>
              <w:t xml:space="preserve"> established in the deeper Narrabeen Group aquifers</w:t>
            </w:r>
            <w:r>
              <w:rPr>
                <w:rFonts w:ascii="Arial" w:hAnsi="Arial" w:cs="Arial"/>
                <w:sz w:val="20"/>
                <w:szCs w:val="20"/>
              </w:rPr>
              <w:t>,</w:t>
            </w:r>
            <w:r w:rsidRPr="008E7D50">
              <w:rPr>
                <w:rFonts w:ascii="Arial" w:hAnsi="Arial" w:cs="Arial"/>
                <w:sz w:val="20"/>
                <w:szCs w:val="20"/>
              </w:rPr>
              <w:t xml:space="preserve"> e.g. </w:t>
            </w:r>
            <w:r>
              <w:rPr>
                <w:rFonts w:ascii="Arial" w:hAnsi="Arial" w:cs="Arial"/>
                <w:sz w:val="20"/>
                <w:szCs w:val="20"/>
              </w:rPr>
              <w:t xml:space="preserve">the </w:t>
            </w:r>
            <w:proofErr w:type="spellStart"/>
            <w:r w:rsidRPr="008E7D50">
              <w:rPr>
                <w:rFonts w:ascii="Arial" w:hAnsi="Arial" w:cs="Arial"/>
                <w:sz w:val="20"/>
                <w:szCs w:val="20"/>
              </w:rPr>
              <w:t>Bulgo</w:t>
            </w:r>
            <w:proofErr w:type="spellEnd"/>
            <w:r w:rsidRPr="008E7D50">
              <w:rPr>
                <w:rFonts w:ascii="Arial" w:hAnsi="Arial" w:cs="Arial"/>
                <w:sz w:val="20"/>
                <w:szCs w:val="20"/>
              </w:rPr>
              <w:t xml:space="preserve"> Sandstone, </w:t>
            </w:r>
            <w:r>
              <w:rPr>
                <w:rFonts w:ascii="Arial" w:hAnsi="Arial" w:cs="Arial"/>
                <w:sz w:val="20"/>
                <w:szCs w:val="20"/>
              </w:rPr>
              <w:t>at each of the nested sites within the expansion project area.</w:t>
            </w:r>
          </w:p>
          <w:p w:rsidR="005D7779" w:rsidRDefault="005D7779" w:rsidP="000D6386">
            <w:pPr>
              <w:pStyle w:val="ListNumber"/>
            </w:pPr>
            <w:r>
              <w:rPr>
                <w:rFonts w:ascii="Arial" w:hAnsi="Arial" w:cs="Arial"/>
                <w:sz w:val="20"/>
                <w:szCs w:val="20"/>
              </w:rPr>
              <w:t>The Committee recommends that appropriate water quality, level and pressure triggers are included in the final Groundwater Management Plan for all aquifers overlying the target coal seams, including shallow perched aquifers, prior to commencement of works.</w:t>
            </w:r>
          </w:p>
        </w:tc>
      </w:tr>
      <w:tr w:rsidR="001765DA" w:rsidRPr="00B451D3" w:rsidTr="0032087E">
        <w:trPr>
          <w:trHeight w:val="19"/>
        </w:trPr>
        <w:tc>
          <w:tcPr>
            <w:tcW w:w="1526" w:type="dxa"/>
            <w:tcBorders>
              <w:top w:val="single" w:sz="4" w:space="0" w:color="auto"/>
              <w:bottom w:val="single" w:sz="4" w:space="0" w:color="auto"/>
            </w:tcBorders>
          </w:tcPr>
          <w:p w:rsidR="001765DA" w:rsidRDefault="001765DA" w:rsidP="005D7779">
            <w:pPr>
              <w:pStyle w:val="tablelabel"/>
              <w:spacing w:line="276" w:lineRule="auto"/>
              <w:rPr>
                <w:rFonts w:cs="Arial"/>
                <w:sz w:val="20"/>
              </w:rPr>
            </w:pPr>
            <w:r>
              <w:rPr>
                <w:rFonts w:cs="Arial"/>
                <w:sz w:val="20"/>
              </w:rPr>
              <w:lastRenderedPageBreak/>
              <w:t>Date of advice</w:t>
            </w:r>
          </w:p>
        </w:tc>
        <w:tc>
          <w:tcPr>
            <w:tcW w:w="8283" w:type="dxa"/>
            <w:tcBorders>
              <w:top w:val="single" w:sz="4" w:space="0" w:color="auto"/>
              <w:bottom w:val="single" w:sz="4" w:space="0" w:color="auto"/>
            </w:tcBorders>
          </w:tcPr>
          <w:p w:rsidR="001765DA" w:rsidRPr="00B451D3" w:rsidRDefault="004D0F84" w:rsidP="001038E9">
            <w:pPr>
              <w:spacing w:after="200" w:line="276" w:lineRule="auto"/>
              <w:rPr>
                <w:rFonts w:ascii="Arial" w:hAnsi="Arial" w:cs="Arial"/>
                <w:sz w:val="20"/>
                <w:szCs w:val="20"/>
              </w:rPr>
            </w:pPr>
            <w:r>
              <w:rPr>
                <w:rFonts w:ascii="Arial" w:hAnsi="Arial" w:cs="Arial"/>
                <w:sz w:val="20"/>
                <w:szCs w:val="20"/>
              </w:rPr>
              <w:t>1 February</w:t>
            </w:r>
            <w:r w:rsidR="006D5D1E">
              <w:rPr>
                <w:rFonts w:ascii="Arial" w:hAnsi="Arial" w:cs="Arial"/>
                <w:sz w:val="20"/>
                <w:szCs w:val="20"/>
              </w:rPr>
              <w:t xml:space="preserve"> 201</w:t>
            </w:r>
            <w:r w:rsidR="001038E9">
              <w:rPr>
                <w:rFonts w:ascii="Arial" w:hAnsi="Arial" w:cs="Arial"/>
                <w:sz w:val="20"/>
                <w:szCs w:val="20"/>
              </w:rPr>
              <w:t>3</w:t>
            </w:r>
          </w:p>
        </w:tc>
      </w:tr>
    </w:tbl>
    <w:p w:rsidR="006B14DB" w:rsidRPr="00EA416C" w:rsidRDefault="006B14DB" w:rsidP="0064407B">
      <w:pPr>
        <w:ind w:left="-1418"/>
      </w:pPr>
    </w:p>
    <w:sectPr w:rsidR="006B14DB" w:rsidRPr="00EA416C" w:rsidSect="005E071A">
      <w:headerReference w:type="even" r:id="rId9"/>
      <w:footerReference w:type="default" r:id="rId10"/>
      <w:headerReference w:type="first" r:id="rId11"/>
      <w:footerReference w:type="first" r:id="rId12"/>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D35" w:rsidRDefault="00F23D35" w:rsidP="00A60185">
      <w:r>
        <w:separator/>
      </w:r>
    </w:p>
  </w:endnote>
  <w:endnote w:type="continuationSeparator" w:id="0">
    <w:p w:rsidR="00F23D35" w:rsidRDefault="00F23D35"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1A" w:rsidRDefault="00B67B4D" w:rsidP="004A3D01">
    <w:pPr>
      <w:pStyle w:val="Footer"/>
      <w:rPr>
        <w:rFonts w:ascii="Arial" w:hAnsi="Arial" w:cs="Arial"/>
        <w:sz w:val="20"/>
        <w:szCs w:val="20"/>
      </w:rPr>
    </w:pPr>
    <w:r>
      <w:rPr>
        <w:rFonts w:ascii="Arial" w:hAnsi="Arial" w:cs="Arial"/>
        <w:sz w:val="20"/>
        <w:szCs w:val="20"/>
      </w:rPr>
      <w:t>Final Advice</w:t>
    </w:r>
    <w:r w:rsidR="004A3D01">
      <w:rPr>
        <w:rFonts w:ascii="Arial" w:hAnsi="Arial" w:cs="Arial"/>
        <w:sz w:val="20"/>
        <w:szCs w:val="20"/>
      </w:rPr>
      <w:tab/>
    </w:r>
    <w:r w:rsidR="004A3D01">
      <w:rPr>
        <w:rFonts w:ascii="Arial" w:hAnsi="Arial" w:cs="Arial"/>
        <w:sz w:val="20"/>
        <w:szCs w:val="20"/>
      </w:rPr>
      <w:tab/>
      <w:t>1 February 2013</w:t>
    </w:r>
  </w:p>
  <w:p w:rsidR="003760B4" w:rsidRPr="00185039" w:rsidRDefault="0074084B">
    <w:pPr>
      <w:pStyle w:val="Footer"/>
      <w:jc w:val="center"/>
      <w:rPr>
        <w:rFonts w:ascii="Arial" w:hAnsi="Arial" w:cs="Arial"/>
        <w:sz w:val="20"/>
        <w:szCs w:val="20"/>
      </w:rPr>
    </w:pPr>
    <w:r w:rsidRPr="00185039">
      <w:rPr>
        <w:rFonts w:ascii="Arial" w:hAnsi="Arial" w:cs="Arial"/>
        <w:sz w:val="20"/>
        <w:szCs w:val="20"/>
      </w:rPr>
      <w:fldChar w:fldCharType="begin"/>
    </w:r>
    <w:r w:rsidR="003760B4"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FD2DCB">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1A" w:rsidRDefault="005E071A" w:rsidP="005E071A">
    <w:pPr>
      <w:pStyle w:val="Footer"/>
      <w:jc w:val="center"/>
      <w:rPr>
        <w:rFonts w:ascii="Arial" w:hAnsi="Arial" w:cs="Arial"/>
        <w:sz w:val="20"/>
        <w:szCs w:val="20"/>
      </w:rPr>
    </w:pPr>
    <w:r>
      <w:rPr>
        <w:rFonts w:ascii="Arial" w:hAnsi="Arial" w:cs="Arial"/>
        <w:sz w:val="20"/>
        <w:szCs w:val="20"/>
      </w:rPr>
      <w:t>IESC Meeting 30-31 January 2013</w:t>
    </w:r>
    <w:r>
      <w:rPr>
        <w:rFonts w:ascii="Arial" w:hAnsi="Arial" w:cs="Arial"/>
        <w:sz w:val="20"/>
        <w:szCs w:val="20"/>
      </w:rPr>
      <w:tab/>
      <w:t>Draft to IESC – Version 1</w:t>
    </w:r>
  </w:p>
  <w:p w:rsidR="005E071A" w:rsidRDefault="005E071A">
    <w:pPr>
      <w:pStyle w:val="Footer"/>
    </w:pPr>
  </w:p>
  <w:p w:rsidR="003760B4" w:rsidRDefault="003760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D35" w:rsidRDefault="00F23D35" w:rsidP="00A60185">
      <w:r>
        <w:separator/>
      </w:r>
    </w:p>
  </w:footnote>
  <w:footnote w:type="continuationSeparator" w:id="0">
    <w:p w:rsidR="00F23D35" w:rsidRDefault="00F23D35"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B4" w:rsidRDefault="003760B4"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66"/>
      <w:docPartObj>
        <w:docPartGallery w:val="Watermarks"/>
        <w:docPartUnique/>
      </w:docPartObj>
    </w:sdtPr>
    <w:sdtContent>
      <w:p w:rsidR="003760B4" w:rsidRDefault="0074084B" w:rsidP="0034504D">
        <w:pPr>
          <w:pStyle w:val="Header"/>
          <w:ind w:left="-1418"/>
        </w:pPr>
        <w:r w:rsidRPr="0074084B">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CA745C9C"/>
    <w:lvl w:ilvl="0">
      <w:start w:val="1"/>
      <w:numFmt w:val="decimal"/>
      <w:lvlText w:val="%1."/>
      <w:lvlJc w:val="left"/>
      <w:pPr>
        <w:tabs>
          <w:tab w:val="num" w:pos="926"/>
        </w:tabs>
        <w:ind w:left="926" w:hanging="360"/>
      </w:pPr>
    </w:lvl>
  </w:abstractNum>
  <w:abstractNum w:abstractNumId="1">
    <w:nsid w:val="FFFFFF7F"/>
    <w:multiLevelType w:val="singleLevel"/>
    <w:tmpl w:val="32E29664"/>
    <w:lvl w:ilvl="0">
      <w:start w:val="1"/>
      <w:numFmt w:val="decimal"/>
      <w:lvlText w:val="%1."/>
      <w:lvlJc w:val="left"/>
      <w:pPr>
        <w:tabs>
          <w:tab w:val="num" w:pos="643"/>
        </w:tabs>
        <w:ind w:left="643" w:hanging="360"/>
      </w:pPr>
    </w:lvl>
  </w:abstractNum>
  <w:abstractNum w:abstractNumId="2">
    <w:nsid w:val="FFFFFF88"/>
    <w:multiLevelType w:val="singleLevel"/>
    <w:tmpl w:val="91A4D49C"/>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AB17A5F"/>
    <w:multiLevelType w:val="hybridMultilevel"/>
    <w:tmpl w:val="62F60360"/>
    <w:lvl w:ilvl="0" w:tplc="78C8EDC4">
      <w:start w:val="1"/>
      <w:numFmt w:val="bullet"/>
      <w:lvlText w:val=""/>
      <w:lvlJc w:val="left"/>
      <w:pPr>
        <w:ind w:left="1944" w:hanging="360"/>
      </w:pPr>
      <w:rPr>
        <w:rFonts w:ascii="Symbol" w:hAnsi="Symbol" w:hint="default"/>
        <w:color w:val="auto"/>
      </w:rPr>
    </w:lvl>
    <w:lvl w:ilvl="1" w:tplc="F6223A8E">
      <w:start w:val="1"/>
      <w:numFmt w:val="bullet"/>
      <w:lvlText w:val="o"/>
      <w:lvlJc w:val="left"/>
      <w:pPr>
        <w:ind w:left="2664" w:hanging="360"/>
      </w:pPr>
      <w:rPr>
        <w:rFonts w:ascii="Courier New" w:hAnsi="Courier New" w:hint="default"/>
      </w:rPr>
    </w:lvl>
    <w:lvl w:ilvl="2" w:tplc="DBA60742">
      <w:start w:val="1"/>
      <w:numFmt w:val="bullet"/>
      <w:lvlText w:val=""/>
      <w:lvlJc w:val="left"/>
      <w:pPr>
        <w:ind w:left="3384" w:hanging="360"/>
      </w:pPr>
      <w:rPr>
        <w:rFonts w:ascii="Wingdings" w:hAnsi="Wingdings" w:hint="default"/>
      </w:rPr>
    </w:lvl>
    <w:lvl w:ilvl="3" w:tplc="CFF8EDE2" w:tentative="1">
      <w:start w:val="1"/>
      <w:numFmt w:val="bullet"/>
      <w:lvlText w:val=""/>
      <w:lvlJc w:val="left"/>
      <w:pPr>
        <w:ind w:left="4104" w:hanging="360"/>
      </w:pPr>
      <w:rPr>
        <w:rFonts w:ascii="Symbol" w:hAnsi="Symbol" w:hint="default"/>
      </w:rPr>
    </w:lvl>
    <w:lvl w:ilvl="4" w:tplc="956A8962" w:tentative="1">
      <w:start w:val="1"/>
      <w:numFmt w:val="bullet"/>
      <w:lvlText w:val="o"/>
      <w:lvlJc w:val="left"/>
      <w:pPr>
        <w:ind w:left="4824" w:hanging="360"/>
      </w:pPr>
      <w:rPr>
        <w:rFonts w:ascii="Courier New" w:hAnsi="Courier New" w:hint="default"/>
      </w:rPr>
    </w:lvl>
    <w:lvl w:ilvl="5" w:tplc="F8B851B0" w:tentative="1">
      <w:start w:val="1"/>
      <w:numFmt w:val="bullet"/>
      <w:lvlText w:val=""/>
      <w:lvlJc w:val="left"/>
      <w:pPr>
        <w:ind w:left="5544" w:hanging="360"/>
      </w:pPr>
      <w:rPr>
        <w:rFonts w:ascii="Wingdings" w:hAnsi="Wingdings" w:hint="default"/>
      </w:rPr>
    </w:lvl>
    <w:lvl w:ilvl="6" w:tplc="35DA791C" w:tentative="1">
      <w:start w:val="1"/>
      <w:numFmt w:val="bullet"/>
      <w:lvlText w:val=""/>
      <w:lvlJc w:val="left"/>
      <w:pPr>
        <w:ind w:left="6264" w:hanging="360"/>
      </w:pPr>
      <w:rPr>
        <w:rFonts w:ascii="Symbol" w:hAnsi="Symbol" w:hint="default"/>
      </w:rPr>
    </w:lvl>
    <w:lvl w:ilvl="7" w:tplc="999A0EAC" w:tentative="1">
      <w:start w:val="1"/>
      <w:numFmt w:val="bullet"/>
      <w:lvlText w:val="o"/>
      <w:lvlJc w:val="left"/>
      <w:pPr>
        <w:ind w:left="6984" w:hanging="360"/>
      </w:pPr>
      <w:rPr>
        <w:rFonts w:ascii="Courier New" w:hAnsi="Courier New" w:hint="default"/>
      </w:rPr>
    </w:lvl>
    <w:lvl w:ilvl="8" w:tplc="1E868178" w:tentative="1">
      <w:start w:val="1"/>
      <w:numFmt w:val="bullet"/>
      <w:lvlText w:val=""/>
      <w:lvlJc w:val="left"/>
      <w:pPr>
        <w:ind w:left="7704" w:hanging="360"/>
      </w:pPr>
      <w:rPr>
        <w:rFonts w:ascii="Wingdings" w:hAnsi="Wingdings" w:hint="default"/>
      </w:rPr>
    </w:lvl>
  </w:abstractNum>
  <w:abstractNum w:abstractNumId="9">
    <w:nsid w:val="65456429"/>
    <w:multiLevelType w:val="multilevel"/>
    <w:tmpl w:val="7078355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3"/>
  </w:num>
  <w:num w:numId="3">
    <w:abstractNumId w:val="6"/>
  </w:num>
  <w:num w:numId="4">
    <w:abstractNumId w:val="5"/>
  </w:num>
  <w:num w:numId="5">
    <w:abstractNumId w:val="9"/>
  </w:num>
  <w:num w:numId="6">
    <w:abstractNumId w:val="10"/>
  </w:num>
  <w:num w:numId="7">
    <w:abstractNumId w:val="7"/>
  </w:num>
  <w:num w:numId="8">
    <w:abstractNumId w:val="4"/>
  </w:num>
  <w:num w:numId="9">
    <w:abstractNumId w:val="8"/>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1"/>
  </w:num>
  <w:num w:numId="22">
    <w:abstractNumId w:val="9"/>
  </w:num>
  <w:num w:numId="23">
    <w:abstractNumId w:val="9"/>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0"/>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 w:numId="51">
    <w:abstractNumId w:val="9"/>
  </w:num>
  <w:num w:numId="52">
    <w:abstractNumId w:val="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rsids>
    <w:rsidRoot w:val="0041275D"/>
    <w:rsid w:val="00004AEE"/>
    <w:rsid w:val="00005CAA"/>
    <w:rsid w:val="000074C8"/>
    <w:rsid w:val="00010210"/>
    <w:rsid w:val="00012D66"/>
    <w:rsid w:val="00015ADA"/>
    <w:rsid w:val="000166A0"/>
    <w:rsid w:val="00020C99"/>
    <w:rsid w:val="0002707B"/>
    <w:rsid w:val="00031B32"/>
    <w:rsid w:val="0005106F"/>
    <w:rsid w:val="0005148E"/>
    <w:rsid w:val="000547F0"/>
    <w:rsid w:val="00066647"/>
    <w:rsid w:val="000747AE"/>
    <w:rsid w:val="000759E5"/>
    <w:rsid w:val="0007601C"/>
    <w:rsid w:val="00084AC6"/>
    <w:rsid w:val="00091608"/>
    <w:rsid w:val="0009196E"/>
    <w:rsid w:val="00092270"/>
    <w:rsid w:val="00092F92"/>
    <w:rsid w:val="0009333C"/>
    <w:rsid w:val="000934D4"/>
    <w:rsid w:val="0009704F"/>
    <w:rsid w:val="000A0F11"/>
    <w:rsid w:val="000A125A"/>
    <w:rsid w:val="000A228F"/>
    <w:rsid w:val="000A2375"/>
    <w:rsid w:val="000A57CD"/>
    <w:rsid w:val="000B3758"/>
    <w:rsid w:val="000B7681"/>
    <w:rsid w:val="000B7B42"/>
    <w:rsid w:val="000C02B7"/>
    <w:rsid w:val="000C2814"/>
    <w:rsid w:val="000C451B"/>
    <w:rsid w:val="000C5342"/>
    <w:rsid w:val="000C706A"/>
    <w:rsid w:val="000D01B8"/>
    <w:rsid w:val="000D2887"/>
    <w:rsid w:val="000D6386"/>
    <w:rsid w:val="000D6D63"/>
    <w:rsid w:val="000D706B"/>
    <w:rsid w:val="000D7810"/>
    <w:rsid w:val="000E0081"/>
    <w:rsid w:val="000E07CF"/>
    <w:rsid w:val="00100BEF"/>
    <w:rsid w:val="00102BE9"/>
    <w:rsid w:val="001038E9"/>
    <w:rsid w:val="00111540"/>
    <w:rsid w:val="0011498E"/>
    <w:rsid w:val="00117A45"/>
    <w:rsid w:val="001224AE"/>
    <w:rsid w:val="00123035"/>
    <w:rsid w:val="00125E2C"/>
    <w:rsid w:val="001337D4"/>
    <w:rsid w:val="001340EA"/>
    <w:rsid w:val="00135D3B"/>
    <w:rsid w:val="00147C12"/>
    <w:rsid w:val="001527A1"/>
    <w:rsid w:val="001530DC"/>
    <w:rsid w:val="001531E7"/>
    <w:rsid w:val="00154989"/>
    <w:rsid w:val="00155A9F"/>
    <w:rsid w:val="0015684F"/>
    <w:rsid w:val="00160262"/>
    <w:rsid w:val="0016186F"/>
    <w:rsid w:val="0016281C"/>
    <w:rsid w:val="0016433A"/>
    <w:rsid w:val="0016780A"/>
    <w:rsid w:val="001713FA"/>
    <w:rsid w:val="001733EE"/>
    <w:rsid w:val="00173EBF"/>
    <w:rsid w:val="001765DA"/>
    <w:rsid w:val="001842A2"/>
    <w:rsid w:val="00184B37"/>
    <w:rsid w:val="00185039"/>
    <w:rsid w:val="00187FA8"/>
    <w:rsid w:val="001922D0"/>
    <w:rsid w:val="00192F5E"/>
    <w:rsid w:val="00197772"/>
    <w:rsid w:val="001A51C8"/>
    <w:rsid w:val="001B472B"/>
    <w:rsid w:val="001B4CA8"/>
    <w:rsid w:val="001C046F"/>
    <w:rsid w:val="001C4F3D"/>
    <w:rsid w:val="001D0CDC"/>
    <w:rsid w:val="001D1D82"/>
    <w:rsid w:val="001D3263"/>
    <w:rsid w:val="001D4353"/>
    <w:rsid w:val="001E1182"/>
    <w:rsid w:val="001F0E8B"/>
    <w:rsid w:val="001F7A34"/>
    <w:rsid w:val="00200944"/>
    <w:rsid w:val="00202C90"/>
    <w:rsid w:val="00213DE8"/>
    <w:rsid w:val="00216118"/>
    <w:rsid w:val="00217CA2"/>
    <w:rsid w:val="002209AB"/>
    <w:rsid w:val="0022479E"/>
    <w:rsid w:val="002251E3"/>
    <w:rsid w:val="00227A95"/>
    <w:rsid w:val="002316BD"/>
    <w:rsid w:val="002336F3"/>
    <w:rsid w:val="002473FC"/>
    <w:rsid w:val="0024789F"/>
    <w:rsid w:val="00252E3C"/>
    <w:rsid w:val="00262198"/>
    <w:rsid w:val="0027222B"/>
    <w:rsid w:val="00281107"/>
    <w:rsid w:val="00285F1B"/>
    <w:rsid w:val="002925CF"/>
    <w:rsid w:val="00292B81"/>
    <w:rsid w:val="0029322E"/>
    <w:rsid w:val="00296477"/>
    <w:rsid w:val="002974BC"/>
    <w:rsid w:val="002A5EC3"/>
    <w:rsid w:val="002B18AE"/>
    <w:rsid w:val="002B67D3"/>
    <w:rsid w:val="002C1C93"/>
    <w:rsid w:val="002C5066"/>
    <w:rsid w:val="002D1362"/>
    <w:rsid w:val="002D4AAC"/>
    <w:rsid w:val="002D6C33"/>
    <w:rsid w:val="002F045A"/>
    <w:rsid w:val="002F3F91"/>
    <w:rsid w:val="0030039D"/>
    <w:rsid w:val="00300715"/>
    <w:rsid w:val="0030326F"/>
    <w:rsid w:val="00310701"/>
    <w:rsid w:val="00315980"/>
    <w:rsid w:val="00316F7F"/>
    <w:rsid w:val="00320162"/>
    <w:rsid w:val="0032087E"/>
    <w:rsid w:val="003218E8"/>
    <w:rsid w:val="00330DCE"/>
    <w:rsid w:val="00331E11"/>
    <w:rsid w:val="00334761"/>
    <w:rsid w:val="00337EBC"/>
    <w:rsid w:val="00341DCD"/>
    <w:rsid w:val="0034504D"/>
    <w:rsid w:val="0034563E"/>
    <w:rsid w:val="003468B3"/>
    <w:rsid w:val="003504CC"/>
    <w:rsid w:val="003518D6"/>
    <w:rsid w:val="0035460C"/>
    <w:rsid w:val="003556BD"/>
    <w:rsid w:val="00360B7F"/>
    <w:rsid w:val="00365147"/>
    <w:rsid w:val="0037016E"/>
    <w:rsid w:val="00370E55"/>
    <w:rsid w:val="00372908"/>
    <w:rsid w:val="0037405C"/>
    <w:rsid w:val="00374BAB"/>
    <w:rsid w:val="003760B4"/>
    <w:rsid w:val="00376457"/>
    <w:rsid w:val="00381917"/>
    <w:rsid w:val="00383020"/>
    <w:rsid w:val="003831AA"/>
    <w:rsid w:val="003975FD"/>
    <w:rsid w:val="003A0593"/>
    <w:rsid w:val="003A3302"/>
    <w:rsid w:val="003B60CC"/>
    <w:rsid w:val="003B6A5F"/>
    <w:rsid w:val="003C1B25"/>
    <w:rsid w:val="003C2443"/>
    <w:rsid w:val="003C31E0"/>
    <w:rsid w:val="003C5DA3"/>
    <w:rsid w:val="003D4BCD"/>
    <w:rsid w:val="003E01D8"/>
    <w:rsid w:val="003E2100"/>
    <w:rsid w:val="003F6F5B"/>
    <w:rsid w:val="0040342D"/>
    <w:rsid w:val="00403FB9"/>
    <w:rsid w:val="00405AE1"/>
    <w:rsid w:val="004071B4"/>
    <w:rsid w:val="0041192D"/>
    <w:rsid w:val="0041275D"/>
    <w:rsid w:val="00413EE1"/>
    <w:rsid w:val="0042128E"/>
    <w:rsid w:val="0042465A"/>
    <w:rsid w:val="0042666A"/>
    <w:rsid w:val="00432B60"/>
    <w:rsid w:val="0043672B"/>
    <w:rsid w:val="00440698"/>
    <w:rsid w:val="004516D4"/>
    <w:rsid w:val="004540E2"/>
    <w:rsid w:val="00454454"/>
    <w:rsid w:val="00463DCF"/>
    <w:rsid w:val="00467924"/>
    <w:rsid w:val="004712A5"/>
    <w:rsid w:val="0047266F"/>
    <w:rsid w:val="00476D6B"/>
    <w:rsid w:val="0049013A"/>
    <w:rsid w:val="004917F5"/>
    <w:rsid w:val="00492C16"/>
    <w:rsid w:val="00494E0D"/>
    <w:rsid w:val="0049544B"/>
    <w:rsid w:val="004A0678"/>
    <w:rsid w:val="004A3D01"/>
    <w:rsid w:val="004A48A3"/>
    <w:rsid w:val="004B0D92"/>
    <w:rsid w:val="004B0EC0"/>
    <w:rsid w:val="004B66F1"/>
    <w:rsid w:val="004B6BE6"/>
    <w:rsid w:val="004C3B7B"/>
    <w:rsid w:val="004C3EA0"/>
    <w:rsid w:val="004D0409"/>
    <w:rsid w:val="004D0982"/>
    <w:rsid w:val="004D0F84"/>
    <w:rsid w:val="004E7988"/>
    <w:rsid w:val="004F70C6"/>
    <w:rsid w:val="004F7169"/>
    <w:rsid w:val="00500D66"/>
    <w:rsid w:val="005036A6"/>
    <w:rsid w:val="00514C8E"/>
    <w:rsid w:val="00517F35"/>
    <w:rsid w:val="00523A57"/>
    <w:rsid w:val="00523ED3"/>
    <w:rsid w:val="00531DBF"/>
    <w:rsid w:val="005337FC"/>
    <w:rsid w:val="00545759"/>
    <w:rsid w:val="00545BE0"/>
    <w:rsid w:val="005500E5"/>
    <w:rsid w:val="00554C6A"/>
    <w:rsid w:val="00562E85"/>
    <w:rsid w:val="0056332F"/>
    <w:rsid w:val="00576219"/>
    <w:rsid w:val="00581C39"/>
    <w:rsid w:val="00584F6B"/>
    <w:rsid w:val="005903B6"/>
    <w:rsid w:val="00592B20"/>
    <w:rsid w:val="005A0247"/>
    <w:rsid w:val="005A126E"/>
    <w:rsid w:val="005A2218"/>
    <w:rsid w:val="005A452F"/>
    <w:rsid w:val="005A703F"/>
    <w:rsid w:val="005A711D"/>
    <w:rsid w:val="005B140D"/>
    <w:rsid w:val="005B3790"/>
    <w:rsid w:val="005C1284"/>
    <w:rsid w:val="005C1FEA"/>
    <w:rsid w:val="005C3495"/>
    <w:rsid w:val="005D7779"/>
    <w:rsid w:val="005E071A"/>
    <w:rsid w:val="005E3889"/>
    <w:rsid w:val="005E3DFC"/>
    <w:rsid w:val="005E60AF"/>
    <w:rsid w:val="005E7B4E"/>
    <w:rsid w:val="005F1DEA"/>
    <w:rsid w:val="00602FCB"/>
    <w:rsid w:val="0060761D"/>
    <w:rsid w:val="00607FC9"/>
    <w:rsid w:val="00610120"/>
    <w:rsid w:val="00610955"/>
    <w:rsid w:val="00613B2F"/>
    <w:rsid w:val="0061490C"/>
    <w:rsid w:val="00621091"/>
    <w:rsid w:val="00621238"/>
    <w:rsid w:val="00622FE1"/>
    <w:rsid w:val="0062521C"/>
    <w:rsid w:val="00627045"/>
    <w:rsid w:val="00630A2B"/>
    <w:rsid w:val="0063283F"/>
    <w:rsid w:val="00632DC7"/>
    <w:rsid w:val="00633896"/>
    <w:rsid w:val="006357FB"/>
    <w:rsid w:val="006406FC"/>
    <w:rsid w:val="0064407B"/>
    <w:rsid w:val="00646122"/>
    <w:rsid w:val="00653E16"/>
    <w:rsid w:val="00657220"/>
    <w:rsid w:val="0066104B"/>
    <w:rsid w:val="00661419"/>
    <w:rsid w:val="006655EE"/>
    <w:rsid w:val="00667C10"/>
    <w:rsid w:val="00667EF4"/>
    <w:rsid w:val="00672B85"/>
    <w:rsid w:val="00674E59"/>
    <w:rsid w:val="00676FCA"/>
    <w:rsid w:val="00677177"/>
    <w:rsid w:val="0068612E"/>
    <w:rsid w:val="00687858"/>
    <w:rsid w:val="00687C92"/>
    <w:rsid w:val="0069534E"/>
    <w:rsid w:val="00696365"/>
    <w:rsid w:val="0069669C"/>
    <w:rsid w:val="006A1200"/>
    <w:rsid w:val="006A2C5A"/>
    <w:rsid w:val="006A4F4E"/>
    <w:rsid w:val="006B14DB"/>
    <w:rsid w:val="006B21C4"/>
    <w:rsid w:val="006B527B"/>
    <w:rsid w:val="006C2005"/>
    <w:rsid w:val="006C4A1A"/>
    <w:rsid w:val="006C7DAD"/>
    <w:rsid w:val="006D0393"/>
    <w:rsid w:val="006D1A83"/>
    <w:rsid w:val="006D1C50"/>
    <w:rsid w:val="006D3235"/>
    <w:rsid w:val="006D5D1E"/>
    <w:rsid w:val="006E1CFE"/>
    <w:rsid w:val="006E31A2"/>
    <w:rsid w:val="006F10C4"/>
    <w:rsid w:val="006F40E9"/>
    <w:rsid w:val="006F5603"/>
    <w:rsid w:val="00701400"/>
    <w:rsid w:val="007037CF"/>
    <w:rsid w:val="00703BB8"/>
    <w:rsid w:val="00710403"/>
    <w:rsid w:val="007111CD"/>
    <w:rsid w:val="00716583"/>
    <w:rsid w:val="007167C0"/>
    <w:rsid w:val="00720481"/>
    <w:rsid w:val="00727C18"/>
    <w:rsid w:val="00727E2F"/>
    <w:rsid w:val="0073317C"/>
    <w:rsid w:val="00733193"/>
    <w:rsid w:val="00737CBA"/>
    <w:rsid w:val="0074084B"/>
    <w:rsid w:val="007434D9"/>
    <w:rsid w:val="00743A57"/>
    <w:rsid w:val="00754C17"/>
    <w:rsid w:val="0075732A"/>
    <w:rsid w:val="00760262"/>
    <w:rsid w:val="0076310C"/>
    <w:rsid w:val="00765CF0"/>
    <w:rsid w:val="0076744F"/>
    <w:rsid w:val="00767BCE"/>
    <w:rsid w:val="00767EFC"/>
    <w:rsid w:val="007707DE"/>
    <w:rsid w:val="00770B5D"/>
    <w:rsid w:val="007752F1"/>
    <w:rsid w:val="00776768"/>
    <w:rsid w:val="00782D61"/>
    <w:rsid w:val="00791024"/>
    <w:rsid w:val="00794818"/>
    <w:rsid w:val="007A2573"/>
    <w:rsid w:val="007A35F1"/>
    <w:rsid w:val="007A3B9C"/>
    <w:rsid w:val="007B106C"/>
    <w:rsid w:val="007B1A4E"/>
    <w:rsid w:val="007B3D05"/>
    <w:rsid w:val="007B5462"/>
    <w:rsid w:val="007B5503"/>
    <w:rsid w:val="007B61C8"/>
    <w:rsid w:val="007C6BB3"/>
    <w:rsid w:val="007D14B4"/>
    <w:rsid w:val="007D3AD7"/>
    <w:rsid w:val="007E24F6"/>
    <w:rsid w:val="007E565A"/>
    <w:rsid w:val="007F6CAC"/>
    <w:rsid w:val="007F6E85"/>
    <w:rsid w:val="00800F64"/>
    <w:rsid w:val="00802BCB"/>
    <w:rsid w:val="00802F0B"/>
    <w:rsid w:val="00810A67"/>
    <w:rsid w:val="00833CF7"/>
    <w:rsid w:val="00845601"/>
    <w:rsid w:val="00847AB3"/>
    <w:rsid w:val="008524B9"/>
    <w:rsid w:val="00854F6C"/>
    <w:rsid w:val="00855C5C"/>
    <w:rsid w:val="00857C40"/>
    <w:rsid w:val="0086233C"/>
    <w:rsid w:val="00865CFA"/>
    <w:rsid w:val="00883CE7"/>
    <w:rsid w:val="008A187F"/>
    <w:rsid w:val="008A3C96"/>
    <w:rsid w:val="008B0BBA"/>
    <w:rsid w:val="008B1627"/>
    <w:rsid w:val="008B2CE2"/>
    <w:rsid w:val="008B4019"/>
    <w:rsid w:val="008B505F"/>
    <w:rsid w:val="008B65C9"/>
    <w:rsid w:val="008C2D4A"/>
    <w:rsid w:val="008C6A05"/>
    <w:rsid w:val="008C7DBB"/>
    <w:rsid w:val="008D3900"/>
    <w:rsid w:val="008D6E1D"/>
    <w:rsid w:val="008D6EDB"/>
    <w:rsid w:val="008E2C30"/>
    <w:rsid w:val="008E36FE"/>
    <w:rsid w:val="008E7D50"/>
    <w:rsid w:val="008F39B4"/>
    <w:rsid w:val="008F4162"/>
    <w:rsid w:val="008F6D04"/>
    <w:rsid w:val="00903E02"/>
    <w:rsid w:val="00913175"/>
    <w:rsid w:val="00916EDB"/>
    <w:rsid w:val="00920861"/>
    <w:rsid w:val="00922B13"/>
    <w:rsid w:val="009242EF"/>
    <w:rsid w:val="00932291"/>
    <w:rsid w:val="0093408E"/>
    <w:rsid w:val="00942A43"/>
    <w:rsid w:val="00947507"/>
    <w:rsid w:val="00952DDF"/>
    <w:rsid w:val="00952EC4"/>
    <w:rsid w:val="00962393"/>
    <w:rsid w:val="00965852"/>
    <w:rsid w:val="00976307"/>
    <w:rsid w:val="009812D4"/>
    <w:rsid w:val="00982653"/>
    <w:rsid w:val="009873F4"/>
    <w:rsid w:val="009909D8"/>
    <w:rsid w:val="009920D8"/>
    <w:rsid w:val="009920E5"/>
    <w:rsid w:val="009A371F"/>
    <w:rsid w:val="009B38BE"/>
    <w:rsid w:val="009B6844"/>
    <w:rsid w:val="009C3D0F"/>
    <w:rsid w:val="009C4F97"/>
    <w:rsid w:val="009D6232"/>
    <w:rsid w:val="009E1B19"/>
    <w:rsid w:val="009F35E2"/>
    <w:rsid w:val="009F65F9"/>
    <w:rsid w:val="009F68BA"/>
    <w:rsid w:val="00A06277"/>
    <w:rsid w:val="00A079DC"/>
    <w:rsid w:val="00A10BAB"/>
    <w:rsid w:val="00A111C2"/>
    <w:rsid w:val="00A17C39"/>
    <w:rsid w:val="00A238AA"/>
    <w:rsid w:val="00A24DE0"/>
    <w:rsid w:val="00A338E7"/>
    <w:rsid w:val="00A35CAA"/>
    <w:rsid w:val="00A36E7F"/>
    <w:rsid w:val="00A41E65"/>
    <w:rsid w:val="00A42548"/>
    <w:rsid w:val="00A43E0A"/>
    <w:rsid w:val="00A46247"/>
    <w:rsid w:val="00A530C7"/>
    <w:rsid w:val="00A55F5B"/>
    <w:rsid w:val="00A60185"/>
    <w:rsid w:val="00A661EA"/>
    <w:rsid w:val="00A66D50"/>
    <w:rsid w:val="00A70A6C"/>
    <w:rsid w:val="00A810F9"/>
    <w:rsid w:val="00A830E5"/>
    <w:rsid w:val="00A83EAD"/>
    <w:rsid w:val="00A87135"/>
    <w:rsid w:val="00A91F67"/>
    <w:rsid w:val="00A93280"/>
    <w:rsid w:val="00A951EA"/>
    <w:rsid w:val="00A961A6"/>
    <w:rsid w:val="00A96EE6"/>
    <w:rsid w:val="00A973E1"/>
    <w:rsid w:val="00AA1C65"/>
    <w:rsid w:val="00AA2548"/>
    <w:rsid w:val="00AA3B6E"/>
    <w:rsid w:val="00AA58C4"/>
    <w:rsid w:val="00AB11C8"/>
    <w:rsid w:val="00AC08A8"/>
    <w:rsid w:val="00AD56C8"/>
    <w:rsid w:val="00AD58F2"/>
    <w:rsid w:val="00AF5EA3"/>
    <w:rsid w:val="00AF6573"/>
    <w:rsid w:val="00AF7690"/>
    <w:rsid w:val="00B03D77"/>
    <w:rsid w:val="00B0512A"/>
    <w:rsid w:val="00B0529F"/>
    <w:rsid w:val="00B05D52"/>
    <w:rsid w:val="00B1418B"/>
    <w:rsid w:val="00B21195"/>
    <w:rsid w:val="00B22B3D"/>
    <w:rsid w:val="00B24B22"/>
    <w:rsid w:val="00B25310"/>
    <w:rsid w:val="00B261E3"/>
    <w:rsid w:val="00B31EA6"/>
    <w:rsid w:val="00B32F8F"/>
    <w:rsid w:val="00B47C42"/>
    <w:rsid w:val="00B510B1"/>
    <w:rsid w:val="00B52F35"/>
    <w:rsid w:val="00B54DE9"/>
    <w:rsid w:val="00B553EC"/>
    <w:rsid w:val="00B55870"/>
    <w:rsid w:val="00B67B4D"/>
    <w:rsid w:val="00B77732"/>
    <w:rsid w:val="00B80D6D"/>
    <w:rsid w:val="00B8630E"/>
    <w:rsid w:val="00B9154F"/>
    <w:rsid w:val="00B93DD0"/>
    <w:rsid w:val="00B97732"/>
    <w:rsid w:val="00BA65A8"/>
    <w:rsid w:val="00BA6D19"/>
    <w:rsid w:val="00BA7461"/>
    <w:rsid w:val="00BA7DA9"/>
    <w:rsid w:val="00BC4215"/>
    <w:rsid w:val="00BC6288"/>
    <w:rsid w:val="00BD0396"/>
    <w:rsid w:val="00BD1A6F"/>
    <w:rsid w:val="00BD5B71"/>
    <w:rsid w:val="00BE6D3C"/>
    <w:rsid w:val="00BE7852"/>
    <w:rsid w:val="00BF7CEE"/>
    <w:rsid w:val="00C03880"/>
    <w:rsid w:val="00C07EF3"/>
    <w:rsid w:val="00C135CF"/>
    <w:rsid w:val="00C2683F"/>
    <w:rsid w:val="00C3184D"/>
    <w:rsid w:val="00C35985"/>
    <w:rsid w:val="00C35C36"/>
    <w:rsid w:val="00C4230A"/>
    <w:rsid w:val="00C4714E"/>
    <w:rsid w:val="00C47330"/>
    <w:rsid w:val="00C50941"/>
    <w:rsid w:val="00C5504F"/>
    <w:rsid w:val="00C55991"/>
    <w:rsid w:val="00C63376"/>
    <w:rsid w:val="00C65DF1"/>
    <w:rsid w:val="00C66CB4"/>
    <w:rsid w:val="00C74F97"/>
    <w:rsid w:val="00C76A08"/>
    <w:rsid w:val="00C8276E"/>
    <w:rsid w:val="00C83AD1"/>
    <w:rsid w:val="00C842AC"/>
    <w:rsid w:val="00C93FD9"/>
    <w:rsid w:val="00C96688"/>
    <w:rsid w:val="00CA0723"/>
    <w:rsid w:val="00CA4542"/>
    <w:rsid w:val="00CA5247"/>
    <w:rsid w:val="00CB1690"/>
    <w:rsid w:val="00CC4365"/>
    <w:rsid w:val="00CD11B0"/>
    <w:rsid w:val="00CD5E0E"/>
    <w:rsid w:val="00CD6CC9"/>
    <w:rsid w:val="00CD7453"/>
    <w:rsid w:val="00CE71C2"/>
    <w:rsid w:val="00CE7318"/>
    <w:rsid w:val="00CF42D5"/>
    <w:rsid w:val="00CF4EDA"/>
    <w:rsid w:val="00CF527B"/>
    <w:rsid w:val="00D021CB"/>
    <w:rsid w:val="00D10F1A"/>
    <w:rsid w:val="00D116F8"/>
    <w:rsid w:val="00D167D9"/>
    <w:rsid w:val="00D17596"/>
    <w:rsid w:val="00D21363"/>
    <w:rsid w:val="00D22640"/>
    <w:rsid w:val="00D26D3A"/>
    <w:rsid w:val="00D45C91"/>
    <w:rsid w:val="00D45EE3"/>
    <w:rsid w:val="00D50618"/>
    <w:rsid w:val="00D509E9"/>
    <w:rsid w:val="00D53B1C"/>
    <w:rsid w:val="00D652C8"/>
    <w:rsid w:val="00D656FF"/>
    <w:rsid w:val="00D6616B"/>
    <w:rsid w:val="00D83615"/>
    <w:rsid w:val="00D97037"/>
    <w:rsid w:val="00DA1B12"/>
    <w:rsid w:val="00DA4F90"/>
    <w:rsid w:val="00DA54C9"/>
    <w:rsid w:val="00DA6739"/>
    <w:rsid w:val="00DA6CAE"/>
    <w:rsid w:val="00DB1A9E"/>
    <w:rsid w:val="00DB31D6"/>
    <w:rsid w:val="00DB3296"/>
    <w:rsid w:val="00DB4005"/>
    <w:rsid w:val="00DB61F1"/>
    <w:rsid w:val="00DC34EB"/>
    <w:rsid w:val="00DC78C0"/>
    <w:rsid w:val="00DC7C57"/>
    <w:rsid w:val="00DD5716"/>
    <w:rsid w:val="00DE2C10"/>
    <w:rsid w:val="00DF14C9"/>
    <w:rsid w:val="00DF1E5B"/>
    <w:rsid w:val="00DF2275"/>
    <w:rsid w:val="00DF3F5E"/>
    <w:rsid w:val="00DF5653"/>
    <w:rsid w:val="00E021FA"/>
    <w:rsid w:val="00E0596E"/>
    <w:rsid w:val="00E06F66"/>
    <w:rsid w:val="00E2111A"/>
    <w:rsid w:val="00E21678"/>
    <w:rsid w:val="00E356E5"/>
    <w:rsid w:val="00E36F81"/>
    <w:rsid w:val="00E378A8"/>
    <w:rsid w:val="00E40B9B"/>
    <w:rsid w:val="00E45765"/>
    <w:rsid w:val="00E5098C"/>
    <w:rsid w:val="00E57E07"/>
    <w:rsid w:val="00E60213"/>
    <w:rsid w:val="00E661B2"/>
    <w:rsid w:val="00E70616"/>
    <w:rsid w:val="00E71827"/>
    <w:rsid w:val="00E74D29"/>
    <w:rsid w:val="00E806FF"/>
    <w:rsid w:val="00E83C74"/>
    <w:rsid w:val="00E83CEE"/>
    <w:rsid w:val="00E91F18"/>
    <w:rsid w:val="00E9226D"/>
    <w:rsid w:val="00EA416C"/>
    <w:rsid w:val="00EA5941"/>
    <w:rsid w:val="00EB36C5"/>
    <w:rsid w:val="00EB60CE"/>
    <w:rsid w:val="00EB7D53"/>
    <w:rsid w:val="00EC596B"/>
    <w:rsid w:val="00EE13C5"/>
    <w:rsid w:val="00EE3146"/>
    <w:rsid w:val="00EF50BB"/>
    <w:rsid w:val="00EF71E4"/>
    <w:rsid w:val="00F00192"/>
    <w:rsid w:val="00F01DF6"/>
    <w:rsid w:val="00F027B8"/>
    <w:rsid w:val="00F0340D"/>
    <w:rsid w:val="00F059A6"/>
    <w:rsid w:val="00F1448C"/>
    <w:rsid w:val="00F23756"/>
    <w:rsid w:val="00F23D35"/>
    <w:rsid w:val="00F2523A"/>
    <w:rsid w:val="00F25FFA"/>
    <w:rsid w:val="00F310D2"/>
    <w:rsid w:val="00F36F3D"/>
    <w:rsid w:val="00F37603"/>
    <w:rsid w:val="00F37C48"/>
    <w:rsid w:val="00F43304"/>
    <w:rsid w:val="00F477BD"/>
    <w:rsid w:val="00F50333"/>
    <w:rsid w:val="00F51C5C"/>
    <w:rsid w:val="00F53491"/>
    <w:rsid w:val="00F54656"/>
    <w:rsid w:val="00F55386"/>
    <w:rsid w:val="00F56411"/>
    <w:rsid w:val="00F60181"/>
    <w:rsid w:val="00F65A1C"/>
    <w:rsid w:val="00F66F50"/>
    <w:rsid w:val="00F77432"/>
    <w:rsid w:val="00F81162"/>
    <w:rsid w:val="00F82FF8"/>
    <w:rsid w:val="00F8330D"/>
    <w:rsid w:val="00F83FE1"/>
    <w:rsid w:val="00F84305"/>
    <w:rsid w:val="00F8485C"/>
    <w:rsid w:val="00F87149"/>
    <w:rsid w:val="00F87FFE"/>
    <w:rsid w:val="00F954C9"/>
    <w:rsid w:val="00FA322C"/>
    <w:rsid w:val="00FA4CF0"/>
    <w:rsid w:val="00FA61AA"/>
    <w:rsid w:val="00FA69A4"/>
    <w:rsid w:val="00FB1279"/>
    <w:rsid w:val="00FB1495"/>
    <w:rsid w:val="00FB3C17"/>
    <w:rsid w:val="00FC0D25"/>
    <w:rsid w:val="00FC20F8"/>
    <w:rsid w:val="00FD1694"/>
    <w:rsid w:val="00FD2DCB"/>
    <w:rsid w:val="00FD7636"/>
    <w:rsid w:val="00FE3229"/>
    <w:rsid w:val="00FE74C3"/>
    <w:rsid w:val="00FF0396"/>
    <w:rsid w:val="00FF159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6D1C50"/>
    <w:rPr>
      <w:color w:val="800080" w:themeColor="followedHyperlink"/>
      <w:u w:val="single"/>
    </w:rPr>
  </w:style>
  <w:style w:type="character" w:styleId="CommentReference">
    <w:name w:val="annotation reference"/>
    <w:basedOn w:val="DefaultParagraphFont"/>
    <w:uiPriority w:val="99"/>
    <w:semiHidden/>
    <w:unhideWhenUsed/>
    <w:rsid w:val="00FB3C17"/>
    <w:rPr>
      <w:sz w:val="16"/>
      <w:szCs w:val="16"/>
    </w:rPr>
  </w:style>
  <w:style w:type="paragraph" w:styleId="CommentText">
    <w:name w:val="annotation text"/>
    <w:basedOn w:val="Normal"/>
    <w:link w:val="CommentTextChar"/>
    <w:uiPriority w:val="99"/>
    <w:semiHidden/>
    <w:unhideWhenUsed/>
    <w:rsid w:val="00FB3C17"/>
    <w:rPr>
      <w:sz w:val="20"/>
      <w:szCs w:val="20"/>
    </w:rPr>
  </w:style>
  <w:style w:type="character" w:customStyle="1" w:styleId="CommentTextChar">
    <w:name w:val="Comment Text Char"/>
    <w:basedOn w:val="DefaultParagraphFont"/>
    <w:link w:val="CommentText"/>
    <w:uiPriority w:val="99"/>
    <w:semiHidden/>
    <w:rsid w:val="00FB3C17"/>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B3C17"/>
    <w:rPr>
      <w:b/>
      <w:bCs/>
    </w:rPr>
  </w:style>
  <w:style w:type="character" w:customStyle="1" w:styleId="CommentSubjectChar">
    <w:name w:val="Comment Subject Char"/>
    <w:basedOn w:val="CommentTextChar"/>
    <w:link w:val="CommentSubject"/>
    <w:uiPriority w:val="99"/>
    <w:semiHidden/>
    <w:rsid w:val="00FB3C17"/>
    <w:rPr>
      <w:rFonts w:ascii="Times New Roman" w:eastAsia="Times New Roman" w:hAnsi="Times New Roman"/>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2E5E1-790B-4AFD-8A1A-0950C62A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Expansion of the Camden Gas Project (EPBC 2012/6638)</dc:title>
  <dc:creator/>
  <cp:lastModifiedBy/>
  <cp:revision>1</cp:revision>
  <dcterms:created xsi:type="dcterms:W3CDTF">2014-08-22T05:00:00Z</dcterms:created>
  <dcterms:modified xsi:type="dcterms:W3CDTF">2014-08-22T05:00:00Z</dcterms:modified>
</cp:coreProperties>
</file>