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950EE2" w:rsidRDefault="00F027B8" w:rsidP="00F027B8">
      <w:pPr>
        <w:pStyle w:val="Header"/>
        <w:keepLines/>
        <w:tabs>
          <w:tab w:val="left" w:pos="2835"/>
        </w:tabs>
        <w:ind w:left="-1134" w:right="-1136"/>
        <w:rPr>
          <w:rFonts w:cs="Arial"/>
          <w:b/>
        </w:rPr>
      </w:pPr>
      <w:r w:rsidRPr="00950EE2">
        <w:rPr>
          <w:rFonts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950EE2" w:rsidRDefault="00F027B8" w:rsidP="0032087E">
      <w:pPr>
        <w:pStyle w:val="Header"/>
        <w:keepLines/>
        <w:tabs>
          <w:tab w:val="left" w:pos="2835"/>
        </w:tabs>
        <w:ind w:left="-360" w:right="-289"/>
        <w:jc w:val="center"/>
        <w:rPr>
          <w:rFonts w:cs="Arial"/>
          <w:b/>
        </w:rPr>
      </w:pPr>
    </w:p>
    <w:p w:rsidR="00F027B8" w:rsidRPr="00950EE2" w:rsidRDefault="00F027B8" w:rsidP="0032087E">
      <w:pPr>
        <w:pStyle w:val="Header"/>
        <w:keepLines/>
        <w:tabs>
          <w:tab w:val="left" w:pos="2835"/>
        </w:tabs>
        <w:ind w:left="-360" w:right="-289"/>
        <w:jc w:val="center"/>
        <w:rPr>
          <w:rFonts w:cs="Arial"/>
          <w:b/>
        </w:rPr>
      </w:pPr>
    </w:p>
    <w:p w:rsidR="00F027B8" w:rsidRPr="00950EE2" w:rsidRDefault="00F027B8" w:rsidP="0032087E">
      <w:pPr>
        <w:pStyle w:val="Header"/>
        <w:keepLines/>
        <w:tabs>
          <w:tab w:val="left" w:pos="2835"/>
        </w:tabs>
        <w:ind w:left="-360" w:right="-289"/>
        <w:jc w:val="center"/>
        <w:rPr>
          <w:rFonts w:cs="Arial"/>
          <w:b/>
        </w:rPr>
      </w:pPr>
    </w:p>
    <w:p w:rsidR="00F027B8" w:rsidRPr="00950EE2" w:rsidRDefault="00F027B8" w:rsidP="003138AC">
      <w:pPr>
        <w:pStyle w:val="Header"/>
        <w:keepLines/>
        <w:tabs>
          <w:tab w:val="left" w:pos="2835"/>
        </w:tabs>
        <w:ind w:right="-289"/>
        <w:rPr>
          <w:rFonts w:cs="Arial"/>
          <w:b/>
          <w:sz w:val="2"/>
        </w:rPr>
      </w:pPr>
    </w:p>
    <w:p w:rsidR="00AD3AF5" w:rsidRPr="00950EE2" w:rsidRDefault="00AD3AF5" w:rsidP="003138AC">
      <w:pPr>
        <w:pStyle w:val="Header"/>
        <w:keepLines/>
        <w:tabs>
          <w:tab w:val="left" w:pos="2835"/>
        </w:tabs>
        <w:ind w:right="-289"/>
        <w:rPr>
          <w:rFonts w:cs="Arial"/>
          <w:b/>
          <w:sz w:val="2"/>
        </w:rPr>
      </w:pPr>
    </w:p>
    <w:p w:rsidR="001765DA" w:rsidRPr="00950EE2" w:rsidRDefault="00F027B8" w:rsidP="00AD3AF5">
      <w:pPr>
        <w:pStyle w:val="Heading1"/>
      </w:pPr>
      <w:bookmarkStart w:id="0" w:name="OLE_LINK1"/>
      <w:bookmarkStart w:id="1" w:name="OLE_LINK2"/>
      <w:r w:rsidRPr="00950EE2">
        <w:t>Advi</w:t>
      </w:r>
      <w:r w:rsidR="001765DA" w:rsidRPr="00950EE2">
        <w:t>ce to decision maker on</w:t>
      </w:r>
      <w:r w:rsidR="002A43E0" w:rsidRPr="00950EE2">
        <w:t xml:space="preserve"> </w:t>
      </w:r>
      <w:r w:rsidR="001765DA" w:rsidRPr="00950EE2">
        <w:t>coal mining</w:t>
      </w:r>
      <w:r w:rsidR="00E21678" w:rsidRPr="00950EE2">
        <w:t xml:space="preserve"> project </w:t>
      </w:r>
    </w:p>
    <w:p w:rsidR="004861E6" w:rsidRPr="00950EE2" w:rsidRDefault="00D10C4C" w:rsidP="00AD3AF5">
      <w:pPr>
        <w:pStyle w:val="Heading2"/>
      </w:pPr>
      <w:r w:rsidRPr="00950EE2">
        <w:t xml:space="preserve">IESC </w:t>
      </w:r>
      <w:r w:rsidR="002A43E0" w:rsidRPr="00950EE2">
        <w:t>2013-0</w:t>
      </w:r>
      <w:r w:rsidR="0000336A" w:rsidRPr="00950EE2">
        <w:t>40</w:t>
      </w:r>
      <w:r w:rsidR="001765DA" w:rsidRPr="00950EE2">
        <w:t>:</w:t>
      </w:r>
      <w:r w:rsidR="002974BC" w:rsidRPr="00950EE2">
        <w:t xml:space="preserve"> </w:t>
      </w:r>
      <w:r w:rsidR="0000336A" w:rsidRPr="00950EE2">
        <w:t>Bylong</w:t>
      </w:r>
      <w:r w:rsidR="002A43E0" w:rsidRPr="00950EE2">
        <w:t xml:space="preserve"> Coal Project</w:t>
      </w:r>
      <w:r w:rsidR="00185039" w:rsidRPr="00950EE2">
        <w:t xml:space="preserve"> </w:t>
      </w:r>
      <w:r w:rsidR="008E4652" w:rsidRPr="00950EE2">
        <w:t>–</w:t>
      </w:r>
      <w:r w:rsidR="00C803D7" w:rsidRPr="00950EE2">
        <w:t xml:space="preserve"> 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950EE2" w:rsidTr="00AD3AF5">
        <w:tc>
          <w:tcPr>
            <w:tcW w:w="1809" w:type="dxa"/>
            <w:tcBorders>
              <w:top w:val="single" w:sz="4" w:space="0" w:color="auto"/>
              <w:bottom w:val="single" w:sz="4" w:space="0" w:color="auto"/>
            </w:tcBorders>
          </w:tcPr>
          <w:bookmarkEnd w:id="0"/>
          <w:bookmarkEnd w:id="1"/>
          <w:p w:rsidR="001765DA" w:rsidRPr="00950EE2" w:rsidRDefault="001765DA" w:rsidP="00AD3AF5">
            <w:pPr>
              <w:pStyle w:val="Heading3"/>
            </w:pPr>
            <w:r w:rsidRPr="00950EE2">
              <w:t>Requesting agency</w:t>
            </w:r>
          </w:p>
        </w:tc>
        <w:tc>
          <w:tcPr>
            <w:tcW w:w="8159" w:type="dxa"/>
            <w:tcBorders>
              <w:top w:val="single" w:sz="4" w:space="0" w:color="auto"/>
              <w:bottom w:val="single" w:sz="4" w:space="0" w:color="auto"/>
            </w:tcBorders>
          </w:tcPr>
          <w:p w:rsidR="003E2BDB" w:rsidRPr="00950EE2" w:rsidRDefault="003E2BDB" w:rsidP="00AD3AF5">
            <w:r w:rsidRPr="00950EE2">
              <w:t>The New South Wales Mining and Petroleum Gateway Panel</w:t>
            </w:r>
          </w:p>
        </w:tc>
      </w:tr>
      <w:tr w:rsidR="001765DA" w:rsidRPr="00950EE2" w:rsidTr="00AD3AF5">
        <w:tc>
          <w:tcPr>
            <w:tcW w:w="1809" w:type="dxa"/>
            <w:tcBorders>
              <w:top w:val="single" w:sz="4" w:space="0" w:color="auto"/>
              <w:bottom w:val="single" w:sz="4" w:space="0" w:color="auto"/>
            </w:tcBorders>
          </w:tcPr>
          <w:p w:rsidR="001765DA" w:rsidRPr="00950EE2" w:rsidRDefault="001765DA" w:rsidP="00AD3AF5">
            <w:pPr>
              <w:pStyle w:val="Heading3"/>
            </w:pPr>
            <w:r w:rsidRPr="00950EE2">
              <w:t>Date of request</w:t>
            </w:r>
          </w:p>
        </w:tc>
        <w:tc>
          <w:tcPr>
            <w:tcW w:w="8159" w:type="dxa"/>
            <w:tcBorders>
              <w:top w:val="single" w:sz="4" w:space="0" w:color="auto"/>
              <w:bottom w:val="single" w:sz="4" w:space="0" w:color="auto"/>
            </w:tcBorders>
          </w:tcPr>
          <w:p w:rsidR="001765DA" w:rsidRPr="00950EE2" w:rsidRDefault="0000336A" w:rsidP="00FC79FA">
            <w:pPr>
              <w:rPr>
                <w:rFonts w:cs="Arial"/>
                <w:szCs w:val="20"/>
              </w:rPr>
            </w:pPr>
            <w:r w:rsidRPr="00950EE2">
              <w:rPr>
                <w:rFonts w:cs="Arial"/>
                <w:szCs w:val="20"/>
              </w:rPr>
              <w:t>15 January</w:t>
            </w:r>
            <w:r w:rsidR="00A10BAB" w:rsidRPr="00950EE2">
              <w:rPr>
                <w:rFonts w:cs="Arial"/>
                <w:szCs w:val="20"/>
              </w:rPr>
              <w:t xml:space="preserve"> </w:t>
            </w:r>
            <w:r w:rsidR="00716583" w:rsidRPr="00950EE2">
              <w:rPr>
                <w:rFonts w:cs="Arial"/>
                <w:szCs w:val="20"/>
              </w:rPr>
              <w:t>201</w:t>
            </w:r>
            <w:r w:rsidRPr="00950EE2">
              <w:rPr>
                <w:rFonts w:cs="Arial"/>
                <w:szCs w:val="20"/>
              </w:rPr>
              <w:t>4</w:t>
            </w:r>
          </w:p>
        </w:tc>
      </w:tr>
      <w:tr w:rsidR="00185039" w:rsidRPr="00950EE2" w:rsidTr="00AD3AF5">
        <w:tc>
          <w:tcPr>
            <w:tcW w:w="1809" w:type="dxa"/>
            <w:tcBorders>
              <w:top w:val="single" w:sz="4" w:space="0" w:color="auto"/>
              <w:bottom w:val="single" w:sz="4" w:space="0" w:color="auto"/>
            </w:tcBorders>
          </w:tcPr>
          <w:p w:rsidR="00185039" w:rsidRPr="00950EE2" w:rsidRDefault="00185039" w:rsidP="00AD3AF5">
            <w:pPr>
              <w:pStyle w:val="Heading3"/>
            </w:pPr>
            <w:r w:rsidRPr="00950EE2">
              <w:t>Date request accepted</w:t>
            </w:r>
          </w:p>
        </w:tc>
        <w:tc>
          <w:tcPr>
            <w:tcW w:w="8159" w:type="dxa"/>
            <w:tcBorders>
              <w:top w:val="single" w:sz="4" w:space="0" w:color="auto"/>
              <w:bottom w:val="single" w:sz="4" w:space="0" w:color="auto"/>
            </w:tcBorders>
          </w:tcPr>
          <w:p w:rsidR="00185039" w:rsidRPr="00950EE2" w:rsidRDefault="0000336A" w:rsidP="00FC79FA">
            <w:pPr>
              <w:rPr>
                <w:rFonts w:cs="Arial"/>
                <w:szCs w:val="20"/>
              </w:rPr>
            </w:pPr>
            <w:r w:rsidRPr="00950EE2">
              <w:rPr>
                <w:rFonts w:cs="Arial"/>
                <w:szCs w:val="20"/>
              </w:rPr>
              <w:t xml:space="preserve">17 January </w:t>
            </w:r>
            <w:r w:rsidR="00185039" w:rsidRPr="00950EE2">
              <w:rPr>
                <w:rFonts w:cs="Arial"/>
                <w:szCs w:val="20"/>
              </w:rPr>
              <w:t>201</w:t>
            </w:r>
            <w:r w:rsidRPr="00950EE2">
              <w:rPr>
                <w:rFonts w:cs="Arial"/>
                <w:szCs w:val="20"/>
              </w:rPr>
              <w:t>4</w:t>
            </w:r>
          </w:p>
        </w:tc>
      </w:tr>
      <w:tr w:rsidR="00062A46" w:rsidRPr="00950EE2" w:rsidTr="00AD3AF5">
        <w:tc>
          <w:tcPr>
            <w:tcW w:w="1809" w:type="dxa"/>
            <w:tcBorders>
              <w:top w:val="single" w:sz="4" w:space="0" w:color="auto"/>
              <w:bottom w:val="single" w:sz="4" w:space="0" w:color="auto"/>
            </w:tcBorders>
            <w:vAlign w:val="center"/>
          </w:tcPr>
          <w:p w:rsidR="00062A46" w:rsidRPr="00950EE2" w:rsidRDefault="00062A46" w:rsidP="00AD3AF5">
            <w:pPr>
              <w:pStyle w:val="Heading3"/>
            </w:pPr>
            <w:r w:rsidRPr="00950EE2">
              <w:t xml:space="preserve">Advice stage </w:t>
            </w:r>
          </w:p>
        </w:tc>
        <w:tc>
          <w:tcPr>
            <w:tcW w:w="8159" w:type="dxa"/>
            <w:tcBorders>
              <w:top w:val="single" w:sz="4" w:space="0" w:color="auto"/>
              <w:bottom w:val="single" w:sz="4" w:space="0" w:color="auto"/>
            </w:tcBorders>
            <w:vAlign w:val="center"/>
          </w:tcPr>
          <w:p w:rsidR="00062A46" w:rsidRPr="00950EE2" w:rsidRDefault="0081315B" w:rsidP="00B4690F">
            <w:pPr>
              <w:autoSpaceDE w:val="0"/>
              <w:autoSpaceDN w:val="0"/>
              <w:adjustRightInd w:val="0"/>
              <w:rPr>
                <w:rFonts w:cs="Arial"/>
                <w:lang w:eastAsia="en-AU"/>
              </w:rPr>
            </w:pPr>
            <w:r w:rsidRPr="00950EE2">
              <w:rPr>
                <w:rFonts w:cs="Arial"/>
                <w:lang w:eastAsia="en-AU"/>
              </w:rPr>
              <w:t xml:space="preserve">Gateway Application </w:t>
            </w:r>
          </w:p>
        </w:tc>
      </w:tr>
    </w:tbl>
    <w:p w:rsidR="007203C3" w:rsidRPr="00950EE2" w:rsidRDefault="007203C3" w:rsidP="007203C3">
      <w:pPr>
        <w:pStyle w:val="tablelabel"/>
        <w:spacing w:before="200"/>
        <w:rPr>
          <w:rFonts w:cs="Arial"/>
          <w:sz w:val="20"/>
        </w:rPr>
      </w:pPr>
      <w:r w:rsidRPr="00950EE2">
        <w:rPr>
          <w:rFonts w:cs="Arial"/>
          <w:sz w:val="20"/>
        </w:rPr>
        <w:t>Advice</w:t>
      </w:r>
    </w:p>
    <w:p w:rsidR="007203C3" w:rsidRPr="00950EE2" w:rsidRDefault="007203C3" w:rsidP="00D10C4C">
      <w:pPr>
        <w:autoSpaceDE w:val="0"/>
        <w:autoSpaceDN w:val="0"/>
        <w:adjustRightInd w:val="0"/>
        <w:rPr>
          <w:rFonts w:cs="Arial"/>
          <w:szCs w:val="20"/>
        </w:rPr>
      </w:pPr>
      <w:r w:rsidRPr="00950EE2">
        <w:rPr>
          <w:rFonts w:cs="Arial"/>
          <w:szCs w:val="20"/>
        </w:rPr>
        <w:t xml:space="preserve">The Independent Expert Scientific Committee on Coal Seam Gas and Large Coal Mining Development (the </w:t>
      </w:r>
      <w:r w:rsidR="00C536CB" w:rsidRPr="00950EE2">
        <w:rPr>
          <w:rFonts w:cs="Arial"/>
          <w:szCs w:val="20"/>
        </w:rPr>
        <w:t>IESC</w:t>
      </w:r>
      <w:r w:rsidRPr="00950EE2">
        <w:rPr>
          <w:rFonts w:cs="Arial"/>
          <w:szCs w:val="20"/>
        </w:rPr>
        <w:t xml:space="preserve">) was requested </w:t>
      </w:r>
      <w:r w:rsidR="00D10C4C" w:rsidRPr="00950EE2">
        <w:rPr>
          <w:rFonts w:cs="Arial"/>
          <w:szCs w:val="20"/>
        </w:rPr>
        <w:t xml:space="preserve">by </w:t>
      </w:r>
      <w:r w:rsidR="00FC79FA" w:rsidRPr="00950EE2">
        <w:rPr>
          <w:rFonts w:cs="Arial"/>
          <w:szCs w:val="20"/>
        </w:rPr>
        <w:t>t</w:t>
      </w:r>
      <w:r w:rsidR="003E2BDB" w:rsidRPr="00950EE2">
        <w:rPr>
          <w:rFonts w:cs="Arial"/>
          <w:szCs w:val="20"/>
        </w:rPr>
        <w:t>he New South Wales Mining and Petroleum Gateway Panel</w:t>
      </w:r>
      <w:r w:rsidR="00D10C4C" w:rsidRPr="00950EE2">
        <w:rPr>
          <w:rFonts w:cs="Arial"/>
          <w:b/>
          <w:szCs w:val="20"/>
        </w:rPr>
        <w:t xml:space="preserve"> </w:t>
      </w:r>
      <w:r w:rsidRPr="00950EE2">
        <w:rPr>
          <w:rFonts w:cs="Arial"/>
          <w:szCs w:val="20"/>
        </w:rPr>
        <w:t xml:space="preserve">to provide advice on the </w:t>
      </w:r>
      <w:r w:rsidR="0000336A" w:rsidRPr="00950EE2">
        <w:rPr>
          <w:rFonts w:cs="Arial"/>
          <w:szCs w:val="20"/>
        </w:rPr>
        <w:t>Bylong</w:t>
      </w:r>
      <w:r w:rsidR="00FC79FA" w:rsidRPr="00950EE2">
        <w:rPr>
          <w:rFonts w:cs="Arial"/>
          <w:szCs w:val="20"/>
        </w:rPr>
        <w:t xml:space="preserve"> Coal Project in New South Wales. </w:t>
      </w:r>
      <w:r w:rsidR="00E8100D" w:rsidRPr="00950EE2">
        <w:rPr>
          <w:rFonts w:cs="Arial"/>
          <w:szCs w:val="20"/>
        </w:rPr>
        <w:t xml:space="preserve">The proposed project </w:t>
      </w:r>
      <w:r w:rsidR="00B238D2" w:rsidRPr="00950EE2">
        <w:rPr>
          <w:rFonts w:cs="Arial"/>
          <w:szCs w:val="20"/>
        </w:rPr>
        <w:t>has been</w:t>
      </w:r>
      <w:r w:rsidR="00E8100D" w:rsidRPr="00950EE2">
        <w:rPr>
          <w:rFonts w:cs="Arial"/>
          <w:szCs w:val="20"/>
        </w:rPr>
        <w:t xml:space="preserve"> referred to the </w:t>
      </w:r>
      <w:r w:rsidR="00C536CB" w:rsidRPr="00950EE2">
        <w:rPr>
          <w:rFonts w:cs="Arial"/>
          <w:szCs w:val="20"/>
        </w:rPr>
        <w:t>IESC</w:t>
      </w:r>
      <w:r w:rsidR="00E8100D" w:rsidRPr="00950EE2">
        <w:rPr>
          <w:rFonts w:cs="Arial"/>
          <w:szCs w:val="20"/>
        </w:rPr>
        <w:t xml:space="preserve"> at the ‘Gateway</w:t>
      </w:r>
      <w:r w:rsidR="00B974AA" w:rsidRPr="00950EE2">
        <w:rPr>
          <w:rFonts w:cs="Arial"/>
          <w:szCs w:val="20"/>
        </w:rPr>
        <w:t>’</w:t>
      </w:r>
      <w:r w:rsidR="00E8100D" w:rsidRPr="00950EE2">
        <w:rPr>
          <w:rFonts w:cs="Arial"/>
          <w:szCs w:val="20"/>
        </w:rPr>
        <w:t xml:space="preserve"> Stage due to its location on identified Biophysical Strategic Agricultural Land (BSAL) as legislated under the </w:t>
      </w:r>
      <w:r w:rsidR="00401F4B" w:rsidRPr="00950EE2">
        <w:rPr>
          <w:rFonts w:cs="Arial"/>
          <w:szCs w:val="20"/>
        </w:rPr>
        <w:t xml:space="preserve">NSW </w:t>
      </w:r>
      <w:r w:rsidR="00E8100D" w:rsidRPr="00950EE2">
        <w:rPr>
          <w:rFonts w:cs="Arial"/>
          <w:i/>
          <w:szCs w:val="20"/>
        </w:rPr>
        <w:t>Environmental Planning and Assessment Act</w:t>
      </w:r>
      <w:r w:rsidR="00E57D7D" w:rsidRPr="00950EE2">
        <w:rPr>
          <w:rFonts w:cs="Arial"/>
          <w:szCs w:val="20"/>
        </w:rPr>
        <w:t> </w:t>
      </w:r>
      <w:r w:rsidR="00E8100D" w:rsidRPr="00950EE2">
        <w:rPr>
          <w:rFonts w:cs="Arial"/>
          <w:i/>
          <w:szCs w:val="20"/>
        </w:rPr>
        <w:t>1979</w:t>
      </w:r>
      <w:r w:rsidR="00E8100D" w:rsidRPr="00950EE2">
        <w:rPr>
          <w:rFonts w:cs="Arial"/>
          <w:szCs w:val="20"/>
        </w:rPr>
        <w:t>.</w:t>
      </w:r>
    </w:p>
    <w:p w:rsidR="007203C3" w:rsidRPr="00950EE2" w:rsidRDefault="007203C3" w:rsidP="001E233B">
      <w:r w:rsidRPr="00950EE2">
        <w:t xml:space="preserve">This advice draws upon aspects of information in the </w:t>
      </w:r>
      <w:r w:rsidR="00FC79FA" w:rsidRPr="00950EE2">
        <w:t>Gateway Certificate</w:t>
      </w:r>
      <w:r w:rsidR="005B1BC3" w:rsidRPr="00950EE2">
        <w:t xml:space="preserve"> Application</w:t>
      </w:r>
      <w:r w:rsidRPr="00950EE2">
        <w:t>,</w:t>
      </w:r>
      <w:r w:rsidR="00722527" w:rsidRPr="00950EE2">
        <w:t xml:space="preserve"> including the Preliminary Groundwater Assessment</w:t>
      </w:r>
      <w:r w:rsidR="007617C2" w:rsidRPr="00950EE2">
        <w:t>,</w:t>
      </w:r>
      <w:r w:rsidRPr="00950EE2">
        <w:t xml:space="preserve"> together with the expert deliberations of the </w:t>
      </w:r>
      <w:r w:rsidR="00C536CB" w:rsidRPr="00950EE2">
        <w:t>IESC</w:t>
      </w:r>
      <w:r w:rsidRPr="00950EE2">
        <w:t xml:space="preserve">. The project documentation and information accessed by the </w:t>
      </w:r>
      <w:r w:rsidR="00C536CB" w:rsidRPr="00950EE2">
        <w:t>IESC</w:t>
      </w:r>
      <w:r w:rsidRPr="00950EE2">
        <w:t xml:space="preserve"> are listed in the source documentation at the end of this advice.</w:t>
      </w:r>
    </w:p>
    <w:p w:rsidR="00B974AA" w:rsidRPr="00950EE2" w:rsidRDefault="00B974AA" w:rsidP="00B974AA">
      <w:r w:rsidRPr="00950EE2">
        <w:t>The proposed project lies within the Western Coalfields of the Sydney-Gunnedah Basin in New South Wales. Approximately six million tonnes per annum of run of mine coal is proposed to be extracted via open cut and underground mining methods from the target Coggan and Ulan coal seams. The proposed project is located along the Bylong River, a tributary of the Goulburn River, which in turn is a tributary of the Hunter River. The closest large regional centre is Mudgee, located approximately 55 km south-west of the proposed project. The small settlement of Bylong Village is located within the proposed project boundary. The mine life is anticipated to be approximately 29 years.</w:t>
      </w:r>
    </w:p>
    <w:p w:rsidR="004333E6" w:rsidRPr="00950EE2" w:rsidRDefault="00A34214" w:rsidP="00E344AA">
      <w:pPr>
        <w:autoSpaceDE w:val="0"/>
        <w:autoSpaceDN w:val="0"/>
        <w:adjustRightInd w:val="0"/>
        <w:rPr>
          <w:rFonts w:cs="Arial"/>
          <w:szCs w:val="20"/>
        </w:rPr>
      </w:pPr>
      <w:r w:rsidRPr="00950EE2">
        <w:rPr>
          <w:rFonts w:cs="Arial"/>
          <w:szCs w:val="20"/>
        </w:rPr>
        <w:t xml:space="preserve">The </w:t>
      </w:r>
      <w:r w:rsidR="00C536CB" w:rsidRPr="00950EE2">
        <w:rPr>
          <w:rFonts w:cs="Arial"/>
          <w:szCs w:val="20"/>
        </w:rPr>
        <w:t>IESC</w:t>
      </w:r>
      <w:r w:rsidRPr="00950EE2">
        <w:rPr>
          <w:rFonts w:cs="Arial"/>
          <w:szCs w:val="20"/>
        </w:rPr>
        <w:t xml:space="preserve"> </w:t>
      </w:r>
      <w:r w:rsidR="00371E0C" w:rsidRPr="00950EE2">
        <w:rPr>
          <w:rFonts w:cs="Arial"/>
          <w:szCs w:val="20"/>
        </w:rPr>
        <w:t xml:space="preserve">recognises </w:t>
      </w:r>
      <w:r w:rsidR="00E77273" w:rsidRPr="00950EE2">
        <w:rPr>
          <w:rFonts w:cs="Arial"/>
          <w:szCs w:val="20"/>
        </w:rPr>
        <w:t>that</w:t>
      </w:r>
      <w:r w:rsidR="005B1BC3" w:rsidRPr="00950EE2">
        <w:rPr>
          <w:rFonts w:cs="Arial"/>
          <w:szCs w:val="20"/>
        </w:rPr>
        <w:t xml:space="preserve"> the</w:t>
      </w:r>
      <w:r w:rsidR="00CB2CDF" w:rsidRPr="00950EE2">
        <w:rPr>
          <w:rFonts w:cs="Arial"/>
          <w:szCs w:val="20"/>
        </w:rPr>
        <w:t xml:space="preserve"> Gateway Certificate</w:t>
      </w:r>
      <w:r w:rsidR="00B238D2" w:rsidRPr="00950EE2">
        <w:rPr>
          <w:rFonts w:cs="Arial"/>
          <w:szCs w:val="20"/>
        </w:rPr>
        <w:t xml:space="preserve"> </w:t>
      </w:r>
      <w:r w:rsidR="005B1BC3" w:rsidRPr="00950EE2">
        <w:rPr>
          <w:rFonts w:cs="Arial"/>
          <w:szCs w:val="20"/>
        </w:rPr>
        <w:t xml:space="preserve">Application </w:t>
      </w:r>
      <w:r w:rsidR="00B238D2" w:rsidRPr="00950EE2">
        <w:rPr>
          <w:rFonts w:cs="Arial"/>
          <w:szCs w:val="20"/>
        </w:rPr>
        <w:t>has been designed to</w:t>
      </w:r>
      <w:r w:rsidR="00CB2CDF" w:rsidRPr="00950EE2">
        <w:rPr>
          <w:rFonts w:cs="Arial"/>
          <w:szCs w:val="20"/>
        </w:rPr>
        <w:t xml:space="preserve"> </w:t>
      </w:r>
      <w:r w:rsidR="00E77273" w:rsidRPr="00950EE2">
        <w:rPr>
          <w:rFonts w:cs="Arial"/>
          <w:szCs w:val="20"/>
        </w:rPr>
        <w:t>address the criteria sp</w:t>
      </w:r>
      <w:r w:rsidR="00E57D7D" w:rsidRPr="00950EE2">
        <w:rPr>
          <w:rFonts w:cs="Arial"/>
          <w:szCs w:val="20"/>
        </w:rPr>
        <w:t>ecified as part of the Gateway p</w:t>
      </w:r>
      <w:r w:rsidR="00E77273" w:rsidRPr="00950EE2">
        <w:rPr>
          <w:rFonts w:cs="Arial"/>
          <w:szCs w:val="20"/>
        </w:rPr>
        <w:t>rocess</w:t>
      </w:r>
      <w:r w:rsidR="00E57D7D" w:rsidRPr="00950EE2">
        <w:rPr>
          <w:rFonts w:cs="Arial"/>
          <w:szCs w:val="20"/>
        </w:rPr>
        <w:t>,</w:t>
      </w:r>
      <w:r w:rsidR="00E77273" w:rsidRPr="00950EE2">
        <w:rPr>
          <w:rFonts w:cs="Arial"/>
          <w:szCs w:val="20"/>
        </w:rPr>
        <w:t xml:space="preserve"> </w:t>
      </w:r>
      <w:r w:rsidR="00401F4B" w:rsidRPr="00950EE2">
        <w:rPr>
          <w:rFonts w:cs="Arial"/>
          <w:szCs w:val="20"/>
        </w:rPr>
        <w:t xml:space="preserve">which differs in scale and detail </w:t>
      </w:r>
      <w:r w:rsidR="00E77273" w:rsidRPr="00950EE2">
        <w:rPr>
          <w:rFonts w:cs="Arial"/>
          <w:szCs w:val="20"/>
        </w:rPr>
        <w:t xml:space="preserve">and does not contain the level of analysis expected for a </w:t>
      </w:r>
      <w:r w:rsidR="00B90039" w:rsidRPr="00950EE2">
        <w:rPr>
          <w:rFonts w:cs="Arial"/>
          <w:szCs w:val="20"/>
        </w:rPr>
        <w:t>d</w:t>
      </w:r>
      <w:r w:rsidR="00E77273" w:rsidRPr="00950EE2">
        <w:rPr>
          <w:rFonts w:cs="Arial"/>
          <w:szCs w:val="20"/>
        </w:rPr>
        <w:t xml:space="preserve">evelopment </w:t>
      </w:r>
      <w:r w:rsidR="00B90039" w:rsidRPr="00950EE2">
        <w:rPr>
          <w:rFonts w:cs="Arial"/>
          <w:szCs w:val="20"/>
        </w:rPr>
        <w:t>a</w:t>
      </w:r>
      <w:r w:rsidR="00E77273" w:rsidRPr="00950EE2">
        <w:rPr>
          <w:rFonts w:cs="Arial"/>
          <w:szCs w:val="20"/>
        </w:rPr>
        <w:t xml:space="preserve">pplication and accompanying </w:t>
      </w:r>
      <w:r w:rsidR="00B90039" w:rsidRPr="00950EE2">
        <w:rPr>
          <w:rFonts w:cs="Arial"/>
          <w:szCs w:val="20"/>
        </w:rPr>
        <w:t>e</w:t>
      </w:r>
      <w:r w:rsidR="00E77273" w:rsidRPr="00950EE2">
        <w:rPr>
          <w:rFonts w:cs="Arial"/>
          <w:szCs w:val="20"/>
        </w:rPr>
        <w:t xml:space="preserve">nvironmental </w:t>
      </w:r>
      <w:r w:rsidR="00B90039" w:rsidRPr="00950EE2">
        <w:rPr>
          <w:rFonts w:cs="Arial"/>
          <w:szCs w:val="20"/>
        </w:rPr>
        <w:t>a</w:t>
      </w:r>
      <w:r w:rsidR="00E77273" w:rsidRPr="00950EE2">
        <w:rPr>
          <w:rFonts w:cs="Arial"/>
          <w:szCs w:val="20"/>
        </w:rPr>
        <w:t xml:space="preserve">ssessment. </w:t>
      </w:r>
      <w:r w:rsidR="004333E6" w:rsidRPr="00950EE2">
        <w:rPr>
          <w:rFonts w:cs="Arial"/>
          <w:szCs w:val="20"/>
        </w:rPr>
        <w:t xml:space="preserve">The </w:t>
      </w:r>
      <w:r w:rsidR="00C536CB" w:rsidRPr="00950EE2">
        <w:rPr>
          <w:rFonts w:cs="Arial"/>
          <w:szCs w:val="20"/>
        </w:rPr>
        <w:t>IESC</w:t>
      </w:r>
      <w:r w:rsidR="004333E6" w:rsidRPr="00950EE2">
        <w:rPr>
          <w:rFonts w:cs="Arial"/>
          <w:szCs w:val="20"/>
        </w:rPr>
        <w:t xml:space="preserve"> recommends that any further</w:t>
      </w:r>
      <w:r w:rsidR="007A5E8C" w:rsidRPr="00950EE2">
        <w:rPr>
          <w:rFonts w:cs="Arial"/>
          <w:szCs w:val="20"/>
        </w:rPr>
        <w:t xml:space="preserve"> </w:t>
      </w:r>
      <w:r w:rsidR="000B6E74" w:rsidRPr="00950EE2">
        <w:rPr>
          <w:rFonts w:cs="Arial"/>
          <w:szCs w:val="20"/>
        </w:rPr>
        <w:t xml:space="preserve">project </w:t>
      </w:r>
      <w:r w:rsidR="004333E6" w:rsidRPr="00950EE2">
        <w:rPr>
          <w:rFonts w:cs="Arial"/>
          <w:szCs w:val="20"/>
        </w:rPr>
        <w:t>assessment documentation</w:t>
      </w:r>
      <w:r w:rsidR="00EE0D63" w:rsidRPr="00950EE2">
        <w:rPr>
          <w:rFonts w:cs="Arial"/>
          <w:szCs w:val="20"/>
        </w:rPr>
        <w:t xml:space="preserve"> </w:t>
      </w:r>
      <w:r w:rsidR="00B90039" w:rsidRPr="00950EE2">
        <w:rPr>
          <w:rFonts w:cs="Arial"/>
          <w:szCs w:val="20"/>
        </w:rPr>
        <w:t>include</w:t>
      </w:r>
      <w:r w:rsidR="009C1EDC" w:rsidRPr="00950EE2">
        <w:rPr>
          <w:rFonts w:cs="Arial"/>
          <w:szCs w:val="20"/>
        </w:rPr>
        <w:t>s</w:t>
      </w:r>
      <w:r w:rsidR="00B90039" w:rsidRPr="00950EE2">
        <w:rPr>
          <w:rFonts w:cs="Arial"/>
          <w:szCs w:val="20"/>
        </w:rPr>
        <w:t xml:space="preserve"> the type of information that enables a robust assessment of impacts on water resources such as </w:t>
      </w:r>
      <w:r w:rsidR="004363C7" w:rsidRPr="00950EE2">
        <w:rPr>
          <w:rFonts w:cs="Arial"/>
          <w:szCs w:val="20"/>
        </w:rPr>
        <w:t>that</w:t>
      </w:r>
      <w:r w:rsidR="00B90039" w:rsidRPr="00950EE2">
        <w:rPr>
          <w:rFonts w:cs="Arial"/>
          <w:szCs w:val="20"/>
        </w:rPr>
        <w:t xml:space="preserve"> outlined in the Information Guidelines</w:t>
      </w:r>
      <w:r w:rsidR="00B90039" w:rsidRPr="00950EE2">
        <w:rPr>
          <w:rFonts w:cs="Arial"/>
          <w:szCs w:val="20"/>
          <w:vertAlign w:val="superscript"/>
        </w:rPr>
        <w:t>1</w:t>
      </w:r>
      <w:r w:rsidR="00B90039" w:rsidRPr="00950EE2">
        <w:rPr>
          <w:rFonts w:cs="Arial"/>
          <w:szCs w:val="20"/>
        </w:rPr>
        <w:t>.</w:t>
      </w:r>
    </w:p>
    <w:p w:rsidR="007203C3" w:rsidRPr="00950EE2" w:rsidRDefault="007203C3" w:rsidP="007203C3">
      <w:pPr>
        <w:pStyle w:val="Default"/>
        <w:spacing w:after="200" w:line="276" w:lineRule="auto"/>
        <w:rPr>
          <w:rFonts w:ascii="Arial" w:eastAsia="Times New Roman" w:hAnsi="Arial" w:cs="Arial"/>
          <w:color w:val="auto"/>
          <w:sz w:val="20"/>
          <w:szCs w:val="20"/>
          <w:lang w:eastAsia="en-US"/>
        </w:rPr>
      </w:pPr>
      <w:r w:rsidRPr="00950EE2">
        <w:rPr>
          <w:rFonts w:ascii="Arial" w:eastAsia="Times New Roman" w:hAnsi="Arial" w:cs="Arial"/>
          <w:color w:val="auto"/>
          <w:sz w:val="20"/>
          <w:szCs w:val="20"/>
          <w:lang w:eastAsia="en-US"/>
        </w:rPr>
        <w:lastRenderedPageBreak/>
        <w:t xml:space="preserve">The </w:t>
      </w:r>
      <w:r w:rsidR="00C536CB" w:rsidRPr="00950EE2">
        <w:rPr>
          <w:rFonts w:ascii="Arial" w:eastAsia="Times New Roman" w:hAnsi="Arial" w:cs="Arial"/>
          <w:color w:val="auto"/>
          <w:sz w:val="20"/>
          <w:szCs w:val="20"/>
          <w:lang w:eastAsia="en-US"/>
        </w:rPr>
        <w:t>IESC</w:t>
      </w:r>
      <w:r w:rsidRPr="00950EE2">
        <w:rPr>
          <w:rFonts w:ascii="Arial" w:eastAsia="Times New Roman" w:hAnsi="Arial" w:cs="Arial"/>
          <w:color w:val="auto"/>
          <w:sz w:val="20"/>
          <w:szCs w:val="20"/>
          <w:lang w:eastAsia="en-US"/>
        </w:rPr>
        <w:t xml:space="preserve">’s advice in response to the </w:t>
      </w:r>
      <w:r w:rsidR="00E57CD8" w:rsidRPr="00950EE2">
        <w:rPr>
          <w:rFonts w:ascii="Arial" w:eastAsia="Times New Roman" w:hAnsi="Arial" w:cs="Arial"/>
          <w:color w:val="auto"/>
          <w:sz w:val="20"/>
          <w:szCs w:val="20"/>
          <w:lang w:eastAsia="en-US"/>
        </w:rPr>
        <w:t>requesting agency</w:t>
      </w:r>
      <w:r w:rsidRPr="00950EE2">
        <w:rPr>
          <w:rFonts w:ascii="Arial" w:eastAsia="Times New Roman" w:hAnsi="Arial" w:cs="Arial"/>
          <w:color w:val="auto"/>
          <w:sz w:val="20"/>
          <w:szCs w:val="20"/>
          <w:lang w:eastAsia="en-US"/>
        </w:rPr>
        <w:t xml:space="preserve">’s specific questions is provided below. </w:t>
      </w:r>
    </w:p>
    <w:p w:rsidR="007203C3" w:rsidRPr="00950EE2" w:rsidRDefault="007203C3" w:rsidP="001E233B">
      <w:pPr>
        <w:pStyle w:val="Heading4"/>
      </w:pPr>
      <w:r w:rsidRPr="00950EE2">
        <w:t xml:space="preserve">Question 1: </w:t>
      </w:r>
      <w:r w:rsidR="00D654B2" w:rsidRPr="00950EE2">
        <w:t xml:space="preserve">The potential likelihood and </w:t>
      </w:r>
      <w:r w:rsidR="0000336A" w:rsidRPr="00950EE2">
        <w:t>extent</w:t>
      </w:r>
      <w:r w:rsidR="00D654B2" w:rsidRPr="00950EE2">
        <w:t xml:space="preserve"> of any impacts of the proposal on water resources, as well as the appropriateness of the proposed mitigation measures.</w:t>
      </w:r>
    </w:p>
    <w:p w:rsidR="00271989" w:rsidRPr="00950EE2" w:rsidRDefault="005C7354" w:rsidP="00A714B6">
      <w:pPr>
        <w:pStyle w:val="ListNumber"/>
      </w:pPr>
      <w:r w:rsidRPr="00950EE2">
        <w:t>The limited</w:t>
      </w:r>
      <w:r w:rsidR="00676EBE" w:rsidRPr="00950EE2">
        <w:t xml:space="preserve"> </w:t>
      </w:r>
      <w:r w:rsidR="00D173C5" w:rsidRPr="00950EE2">
        <w:t xml:space="preserve">level of detail in </w:t>
      </w:r>
      <w:r w:rsidR="005B1BC3" w:rsidRPr="00950EE2">
        <w:t xml:space="preserve">project </w:t>
      </w:r>
      <w:r w:rsidR="00676EBE" w:rsidRPr="00950EE2">
        <w:t xml:space="preserve">documentation </w:t>
      </w:r>
      <w:r w:rsidR="005431CC" w:rsidRPr="00950EE2">
        <w:t>at the Gateway stage restricts the ability of the IESC to</w:t>
      </w:r>
      <w:r w:rsidRPr="00950EE2">
        <w:t xml:space="preserve"> assess the extent and likelihood of impacts to water resources</w:t>
      </w:r>
      <w:r w:rsidR="005431CC" w:rsidRPr="00950EE2">
        <w:t xml:space="preserve"> as a result of the proposed project</w:t>
      </w:r>
      <w:r w:rsidR="00676EBE" w:rsidRPr="00950EE2">
        <w:t>.</w:t>
      </w:r>
      <w:r w:rsidR="00DF52BA" w:rsidRPr="00950EE2">
        <w:t xml:space="preserve"> Consequently</w:t>
      </w:r>
      <w:r w:rsidR="00703053" w:rsidRPr="00950EE2">
        <w:t>,</w:t>
      </w:r>
      <w:r w:rsidR="008172E6" w:rsidRPr="00950EE2">
        <w:t xml:space="preserve"> th</w:t>
      </w:r>
      <w:r w:rsidR="00FF1D45" w:rsidRPr="00950EE2">
        <w:t>is</w:t>
      </w:r>
      <w:r w:rsidR="008172E6" w:rsidRPr="00950EE2">
        <w:t xml:space="preserve"> advice </w:t>
      </w:r>
      <w:r w:rsidR="007A5E8C" w:rsidRPr="00950EE2">
        <w:t xml:space="preserve">is only able to </w:t>
      </w:r>
      <w:r w:rsidR="008172E6" w:rsidRPr="00950EE2">
        <w:t>describ</w:t>
      </w:r>
      <w:r w:rsidR="00823B29" w:rsidRPr="00950EE2">
        <w:t>e</w:t>
      </w:r>
      <w:r w:rsidR="008172E6" w:rsidRPr="00950EE2">
        <w:t xml:space="preserve"> </w:t>
      </w:r>
      <w:r w:rsidR="005B31F4" w:rsidRPr="00950EE2">
        <w:t xml:space="preserve">broadly </w:t>
      </w:r>
      <w:r w:rsidR="008172E6" w:rsidRPr="00950EE2">
        <w:t>the potential impacts of the proposed project</w:t>
      </w:r>
      <w:r w:rsidR="008A51B6" w:rsidRPr="00950EE2">
        <w:t xml:space="preserve">, many of which have been identified in the </w:t>
      </w:r>
      <w:r w:rsidR="005B1BC3" w:rsidRPr="00950EE2">
        <w:t xml:space="preserve">documentation </w:t>
      </w:r>
      <w:r w:rsidR="008A51B6" w:rsidRPr="00950EE2">
        <w:t xml:space="preserve">accompanying </w:t>
      </w:r>
      <w:r w:rsidR="005B1BC3" w:rsidRPr="00950EE2">
        <w:t>the Gateway Certificate Application</w:t>
      </w:r>
      <w:r w:rsidR="008172E6" w:rsidRPr="00950EE2">
        <w:t>.</w:t>
      </w:r>
      <w:r w:rsidR="00823B29" w:rsidRPr="00950EE2">
        <w:t xml:space="preserve"> </w:t>
      </w:r>
    </w:p>
    <w:p w:rsidR="000024D7" w:rsidRPr="00950EE2" w:rsidRDefault="00AC3649" w:rsidP="000024D7">
      <w:pPr>
        <w:pStyle w:val="ListNumber"/>
        <w:rPr>
          <w:lang w:val="en-US" w:eastAsia="en-AU"/>
        </w:rPr>
      </w:pPr>
      <w:r w:rsidRPr="00950EE2">
        <w:t xml:space="preserve">Key </w:t>
      </w:r>
      <w:r w:rsidR="00271989" w:rsidRPr="00950EE2">
        <w:t>issues</w:t>
      </w:r>
      <w:r w:rsidRPr="00950EE2">
        <w:t xml:space="preserve"> include surface-groundwater interactions, impacts as a result of subsidence and potential contamination of water resources following mining. </w:t>
      </w:r>
      <w:r w:rsidR="00271989" w:rsidRPr="00950EE2">
        <w:t xml:space="preserve">Limited information is available on </w:t>
      </w:r>
      <w:r w:rsidR="005B31F4" w:rsidRPr="00950EE2">
        <w:t xml:space="preserve">surface water and ecological </w:t>
      </w:r>
      <w:r w:rsidR="00271989" w:rsidRPr="00950EE2">
        <w:t>impacts at this stage.</w:t>
      </w:r>
      <w:r w:rsidR="000024D7" w:rsidRPr="00950EE2">
        <w:rPr>
          <w:lang w:val="en-US" w:eastAsia="en-AU"/>
        </w:rPr>
        <w:t xml:space="preserve"> </w:t>
      </w:r>
      <w:r w:rsidR="00271989" w:rsidRPr="00950EE2">
        <w:t>Potential i</w:t>
      </w:r>
      <w:r w:rsidR="00C8004E" w:rsidRPr="00950EE2">
        <w:t xml:space="preserve">mpacts </w:t>
      </w:r>
      <w:r w:rsidR="00271989" w:rsidRPr="00950EE2">
        <w:t>to</w:t>
      </w:r>
      <w:r w:rsidR="00C8004E" w:rsidRPr="00950EE2">
        <w:t xml:space="preserve"> water resources, as well as </w:t>
      </w:r>
      <w:r w:rsidR="000024D7" w:rsidRPr="00950EE2">
        <w:rPr>
          <w:lang w:val="en-US" w:eastAsia="en-AU"/>
        </w:rPr>
        <w:t xml:space="preserve">the scientific adequacy of </w:t>
      </w:r>
      <w:r w:rsidR="00271989" w:rsidRPr="00950EE2">
        <w:t xml:space="preserve">proposed </w:t>
      </w:r>
      <w:r w:rsidR="00C8004E" w:rsidRPr="00950EE2">
        <w:t>mitigation measures are discussed under the headings below.</w:t>
      </w:r>
      <w:r w:rsidR="00E971DC" w:rsidRPr="00950EE2">
        <w:t xml:space="preserve"> </w:t>
      </w:r>
    </w:p>
    <w:p w:rsidR="00121751" w:rsidRPr="00950EE2" w:rsidRDefault="00121751" w:rsidP="00121751">
      <w:pPr>
        <w:pStyle w:val="Heading5"/>
      </w:pPr>
      <w:r w:rsidRPr="00950EE2">
        <w:t>Subsidence</w:t>
      </w:r>
    </w:p>
    <w:p w:rsidR="00094F82" w:rsidRPr="00950EE2" w:rsidRDefault="005B31F4" w:rsidP="00094F82">
      <w:pPr>
        <w:pStyle w:val="ListNumber"/>
      </w:pPr>
      <w:r w:rsidRPr="00950EE2">
        <w:t>S</w:t>
      </w:r>
      <w:r w:rsidR="00D0749B" w:rsidRPr="00950EE2">
        <w:t>ubsidence of up to 3.4 m above the proposed longwalls</w:t>
      </w:r>
      <w:r w:rsidRPr="00950EE2">
        <w:t xml:space="preserve"> is predicted</w:t>
      </w:r>
      <w:r w:rsidR="00D0749B" w:rsidRPr="00950EE2">
        <w:t>. Subsequent impacts to water resources include</w:t>
      </w:r>
      <w:r w:rsidR="00F26E6A" w:rsidRPr="00950EE2">
        <w:t xml:space="preserve"> ponding, changes to flood paths, </w:t>
      </w:r>
      <w:r w:rsidR="00D0749B" w:rsidRPr="00950EE2">
        <w:t>erosion and scouring along drainage lines</w:t>
      </w:r>
      <w:r w:rsidR="00F26E6A" w:rsidRPr="00950EE2">
        <w:t xml:space="preserve"> and loss of </w:t>
      </w:r>
      <w:r w:rsidR="00C5300D">
        <w:t xml:space="preserve">surface </w:t>
      </w:r>
      <w:r w:rsidR="00F26E6A" w:rsidRPr="00950EE2">
        <w:t>flows as a result of fracturing of bedrock and surface cracking</w:t>
      </w:r>
      <w:r w:rsidR="00D0749B" w:rsidRPr="00950EE2">
        <w:t xml:space="preserve">. </w:t>
      </w:r>
      <w:r w:rsidR="00094F82" w:rsidRPr="00950EE2">
        <w:t>Proposed mitigation and remediation methods for subsidence include infilling of surface cracks, regrad</w:t>
      </w:r>
      <w:r w:rsidRPr="00950EE2">
        <w:t xml:space="preserve">ing and compacting the surface, </w:t>
      </w:r>
      <w:r w:rsidR="00094F82" w:rsidRPr="00950EE2">
        <w:t xml:space="preserve">planting of vegetation for stabilisation and constructing bunds adjacent to drainage lines to control flooding. There is limited information provided at this stage about the effectiveness of proposed </w:t>
      </w:r>
      <w:r w:rsidR="007C7FAC" w:rsidRPr="00950EE2">
        <w:t xml:space="preserve">stream </w:t>
      </w:r>
      <w:r w:rsidR="00094F82" w:rsidRPr="00950EE2">
        <w:t>remediation measures</w:t>
      </w:r>
      <w:r w:rsidRPr="00950EE2">
        <w:t>, such as the proposed reinstatement of stream beds with highly cohesive soils or grouting of bedrock</w:t>
      </w:r>
      <w:r w:rsidR="00094F82" w:rsidRPr="00950EE2">
        <w:t xml:space="preserve">. Documentation provided </w:t>
      </w:r>
      <w:r w:rsidR="007C7FAC" w:rsidRPr="00950EE2">
        <w:t>with</w:t>
      </w:r>
      <w:r w:rsidR="00094F82" w:rsidRPr="00950EE2">
        <w:t xml:space="preserve"> the development application would benefit from evidence of success of the proposed subsidence remediation methods, including case studies.</w:t>
      </w:r>
    </w:p>
    <w:p w:rsidR="00D47CCD" w:rsidRPr="00950EE2" w:rsidRDefault="00094F82" w:rsidP="00D47CCD">
      <w:pPr>
        <w:pStyle w:val="ListNumber"/>
      </w:pPr>
      <w:r w:rsidRPr="00950EE2">
        <w:t>T</w:t>
      </w:r>
      <w:r w:rsidR="00D47CCD" w:rsidRPr="00950EE2">
        <w:t xml:space="preserve">he </w:t>
      </w:r>
      <w:r w:rsidR="004D0A4D" w:rsidRPr="00950EE2">
        <w:t xml:space="preserve">proponent has </w:t>
      </w:r>
      <w:r w:rsidR="00C31C0E" w:rsidRPr="00950EE2">
        <w:t>designed the mine layout to maintain</w:t>
      </w:r>
      <w:r w:rsidR="004D0A4D" w:rsidRPr="00950EE2">
        <w:t xml:space="preserve"> buffer distances from most </w:t>
      </w:r>
      <w:r w:rsidR="00F7201B" w:rsidRPr="00950EE2">
        <w:t>alluvial aquifers</w:t>
      </w:r>
      <w:r w:rsidRPr="00950EE2">
        <w:t>, with the exception of the Dry Creek alluvium</w:t>
      </w:r>
      <w:r w:rsidR="00F7201B" w:rsidRPr="00950EE2">
        <w:t xml:space="preserve">. </w:t>
      </w:r>
      <w:r w:rsidR="00F169EC" w:rsidRPr="00950EE2">
        <w:t xml:space="preserve">Longwall mining in proximity to streams and associated alluvium has the potential to fracture the confining hard rock layers, providing direct conduits from surface waters to coal seams. </w:t>
      </w:r>
      <w:r w:rsidR="00F06206" w:rsidRPr="00950EE2">
        <w:t>Future iterations of t</w:t>
      </w:r>
      <w:r w:rsidR="00F7201B" w:rsidRPr="00950EE2">
        <w:t>he</w:t>
      </w:r>
      <w:r w:rsidR="004D0A4D" w:rsidRPr="00950EE2">
        <w:t xml:space="preserve"> </w:t>
      </w:r>
      <w:r w:rsidR="00D47CCD" w:rsidRPr="00950EE2">
        <w:t xml:space="preserve">project assessment documentation </w:t>
      </w:r>
      <w:r w:rsidR="00F06206" w:rsidRPr="00950EE2">
        <w:t>should</w:t>
      </w:r>
      <w:r w:rsidR="00D47CCD" w:rsidRPr="00950EE2">
        <w:t xml:space="preserve"> clearly define al</w:t>
      </w:r>
      <w:r w:rsidR="00F06206" w:rsidRPr="00950EE2">
        <w:t>luvial extents along Dry Creek and specify</w:t>
      </w:r>
      <w:r w:rsidR="00D47CCD" w:rsidRPr="00950EE2">
        <w:t xml:space="preserve"> buffer distances from </w:t>
      </w:r>
      <w:r w:rsidR="00F06206" w:rsidRPr="00950EE2">
        <w:t xml:space="preserve">proposed </w:t>
      </w:r>
      <w:r w:rsidR="00D47CCD" w:rsidRPr="00950EE2">
        <w:t xml:space="preserve">longwalls. </w:t>
      </w:r>
    </w:p>
    <w:p w:rsidR="002B6051" w:rsidRPr="00950EE2" w:rsidRDefault="002B6051" w:rsidP="002B6051">
      <w:pPr>
        <w:pStyle w:val="Heading5"/>
      </w:pPr>
      <w:r w:rsidRPr="00950EE2">
        <w:t>Groundwater</w:t>
      </w:r>
    </w:p>
    <w:p w:rsidR="00FC3EEC" w:rsidRPr="00950EE2" w:rsidRDefault="00573DB6" w:rsidP="00FC3EEC">
      <w:pPr>
        <w:pStyle w:val="ListNumber"/>
      </w:pPr>
      <w:r w:rsidRPr="00950EE2">
        <w:rPr>
          <w:lang w:val="en-US"/>
        </w:rPr>
        <w:t xml:space="preserve">The </w:t>
      </w:r>
      <w:r w:rsidR="009C7DB9" w:rsidRPr="00950EE2">
        <w:rPr>
          <w:lang w:val="en-US"/>
        </w:rPr>
        <w:t xml:space="preserve">preliminary groundwater </w:t>
      </w:r>
      <w:r w:rsidRPr="00950EE2">
        <w:rPr>
          <w:lang w:val="en-US"/>
        </w:rPr>
        <w:t>model predicts that once mining commences</w:t>
      </w:r>
      <w:r w:rsidR="00461498" w:rsidRPr="00950EE2">
        <w:rPr>
          <w:lang w:val="en-US"/>
        </w:rPr>
        <w:t xml:space="preserve"> depressurisation of Permian strata occurs and</w:t>
      </w:r>
      <w:r w:rsidRPr="00950EE2">
        <w:rPr>
          <w:lang w:val="en-US"/>
        </w:rPr>
        <w:t xml:space="preserve"> the flow rate from the Permian</w:t>
      </w:r>
      <w:r w:rsidR="00FC3EEC" w:rsidRPr="00950EE2">
        <w:rPr>
          <w:lang w:val="en-US"/>
        </w:rPr>
        <w:t xml:space="preserve"> strata</w:t>
      </w:r>
      <w:r w:rsidRPr="00950EE2">
        <w:rPr>
          <w:lang w:val="en-US"/>
        </w:rPr>
        <w:t xml:space="preserve"> to the alluvium (net 7.7 ML/day upward flow</w:t>
      </w:r>
      <w:r w:rsidR="000A7772" w:rsidRPr="00950EE2">
        <w:rPr>
          <w:lang w:val="en-US"/>
        </w:rPr>
        <w:t xml:space="preserve"> across the model domain</w:t>
      </w:r>
      <w:r w:rsidRPr="00950EE2">
        <w:rPr>
          <w:lang w:val="en-US"/>
        </w:rPr>
        <w:t xml:space="preserve">) </w:t>
      </w:r>
      <w:r w:rsidR="00F26E6A" w:rsidRPr="00950EE2">
        <w:rPr>
          <w:lang w:val="en-US"/>
        </w:rPr>
        <w:t>will be reduced</w:t>
      </w:r>
      <w:r w:rsidR="00461498" w:rsidRPr="00950EE2">
        <w:rPr>
          <w:lang w:val="en-US"/>
        </w:rPr>
        <w:t>. I</w:t>
      </w:r>
      <w:r w:rsidRPr="00950EE2">
        <w:rPr>
          <w:lang w:val="en-US"/>
        </w:rPr>
        <w:t>n some areas adjacent to the proposed open cut pits</w:t>
      </w:r>
      <w:r w:rsidR="00461498" w:rsidRPr="00950EE2">
        <w:rPr>
          <w:lang w:val="en-US"/>
        </w:rPr>
        <w:t>, this net upward flow</w:t>
      </w:r>
      <w:r w:rsidRPr="00950EE2">
        <w:rPr>
          <w:lang w:val="en-US"/>
        </w:rPr>
        <w:t xml:space="preserve"> is reversed to downward flow. </w:t>
      </w:r>
      <w:r w:rsidR="00E97333" w:rsidRPr="00950EE2">
        <w:rPr>
          <w:lang w:val="en-US"/>
        </w:rPr>
        <w:t xml:space="preserve">Documentation provided </w:t>
      </w:r>
      <w:r w:rsidR="007C7FAC" w:rsidRPr="00950EE2">
        <w:rPr>
          <w:lang w:val="en-US"/>
        </w:rPr>
        <w:t>with</w:t>
      </w:r>
      <w:r w:rsidR="00E97333" w:rsidRPr="00950EE2">
        <w:rPr>
          <w:lang w:val="en-US"/>
        </w:rPr>
        <w:t xml:space="preserve"> the development application should include </w:t>
      </w:r>
      <w:r w:rsidR="00A45E56" w:rsidRPr="00950EE2">
        <w:rPr>
          <w:lang w:val="en-US"/>
        </w:rPr>
        <w:t xml:space="preserve">groundwater </w:t>
      </w:r>
      <w:r w:rsidR="00E97333" w:rsidRPr="00950EE2">
        <w:rPr>
          <w:lang w:val="en-US"/>
        </w:rPr>
        <w:t>r</w:t>
      </w:r>
      <w:r w:rsidR="00C87405" w:rsidRPr="00950EE2">
        <w:rPr>
          <w:lang w:val="en-US"/>
        </w:rPr>
        <w:t xml:space="preserve">ecovery predictions across the model domain, </w:t>
      </w:r>
      <w:r w:rsidR="005431CC" w:rsidRPr="00950EE2">
        <w:rPr>
          <w:lang w:val="en-US"/>
        </w:rPr>
        <w:t>including</w:t>
      </w:r>
      <w:r w:rsidR="00C87405" w:rsidRPr="00950EE2">
        <w:rPr>
          <w:lang w:val="en-US"/>
        </w:rPr>
        <w:t xml:space="preserve"> </w:t>
      </w:r>
      <w:r w:rsidR="009C1EDC" w:rsidRPr="00950EE2">
        <w:rPr>
          <w:lang w:val="en-US"/>
        </w:rPr>
        <w:t xml:space="preserve">an assessment of </w:t>
      </w:r>
      <w:r w:rsidR="00FC3EEC" w:rsidRPr="00950EE2">
        <w:rPr>
          <w:lang w:val="en-US"/>
        </w:rPr>
        <w:t>whether</w:t>
      </w:r>
      <w:r w:rsidR="000029A0" w:rsidRPr="00950EE2">
        <w:rPr>
          <w:lang w:val="en-US"/>
        </w:rPr>
        <w:t xml:space="preserve"> groundwater</w:t>
      </w:r>
      <w:r w:rsidR="00C87405" w:rsidRPr="00950EE2">
        <w:rPr>
          <w:lang w:val="en-US"/>
        </w:rPr>
        <w:t xml:space="preserve"> </w:t>
      </w:r>
      <w:r w:rsidRPr="00950EE2">
        <w:rPr>
          <w:lang w:val="en-US"/>
        </w:rPr>
        <w:t xml:space="preserve">flow </w:t>
      </w:r>
      <w:r w:rsidR="00461498" w:rsidRPr="00950EE2">
        <w:rPr>
          <w:lang w:val="en-US"/>
        </w:rPr>
        <w:t xml:space="preserve">from the Permian </w:t>
      </w:r>
      <w:r w:rsidR="005431CC" w:rsidRPr="00950EE2">
        <w:rPr>
          <w:lang w:val="en-US"/>
        </w:rPr>
        <w:t>st</w:t>
      </w:r>
      <w:r w:rsidR="001A2BD3">
        <w:rPr>
          <w:lang w:val="en-US"/>
        </w:rPr>
        <w:t>r</w:t>
      </w:r>
      <w:r w:rsidR="005431CC" w:rsidRPr="00950EE2">
        <w:rPr>
          <w:lang w:val="en-US"/>
        </w:rPr>
        <w:t>ata</w:t>
      </w:r>
      <w:r w:rsidR="005C7354" w:rsidRPr="00950EE2">
        <w:rPr>
          <w:lang w:val="en-US"/>
        </w:rPr>
        <w:t xml:space="preserve"> </w:t>
      </w:r>
      <w:r w:rsidR="00461498" w:rsidRPr="00950EE2">
        <w:rPr>
          <w:lang w:val="en-US"/>
        </w:rPr>
        <w:t xml:space="preserve">to the alluvium </w:t>
      </w:r>
      <w:r w:rsidRPr="00950EE2">
        <w:rPr>
          <w:lang w:val="en-US"/>
        </w:rPr>
        <w:t>will return to pre-development levels</w:t>
      </w:r>
      <w:r w:rsidR="005431CC" w:rsidRPr="00950EE2">
        <w:rPr>
          <w:lang w:val="en-US"/>
        </w:rPr>
        <w:t xml:space="preserve"> and the time taken to reach equilibrium</w:t>
      </w:r>
      <w:r w:rsidRPr="00950EE2">
        <w:rPr>
          <w:lang w:val="en-US"/>
        </w:rPr>
        <w:t>.</w:t>
      </w:r>
      <w:r w:rsidR="00D0749B" w:rsidRPr="00950EE2">
        <w:rPr>
          <w:lang w:val="en-US"/>
        </w:rPr>
        <w:t xml:space="preserve"> </w:t>
      </w:r>
      <w:r w:rsidR="002E2B8D" w:rsidRPr="00950EE2">
        <w:rPr>
          <w:lang w:val="en-US"/>
        </w:rPr>
        <w:t xml:space="preserve">Given </w:t>
      </w:r>
      <w:r w:rsidR="00FC3EEC" w:rsidRPr="00950EE2">
        <w:t xml:space="preserve">the </w:t>
      </w:r>
      <w:r w:rsidR="005431CC" w:rsidRPr="00950EE2">
        <w:t>magnitude</w:t>
      </w:r>
      <w:r w:rsidR="002E2B8D" w:rsidRPr="00950EE2">
        <w:t xml:space="preserve"> of the </w:t>
      </w:r>
      <w:r w:rsidR="000029A0" w:rsidRPr="00950EE2">
        <w:t xml:space="preserve">predicted </w:t>
      </w:r>
      <w:r w:rsidR="001A2BD3">
        <w:t xml:space="preserve">alluvial drawdown, the </w:t>
      </w:r>
      <w:r w:rsidR="001A2BD3" w:rsidRPr="00950EE2">
        <w:rPr>
          <w:lang w:val="en-US"/>
        </w:rPr>
        <w:t>potential</w:t>
      </w:r>
      <w:r w:rsidR="00FC3EEC" w:rsidRPr="00950EE2">
        <w:rPr>
          <w:lang w:val="en-US"/>
        </w:rPr>
        <w:t xml:space="preserve"> for impacts to porosity and permeability </w:t>
      </w:r>
      <w:r w:rsidR="005C7354" w:rsidRPr="00950EE2">
        <w:rPr>
          <w:lang w:val="en-US"/>
        </w:rPr>
        <w:t>and consequential implications for long-term flow storage and movement</w:t>
      </w:r>
      <w:r w:rsidR="00FC3EEC" w:rsidRPr="00950EE2">
        <w:rPr>
          <w:lang w:val="en-US"/>
        </w:rPr>
        <w:t xml:space="preserve"> </w:t>
      </w:r>
      <w:r w:rsidR="002E2B8D" w:rsidRPr="00950EE2">
        <w:rPr>
          <w:lang w:val="en-US"/>
        </w:rPr>
        <w:t xml:space="preserve">in the alluvium </w:t>
      </w:r>
      <w:r w:rsidR="00FC3EEC" w:rsidRPr="00950EE2">
        <w:rPr>
          <w:lang w:val="en-US"/>
        </w:rPr>
        <w:t>should be assessed.</w:t>
      </w:r>
    </w:p>
    <w:p w:rsidR="00FC3EEC" w:rsidRPr="00950EE2" w:rsidRDefault="00FC3EEC" w:rsidP="00FC3EEC">
      <w:pPr>
        <w:pStyle w:val="ListNumber"/>
        <w:rPr>
          <w:lang w:val="en-US"/>
        </w:rPr>
      </w:pPr>
      <w:r w:rsidRPr="00950EE2">
        <w:t xml:space="preserve">Preliminary modelling indicates drawdown of up to 18.46 m for bores within the alluvium. Twenty three alluvial bores and one bore within the Permian hard rock are predicted to experience drawdown of greater than 2 m. Proposed mitigation measures include land acquisition, drilling deeper bores or supplementing water supplies. </w:t>
      </w:r>
    </w:p>
    <w:p w:rsidR="00C536CB" w:rsidRPr="00950EE2" w:rsidRDefault="00F169EC" w:rsidP="009F33D1">
      <w:pPr>
        <w:pStyle w:val="ListNumber"/>
      </w:pPr>
      <w:r w:rsidRPr="00950EE2">
        <w:lastRenderedPageBreak/>
        <w:t xml:space="preserve">Impacts of </w:t>
      </w:r>
      <w:r w:rsidR="0004559A" w:rsidRPr="00950EE2">
        <w:t xml:space="preserve">groundwater drawdown on ecological assets </w:t>
      </w:r>
      <w:r w:rsidRPr="00950EE2">
        <w:t xml:space="preserve">and </w:t>
      </w:r>
      <w:r w:rsidR="0004559A" w:rsidRPr="00950EE2">
        <w:t xml:space="preserve">associated </w:t>
      </w:r>
      <w:r w:rsidRPr="00950EE2">
        <w:t xml:space="preserve">mitigation measures </w:t>
      </w:r>
      <w:r w:rsidR="009F33D1" w:rsidRPr="00950EE2">
        <w:t>have not been considered at this stage.</w:t>
      </w:r>
      <w:r w:rsidR="00D453B6" w:rsidRPr="00950EE2">
        <w:t xml:space="preserve"> </w:t>
      </w:r>
      <w:r w:rsidR="009F33D1" w:rsidRPr="00950EE2">
        <w:t>The IESC recommends that impacts on water dependent assets</w:t>
      </w:r>
      <w:r w:rsidR="00C40C77" w:rsidRPr="00950EE2">
        <w:t xml:space="preserve"> (</w:t>
      </w:r>
      <w:r w:rsidR="006E7E4D" w:rsidRPr="00950EE2">
        <w:t xml:space="preserve">including </w:t>
      </w:r>
      <w:r w:rsidR="00C40C77" w:rsidRPr="00950EE2">
        <w:t>aquatic ecosystems, terrestrial ecosystems, drinking water supply, irrigation water supply, surface infrastructure and</w:t>
      </w:r>
      <w:r w:rsidR="00FC3EEC" w:rsidRPr="00950EE2">
        <w:t xml:space="preserve"> other industries</w:t>
      </w:r>
      <w:r w:rsidR="00C40C77" w:rsidRPr="00950EE2">
        <w:t>)</w:t>
      </w:r>
      <w:r w:rsidR="009F33D1" w:rsidRPr="00950EE2">
        <w:t xml:space="preserve">, </w:t>
      </w:r>
      <w:r w:rsidR="002E2B8D" w:rsidRPr="00950EE2">
        <w:t>should be</w:t>
      </w:r>
      <w:r w:rsidR="009F33D1" w:rsidRPr="00950EE2">
        <w:t xml:space="preserve"> </w:t>
      </w:r>
      <w:r w:rsidR="000846A4" w:rsidRPr="00950EE2">
        <w:t>assessed</w:t>
      </w:r>
      <w:r w:rsidR="002E2B8D" w:rsidRPr="00950EE2">
        <w:t xml:space="preserve"> following updates to the groundwater model. </w:t>
      </w:r>
      <w:r w:rsidR="00A24050" w:rsidRPr="00950EE2">
        <w:t>M</w:t>
      </w:r>
      <w:r w:rsidR="002E2B8D" w:rsidRPr="00950EE2">
        <w:t xml:space="preserve">itigation measures to address impacts on </w:t>
      </w:r>
      <w:r w:rsidR="00A24050" w:rsidRPr="00950EE2">
        <w:t>groundwater dependent assets should be included</w:t>
      </w:r>
      <w:r w:rsidR="009F33D1" w:rsidRPr="00950EE2">
        <w:t>.</w:t>
      </w:r>
    </w:p>
    <w:p w:rsidR="002B6051" w:rsidRPr="00950EE2" w:rsidRDefault="005151B9" w:rsidP="00C87405">
      <w:pPr>
        <w:pStyle w:val="ListNumber"/>
      </w:pPr>
      <w:r w:rsidRPr="00950EE2">
        <w:t>Contrary to the stated</w:t>
      </w:r>
      <w:r w:rsidR="00F06206" w:rsidRPr="00950EE2">
        <w:t xml:space="preserve"> </w:t>
      </w:r>
      <w:r w:rsidRPr="00950EE2">
        <w:t>significant alluvial through-flow to the Goulburn River</w:t>
      </w:r>
      <w:r w:rsidR="00573DB6" w:rsidRPr="00950EE2">
        <w:t>,</w:t>
      </w:r>
      <w:r w:rsidR="00894345" w:rsidRPr="00950EE2">
        <w:t xml:space="preserve"> </w:t>
      </w:r>
      <w:r w:rsidR="002B6051" w:rsidRPr="00950EE2">
        <w:t xml:space="preserve">the </w:t>
      </w:r>
      <w:r w:rsidR="009C1EDC" w:rsidRPr="00950EE2">
        <w:t xml:space="preserve">preliminary </w:t>
      </w:r>
      <w:r w:rsidR="002B6051" w:rsidRPr="00950EE2">
        <w:t xml:space="preserve">groundwater model predicts that the Goulburn River </w:t>
      </w:r>
      <w:r w:rsidR="00F06206" w:rsidRPr="00950EE2">
        <w:t>will not</w:t>
      </w:r>
      <w:r w:rsidR="002B6051" w:rsidRPr="00950EE2">
        <w:t xml:space="preserve"> be impacted by the proposed project</w:t>
      </w:r>
      <w:r w:rsidR="00FC3EEC" w:rsidRPr="00950EE2">
        <w:rPr>
          <w:vertAlign w:val="superscript"/>
        </w:rPr>
        <w:t>2</w:t>
      </w:r>
      <w:r w:rsidR="00B06955" w:rsidRPr="00950EE2">
        <w:t>.</w:t>
      </w:r>
      <w:r w:rsidR="00D453B6" w:rsidRPr="00950EE2">
        <w:t xml:space="preserve"> </w:t>
      </w:r>
      <w:r w:rsidR="009A1129" w:rsidRPr="00950EE2">
        <w:t>T</w:t>
      </w:r>
      <w:r w:rsidR="002D144D" w:rsidRPr="00950EE2">
        <w:t>he representation of the Goulburn River as a constant head bou</w:t>
      </w:r>
      <w:r w:rsidR="00F113F7" w:rsidRPr="00950EE2">
        <w:t>ndary within the model</w:t>
      </w:r>
      <w:r w:rsidR="009A1129" w:rsidRPr="00950EE2">
        <w:t xml:space="preserve"> may be influencing this </w:t>
      </w:r>
      <w:r w:rsidR="00FC3EEC" w:rsidRPr="00950EE2">
        <w:t>inconsistency</w:t>
      </w:r>
      <w:r w:rsidR="00F113F7" w:rsidRPr="00950EE2">
        <w:t>.</w:t>
      </w:r>
      <w:r w:rsidR="009A1129" w:rsidRPr="00950EE2">
        <w:t xml:space="preserve"> The IESC has included recommendations for further studies into </w:t>
      </w:r>
      <w:r w:rsidR="000E60E7" w:rsidRPr="00950EE2">
        <w:t xml:space="preserve">the </w:t>
      </w:r>
      <w:r w:rsidR="009A1129" w:rsidRPr="00950EE2">
        <w:t xml:space="preserve">representation of streams in the groundwater model in response to Question 2. </w:t>
      </w:r>
    </w:p>
    <w:p w:rsidR="002B6051" w:rsidRPr="00950EE2" w:rsidRDefault="002B6051" w:rsidP="002B6051">
      <w:pPr>
        <w:pStyle w:val="Heading5"/>
      </w:pPr>
      <w:r w:rsidRPr="00950EE2">
        <w:t>Surface water</w:t>
      </w:r>
    </w:p>
    <w:p w:rsidR="002B6051" w:rsidRPr="00950EE2" w:rsidRDefault="00A165ED" w:rsidP="00A165ED">
      <w:pPr>
        <w:pStyle w:val="ListNumber"/>
      </w:pPr>
      <w:r w:rsidRPr="00950EE2">
        <w:rPr>
          <w:lang w:val="en-US"/>
        </w:rPr>
        <w:t xml:space="preserve">The steady state water budget indicates a net outflow of </w:t>
      </w:r>
      <w:r w:rsidR="00A714B6" w:rsidRPr="00950EE2">
        <w:rPr>
          <w:lang w:val="en-US"/>
        </w:rPr>
        <w:t xml:space="preserve">3 ML/day </w:t>
      </w:r>
      <w:r w:rsidRPr="00950EE2">
        <w:rPr>
          <w:lang w:val="en-US"/>
        </w:rPr>
        <w:t>from groundwater to the Bylong River and Lee Creek systems</w:t>
      </w:r>
      <w:r w:rsidR="005C7354" w:rsidRPr="00950EE2">
        <w:rPr>
          <w:lang w:val="en-US"/>
        </w:rPr>
        <w:t>. As a result of the proposed project</w:t>
      </w:r>
      <w:r w:rsidR="00950E57" w:rsidRPr="00950EE2">
        <w:rPr>
          <w:lang w:val="en-US"/>
        </w:rPr>
        <w:t xml:space="preserve">, </w:t>
      </w:r>
      <w:r w:rsidR="005C7354" w:rsidRPr="00950EE2">
        <w:rPr>
          <w:lang w:val="en-US"/>
        </w:rPr>
        <w:t xml:space="preserve">there is predicted to be an average reduction in baseflow to these streams of </w:t>
      </w:r>
      <w:r w:rsidR="00950E57" w:rsidRPr="00950EE2">
        <w:rPr>
          <w:lang w:val="en-US"/>
        </w:rPr>
        <w:t>0.21 ML/day</w:t>
      </w:r>
      <w:r w:rsidRPr="00950EE2">
        <w:rPr>
          <w:lang w:val="en-US"/>
        </w:rPr>
        <w:t xml:space="preserve">. </w:t>
      </w:r>
      <w:r w:rsidR="000A7772" w:rsidRPr="00950EE2">
        <w:rPr>
          <w:lang w:val="en-US"/>
        </w:rPr>
        <w:t>Streamflow and rainfall data collected by the proponent show that the Bylong River maintains some baseflow through winter, but almost no flow between October and February.</w:t>
      </w:r>
      <w:r w:rsidR="00D453B6" w:rsidRPr="00950EE2">
        <w:rPr>
          <w:lang w:val="en-US"/>
        </w:rPr>
        <w:t xml:space="preserve"> </w:t>
      </w:r>
      <w:r w:rsidR="00B123AB" w:rsidRPr="00950EE2">
        <w:rPr>
          <w:lang w:val="en-US"/>
        </w:rPr>
        <w:t>The spatial and</w:t>
      </w:r>
      <w:r w:rsidR="002B6051" w:rsidRPr="00950EE2">
        <w:rPr>
          <w:lang w:val="en-US"/>
        </w:rPr>
        <w:t xml:space="preserve"> seasonal variation in streamflow and the groundwater pumping regime should be reflected in future </w:t>
      </w:r>
      <w:r w:rsidR="009C1EDC" w:rsidRPr="00950EE2">
        <w:rPr>
          <w:lang w:val="en-US"/>
        </w:rPr>
        <w:t>versions</w:t>
      </w:r>
      <w:r w:rsidR="002B6051" w:rsidRPr="00950EE2">
        <w:rPr>
          <w:lang w:val="en-US"/>
        </w:rPr>
        <w:t xml:space="preserve"> of the groundwater model. These modifications would more accurately represent current </w:t>
      </w:r>
      <w:r w:rsidR="00064320" w:rsidRPr="00950EE2">
        <w:rPr>
          <w:lang w:val="en-US"/>
        </w:rPr>
        <w:t>surface-groundwater flux</w:t>
      </w:r>
      <w:r w:rsidR="002B6051" w:rsidRPr="00950EE2">
        <w:rPr>
          <w:lang w:val="en-US"/>
        </w:rPr>
        <w:t xml:space="preserve"> and therefore improve confidence in the predictions</w:t>
      </w:r>
      <w:r w:rsidR="00F35DA2" w:rsidRPr="00950EE2">
        <w:rPr>
          <w:lang w:val="en-US"/>
        </w:rPr>
        <w:t xml:space="preserve"> of impacts</w:t>
      </w:r>
      <w:r w:rsidR="002B6051" w:rsidRPr="00950EE2">
        <w:rPr>
          <w:lang w:val="en-US"/>
        </w:rPr>
        <w:t>.</w:t>
      </w:r>
    </w:p>
    <w:p w:rsidR="00785415" w:rsidRPr="00950EE2" w:rsidRDefault="00E97333" w:rsidP="004E257B">
      <w:pPr>
        <w:pStyle w:val="ListNumber"/>
      </w:pPr>
      <w:r w:rsidRPr="00950EE2">
        <w:t>The propon</w:t>
      </w:r>
      <w:r w:rsidR="00A12BA8" w:rsidRPr="00950EE2">
        <w:t>ent intends to contain all mine-</w:t>
      </w:r>
      <w:r w:rsidRPr="00950EE2">
        <w:t>affected water on site, with no discharges</w:t>
      </w:r>
      <w:r w:rsidR="008A3C8B" w:rsidRPr="00950EE2">
        <w:t xml:space="preserve">, but does intend to use </w:t>
      </w:r>
      <w:r w:rsidR="000A7772" w:rsidRPr="00950EE2">
        <w:t>mine</w:t>
      </w:r>
      <w:r w:rsidR="008A3C8B" w:rsidRPr="00950EE2">
        <w:t xml:space="preserve"> water for dust suppression. </w:t>
      </w:r>
      <w:r w:rsidR="00A12BA8" w:rsidRPr="00950EE2">
        <w:t>Sediment-</w:t>
      </w:r>
      <w:r w:rsidR="004E257B" w:rsidRPr="00950EE2">
        <w:t>affected water may be released from site, following treatment if necessary.</w:t>
      </w:r>
      <w:r w:rsidR="00D453B6" w:rsidRPr="00950EE2">
        <w:t xml:space="preserve"> </w:t>
      </w:r>
      <w:r w:rsidR="00785415" w:rsidRPr="00950EE2">
        <w:t xml:space="preserve">Documentation provided </w:t>
      </w:r>
      <w:r w:rsidR="007C7FAC" w:rsidRPr="00950EE2">
        <w:t>with</w:t>
      </w:r>
      <w:r w:rsidR="00785415" w:rsidRPr="00950EE2">
        <w:t xml:space="preserve"> the development application </w:t>
      </w:r>
      <w:r w:rsidR="007C7FAC" w:rsidRPr="00950EE2">
        <w:t>should include</w:t>
      </w:r>
      <w:r w:rsidR="00785415" w:rsidRPr="00950EE2">
        <w:t>:</w:t>
      </w:r>
    </w:p>
    <w:p w:rsidR="000E60E7" w:rsidRPr="00950EE2" w:rsidRDefault="000E60E7" w:rsidP="00D453B6">
      <w:pPr>
        <w:pStyle w:val="ListNumber2"/>
      </w:pPr>
      <w:r w:rsidRPr="00950EE2">
        <w:t xml:space="preserve">Assessment of potential </w:t>
      </w:r>
      <w:r w:rsidR="00A24050" w:rsidRPr="00950EE2">
        <w:t xml:space="preserve">for </w:t>
      </w:r>
      <w:r w:rsidR="006E7E4D" w:rsidRPr="00950EE2">
        <w:t>salinity to increase</w:t>
      </w:r>
      <w:r w:rsidRPr="00950EE2">
        <w:t xml:space="preserve"> as a result of storing mine-affected water on site; </w:t>
      </w:r>
    </w:p>
    <w:p w:rsidR="00F113F7" w:rsidRPr="00950EE2" w:rsidRDefault="00785415" w:rsidP="00D453B6">
      <w:pPr>
        <w:pStyle w:val="ListNumber2"/>
      </w:pPr>
      <w:r w:rsidRPr="00950EE2">
        <w:t>Identif</w:t>
      </w:r>
      <w:r w:rsidR="00064320" w:rsidRPr="00950EE2">
        <w:t>ication of</w:t>
      </w:r>
      <w:r w:rsidRPr="00950EE2">
        <w:t xml:space="preserve"> c</w:t>
      </w:r>
      <w:r w:rsidR="00C83747" w:rsidRPr="00950EE2">
        <w:t>ontingency measures to ensure that mine water is not released from site</w:t>
      </w:r>
      <w:r w:rsidRPr="00950EE2">
        <w:t xml:space="preserve">; </w:t>
      </w:r>
    </w:p>
    <w:p w:rsidR="00F35DA2" w:rsidRPr="00950EE2" w:rsidRDefault="00F35DA2" w:rsidP="00D453B6">
      <w:pPr>
        <w:pStyle w:val="ListNumber2"/>
      </w:pPr>
      <w:r w:rsidRPr="00950EE2">
        <w:t xml:space="preserve">Measures to ensure stability of the landform </w:t>
      </w:r>
      <w:r w:rsidR="00B22AE4" w:rsidRPr="00950EE2">
        <w:t xml:space="preserve">and maintenance of water quality, </w:t>
      </w:r>
      <w:r w:rsidRPr="00950EE2">
        <w:t xml:space="preserve">given the potential for sodic soils across the proposed site; </w:t>
      </w:r>
    </w:p>
    <w:p w:rsidR="00785415" w:rsidRPr="00950EE2" w:rsidRDefault="000E60E7" w:rsidP="00D453B6">
      <w:pPr>
        <w:pStyle w:val="ListNumber2"/>
      </w:pPr>
      <w:r w:rsidRPr="00950EE2">
        <w:t xml:space="preserve">Assessment of the risks to surface and groundwater quality of using mine water for dust suppression; </w:t>
      </w:r>
      <w:r w:rsidR="00785415" w:rsidRPr="00950EE2">
        <w:t>and</w:t>
      </w:r>
    </w:p>
    <w:p w:rsidR="004E257B" w:rsidRPr="00950EE2" w:rsidRDefault="00064320" w:rsidP="00D453B6">
      <w:pPr>
        <w:pStyle w:val="ListNumber2"/>
      </w:pPr>
      <w:r w:rsidRPr="00950EE2">
        <w:t>Provision of</w:t>
      </w:r>
      <w:r w:rsidR="00785415" w:rsidRPr="00950EE2">
        <w:t xml:space="preserve"> d</w:t>
      </w:r>
      <w:r w:rsidR="004E257B" w:rsidRPr="00950EE2">
        <w:t xml:space="preserve">etails of the proposed treatment options </w:t>
      </w:r>
      <w:r w:rsidR="007C7FAC" w:rsidRPr="00950EE2">
        <w:t xml:space="preserve">for </w:t>
      </w:r>
      <w:r w:rsidR="004E257B" w:rsidRPr="00950EE2">
        <w:t xml:space="preserve">release of water </w:t>
      </w:r>
      <w:r w:rsidR="00BC1890" w:rsidRPr="00950EE2">
        <w:t xml:space="preserve">of appropriate quality </w:t>
      </w:r>
      <w:r w:rsidR="004E257B" w:rsidRPr="00950EE2">
        <w:t>from sedimentation dams.</w:t>
      </w:r>
    </w:p>
    <w:p w:rsidR="00B123AB" w:rsidRPr="00950EE2" w:rsidRDefault="006E7E4D" w:rsidP="00B123AB">
      <w:pPr>
        <w:pStyle w:val="ListNumber"/>
      </w:pPr>
      <w:r w:rsidRPr="00950EE2">
        <w:t>T</w:t>
      </w:r>
      <w:r w:rsidR="00B123AB" w:rsidRPr="00950EE2">
        <w:t xml:space="preserve">he proponent’s documentation contains limited information about </w:t>
      </w:r>
      <w:r w:rsidR="00E97333" w:rsidRPr="00950EE2">
        <w:t xml:space="preserve">other </w:t>
      </w:r>
      <w:r w:rsidR="008D353E" w:rsidRPr="00950EE2">
        <w:t>impacts to surface water</w:t>
      </w:r>
      <w:r w:rsidRPr="00950EE2">
        <w:t xml:space="preserve"> at the Gateway stage</w:t>
      </w:r>
      <w:r w:rsidR="00B123AB" w:rsidRPr="00950EE2">
        <w:t xml:space="preserve">. The </w:t>
      </w:r>
      <w:r w:rsidR="00C536CB" w:rsidRPr="00950EE2">
        <w:t>IESC</w:t>
      </w:r>
      <w:r w:rsidR="00B123AB" w:rsidRPr="00950EE2">
        <w:t xml:space="preserve"> </w:t>
      </w:r>
      <w:r w:rsidR="00E97333" w:rsidRPr="00950EE2">
        <w:t xml:space="preserve">has included recommendations for </w:t>
      </w:r>
      <w:r w:rsidR="00B123AB" w:rsidRPr="00950EE2">
        <w:t xml:space="preserve">further studies </w:t>
      </w:r>
      <w:r w:rsidR="00E97333" w:rsidRPr="00950EE2">
        <w:t xml:space="preserve">into surface water impacts </w:t>
      </w:r>
      <w:r w:rsidR="00B123AB" w:rsidRPr="00950EE2">
        <w:t xml:space="preserve">in </w:t>
      </w:r>
      <w:r w:rsidR="00E97333" w:rsidRPr="00950EE2">
        <w:t xml:space="preserve">response to </w:t>
      </w:r>
      <w:r w:rsidR="00B123AB" w:rsidRPr="00950EE2">
        <w:t xml:space="preserve">Question 2. </w:t>
      </w:r>
    </w:p>
    <w:p w:rsidR="008A3C8B" w:rsidRPr="00950EE2" w:rsidRDefault="008A3C8B" w:rsidP="008A3C8B">
      <w:pPr>
        <w:pStyle w:val="Heading5"/>
      </w:pPr>
      <w:r w:rsidRPr="00950EE2">
        <w:t>Final landform</w:t>
      </w:r>
    </w:p>
    <w:p w:rsidR="000846A4" w:rsidRPr="00950EE2" w:rsidRDefault="008A3C8B" w:rsidP="000846A4">
      <w:pPr>
        <w:pStyle w:val="ListNumber"/>
        <w:rPr>
          <w:lang w:val="en-US"/>
        </w:rPr>
      </w:pPr>
      <w:r w:rsidRPr="00950EE2">
        <w:rPr>
          <w:lang w:val="en-US"/>
        </w:rPr>
        <w:t xml:space="preserve">There is potential for contamination of the alluvium due to leaching from </w:t>
      </w:r>
      <w:r w:rsidR="000846A4" w:rsidRPr="00950EE2">
        <w:rPr>
          <w:lang w:val="en-US"/>
        </w:rPr>
        <w:t>Coal Handling and Preparation Plant</w:t>
      </w:r>
      <w:r w:rsidRPr="00950EE2">
        <w:rPr>
          <w:lang w:val="en-US"/>
        </w:rPr>
        <w:t xml:space="preserve"> rejects and tailings within the backfilled pit, which may then flow into the adjacent surface water systems, in particular the Growee River and Lee Creek.</w:t>
      </w:r>
      <w:r w:rsidR="00D453B6" w:rsidRPr="00950EE2">
        <w:rPr>
          <w:lang w:val="en-US"/>
        </w:rPr>
        <w:t xml:space="preserve"> </w:t>
      </w:r>
      <w:r w:rsidR="000846A4" w:rsidRPr="00950EE2">
        <w:rPr>
          <w:lang w:val="en-US"/>
        </w:rPr>
        <w:t xml:space="preserve">Groundwater quality modelling </w:t>
      </w:r>
      <w:r w:rsidR="00FE5615" w:rsidRPr="00950EE2">
        <w:rPr>
          <w:lang w:val="en-US"/>
        </w:rPr>
        <w:t xml:space="preserve">of the final landform </w:t>
      </w:r>
      <w:r w:rsidR="000846A4" w:rsidRPr="00950EE2">
        <w:rPr>
          <w:lang w:val="en-US"/>
        </w:rPr>
        <w:t xml:space="preserve">would be </w:t>
      </w:r>
      <w:r w:rsidR="007C7FAC" w:rsidRPr="00950EE2">
        <w:rPr>
          <w:lang w:val="en-US"/>
        </w:rPr>
        <w:t>needed</w:t>
      </w:r>
      <w:r w:rsidR="000846A4" w:rsidRPr="00950EE2">
        <w:rPr>
          <w:lang w:val="en-US"/>
        </w:rPr>
        <w:t xml:space="preserve"> to </w:t>
      </w:r>
      <w:r w:rsidR="007C7FAC" w:rsidRPr="00950EE2">
        <w:rPr>
          <w:lang w:val="en-US"/>
        </w:rPr>
        <w:t xml:space="preserve">accurately </w:t>
      </w:r>
      <w:r w:rsidR="000846A4" w:rsidRPr="00950EE2">
        <w:rPr>
          <w:lang w:val="en-US"/>
        </w:rPr>
        <w:t xml:space="preserve">determine the </w:t>
      </w:r>
      <w:r w:rsidR="00FE5615" w:rsidRPr="00950EE2">
        <w:rPr>
          <w:lang w:val="en-US"/>
        </w:rPr>
        <w:t xml:space="preserve">potential </w:t>
      </w:r>
      <w:r w:rsidR="000846A4" w:rsidRPr="00950EE2">
        <w:rPr>
          <w:lang w:val="en-US"/>
        </w:rPr>
        <w:t>transport of contaminants</w:t>
      </w:r>
      <w:r w:rsidR="00B22AE4" w:rsidRPr="00950EE2">
        <w:rPr>
          <w:lang w:val="en-US"/>
        </w:rPr>
        <w:t>, including salts,</w:t>
      </w:r>
      <w:r w:rsidR="000846A4" w:rsidRPr="00950EE2">
        <w:rPr>
          <w:lang w:val="en-US"/>
        </w:rPr>
        <w:t xml:space="preserve"> </w:t>
      </w:r>
      <w:r w:rsidR="00FE5615" w:rsidRPr="00950EE2">
        <w:rPr>
          <w:lang w:val="en-US"/>
        </w:rPr>
        <w:t>to the alluvium and surface streams</w:t>
      </w:r>
      <w:r w:rsidR="000846A4" w:rsidRPr="00950EE2">
        <w:rPr>
          <w:lang w:val="en-US"/>
        </w:rPr>
        <w:t>.</w:t>
      </w:r>
    </w:p>
    <w:p w:rsidR="000E60E7" w:rsidRPr="00950EE2" w:rsidRDefault="000E60E7">
      <w:pPr>
        <w:spacing w:after="0" w:line="240" w:lineRule="auto"/>
        <w:rPr>
          <w:rFonts w:cs="Arial"/>
          <w:i/>
        </w:rPr>
      </w:pPr>
      <w:r w:rsidRPr="00950EE2">
        <w:br w:type="page"/>
      </w:r>
    </w:p>
    <w:p w:rsidR="007203C3" w:rsidRPr="00950EE2" w:rsidRDefault="007203C3" w:rsidP="001E233B">
      <w:pPr>
        <w:pStyle w:val="Heading4"/>
      </w:pPr>
      <w:r w:rsidRPr="00950EE2">
        <w:lastRenderedPageBreak/>
        <w:t>Question 2:</w:t>
      </w:r>
      <w:r w:rsidR="00D654B2" w:rsidRPr="00950EE2">
        <w:t xml:space="preserve"> The IESC may also recommend further studies that should be undertaken if relevant.</w:t>
      </w:r>
    </w:p>
    <w:p w:rsidR="007203C3" w:rsidRPr="00950EE2" w:rsidRDefault="00D147F4" w:rsidP="001E233B">
      <w:pPr>
        <w:pStyle w:val="ListNumber"/>
      </w:pPr>
      <w:r w:rsidRPr="00950EE2">
        <w:t xml:space="preserve">The </w:t>
      </w:r>
      <w:r w:rsidR="00C536CB" w:rsidRPr="00950EE2">
        <w:t>IESC</w:t>
      </w:r>
      <w:r w:rsidRPr="00950EE2">
        <w:t xml:space="preserve"> considers that any further studies in preparation for </w:t>
      </w:r>
      <w:r w:rsidR="008A3C8B" w:rsidRPr="00950EE2">
        <w:t xml:space="preserve">a development application </w:t>
      </w:r>
      <w:r w:rsidRPr="00950EE2">
        <w:t>should have reference</w:t>
      </w:r>
      <w:r w:rsidR="00AF6A48" w:rsidRPr="00950EE2">
        <w:t xml:space="preserve"> to</w:t>
      </w:r>
      <w:r w:rsidR="006A4BD9" w:rsidRPr="00950EE2">
        <w:t xml:space="preserve"> the type of information that enables a robust assessment of water resources such as those outlined</w:t>
      </w:r>
      <w:r w:rsidR="00AF6A48" w:rsidRPr="00950EE2">
        <w:t xml:space="preserve"> </w:t>
      </w:r>
      <w:r w:rsidR="001B233B" w:rsidRPr="00950EE2">
        <w:t>in the</w:t>
      </w:r>
      <w:r w:rsidR="00AF6A48" w:rsidRPr="00950EE2">
        <w:t xml:space="preserve"> Information Guidelines</w:t>
      </w:r>
      <w:r w:rsidR="00AF6A48" w:rsidRPr="00950EE2">
        <w:rPr>
          <w:vertAlign w:val="superscript"/>
        </w:rPr>
        <w:t>1</w:t>
      </w:r>
      <w:r w:rsidR="00AF6A48" w:rsidRPr="00950EE2">
        <w:t xml:space="preserve">. </w:t>
      </w:r>
      <w:r w:rsidR="00C42517" w:rsidRPr="00950EE2">
        <w:t>Specific r</w:t>
      </w:r>
      <w:r w:rsidR="00A714B6" w:rsidRPr="00950EE2">
        <w:t xml:space="preserve">ecommendations for further work </w:t>
      </w:r>
      <w:r w:rsidR="00A66043" w:rsidRPr="00950EE2">
        <w:t>are</w:t>
      </w:r>
      <w:r w:rsidR="00A714B6" w:rsidRPr="00950EE2">
        <w:t xml:space="preserve"> made under the headings below.</w:t>
      </w:r>
    </w:p>
    <w:p w:rsidR="00381E67" w:rsidRPr="00950EE2" w:rsidRDefault="00381E67" w:rsidP="00381E67">
      <w:pPr>
        <w:pStyle w:val="Heading5"/>
      </w:pPr>
      <w:r w:rsidRPr="00950EE2">
        <w:t>Subsidence</w:t>
      </w:r>
    </w:p>
    <w:p w:rsidR="0005543C" w:rsidRPr="00950EE2" w:rsidRDefault="0005543C" w:rsidP="00381E67">
      <w:pPr>
        <w:pStyle w:val="ListNumber"/>
      </w:pPr>
      <w:r w:rsidRPr="00950EE2">
        <w:t>F</w:t>
      </w:r>
      <w:r w:rsidR="00381E67" w:rsidRPr="00950EE2">
        <w:t>uture iterations of the subsidence assessment</w:t>
      </w:r>
      <w:r w:rsidR="00E9525E" w:rsidRPr="00950EE2">
        <w:t xml:space="preserve"> should</w:t>
      </w:r>
      <w:r w:rsidR="00381E67" w:rsidRPr="00950EE2">
        <w:t xml:space="preserve"> include a survey of the existing drainage lines a</w:t>
      </w:r>
      <w:r w:rsidR="0080058D" w:rsidRPr="00950EE2">
        <w:t>nd other surface water features</w:t>
      </w:r>
      <w:r w:rsidR="009A051B" w:rsidRPr="00950EE2">
        <w:t xml:space="preserve"> and</w:t>
      </w:r>
      <w:r w:rsidR="0080058D" w:rsidRPr="00950EE2">
        <w:t xml:space="preserve"> an assessment of their current condition, including </w:t>
      </w:r>
      <w:r w:rsidR="00606914" w:rsidRPr="00950EE2">
        <w:t>associated vegetation</w:t>
      </w:r>
      <w:r w:rsidR="00A12BA8" w:rsidRPr="00950EE2">
        <w:t>,</w:t>
      </w:r>
      <w:r w:rsidR="00606914" w:rsidRPr="00950EE2">
        <w:t xml:space="preserve"> </w:t>
      </w:r>
      <w:r w:rsidR="00381E67" w:rsidRPr="00950EE2">
        <w:t xml:space="preserve">to provide a baseline </w:t>
      </w:r>
      <w:r w:rsidR="00C87405" w:rsidRPr="00950EE2">
        <w:t xml:space="preserve">against which </w:t>
      </w:r>
      <w:r w:rsidRPr="00950EE2">
        <w:t>the predicted changes to the landform</w:t>
      </w:r>
      <w:r w:rsidR="00FE5615" w:rsidRPr="00950EE2">
        <w:t xml:space="preserve"> can be assessed</w:t>
      </w:r>
      <w:r w:rsidRPr="00950EE2">
        <w:t xml:space="preserve">. </w:t>
      </w:r>
    </w:p>
    <w:p w:rsidR="00606914" w:rsidRPr="00950EE2" w:rsidRDefault="00E9525E" w:rsidP="00E9525E">
      <w:pPr>
        <w:pStyle w:val="ListNumber"/>
      </w:pPr>
      <w:r w:rsidRPr="00950EE2">
        <w:t>The</w:t>
      </w:r>
      <w:r w:rsidR="00381E67" w:rsidRPr="00950EE2">
        <w:t xml:space="preserve"> monitoring and manag</w:t>
      </w:r>
      <w:r w:rsidRPr="00950EE2">
        <w:t xml:space="preserve">ement programme for subsidence </w:t>
      </w:r>
      <w:r w:rsidR="00A714B6" w:rsidRPr="00950EE2">
        <w:t>would benefit from</w:t>
      </w:r>
      <w:r w:rsidRPr="00950EE2">
        <w:t xml:space="preserve"> </w:t>
      </w:r>
      <w:r w:rsidR="00606914" w:rsidRPr="00950EE2">
        <w:t xml:space="preserve">further investigations on the height </w:t>
      </w:r>
      <w:r w:rsidR="008679AA" w:rsidRPr="00950EE2">
        <w:t xml:space="preserve">and impacts </w:t>
      </w:r>
      <w:r w:rsidR="00606914" w:rsidRPr="00950EE2">
        <w:t xml:space="preserve">of connective cracking </w:t>
      </w:r>
      <w:r w:rsidR="008679AA" w:rsidRPr="00950EE2">
        <w:t>and the effectiveness of proposed mitigation and remediation measures</w:t>
      </w:r>
      <w:r w:rsidR="00606914" w:rsidRPr="00950EE2">
        <w:t>.</w:t>
      </w:r>
    </w:p>
    <w:p w:rsidR="001D798F" w:rsidRPr="00950EE2" w:rsidRDefault="001D798F" w:rsidP="008A3C8B">
      <w:pPr>
        <w:pStyle w:val="Heading5"/>
      </w:pPr>
      <w:r w:rsidRPr="00950EE2">
        <w:t>Water balance</w:t>
      </w:r>
    </w:p>
    <w:p w:rsidR="001D798F" w:rsidRPr="00950EE2" w:rsidRDefault="001D798F" w:rsidP="001D798F">
      <w:pPr>
        <w:pStyle w:val="ListNumber"/>
      </w:pPr>
      <w:r w:rsidRPr="00950EE2">
        <w:t xml:space="preserve">Studies </w:t>
      </w:r>
      <w:r w:rsidR="009C7DB9" w:rsidRPr="00950EE2">
        <w:t>are needed on</w:t>
      </w:r>
      <w:r w:rsidRPr="00950EE2">
        <w:t xml:space="preserve"> the location and volumetric requirements of the proposed borefield to supplement mine water requirements. </w:t>
      </w:r>
      <w:r w:rsidR="00A714B6" w:rsidRPr="00950EE2">
        <w:t>The proposed water take from this borefield should then be incorporated into the groundwater model.</w:t>
      </w:r>
    </w:p>
    <w:p w:rsidR="008A3C8B" w:rsidRPr="00950EE2" w:rsidRDefault="008A3C8B" w:rsidP="008A3C8B">
      <w:pPr>
        <w:pStyle w:val="Heading5"/>
      </w:pPr>
      <w:r w:rsidRPr="00950EE2">
        <w:t xml:space="preserve">Groundwater </w:t>
      </w:r>
    </w:p>
    <w:p w:rsidR="00EE5582" w:rsidRPr="00950EE2" w:rsidRDefault="00EE5582" w:rsidP="00EE5582">
      <w:pPr>
        <w:pStyle w:val="ListNumber"/>
      </w:pPr>
      <w:r w:rsidRPr="00950EE2">
        <w:t xml:space="preserve">The IESC </w:t>
      </w:r>
      <w:r w:rsidR="00D40DCA" w:rsidRPr="00950EE2">
        <w:t>agrees that</w:t>
      </w:r>
      <w:r w:rsidRPr="00950EE2">
        <w:t xml:space="preserve"> improve</w:t>
      </w:r>
      <w:r w:rsidR="00D40DCA" w:rsidRPr="00950EE2">
        <w:t>ments to the</w:t>
      </w:r>
      <w:r w:rsidRPr="00950EE2">
        <w:t xml:space="preserve"> preliminary groundwater model</w:t>
      </w:r>
      <w:r w:rsidR="00D40DCA" w:rsidRPr="00950EE2">
        <w:t xml:space="preserve"> are needed, consistent with the proponent’s commitments. The IESC</w:t>
      </w:r>
      <w:r w:rsidRPr="00950EE2">
        <w:t xml:space="preserve"> recommends that the updated numerical model </w:t>
      </w:r>
      <w:r w:rsidR="009C1EDC" w:rsidRPr="00950EE2">
        <w:t xml:space="preserve">should </w:t>
      </w:r>
      <w:r w:rsidRPr="00950EE2">
        <w:t>reflect the modifications and additions to the groundwater conceptualisation specified in paragraphs 1</w:t>
      </w:r>
      <w:r w:rsidR="00B3337F" w:rsidRPr="00950EE2">
        <w:t>8</w:t>
      </w:r>
      <w:r w:rsidRPr="00950EE2">
        <w:t>-2</w:t>
      </w:r>
      <w:r w:rsidR="00B3337F" w:rsidRPr="00950EE2">
        <w:t>1</w:t>
      </w:r>
      <w:r w:rsidRPr="00950EE2">
        <w:t xml:space="preserve">. </w:t>
      </w:r>
    </w:p>
    <w:p w:rsidR="00E30E79" w:rsidRPr="00950EE2" w:rsidRDefault="00C11EEC" w:rsidP="00E30E79">
      <w:pPr>
        <w:pStyle w:val="ListNumber"/>
        <w:rPr>
          <w:lang w:val="en-US"/>
        </w:rPr>
      </w:pPr>
      <w:r w:rsidRPr="00950EE2">
        <w:rPr>
          <w:lang w:val="en-US"/>
        </w:rPr>
        <w:t>Finer-scale</w:t>
      </w:r>
      <w:r w:rsidR="00E30E79" w:rsidRPr="00950EE2">
        <w:rPr>
          <w:lang w:val="en-US"/>
        </w:rPr>
        <w:t xml:space="preserve"> understanding </w:t>
      </w:r>
      <w:r w:rsidRPr="00950EE2">
        <w:rPr>
          <w:lang w:val="en-US"/>
        </w:rPr>
        <w:t xml:space="preserve">is needed </w:t>
      </w:r>
      <w:r w:rsidR="00E30E79" w:rsidRPr="00950EE2">
        <w:rPr>
          <w:lang w:val="en-US"/>
        </w:rPr>
        <w:t>of the spatial and temporal aspects of the existing connectivity regime between each of the hydrogeol</w:t>
      </w:r>
      <w:r w:rsidRPr="00950EE2">
        <w:rPr>
          <w:lang w:val="en-US"/>
        </w:rPr>
        <w:t>o</w:t>
      </w:r>
      <w:r w:rsidR="007306E7" w:rsidRPr="00950EE2">
        <w:rPr>
          <w:lang w:val="en-US"/>
        </w:rPr>
        <w:t>gical units and surface water. In particular, t</w:t>
      </w:r>
      <w:r w:rsidRPr="00950EE2">
        <w:rPr>
          <w:lang w:val="en-US"/>
        </w:rPr>
        <w:t xml:space="preserve">he conceptualisation should </w:t>
      </w:r>
      <w:r w:rsidR="00E30E79" w:rsidRPr="00950EE2">
        <w:rPr>
          <w:lang w:val="en-US"/>
        </w:rPr>
        <w:t>includ</w:t>
      </w:r>
      <w:r w:rsidRPr="00950EE2">
        <w:rPr>
          <w:lang w:val="en-US"/>
        </w:rPr>
        <w:t>e</w:t>
      </w:r>
      <w:r w:rsidR="00E30E79" w:rsidRPr="00950EE2">
        <w:rPr>
          <w:lang w:val="en-US"/>
        </w:rPr>
        <w:t xml:space="preserve"> </w:t>
      </w:r>
      <w:r w:rsidR="00031E10" w:rsidRPr="00950EE2">
        <w:rPr>
          <w:lang w:val="en-US"/>
        </w:rPr>
        <w:t xml:space="preserve">current groundwater </w:t>
      </w:r>
      <w:r w:rsidR="00460DE8" w:rsidRPr="00950EE2">
        <w:rPr>
          <w:lang w:val="en-US"/>
        </w:rPr>
        <w:t>extraction</w:t>
      </w:r>
      <w:r w:rsidR="00031E10" w:rsidRPr="00950EE2">
        <w:rPr>
          <w:lang w:val="en-US"/>
        </w:rPr>
        <w:t xml:space="preserve">, streamflow, </w:t>
      </w:r>
      <w:r w:rsidR="00E30E79" w:rsidRPr="00950EE2">
        <w:rPr>
          <w:lang w:val="en-US"/>
        </w:rPr>
        <w:t xml:space="preserve">alluvial through-flow and </w:t>
      </w:r>
      <w:r w:rsidRPr="00950EE2">
        <w:rPr>
          <w:lang w:val="en-US"/>
        </w:rPr>
        <w:t>discharge to the Goulburn River.</w:t>
      </w:r>
      <w:r w:rsidR="005558BE" w:rsidRPr="00950EE2">
        <w:rPr>
          <w:lang w:val="en-US"/>
        </w:rPr>
        <w:t xml:space="preserve"> In order to match the groundwater model </w:t>
      </w:r>
      <w:r w:rsidR="00B22AE4" w:rsidRPr="00950EE2">
        <w:rPr>
          <w:lang w:val="en-US"/>
        </w:rPr>
        <w:t xml:space="preserve">outputs </w:t>
      </w:r>
      <w:r w:rsidR="005558BE" w:rsidRPr="00950EE2">
        <w:rPr>
          <w:lang w:val="en-US"/>
        </w:rPr>
        <w:t>to seasonal field observations, consideration should be given to a variety of boundary conditions for streams across the model domain, including constant head</w:t>
      </w:r>
      <w:r w:rsidR="008C02EE" w:rsidRPr="00950EE2">
        <w:rPr>
          <w:lang w:val="en-US"/>
        </w:rPr>
        <w:t xml:space="preserve"> or </w:t>
      </w:r>
      <w:r w:rsidR="005558BE" w:rsidRPr="00950EE2">
        <w:rPr>
          <w:lang w:val="en-US"/>
        </w:rPr>
        <w:t xml:space="preserve">general head </w:t>
      </w:r>
      <w:r w:rsidR="008C02EE" w:rsidRPr="00950EE2">
        <w:rPr>
          <w:lang w:val="en-US"/>
        </w:rPr>
        <w:t xml:space="preserve">boundaries, river cells </w:t>
      </w:r>
      <w:r w:rsidR="005558BE" w:rsidRPr="00950EE2">
        <w:rPr>
          <w:lang w:val="en-US"/>
        </w:rPr>
        <w:t>and drains. The project assessment documentation would benefit from sensitivity analysis</w:t>
      </w:r>
      <w:r w:rsidR="002D144D" w:rsidRPr="00950EE2">
        <w:rPr>
          <w:lang w:val="en-US"/>
        </w:rPr>
        <w:t xml:space="preserve"> of </w:t>
      </w:r>
      <w:r w:rsidR="00B22AE4" w:rsidRPr="00950EE2">
        <w:rPr>
          <w:lang w:val="en-US"/>
        </w:rPr>
        <w:t xml:space="preserve">stream boundary conditions and justification for the conditions </w:t>
      </w:r>
      <w:r w:rsidR="000E60E7" w:rsidRPr="00950EE2">
        <w:rPr>
          <w:lang w:val="en-US"/>
        </w:rPr>
        <w:t>applied</w:t>
      </w:r>
      <w:r w:rsidR="00B22AE4" w:rsidRPr="00950EE2">
        <w:rPr>
          <w:lang w:val="en-US"/>
        </w:rPr>
        <w:t xml:space="preserve"> in the final groundwater model</w:t>
      </w:r>
      <w:r w:rsidR="002D144D" w:rsidRPr="00950EE2">
        <w:rPr>
          <w:lang w:val="en-US"/>
        </w:rPr>
        <w:t>.</w:t>
      </w:r>
    </w:p>
    <w:p w:rsidR="00E30E79" w:rsidRPr="00950EE2" w:rsidRDefault="00C11EEC" w:rsidP="00E30E79">
      <w:pPr>
        <w:pStyle w:val="ListNumber"/>
        <w:rPr>
          <w:lang w:val="en-US"/>
        </w:rPr>
      </w:pPr>
      <w:r w:rsidRPr="00950EE2">
        <w:rPr>
          <w:lang w:val="en-US"/>
        </w:rPr>
        <w:t>Studies should assess</w:t>
      </w:r>
      <w:r w:rsidR="00E30E79" w:rsidRPr="00950EE2">
        <w:rPr>
          <w:lang w:val="en-US"/>
        </w:rPr>
        <w:t xml:space="preserve"> the</w:t>
      </w:r>
      <w:r w:rsidRPr="00950EE2">
        <w:rPr>
          <w:lang w:val="en-US"/>
        </w:rPr>
        <w:t xml:space="preserve"> predicted perturbations to</w:t>
      </w:r>
      <w:r w:rsidR="008D353E" w:rsidRPr="00950EE2">
        <w:rPr>
          <w:lang w:val="en-US"/>
        </w:rPr>
        <w:t>,</w:t>
      </w:r>
      <w:r w:rsidRPr="00950EE2">
        <w:rPr>
          <w:lang w:val="en-US"/>
        </w:rPr>
        <w:t xml:space="preserve"> and recovery of</w:t>
      </w:r>
      <w:r w:rsidR="008D353E" w:rsidRPr="00950EE2">
        <w:rPr>
          <w:lang w:val="en-US"/>
        </w:rPr>
        <w:t>,</w:t>
      </w:r>
      <w:r w:rsidRPr="00950EE2">
        <w:rPr>
          <w:lang w:val="en-US"/>
        </w:rPr>
        <w:t xml:space="preserve"> the hydrological</w:t>
      </w:r>
      <w:r w:rsidR="00E30E79" w:rsidRPr="00950EE2">
        <w:rPr>
          <w:lang w:val="en-US"/>
        </w:rPr>
        <w:t xml:space="preserve"> regime result</w:t>
      </w:r>
      <w:r w:rsidR="005F1CBC" w:rsidRPr="00950EE2">
        <w:rPr>
          <w:lang w:val="en-US"/>
        </w:rPr>
        <w:t xml:space="preserve">ing from the proposed project. </w:t>
      </w:r>
      <w:r w:rsidR="007A0FED" w:rsidRPr="00950EE2">
        <w:rPr>
          <w:lang w:val="en-US"/>
        </w:rPr>
        <w:t xml:space="preserve">In particular, the assessment should consider changes to hydraulic connectivity above shallow longwalls, where cracking is predicted to extend to the surface. </w:t>
      </w:r>
      <w:r w:rsidR="005F1CBC" w:rsidRPr="00950EE2">
        <w:rPr>
          <w:lang w:val="en-US"/>
        </w:rPr>
        <w:t>Assessment of c</w:t>
      </w:r>
      <w:r w:rsidR="00E30E79" w:rsidRPr="00950EE2">
        <w:rPr>
          <w:lang w:val="en-US"/>
        </w:rPr>
        <w:t xml:space="preserve">hanges to interconnectivity between hydrogeological units and surface water </w:t>
      </w:r>
      <w:r w:rsidR="005F1CBC" w:rsidRPr="00950EE2">
        <w:rPr>
          <w:lang w:val="en-US"/>
        </w:rPr>
        <w:t xml:space="preserve">would benefit from </w:t>
      </w:r>
      <w:r w:rsidR="007A0FED" w:rsidRPr="00950EE2">
        <w:rPr>
          <w:lang w:val="en-US"/>
        </w:rPr>
        <w:t>predictions</w:t>
      </w:r>
      <w:r w:rsidR="005F1CBC" w:rsidRPr="00950EE2">
        <w:rPr>
          <w:lang w:val="en-US"/>
        </w:rPr>
        <w:t xml:space="preserve"> at the</w:t>
      </w:r>
      <w:r w:rsidR="00E30E79" w:rsidRPr="00950EE2">
        <w:rPr>
          <w:lang w:val="en-US"/>
        </w:rPr>
        <w:t xml:space="preserve"> sub-catchment</w:t>
      </w:r>
      <w:r w:rsidR="005F1CBC" w:rsidRPr="00950EE2">
        <w:rPr>
          <w:lang w:val="en-US"/>
        </w:rPr>
        <w:t xml:space="preserve"> level</w:t>
      </w:r>
      <w:r w:rsidR="00E30E79" w:rsidRPr="00950EE2">
        <w:rPr>
          <w:lang w:val="en-US"/>
        </w:rPr>
        <w:t xml:space="preserve">, including Lee Creek, Bylong River, Growee River and the Goulburn River. </w:t>
      </w:r>
    </w:p>
    <w:p w:rsidR="00E30E79" w:rsidRPr="00950EE2" w:rsidRDefault="00944852" w:rsidP="00E30E79">
      <w:pPr>
        <w:pStyle w:val="ListNumber"/>
        <w:rPr>
          <w:lang w:val="en-US"/>
        </w:rPr>
      </w:pPr>
      <w:r w:rsidRPr="00950EE2">
        <w:rPr>
          <w:lang w:val="en-US"/>
        </w:rPr>
        <w:t xml:space="preserve">Further </w:t>
      </w:r>
      <w:r w:rsidR="007A0FED" w:rsidRPr="00950EE2">
        <w:rPr>
          <w:lang w:val="en-US"/>
        </w:rPr>
        <w:t>evidence</w:t>
      </w:r>
      <w:r w:rsidRPr="00950EE2">
        <w:rPr>
          <w:lang w:val="en-US"/>
        </w:rPr>
        <w:t xml:space="preserve"> </w:t>
      </w:r>
      <w:r w:rsidR="007A0FED" w:rsidRPr="00950EE2">
        <w:rPr>
          <w:lang w:val="en-US"/>
        </w:rPr>
        <w:t>should be provided</w:t>
      </w:r>
      <w:r w:rsidRPr="00950EE2">
        <w:rPr>
          <w:lang w:val="en-US"/>
        </w:rPr>
        <w:t xml:space="preserve"> to </w:t>
      </w:r>
      <w:r w:rsidR="007A0FED" w:rsidRPr="00950EE2">
        <w:rPr>
          <w:lang w:val="en-US"/>
        </w:rPr>
        <w:t>confirm</w:t>
      </w:r>
      <w:r w:rsidRPr="00950EE2">
        <w:rPr>
          <w:lang w:val="en-US"/>
        </w:rPr>
        <w:t xml:space="preserve"> the</w:t>
      </w:r>
      <w:r w:rsidR="00E30E79" w:rsidRPr="00950EE2">
        <w:rPr>
          <w:lang w:val="en-US"/>
        </w:rPr>
        <w:t xml:space="preserve"> </w:t>
      </w:r>
      <w:r w:rsidRPr="00950EE2">
        <w:rPr>
          <w:lang w:val="en-US"/>
        </w:rPr>
        <w:t>extent of the alluvium</w:t>
      </w:r>
      <w:r w:rsidR="00E30E79" w:rsidRPr="00950EE2">
        <w:rPr>
          <w:lang w:val="en-US"/>
        </w:rPr>
        <w:t xml:space="preserve"> </w:t>
      </w:r>
      <w:r w:rsidRPr="00950EE2">
        <w:rPr>
          <w:lang w:val="en-US"/>
        </w:rPr>
        <w:t xml:space="preserve">associated with Dry Creek </w:t>
      </w:r>
      <w:r w:rsidR="00E30E79" w:rsidRPr="00950EE2">
        <w:rPr>
          <w:lang w:val="en-US"/>
        </w:rPr>
        <w:t xml:space="preserve">and </w:t>
      </w:r>
      <w:r w:rsidR="007A0FED" w:rsidRPr="00950EE2">
        <w:rPr>
          <w:lang w:val="en-US"/>
        </w:rPr>
        <w:t xml:space="preserve">buffer distances from the proposed longwalls. </w:t>
      </w:r>
      <w:r w:rsidR="00651C29" w:rsidRPr="00950EE2">
        <w:rPr>
          <w:lang w:val="en-US"/>
        </w:rPr>
        <w:t>A</w:t>
      </w:r>
      <w:r w:rsidRPr="00950EE2">
        <w:rPr>
          <w:lang w:val="en-US"/>
        </w:rPr>
        <w:t xml:space="preserve">ny </w:t>
      </w:r>
      <w:r w:rsidR="007A0FED" w:rsidRPr="00950EE2">
        <w:rPr>
          <w:lang w:val="en-US"/>
        </w:rPr>
        <w:t>modifications</w:t>
      </w:r>
      <w:r w:rsidR="00651C29" w:rsidRPr="00950EE2">
        <w:rPr>
          <w:lang w:val="en-US"/>
        </w:rPr>
        <w:t xml:space="preserve"> needed</w:t>
      </w:r>
      <w:r w:rsidRPr="00950EE2">
        <w:rPr>
          <w:lang w:val="en-US"/>
        </w:rPr>
        <w:t xml:space="preserve"> </w:t>
      </w:r>
      <w:r w:rsidR="00651C29" w:rsidRPr="00950EE2">
        <w:rPr>
          <w:lang w:val="en-US"/>
        </w:rPr>
        <w:t>to the mine layout to maintain the integrity of alluvial aquifers should be clearly described</w:t>
      </w:r>
      <w:r w:rsidRPr="00950EE2">
        <w:rPr>
          <w:lang w:val="en-US"/>
        </w:rPr>
        <w:t>.</w:t>
      </w:r>
    </w:p>
    <w:p w:rsidR="00E30E79" w:rsidRPr="00950EE2" w:rsidRDefault="00944852" w:rsidP="00E30E79">
      <w:pPr>
        <w:pStyle w:val="ListNumber"/>
        <w:rPr>
          <w:lang w:val="en-US"/>
        </w:rPr>
      </w:pPr>
      <w:r w:rsidRPr="00950EE2">
        <w:rPr>
          <w:lang w:val="en-US"/>
        </w:rPr>
        <w:t>W</w:t>
      </w:r>
      <w:r w:rsidR="008679AA" w:rsidRPr="00950EE2">
        <w:rPr>
          <w:lang w:val="en-US"/>
        </w:rPr>
        <w:t xml:space="preserve">ater related assets </w:t>
      </w:r>
      <w:r w:rsidRPr="00950EE2">
        <w:rPr>
          <w:lang w:val="en-US"/>
        </w:rPr>
        <w:t>should be identified</w:t>
      </w:r>
      <w:r w:rsidR="00BF4BE6" w:rsidRPr="00950EE2">
        <w:rPr>
          <w:lang w:val="en-US"/>
        </w:rPr>
        <w:t xml:space="preserve">. Studies </w:t>
      </w:r>
      <w:r w:rsidR="00651C29" w:rsidRPr="00950EE2">
        <w:rPr>
          <w:lang w:val="en-US"/>
        </w:rPr>
        <w:t>relating to dependence on water resources for</w:t>
      </w:r>
      <w:r w:rsidR="008679AA" w:rsidRPr="00950EE2">
        <w:rPr>
          <w:lang w:val="en-US"/>
        </w:rPr>
        <w:t xml:space="preserve"> fauna</w:t>
      </w:r>
      <w:r w:rsidR="00D40B3F" w:rsidRPr="00950EE2">
        <w:rPr>
          <w:lang w:val="en-US"/>
        </w:rPr>
        <w:t xml:space="preserve"> (</w:t>
      </w:r>
      <w:r w:rsidR="00C365EC">
        <w:rPr>
          <w:lang w:val="en-US"/>
        </w:rPr>
        <w:t xml:space="preserve">including </w:t>
      </w:r>
      <w:r w:rsidR="00D40B3F" w:rsidRPr="00950EE2">
        <w:rPr>
          <w:lang w:val="en-US"/>
        </w:rPr>
        <w:t>stygofauna, macroinvertebrates</w:t>
      </w:r>
      <w:r w:rsidR="00BC1890" w:rsidRPr="00950EE2">
        <w:rPr>
          <w:lang w:val="en-US"/>
        </w:rPr>
        <w:t>, frogs</w:t>
      </w:r>
      <w:r w:rsidR="00D40B3F" w:rsidRPr="00950EE2">
        <w:rPr>
          <w:lang w:val="en-US"/>
        </w:rPr>
        <w:t xml:space="preserve"> and fish)</w:t>
      </w:r>
      <w:r w:rsidR="008679AA" w:rsidRPr="00950EE2">
        <w:rPr>
          <w:lang w:val="en-US"/>
        </w:rPr>
        <w:t>, flora and habitat</w:t>
      </w:r>
      <w:r w:rsidR="00D40B3F" w:rsidRPr="00950EE2">
        <w:rPr>
          <w:lang w:val="en-US"/>
        </w:rPr>
        <w:t>,</w:t>
      </w:r>
      <w:r w:rsidR="008679AA" w:rsidRPr="00950EE2">
        <w:rPr>
          <w:lang w:val="en-US"/>
        </w:rPr>
        <w:t xml:space="preserve"> </w:t>
      </w:r>
      <w:r w:rsidR="00C365EC">
        <w:rPr>
          <w:lang w:val="en-US"/>
        </w:rPr>
        <w:t>as well as</w:t>
      </w:r>
      <w:r w:rsidRPr="00950EE2">
        <w:rPr>
          <w:lang w:val="en-US"/>
        </w:rPr>
        <w:t xml:space="preserve"> </w:t>
      </w:r>
      <w:r w:rsidR="008679AA" w:rsidRPr="00950EE2">
        <w:rPr>
          <w:lang w:val="en-US"/>
        </w:rPr>
        <w:t xml:space="preserve">the location of </w:t>
      </w:r>
      <w:r w:rsidR="00BC1890" w:rsidRPr="00950EE2">
        <w:rPr>
          <w:lang w:val="en-US"/>
        </w:rPr>
        <w:t>shallow groundwater discharge points</w:t>
      </w:r>
      <w:r w:rsidR="008679AA" w:rsidRPr="00950EE2">
        <w:rPr>
          <w:lang w:val="en-US"/>
        </w:rPr>
        <w:t xml:space="preserve"> and other groundwat</w:t>
      </w:r>
      <w:r w:rsidRPr="00950EE2">
        <w:rPr>
          <w:lang w:val="en-US"/>
        </w:rPr>
        <w:t xml:space="preserve">er dependent ecosystems </w:t>
      </w:r>
      <w:r w:rsidRPr="00950EE2">
        <w:rPr>
          <w:lang w:val="en-US"/>
        </w:rPr>
        <w:lastRenderedPageBreak/>
        <w:t>(GDEs)</w:t>
      </w:r>
      <w:r w:rsidR="00651C29" w:rsidRPr="00950EE2">
        <w:rPr>
          <w:lang w:val="en-US"/>
        </w:rPr>
        <w:t xml:space="preserve">, </w:t>
      </w:r>
      <w:r w:rsidR="000E60E7" w:rsidRPr="00950EE2">
        <w:rPr>
          <w:lang w:val="en-US"/>
        </w:rPr>
        <w:t>should be included</w:t>
      </w:r>
      <w:r w:rsidRPr="00950EE2">
        <w:rPr>
          <w:lang w:val="en-US"/>
        </w:rPr>
        <w:t xml:space="preserve">. </w:t>
      </w:r>
      <w:r w:rsidR="00E30E79" w:rsidRPr="00950EE2">
        <w:rPr>
          <w:lang w:val="en-US"/>
        </w:rPr>
        <w:t xml:space="preserve">A systematic approach to assessment of GDEs </w:t>
      </w:r>
      <w:r w:rsidRPr="00950EE2">
        <w:rPr>
          <w:lang w:val="en-US"/>
        </w:rPr>
        <w:t xml:space="preserve">is recommended </w:t>
      </w:r>
      <w:r w:rsidR="00E30E79" w:rsidRPr="00950EE2">
        <w:rPr>
          <w:lang w:val="en-US"/>
        </w:rPr>
        <w:t>in which:</w:t>
      </w:r>
    </w:p>
    <w:p w:rsidR="00E30E79" w:rsidRPr="00950EE2" w:rsidRDefault="00E30E79" w:rsidP="00E30E79">
      <w:pPr>
        <w:pStyle w:val="ListNumber2"/>
        <w:rPr>
          <w:lang w:val="en-US"/>
        </w:rPr>
      </w:pPr>
      <w:r w:rsidRPr="00950EE2">
        <w:rPr>
          <w:lang w:val="en-US"/>
        </w:rPr>
        <w:t xml:space="preserve">The hydrogeological conceptualisation </w:t>
      </w:r>
      <w:r w:rsidR="00A24050" w:rsidRPr="00950EE2">
        <w:rPr>
          <w:lang w:val="en-US"/>
        </w:rPr>
        <w:t>identifies</w:t>
      </w:r>
      <w:r w:rsidRPr="00950EE2">
        <w:rPr>
          <w:lang w:val="en-US"/>
        </w:rPr>
        <w:t xml:space="preserve"> areas of shallow groundwater (less than 20 metres below ground level) and groundwater discharge.</w:t>
      </w:r>
    </w:p>
    <w:p w:rsidR="00E30E79" w:rsidRPr="00950EE2" w:rsidRDefault="00E30E79" w:rsidP="00E30E79">
      <w:pPr>
        <w:pStyle w:val="ListNumber2"/>
        <w:rPr>
          <w:lang w:val="en-US"/>
        </w:rPr>
      </w:pPr>
      <w:r w:rsidRPr="00950EE2">
        <w:rPr>
          <w:lang w:val="en-US"/>
        </w:rPr>
        <w:t xml:space="preserve">Vegetation and wetland mapping is overlaid to identify areas of potential GDEs. Preliminary mapping should consider data sourced </w:t>
      </w:r>
      <w:r w:rsidR="00F01041" w:rsidRPr="00950EE2">
        <w:rPr>
          <w:lang w:val="en-US"/>
        </w:rPr>
        <w:t xml:space="preserve">from </w:t>
      </w:r>
      <w:r w:rsidRPr="00950EE2">
        <w:rPr>
          <w:lang w:val="en-US"/>
        </w:rPr>
        <w:t xml:space="preserve">the Vegetation Information System database, available from the NSW Office of Environment and Heritage. </w:t>
      </w:r>
    </w:p>
    <w:p w:rsidR="00E30E79" w:rsidRPr="00950EE2" w:rsidRDefault="00E30E79" w:rsidP="00E30E79">
      <w:pPr>
        <w:pStyle w:val="ListNumber2"/>
        <w:rPr>
          <w:lang w:val="en-US"/>
        </w:rPr>
      </w:pPr>
      <w:r w:rsidRPr="00950EE2">
        <w:rPr>
          <w:lang w:val="en-US"/>
        </w:rPr>
        <w:t>Techniques from the Australian GDE Toolbox</w:t>
      </w:r>
      <w:r w:rsidR="00606AF3" w:rsidRPr="00950EE2">
        <w:rPr>
          <w:vertAlign w:val="superscript"/>
          <w:lang w:val="en-US"/>
        </w:rPr>
        <w:t>3</w:t>
      </w:r>
      <w:r w:rsidRPr="00950EE2">
        <w:rPr>
          <w:lang w:val="en-US"/>
        </w:rPr>
        <w:t xml:space="preserve"> may then be applied to confirm groundwater use by vegetation and groundwater discharge to surface water bodies.</w:t>
      </w:r>
    </w:p>
    <w:p w:rsidR="008A3C8B" w:rsidRPr="00950EE2" w:rsidRDefault="008A3C8B" w:rsidP="00A275AB">
      <w:pPr>
        <w:pStyle w:val="Heading5"/>
      </w:pPr>
      <w:r w:rsidRPr="00950EE2">
        <w:t>Surface water</w:t>
      </w:r>
    </w:p>
    <w:p w:rsidR="008B3C2F" w:rsidRPr="00950EE2" w:rsidRDefault="007E7819" w:rsidP="008B3C2F">
      <w:pPr>
        <w:pStyle w:val="ListNumber"/>
      </w:pPr>
      <w:r w:rsidRPr="00950EE2">
        <w:t xml:space="preserve">The </w:t>
      </w:r>
      <w:r w:rsidR="00C536CB" w:rsidRPr="00950EE2">
        <w:t>IESC</w:t>
      </w:r>
      <w:r w:rsidRPr="00950EE2">
        <w:t xml:space="preserve"> recommends that the b</w:t>
      </w:r>
      <w:r w:rsidR="008B3C2F" w:rsidRPr="00950EE2">
        <w:t>aseline characterisation</w:t>
      </w:r>
      <w:r w:rsidR="00EE5582" w:rsidRPr="00950EE2">
        <w:t xml:space="preserve"> for the proposed project</w:t>
      </w:r>
      <w:r w:rsidR="008B3C2F" w:rsidRPr="00950EE2">
        <w:t xml:space="preserve"> </w:t>
      </w:r>
      <w:r w:rsidR="00466FBD">
        <w:t xml:space="preserve">should </w:t>
      </w:r>
      <w:r w:rsidR="008B3C2F" w:rsidRPr="00950EE2">
        <w:t>include:</w:t>
      </w:r>
    </w:p>
    <w:p w:rsidR="00A66043" w:rsidRPr="00950EE2" w:rsidRDefault="00A66043" w:rsidP="00A66043">
      <w:pPr>
        <w:pStyle w:val="ListNumber2"/>
      </w:pPr>
      <w:r w:rsidRPr="00950EE2">
        <w:t>Hydrogeochemical characterisation of the coal measures and overburden, including the potential for saline and acid forming material;</w:t>
      </w:r>
    </w:p>
    <w:p w:rsidR="00A66043" w:rsidRPr="00950EE2" w:rsidRDefault="008B3C2F" w:rsidP="00A66043">
      <w:pPr>
        <w:pStyle w:val="ListNumber2"/>
      </w:pPr>
      <w:r w:rsidRPr="00950EE2">
        <w:t xml:space="preserve">The development of </w:t>
      </w:r>
      <w:r w:rsidR="007E7819" w:rsidRPr="00950EE2">
        <w:t>local water quality objectives; and</w:t>
      </w:r>
      <w:r w:rsidR="00A66043" w:rsidRPr="00950EE2">
        <w:t xml:space="preserve"> </w:t>
      </w:r>
    </w:p>
    <w:p w:rsidR="008B3C2F" w:rsidRPr="00950EE2" w:rsidRDefault="00A66043" w:rsidP="008B3C2F">
      <w:pPr>
        <w:pStyle w:val="ListNumber2"/>
      </w:pPr>
      <w:r w:rsidRPr="00950EE2">
        <w:t>Surveys of aquatic ecology in the Bylong River water source within and downstream of the mine lease.</w:t>
      </w:r>
    </w:p>
    <w:p w:rsidR="00E30E79" w:rsidRPr="00950EE2" w:rsidRDefault="00D25E24" w:rsidP="00E30E79">
      <w:pPr>
        <w:pStyle w:val="ListNumber"/>
      </w:pPr>
      <w:r w:rsidRPr="00950EE2">
        <w:t>Surface water s</w:t>
      </w:r>
      <w:r w:rsidR="0080058D" w:rsidRPr="00950EE2">
        <w:t xml:space="preserve">tudies </w:t>
      </w:r>
      <w:r w:rsidR="00445AD7" w:rsidRPr="00950EE2">
        <w:t>would benefit from</w:t>
      </w:r>
      <w:r w:rsidR="0080058D" w:rsidRPr="00950EE2">
        <w:t xml:space="preserve"> consider</w:t>
      </w:r>
      <w:r w:rsidR="00445AD7" w:rsidRPr="00950EE2">
        <w:t>ation of</w:t>
      </w:r>
      <w:r w:rsidR="0080058D" w:rsidRPr="00950EE2">
        <w:t xml:space="preserve"> </w:t>
      </w:r>
      <w:r w:rsidRPr="00950EE2">
        <w:t xml:space="preserve">the combined impacts of </w:t>
      </w:r>
      <w:r w:rsidR="00E30E79" w:rsidRPr="00950EE2">
        <w:t>loss of catchment area</w:t>
      </w:r>
      <w:r w:rsidRPr="00950EE2">
        <w:t>,</w:t>
      </w:r>
      <w:r w:rsidR="00E30E79" w:rsidRPr="00950EE2">
        <w:t xml:space="preserve"> loss of baseflow</w:t>
      </w:r>
      <w:r w:rsidR="00445AD7" w:rsidRPr="00950EE2">
        <w:t xml:space="preserve"> and</w:t>
      </w:r>
      <w:r w:rsidR="00E30E79" w:rsidRPr="00950EE2">
        <w:t xml:space="preserve"> surface cracking</w:t>
      </w:r>
      <w:r w:rsidR="00445AD7" w:rsidRPr="00950EE2">
        <w:t xml:space="preserve">, streambed cracking </w:t>
      </w:r>
      <w:r w:rsidR="00E30E79" w:rsidRPr="00950EE2">
        <w:t xml:space="preserve">and ponding </w:t>
      </w:r>
      <w:r w:rsidR="004E257B" w:rsidRPr="00950EE2">
        <w:t>as a result of subsidence</w:t>
      </w:r>
      <w:r w:rsidR="00445AD7" w:rsidRPr="00950EE2">
        <w:t>. A</w:t>
      </w:r>
      <w:r w:rsidR="00E30E79" w:rsidRPr="00950EE2">
        <w:t xml:space="preserve">n assessment of the potential for impacts to </w:t>
      </w:r>
      <w:r w:rsidR="008B3C2F" w:rsidRPr="00950EE2">
        <w:t>water dependent assets</w:t>
      </w:r>
      <w:r w:rsidR="00445AD7" w:rsidRPr="00950EE2">
        <w:t xml:space="preserve"> should also be undertaken</w:t>
      </w:r>
      <w:r w:rsidR="008B3C2F" w:rsidRPr="00950EE2">
        <w:t>.</w:t>
      </w:r>
      <w:r w:rsidR="00E30E79" w:rsidRPr="00950EE2">
        <w:t xml:space="preserve"> </w:t>
      </w:r>
    </w:p>
    <w:p w:rsidR="00D40DCA" w:rsidRPr="00950EE2" w:rsidRDefault="00A906DA" w:rsidP="00E30E79">
      <w:pPr>
        <w:pStyle w:val="ListNumber"/>
      </w:pPr>
      <w:r w:rsidRPr="00950EE2">
        <w:t xml:space="preserve">Documentation provided </w:t>
      </w:r>
      <w:r w:rsidR="007C7FAC" w:rsidRPr="00950EE2">
        <w:t>with</w:t>
      </w:r>
      <w:r w:rsidRPr="00950EE2">
        <w:t xml:space="preserve"> the development application should include a</w:t>
      </w:r>
      <w:r w:rsidR="00E30E79" w:rsidRPr="00950EE2">
        <w:t xml:space="preserve"> flood assessment</w:t>
      </w:r>
      <w:r w:rsidR="00D40DCA" w:rsidRPr="00950EE2">
        <w:t xml:space="preserve">. The flood assessment should include </w:t>
      </w:r>
      <w:r w:rsidR="00E30E79" w:rsidRPr="00950EE2">
        <w:t xml:space="preserve">the potential for: </w:t>
      </w:r>
    </w:p>
    <w:p w:rsidR="00D40DCA" w:rsidRPr="00950EE2" w:rsidRDefault="00D40DCA" w:rsidP="00D40DCA">
      <w:pPr>
        <w:pStyle w:val="ListNumber2"/>
      </w:pPr>
      <w:r w:rsidRPr="00950EE2">
        <w:t>S</w:t>
      </w:r>
      <w:r w:rsidR="00E30E79" w:rsidRPr="00950EE2">
        <w:t xml:space="preserve">ubsidence to alter existing flood paths; </w:t>
      </w:r>
    </w:p>
    <w:p w:rsidR="00D40DCA" w:rsidRPr="00950EE2" w:rsidRDefault="00D40DCA" w:rsidP="00D40DCA">
      <w:pPr>
        <w:pStyle w:val="ListNumber2"/>
      </w:pPr>
      <w:r w:rsidRPr="00950EE2">
        <w:t>F</w:t>
      </w:r>
      <w:r w:rsidR="00E30E79" w:rsidRPr="00950EE2">
        <w:t xml:space="preserve">looding of the mine pits; </w:t>
      </w:r>
    </w:p>
    <w:p w:rsidR="00D40DCA" w:rsidRPr="00950EE2" w:rsidRDefault="00D40DCA" w:rsidP="00D40DCA">
      <w:pPr>
        <w:pStyle w:val="ListNumber2"/>
      </w:pPr>
      <w:r w:rsidRPr="00950EE2">
        <w:t>E</w:t>
      </w:r>
      <w:r w:rsidR="00251096" w:rsidRPr="00950EE2">
        <w:t xml:space="preserve">rosion or destabilisation of overburden emplacement areas; </w:t>
      </w:r>
      <w:r w:rsidR="00E30E79" w:rsidRPr="00950EE2">
        <w:t xml:space="preserve">and </w:t>
      </w:r>
    </w:p>
    <w:p w:rsidR="00E30E79" w:rsidRPr="00950EE2" w:rsidRDefault="00D40DCA" w:rsidP="00D40DCA">
      <w:pPr>
        <w:pStyle w:val="ListNumber2"/>
      </w:pPr>
      <w:r w:rsidRPr="00950EE2">
        <w:t>I</w:t>
      </w:r>
      <w:r w:rsidR="00E30E79" w:rsidRPr="00950EE2">
        <w:t xml:space="preserve">mpacts to </w:t>
      </w:r>
      <w:r w:rsidR="00A906DA" w:rsidRPr="00950EE2">
        <w:t xml:space="preserve">in-stream and riparian vegetation, channel morphology, </w:t>
      </w:r>
      <w:r w:rsidR="00E30E79" w:rsidRPr="00950EE2">
        <w:t xml:space="preserve">mine infrastructure </w:t>
      </w:r>
      <w:r w:rsidR="00251096" w:rsidRPr="00950EE2">
        <w:t>or</w:t>
      </w:r>
      <w:r w:rsidR="00E30E79" w:rsidRPr="00950EE2">
        <w:t xml:space="preserve"> adjacent properties</w:t>
      </w:r>
      <w:r w:rsidR="00A906DA" w:rsidRPr="00950EE2">
        <w:t xml:space="preserve"> as a result of flooding</w:t>
      </w:r>
      <w:r w:rsidR="00E30E79" w:rsidRPr="00950EE2">
        <w:t>.</w:t>
      </w:r>
    </w:p>
    <w:p w:rsidR="008A3C8B" w:rsidRPr="00950EE2" w:rsidRDefault="008A3C8B" w:rsidP="008A3C8B">
      <w:pPr>
        <w:pStyle w:val="Heading5"/>
      </w:pPr>
      <w:r w:rsidRPr="00950EE2">
        <w:t>Final landform</w:t>
      </w:r>
    </w:p>
    <w:p w:rsidR="00B83326" w:rsidRPr="00950EE2" w:rsidRDefault="00B83326" w:rsidP="00B83326">
      <w:pPr>
        <w:pStyle w:val="ListNumber"/>
      </w:pPr>
      <w:r w:rsidRPr="00950EE2">
        <w:t xml:space="preserve">Geochemical characterisation of tailings and rejects </w:t>
      </w:r>
      <w:r w:rsidR="008415D1" w:rsidRPr="00950EE2">
        <w:t>should be undertaken</w:t>
      </w:r>
      <w:r w:rsidR="00E9525E" w:rsidRPr="00950EE2">
        <w:t xml:space="preserve"> to assess the potential </w:t>
      </w:r>
      <w:r w:rsidRPr="00950EE2">
        <w:t>contamination risk</w:t>
      </w:r>
      <w:r w:rsidR="00E9525E" w:rsidRPr="00950EE2">
        <w:t xml:space="preserve"> to the alluvium and surface waters. </w:t>
      </w:r>
    </w:p>
    <w:p w:rsidR="008A3C8B" w:rsidRPr="00950EE2" w:rsidRDefault="008A3C8B" w:rsidP="008A3C8B">
      <w:pPr>
        <w:pStyle w:val="Heading5"/>
      </w:pPr>
      <w:r w:rsidRPr="00950EE2">
        <w:t>Risk assessment</w:t>
      </w:r>
    </w:p>
    <w:p w:rsidR="00E30E79" w:rsidRPr="00950EE2" w:rsidRDefault="00E30E79" w:rsidP="00E30E79">
      <w:pPr>
        <w:pStyle w:val="ListNumber"/>
      </w:pPr>
      <w:r w:rsidRPr="00950EE2">
        <w:t xml:space="preserve">The </w:t>
      </w:r>
      <w:r w:rsidR="007E7819" w:rsidRPr="00950EE2">
        <w:t xml:space="preserve">documentation associated </w:t>
      </w:r>
      <w:r w:rsidR="007C7FAC" w:rsidRPr="00950EE2">
        <w:t>with</w:t>
      </w:r>
      <w:r w:rsidR="007E7819" w:rsidRPr="00950EE2">
        <w:t xml:space="preserve"> the </w:t>
      </w:r>
      <w:r w:rsidRPr="00950EE2">
        <w:t xml:space="preserve">development application </w:t>
      </w:r>
      <w:r w:rsidR="007E7819" w:rsidRPr="00950EE2">
        <w:t>would benefit from inclusion of</w:t>
      </w:r>
      <w:r w:rsidRPr="00950EE2">
        <w:t xml:space="preserve"> a stand-alone risk assessment considering specific water-related risks to the environment. This assessment should quantitatively assess the likelihood and consequence of identified impacts and the residual risk following application of proposed mitigation measures.</w:t>
      </w:r>
    </w:p>
    <w:p w:rsidR="003F0E48" w:rsidRPr="00950EE2" w:rsidRDefault="00625F34" w:rsidP="001E233B">
      <w:pPr>
        <w:pStyle w:val="ListNumber"/>
      </w:pPr>
      <w:r w:rsidRPr="00950EE2">
        <w:t xml:space="preserve">The Hunter Subregion within the Northern Sydney Basin has been identified for Bioregional Assessment. Data and relevant information from the proposed project should be made accessible </w:t>
      </w:r>
      <w:r w:rsidR="00466FBD">
        <w:t>to</w:t>
      </w:r>
      <w:r w:rsidRPr="00950EE2">
        <w:t xml:space="preserve">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950EE2" w:rsidTr="00D25E24">
        <w:tc>
          <w:tcPr>
            <w:tcW w:w="1809" w:type="dxa"/>
            <w:tcBorders>
              <w:top w:val="single" w:sz="4" w:space="0" w:color="auto"/>
              <w:bottom w:val="single" w:sz="4" w:space="0" w:color="auto"/>
            </w:tcBorders>
          </w:tcPr>
          <w:p w:rsidR="007203C3" w:rsidRPr="00950EE2" w:rsidRDefault="007203C3" w:rsidP="001E233B">
            <w:pPr>
              <w:pStyle w:val="Heading3"/>
            </w:pPr>
            <w:r w:rsidRPr="00950EE2">
              <w:lastRenderedPageBreak/>
              <w:t>Date of advice</w:t>
            </w:r>
          </w:p>
        </w:tc>
        <w:tc>
          <w:tcPr>
            <w:tcW w:w="8159" w:type="dxa"/>
            <w:tcBorders>
              <w:top w:val="single" w:sz="4" w:space="0" w:color="auto"/>
              <w:bottom w:val="single" w:sz="4" w:space="0" w:color="auto"/>
            </w:tcBorders>
          </w:tcPr>
          <w:p w:rsidR="007203C3" w:rsidRPr="0019112D" w:rsidRDefault="00606AF3" w:rsidP="0019112D">
            <w:pPr>
              <w:pStyle w:val="Tabletext"/>
            </w:pPr>
            <w:r w:rsidRPr="0019112D">
              <w:t>1</w:t>
            </w:r>
            <w:r w:rsidR="0019112D" w:rsidRPr="0019112D">
              <w:t>4</w:t>
            </w:r>
            <w:r w:rsidR="001E233B" w:rsidRPr="0019112D">
              <w:t xml:space="preserve"> March</w:t>
            </w:r>
            <w:r w:rsidR="007203C3" w:rsidRPr="0019112D">
              <w:t xml:space="preserve"> 201</w:t>
            </w:r>
            <w:r w:rsidR="00D10C4C" w:rsidRPr="0019112D">
              <w:t>4</w:t>
            </w:r>
          </w:p>
        </w:tc>
      </w:tr>
      <w:tr w:rsidR="007203C3" w:rsidRPr="00950EE2" w:rsidTr="00D25E24">
        <w:trPr>
          <w:trHeight w:val="1787"/>
        </w:trPr>
        <w:tc>
          <w:tcPr>
            <w:tcW w:w="1809" w:type="dxa"/>
            <w:tcBorders>
              <w:top w:val="single" w:sz="4" w:space="0" w:color="auto"/>
              <w:bottom w:val="single" w:sz="4" w:space="0" w:color="auto"/>
            </w:tcBorders>
          </w:tcPr>
          <w:p w:rsidR="007203C3" w:rsidRPr="00950EE2" w:rsidRDefault="007203C3" w:rsidP="001E233B">
            <w:pPr>
              <w:pStyle w:val="Heading3"/>
            </w:pPr>
            <w:r w:rsidRPr="00950EE2">
              <w:t xml:space="preserve">Source documentation available to the </w:t>
            </w:r>
            <w:r w:rsidR="00C536CB" w:rsidRPr="00950EE2">
              <w:t>IESC</w:t>
            </w:r>
            <w:r w:rsidRPr="00950EE2">
              <w:t xml:space="preserve"> in the formulation of this advice</w:t>
            </w:r>
          </w:p>
        </w:tc>
        <w:tc>
          <w:tcPr>
            <w:tcW w:w="8159" w:type="dxa"/>
            <w:tcBorders>
              <w:top w:val="single" w:sz="4" w:space="0" w:color="auto"/>
              <w:bottom w:val="single" w:sz="4" w:space="0" w:color="auto"/>
            </w:tcBorders>
          </w:tcPr>
          <w:p w:rsidR="00944852" w:rsidRPr="00950EE2" w:rsidRDefault="005B1BC3" w:rsidP="001D1A81">
            <w:pPr>
              <w:pStyle w:val="Tabletext"/>
            </w:pPr>
            <w:r w:rsidRPr="00950EE2">
              <w:t xml:space="preserve">Hansen Bailey, 2014. Bylong Coal Project – Gateway Certificate Application Supporting Document. Report prepared for KEPCO Bylong Australia </w:t>
            </w:r>
          </w:p>
        </w:tc>
      </w:tr>
      <w:tr w:rsidR="007203C3" w:rsidRPr="00304CA9" w:rsidTr="00D25E24">
        <w:tc>
          <w:tcPr>
            <w:tcW w:w="1809" w:type="dxa"/>
            <w:tcBorders>
              <w:top w:val="single" w:sz="4" w:space="0" w:color="auto"/>
              <w:bottom w:val="single" w:sz="4" w:space="0" w:color="auto"/>
            </w:tcBorders>
          </w:tcPr>
          <w:p w:rsidR="007203C3" w:rsidRPr="00950EE2" w:rsidRDefault="007203C3" w:rsidP="001E233B">
            <w:pPr>
              <w:pStyle w:val="Heading3"/>
            </w:pPr>
            <w:r w:rsidRPr="00950EE2">
              <w:t xml:space="preserve">References cited within the </w:t>
            </w:r>
            <w:r w:rsidR="00C536CB" w:rsidRPr="00950EE2">
              <w:t>IESC</w:t>
            </w:r>
            <w:r w:rsidRPr="00950EE2">
              <w:t>’s advice</w:t>
            </w:r>
          </w:p>
        </w:tc>
        <w:tc>
          <w:tcPr>
            <w:tcW w:w="8159" w:type="dxa"/>
            <w:tcBorders>
              <w:top w:val="single" w:sz="4" w:space="0" w:color="auto"/>
              <w:bottom w:val="single" w:sz="4" w:space="0" w:color="auto"/>
            </w:tcBorders>
          </w:tcPr>
          <w:p w:rsidR="005457AF" w:rsidRPr="00950EE2" w:rsidRDefault="007203C3" w:rsidP="00D25E24">
            <w:pPr>
              <w:pStyle w:val="Tabletext"/>
              <w:spacing w:after="60"/>
            </w:pPr>
            <w:r w:rsidRPr="00950EE2">
              <w:rPr>
                <w:vertAlign w:val="superscript"/>
              </w:rPr>
              <w:t xml:space="preserve">1 </w:t>
            </w:r>
            <w:r w:rsidRPr="00950EE2">
              <w:t xml:space="preserve">Information Guidelines for Proposals Relating to the Development of Coal Seam Gas and Large Coal Mines where there is a Significant Impact on Water Resources available at: </w:t>
            </w:r>
            <w:hyperlink r:id="rId9" w:history="1">
              <w:r w:rsidRPr="00950EE2">
                <w:rPr>
                  <w:rStyle w:val="Hyperlink"/>
                </w:rPr>
                <w:t>http://www.environment.gov.au/coal-seam-gas-mining/project-advice/pubs/iesc-information-guidelines.pdf</w:t>
              </w:r>
            </w:hyperlink>
          </w:p>
          <w:p w:rsidR="00B06955" w:rsidRPr="00950EE2" w:rsidRDefault="00B06955" w:rsidP="00B06955">
            <w:pPr>
              <w:pStyle w:val="Tabletext"/>
              <w:spacing w:after="60"/>
              <w:rPr>
                <w:vertAlign w:val="superscript"/>
                <w:lang w:val="en-US"/>
              </w:rPr>
            </w:pPr>
            <w:r w:rsidRPr="00950EE2">
              <w:rPr>
                <w:vertAlign w:val="superscript"/>
              </w:rPr>
              <w:t>2</w:t>
            </w:r>
            <w:r w:rsidRPr="00950EE2">
              <w:t xml:space="preserve"> AGE, 2013. Bylong Coal Project – Groundwater Impact Assessment. Report prepared for KEPCO Bylong Australia</w:t>
            </w:r>
            <w:r w:rsidR="00E0232E" w:rsidRPr="00950EE2">
              <w:t xml:space="preserve">. </w:t>
            </w:r>
          </w:p>
          <w:p w:rsidR="00B06955" w:rsidRDefault="00606AF3" w:rsidP="00B06955">
            <w:pPr>
              <w:pStyle w:val="Tabletext"/>
              <w:spacing w:after="60"/>
            </w:pPr>
            <w:r w:rsidRPr="00950EE2">
              <w:rPr>
                <w:vertAlign w:val="superscript"/>
                <w:lang w:val="en-US"/>
              </w:rPr>
              <w:t>3</w:t>
            </w:r>
            <w:r w:rsidR="00B06955" w:rsidRPr="00950EE2">
              <w:rPr>
                <w:lang w:val="en-US"/>
              </w:rPr>
              <w:t xml:space="preserve"> </w:t>
            </w:r>
            <w:r w:rsidR="00B06955" w:rsidRPr="00950EE2">
              <w:t>Richardson, et al, 2011. The Australian Groundwater Dependent Ecosystems Toolbox. National Water Commission, Canberra.</w:t>
            </w:r>
          </w:p>
        </w:tc>
      </w:tr>
    </w:tbl>
    <w:p w:rsidR="007203C3" w:rsidRPr="00062A46" w:rsidRDefault="007203C3" w:rsidP="007203C3"/>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BB" w:rsidRDefault="00AA2BBB" w:rsidP="00A60185">
      <w:r>
        <w:separator/>
      </w:r>
    </w:p>
    <w:p w:rsidR="00AA2BBB" w:rsidRDefault="00AA2BBB"/>
  </w:endnote>
  <w:endnote w:type="continuationSeparator" w:id="0">
    <w:p w:rsidR="00AA2BBB" w:rsidRDefault="00AA2BBB" w:rsidP="00A60185">
      <w:r>
        <w:continuationSeparator/>
      </w:r>
    </w:p>
    <w:p w:rsidR="00AA2BBB" w:rsidRDefault="00AA2BB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BB" w:rsidRPr="0046754E" w:rsidRDefault="00AA2BBB" w:rsidP="0046754E">
    <w:pPr>
      <w:pStyle w:val="Footer"/>
      <w:pBdr>
        <w:top w:val="single" w:sz="4" w:space="1" w:color="auto"/>
      </w:pBdr>
      <w:spacing w:after="0" w:line="240" w:lineRule="auto"/>
      <w:rPr>
        <w:rFonts w:cs="Arial"/>
        <w:sz w:val="12"/>
        <w:szCs w:val="20"/>
      </w:rPr>
    </w:pPr>
  </w:p>
  <w:p w:rsidR="00AA2BBB" w:rsidRPr="0019112D" w:rsidRDefault="00AA2BBB" w:rsidP="0046754E">
    <w:pPr>
      <w:pStyle w:val="Footer"/>
      <w:pBdr>
        <w:top w:val="single" w:sz="4" w:space="1" w:color="auto"/>
      </w:pBdr>
      <w:spacing w:after="0" w:line="240" w:lineRule="auto"/>
      <w:rPr>
        <w:rFonts w:cs="Arial"/>
        <w:szCs w:val="20"/>
      </w:rPr>
    </w:pPr>
    <w:r w:rsidRPr="0019112D">
      <w:rPr>
        <w:rFonts w:cs="Arial"/>
        <w:szCs w:val="20"/>
      </w:rPr>
      <w:t>Final Advice</w:t>
    </w:r>
    <w:r w:rsidRPr="0019112D">
      <w:rPr>
        <w:rFonts w:cs="Arial"/>
        <w:szCs w:val="20"/>
      </w:rPr>
      <w:ptab w:relativeTo="margin" w:alignment="right" w:leader="none"/>
    </w:r>
    <w:r w:rsidRPr="0019112D">
      <w:rPr>
        <w:rFonts w:cs="Arial"/>
        <w:szCs w:val="20"/>
      </w:rPr>
      <w:t>14 March 2014</w:t>
    </w:r>
  </w:p>
  <w:p w:rsidR="00AA2BBB" w:rsidRPr="00AD3AF5" w:rsidRDefault="009A5E2C" w:rsidP="0046754E">
    <w:pPr>
      <w:pStyle w:val="Footer"/>
      <w:spacing w:after="0" w:line="240" w:lineRule="auto"/>
      <w:jc w:val="center"/>
      <w:rPr>
        <w:rFonts w:cs="Arial"/>
        <w:szCs w:val="20"/>
      </w:rPr>
    </w:pPr>
    <w:r w:rsidRPr="00185039">
      <w:rPr>
        <w:rFonts w:cs="Arial"/>
        <w:szCs w:val="20"/>
      </w:rPr>
      <w:fldChar w:fldCharType="begin"/>
    </w:r>
    <w:r w:rsidR="00AA2BBB" w:rsidRPr="00185039">
      <w:rPr>
        <w:rFonts w:cs="Arial"/>
        <w:szCs w:val="20"/>
      </w:rPr>
      <w:instrText xml:space="preserve"> PAGE   \* MERGEFORMAT </w:instrText>
    </w:r>
    <w:r w:rsidRPr="00185039">
      <w:rPr>
        <w:rFonts w:cs="Arial"/>
        <w:szCs w:val="20"/>
      </w:rPr>
      <w:fldChar w:fldCharType="separate"/>
    </w:r>
    <w:r w:rsidR="00A276B5">
      <w:rPr>
        <w:rFonts w:cs="Arial"/>
        <w:noProof/>
        <w:szCs w:val="20"/>
      </w:rPr>
      <w:t>1</w:t>
    </w:r>
    <w:r w:rsidRPr="00185039">
      <w:rPr>
        <w:rFonts w:cs="Arial"/>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BB" w:rsidRPr="00D15280" w:rsidRDefault="00AA2BBB">
    <w:pPr>
      <w:pStyle w:val="Footer"/>
      <w:rPr>
        <w:rFonts w:cs="Arial"/>
        <w:szCs w:val="20"/>
      </w:rPr>
    </w:pPr>
    <w:r w:rsidRPr="00062A46">
      <w:rPr>
        <w:rFonts w:cs="Arial"/>
        <w:color w:val="FF0000"/>
        <w:szCs w:val="20"/>
      </w:rPr>
      <w:t>Draft</w:t>
    </w:r>
    <w:r w:rsidRPr="00D15280">
      <w:rPr>
        <w:rFonts w:cs="Arial"/>
        <w:szCs w:val="20"/>
      </w:rPr>
      <w:t xml:space="preserve"> Advice</w:t>
    </w:r>
    <w:r>
      <w:rPr>
        <w:rFonts w:cs="Arial"/>
        <w:szCs w:val="20"/>
      </w:rPr>
      <w:t xml:space="preserve"> – Version </w:t>
    </w:r>
    <w:r w:rsidRPr="00062A46">
      <w:rPr>
        <w:rFonts w:cs="Arial"/>
        <w:color w:val="FF0000"/>
        <w:szCs w:val="20"/>
      </w:rPr>
      <w:t>1</w:t>
    </w:r>
    <w:r w:rsidRPr="00D15280">
      <w:rPr>
        <w:rFonts w:cs="Arial"/>
        <w:szCs w:val="20"/>
      </w:rPr>
      <w:ptab w:relativeTo="margin" w:alignment="right" w:leader="none"/>
    </w:r>
    <w:r w:rsidRPr="00062A46">
      <w:rPr>
        <w:rFonts w:cs="Arial"/>
        <w:b/>
        <w:color w:val="FF0000"/>
        <w:szCs w:val="20"/>
      </w:rPr>
      <w:t>DATE</w:t>
    </w:r>
  </w:p>
  <w:p w:rsidR="00AA2BBB" w:rsidRPr="00062A46" w:rsidRDefault="009A5E2C" w:rsidP="00062A46">
    <w:pPr>
      <w:pStyle w:val="Footer"/>
      <w:tabs>
        <w:tab w:val="clear" w:pos="4513"/>
        <w:tab w:val="clear" w:pos="9026"/>
        <w:tab w:val="left" w:pos="639"/>
      </w:tabs>
      <w:jc w:val="center"/>
      <w:rPr>
        <w:rFonts w:cs="Arial"/>
        <w:szCs w:val="20"/>
      </w:rPr>
    </w:pPr>
    <w:sdt>
      <w:sdtPr>
        <w:rPr>
          <w:rFonts w:cs="Arial"/>
          <w:szCs w:val="20"/>
        </w:rPr>
        <w:id w:val="16689876"/>
        <w:docPartObj>
          <w:docPartGallery w:val="Page Numbers (Bottom of Page)"/>
          <w:docPartUnique/>
        </w:docPartObj>
      </w:sdtPr>
      <w:sdtContent>
        <w:r w:rsidRPr="00D15280">
          <w:rPr>
            <w:rFonts w:cs="Arial"/>
            <w:szCs w:val="20"/>
          </w:rPr>
          <w:fldChar w:fldCharType="begin"/>
        </w:r>
        <w:r w:rsidR="00AA2BBB" w:rsidRPr="00D15280">
          <w:rPr>
            <w:rFonts w:cs="Arial"/>
            <w:szCs w:val="20"/>
          </w:rPr>
          <w:instrText xml:space="preserve"> PAGE   \* MERGEFORMAT </w:instrText>
        </w:r>
        <w:r w:rsidRPr="00D15280">
          <w:rPr>
            <w:rFonts w:cs="Arial"/>
            <w:szCs w:val="20"/>
          </w:rPr>
          <w:fldChar w:fldCharType="separate"/>
        </w:r>
        <w:r w:rsidR="00AA2BBB">
          <w:rPr>
            <w:rFonts w:cs="Arial"/>
            <w:noProof/>
            <w:szCs w:val="20"/>
          </w:rPr>
          <w:t>1</w:t>
        </w:r>
        <w:r w:rsidRPr="00D15280">
          <w:rPr>
            <w:rFonts w:cs="Arial"/>
            <w:szCs w:val="20"/>
          </w:rPr>
          <w:fldChar w:fldCharType="end"/>
        </w:r>
      </w:sdtContent>
    </w:sdt>
  </w:p>
  <w:p w:rsidR="00AA2BBB" w:rsidRDefault="00AA2B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BB" w:rsidRDefault="00AA2BBB" w:rsidP="00A60185">
      <w:r>
        <w:separator/>
      </w:r>
    </w:p>
    <w:p w:rsidR="00AA2BBB" w:rsidRDefault="00AA2BBB"/>
  </w:footnote>
  <w:footnote w:type="continuationSeparator" w:id="0">
    <w:p w:rsidR="00AA2BBB" w:rsidRDefault="00AA2BBB" w:rsidP="00A60185">
      <w:r>
        <w:continuationSeparator/>
      </w:r>
    </w:p>
    <w:p w:rsidR="00AA2BBB" w:rsidRDefault="00AA2B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BB" w:rsidRDefault="00AA2BBB" w:rsidP="00E45765">
    <w:pPr>
      <w:pStyle w:val="Classification"/>
    </w:pPr>
    <w:r>
      <w:rPr>
        <w:b/>
        <w:bCs/>
        <w:lang w:val="en-US"/>
      </w:rPr>
      <w:t>Error! Unknown document property name.</w:t>
    </w:r>
  </w:p>
  <w:p w:rsidR="00AA2BBB" w:rsidRDefault="00AA2B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BB" w:rsidRDefault="00AA2BBB" w:rsidP="0034504D">
    <w:pPr>
      <w:pStyle w:val="Header"/>
      <w:ind w:left="-1418"/>
    </w:pPr>
  </w:p>
  <w:p w:rsidR="00AA2BBB" w:rsidRDefault="00AA2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6FFC939A"/>
    <w:lvl w:ilvl="0">
      <w:start w:val="1"/>
      <w:numFmt w:val="decimal"/>
      <w:lvlText w:val="%1."/>
      <w:lvlJc w:val="left"/>
      <w:pPr>
        <w:tabs>
          <w:tab w:val="num" w:pos="643"/>
        </w:tabs>
        <w:ind w:left="643" w:hanging="360"/>
      </w:pPr>
    </w:lvl>
  </w:abstractNum>
  <w:abstractNum w:abstractNumId="2">
    <w:nsid w:val="FFFFFF88"/>
    <w:multiLevelType w:val="singleLevel"/>
    <w:tmpl w:val="28BC11B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B4A6C4F"/>
    <w:multiLevelType w:val="hybridMultilevel"/>
    <w:tmpl w:val="E182D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098052F"/>
    <w:multiLevelType w:val="multilevel"/>
    <w:tmpl w:val="473EA67C"/>
    <w:lvl w:ilvl="0">
      <w:start w:val="1"/>
      <w:numFmt w:val="decimal"/>
      <w:pStyle w:val="ListParagraph"/>
      <w:lvlText w:val="%1."/>
      <w:lvlJc w:val="left"/>
      <w:pPr>
        <w:ind w:left="738" w:hanging="369"/>
      </w:pPr>
      <w:rPr>
        <w:rFonts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0F1F04"/>
    <w:multiLevelType w:val="hybridMultilevel"/>
    <w:tmpl w:val="F216B56C"/>
    <w:lvl w:ilvl="0" w:tplc="63D0952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456429"/>
    <w:multiLevelType w:val="multilevel"/>
    <w:tmpl w:val="A560DE52"/>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9"/>
  </w:num>
  <w:num w:numId="4">
    <w:abstractNumId w:val="8"/>
  </w:num>
  <w:num w:numId="5">
    <w:abstractNumId w:val="14"/>
  </w:num>
  <w:num w:numId="6">
    <w:abstractNumId w:val="16"/>
  </w:num>
  <w:num w:numId="7">
    <w:abstractNumId w:val="11"/>
  </w:num>
  <w:num w:numId="8">
    <w:abstractNumId w:val="5"/>
  </w:num>
  <w:num w:numId="9">
    <w:abstractNumId w:val="18"/>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2"/>
  </w:num>
  <w:num w:numId="18">
    <w:abstractNumId w:val="4"/>
  </w:num>
  <w:num w:numId="19">
    <w:abstractNumId w:val="15"/>
  </w:num>
  <w:num w:numId="20">
    <w:abstractNumId w:val="6"/>
  </w:num>
  <w:num w:numId="21">
    <w:abstractNumId w:val="10"/>
  </w:num>
  <w:num w:numId="22">
    <w:abstractNumId w:val="7"/>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3"/>
  </w:num>
  <w:num w:numId="30">
    <w:abstractNumId w:val="14"/>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41275D"/>
    <w:rsid w:val="000024D7"/>
    <w:rsid w:val="000029A0"/>
    <w:rsid w:val="0000336A"/>
    <w:rsid w:val="00004AEE"/>
    <w:rsid w:val="00005CAA"/>
    <w:rsid w:val="00010210"/>
    <w:rsid w:val="0001199C"/>
    <w:rsid w:val="00012D66"/>
    <w:rsid w:val="00015ADA"/>
    <w:rsid w:val="00016D76"/>
    <w:rsid w:val="000176A0"/>
    <w:rsid w:val="00020C99"/>
    <w:rsid w:val="00023D25"/>
    <w:rsid w:val="0002707B"/>
    <w:rsid w:val="00031B32"/>
    <w:rsid w:val="00031E10"/>
    <w:rsid w:val="00035B37"/>
    <w:rsid w:val="00036987"/>
    <w:rsid w:val="00042D18"/>
    <w:rsid w:val="0004559A"/>
    <w:rsid w:val="0005148E"/>
    <w:rsid w:val="000547F0"/>
    <w:rsid w:val="0005543C"/>
    <w:rsid w:val="00060961"/>
    <w:rsid w:val="00062A46"/>
    <w:rsid w:val="00064320"/>
    <w:rsid w:val="00071CE9"/>
    <w:rsid w:val="00074023"/>
    <w:rsid w:val="000759E5"/>
    <w:rsid w:val="0007601C"/>
    <w:rsid w:val="000820BF"/>
    <w:rsid w:val="000846A4"/>
    <w:rsid w:val="00084AC6"/>
    <w:rsid w:val="00086780"/>
    <w:rsid w:val="00091608"/>
    <w:rsid w:val="0009196E"/>
    <w:rsid w:val="00092F92"/>
    <w:rsid w:val="0009333C"/>
    <w:rsid w:val="00094F82"/>
    <w:rsid w:val="0009704F"/>
    <w:rsid w:val="000A0F11"/>
    <w:rsid w:val="000A125A"/>
    <w:rsid w:val="000A228F"/>
    <w:rsid w:val="000A57CD"/>
    <w:rsid w:val="000A7772"/>
    <w:rsid w:val="000B04BC"/>
    <w:rsid w:val="000B1CDF"/>
    <w:rsid w:val="000B34CE"/>
    <w:rsid w:val="000B3758"/>
    <w:rsid w:val="000B62C1"/>
    <w:rsid w:val="000B6E74"/>
    <w:rsid w:val="000B7681"/>
    <w:rsid w:val="000B7B42"/>
    <w:rsid w:val="000C02B7"/>
    <w:rsid w:val="000C2814"/>
    <w:rsid w:val="000C451B"/>
    <w:rsid w:val="000C5342"/>
    <w:rsid w:val="000C706A"/>
    <w:rsid w:val="000D2887"/>
    <w:rsid w:val="000D3156"/>
    <w:rsid w:val="000D4ED5"/>
    <w:rsid w:val="000D6BBC"/>
    <w:rsid w:val="000D6D63"/>
    <w:rsid w:val="000D706B"/>
    <w:rsid w:val="000D7810"/>
    <w:rsid w:val="000E0081"/>
    <w:rsid w:val="000E07CF"/>
    <w:rsid w:val="000E1E77"/>
    <w:rsid w:val="000E60E7"/>
    <w:rsid w:val="00100BEF"/>
    <w:rsid w:val="00102E17"/>
    <w:rsid w:val="00112EAC"/>
    <w:rsid w:val="0011498E"/>
    <w:rsid w:val="00116F28"/>
    <w:rsid w:val="00117A45"/>
    <w:rsid w:val="00121751"/>
    <w:rsid w:val="001224AE"/>
    <w:rsid w:val="00123035"/>
    <w:rsid w:val="001337D4"/>
    <w:rsid w:val="001340EA"/>
    <w:rsid w:val="00135C8C"/>
    <w:rsid w:val="00136909"/>
    <w:rsid w:val="00141F67"/>
    <w:rsid w:val="00147C12"/>
    <w:rsid w:val="00147EFC"/>
    <w:rsid w:val="001527A1"/>
    <w:rsid w:val="001530DC"/>
    <w:rsid w:val="001539AF"/>
    <w:rsid w:val="00154989"/>
    <w:rsid w:val="00155A9F"/>
    <w:rsid w:val="0015684F"/>
    <w:rsid w:val="00160262"/>
    <w:rsid w:val="0016186F"/>
    <w:rsid w:val="0016281C"/>
    <w:rsid w:val="0016433A"/>
    <w:rsid w:val="001643D8"/>
    <w:rsid w:val="0016780A"/>
    <w:rsid w:val="0017083B"/>
    <w:rsid w:val="001713FA"/>
    <w:rsid w:val="00173EBF"/>
    <w:rsid w:val="001765DA"/>
    <w:rsid w:val="00183FE4"/>
    <w:rsid w:val="001842A2"/>
    <w:rsid w:val="00185039"/>
    <w:rsid w:val="00185407"/>
    <w:rsid w:val="00187FA8"/>
    <w:rsid w:val="0019112D"/>
    <w:rsid w:val="0019199C"/>
    <w:rsid w:val="001922D0"/>
    <w:rsid w:val="00192F5E"/>
    <w:rsid w:val="00197772"/>
    <w:rsid w:val="001A109A"/>
    <w:rsid w:val="001A2BD3"/>
    <w:rsid w:val="001A51C8"/>
    <w:rsid w:val="001A5588"/>
    <w:rsid w:val="001A75EC"/>
    <w:rsid w:val="001B233B"/>
    <w:rsid w:val="001B3EB2"/>
    <w:rsid w:val="001B472B"/>
    <w:rsid w:val="001B4CA8"/>
    <w:rsid w:val="001C2A92"/>
    <w:rsid w:val="001C4F3D"/>
    <w:rsid w:val="001D0CDC"/>
    <w:rsid w:val="001D0FE4"/>
    <w:rsid w:val="001D1A81"/>
    <w:rsid w:val="001D1D82"/>
    <w:rsid w:val="001D798F"/>
    <w:rsid w:val="001E1182"/>
    <w:rsid w:val="001E233B"/>
    <w:rsid w:val="001F0E8B"/>
    <w:rsid w:val="001F11F6"/>
    <w:rsid w:val="001F4705"/>
    <w:rsid w:val="001F7303"/>
    <w:rsid w:val="002005A1"/>
    <w:rsid w:val="00200944"/>
    <w:rsid w:val="00202387"/>
    <w:rsid w:val="00202C90"/>
    <w:rsid w:val="0020385F"/>
    <w:rsid w:val="00210687"/>
    <w:rsid w:val="00213DE8"/>
    <w:rsid w:val="0021456A"/>
    <w:rsid w:val="00216118"/>
    <w:rsid w:val="002209AB"/>
    <w:rsid w:val="00224150"/>
    <w:rsid w:val="00224828"/>
    <w:rsid w:val="002251E3"/>
    <w:rsid w:val="002262E6"/>
    <w:rsid w:val="00227750"/>
    <w:rsid w:val="00227A95"/>
    <w:rsid w:val="002316BD"/>
    <w:rsid w:val="002336F3"/>
    <w:rsid w:val="00235877"/>
    <w:rsid w:val="00246D00"/>
    <w:rsid w:val="002473FC"/>
    <w:rsid w:val="00251096"/>
    <w:rsid w:val="00252E3C"/>
    <w:rsid w:val="00253D9A"/>
    <w:rsid w:val="00256168"/>
    <w:rsid w:val="00262198"/>
    <w:rsid w:val="00266438"/>
    <w:rsid w:val="00266AD6"/>
    <w:rsid w:val="00271989"/>
    <w:rsid w:val="002817C2"/>
    <w:rsid w:val="00282127"/>
    <w:rsid w:val="00285F1B"/>
    <w:rsid w:val="002926F3"/>
    <w:rsid w:val="00292B81"/>
    <w:rsid w:val="0029322E"/>
    <w:rsid w:val="00296477"/>
    <w:rsid w:val="002974BC"/>
    <w:rsid w:val="002A3472"/>
    <w:rsid w:val="002A43E0"/>
    <w:rsid w:val="002A5EC3"/>
    <w:rsid w:val="002B18AE"/>
    <w:rsid w:val="002B453D"/>
    <w:rsid w:val="002B5AF0"/>
    <w:rsid w:val="002B6051"/>
    <w:rsid w:val="002B6472"/>
    <w:rsid w:val="002B67D3"/>
    <w:rsid w:val="002C1C93"/>
    <w:rsid w:val="002C3738"/>
    <w:rsid w:val="002C5066"/>
    <w:rsid w:val="002D144D"/>
    <w:rsid w:val="002D3BFF"/>
    <w:rsid w:val="002D40B8"/>
    <w:rsid w:val="002D4AAC"/>
    <w:rsid w:val="002D511A"/>
    <w:rsid w:val="002D6C33"/>
    <w:rsid w:val="002E2B8D"/>
    <w:rsid w:val="002F045A"/>
    <w:rsid w:val="0030039D"/>
    <w:rsid w:val="00300715"/>
    <w:rsid w:val="0030326F"/>
    <w:rsid w:val="00310701"/>
    <w:rsid w:val="00311510"/>
    <w:rsid w:val="00312081"/>
    <w:rsid w:val="003138AC"/>
    <w:rsid w:val="00315980"/>
    <w:rsid w:val="003169BF"/>
    <w:rsid w:val="00316F7F"/>
    <w:rsid w:val="00320162"/>
    <w:rsid w:val="0032087E"/>
    <w:rsid w:val="003218E8"/>
    <w:rsid w:val="00330DCE"/>
    <w:rsid w:val="00331E11"/>
    <w:rsid w:val="003331A0"/>
    <w:rsid w:val="00334761"/>
    <w:rsid w:val="00337EBC"/>
    <w:rsid w:val="0034033E"/>
    <w:rsid w:val="00341DCD"/>
    <w:rsid w:val="0034504D"/>
    <w:rsid w:val="0034563E"/>
    <w:rsid w:val="0035020E"/>
    <w:rsid w:val="003504CC"/>
    <w:rsid w:val="003518D6"/>
    <w:rsid w:val="0035460C"/>
    <w:rsid w:val="003556BD"/>
    <w:rsid w:val="00357E05"/>
    <w:rsid w:val="00362985"/>
    <w:rsid w:val="00365147"/>
    <w:rsid w:val="0037016E"/>
    <w:rsid w:val="00370E55"/>
    <w:rsid w:val="00371E0C"/>
    <w:rsid w:val="00372908"/>
    <w:rsid w:val="003760B0"/>
    <w:rsid w:val="00376457"/>
    <w:rsid w:val="00381917"/>
    <w:rsid w:val="00381A13"/>
    <w:rsid w:val="00381E67"/>
    <w:rsid w:val="00383020"/>
    <w:rsid w:val="00396187"/>
    <w:rsid w:val="003975FD"/>
    <w:rsid w:val="003A0593"/>
    <w:rsid w:val="003A27F9"/>
    <w:rsid w:val="003B60CC"/>
    <w:rsid w:val="003C1B25"/>
    <w:rsid w:val="003C2443"/>
    <w:rsid w:val="003C31E0"/>
    <w:rsid w:val="003C5DA3"/>
    <w:rsid w:val="003C64C3"/>
    <w:rsid w:val="003C706F"/>
    <w:rsid w:val="003C7379"/>
    <w:rsid w:val="003D4BCD"/>
    <w:rsid w:val="003D6C35"/>
    <w:rsid w:val="003D723D"/>
    <w:rsid w:val="003E01D8"/>
    <w:rsid w:val="003E187B"/>
    <w:rsid w:val="003E2100"/>
    <w:rsid w:val="003E2BDB"/>
    <w:rsid w:val="003E45FA"/>
    <w:rsid w:val="003E53CA"/>
    <w:rsid w:val="003E5972"/>
    <w:rsid w:val="003E5ED5"/>
    <w:rsid w:val="003E689B"/>
    <w:rsid w:val="003F0CB7"/>
    <w:rsid w:val="003F0E48"/>
    <w:rsid w:val="003F6F5B"/>
    <w:rsid w:val="00401F4B"/>
    <w:rsid w:val="0040342D"/>
    <w:rsid w:val="00403976"/>
    <w:rsid w:val="00403FB9"/>
    <w:rsid w:val="00405CB9"/>
    <w:rsid w:val="00405E1C"/>
    <w:rsid w:val="0040658D"/>
    <w:rsid w:val="00406ACB"/>
    <w:rsid w:val="0040726F"/>
    <w:rsid w:val="0041192D"/>
    <w:rsid w:val="0041275D"/>
    <w:rsid w:val="00413EE1"/>
    <w:rsid w:val="0042128E"/>
    <w:rsid w:val="0042465A"/>
    <w:rsid w:val="004325F5"/>
    <w:rsid w:val="00432B60"/>
    <w:rsid w:val="004333E6"/>
    <w:rsid w:val="00434393"/>
    <w:rsid w:val="00434735"/>
    <w:rsid w:val="004363C7"/>
    <w:rsid w:val="00440698"/>
    <w:rsid w:val="0044365C"/>
    <w:rsid w:val="0044466D"/>
    <w:rsid w:val="00445AD7"/>
    <w:rsid w:val="004508DE"/>
    <w:rsid w:val="004540E2"/>
    <w:rsid w:val="00454454"/>
    <w:rsid w:val="00456D61"/>
    <w:rsid w:val="00460DE8"/>
    <w:rsid w:val="00461498"/>
    <w:rsid w:val="00466805"/>
    <w:rsid w:val="00466FBD"/>
    <w:rsid w:val="0046754E"/>
    <w:rsid w:val="00467924"/>
    <w:rsid w:val="00470ADF"/>
    <w:rsid w:val="004712A5"/>
    <w:rsid w:val="0047266F"/>
    <w:rsid w:val="00476D6B"/>
    <w:rsid w:val="00484C4F"/>
    <w:rsid w:val="004861E6"/>
    <w:rsid w:val="0049013A"/>
    <w:rsid w:val="00490B84"/>
    <w:rsid w:val="00492C16"/>
    <w:rsid w:val="004947A2"/>
    <w:rsid w:val="004A0678"/>
    <w:rsid w:val="004A1A81"/>
    <w:rsid w:val="004A3236"/>
    <w:rsid w:val="004A48A3"/>
    <w:rsid w:val="004B0D92"/>
    <w:rsid w:val="004B0EC0"/>
    <w:rsid w:val="004B2C13"/>
    <w:rsid w:val="004B32B2"/>
    <w:rsid w:val="004B66F1"/>
    <w:rsid w:val="004C2272"/>
    <w:rsid w:val="004C2B41"/>
    <w:rsid w:val="004C2BE4"/>
    <w:rsid w:val="004C3B7B"/>
    <w:rsid w:val="004C3EA0"/>
    <w:rsid w:val="004C4D1C"/>
    <w:rsid w:val="004C6BED"/>
    <w:rsid w:val="004D0A4D"/>
    <w:rsid w:val="004D74CE"/>
    <w:rsid w:val="004E257B"/>
    <w:rsid w:val="004E4C45"/>
    <w:rsid w:val="004F3D69"/>
    <w:rsid w:val="004F7169"/>
    <w:rsid w:val="005009E5"/>
    <w:rsid w:val="00500D66"/>
    <w:rsid w:val="00501CDB"/>
    <w:rsid w:val="005021C7"/>
    <w:rsid w:val="005036A6"/>
    <w:rsid w:val="00504C2D"/>
    <w:rsid w:val="00505AB6"/>
    <w:rsid w:val="00511E3E"/>
    <w:rsid w:val="00514C8E"/>
    <w:rsid w:val="005151B9"/>
    <w:rsid w:val="00517F35"/>
    <w:rsid w:val="00523200"/>
    <w:rsid w:val="00523A57"/>
    <w:rsid w:val="00523ED3"/>
    <w:rsid w:val="00524844"/>
    <w:rsid w:val="00531DBF"/>
    <w:rsid w:val="00532364"/>
    <w:rsid w:val="005337FC"/>
    <w:rsid w:val="005431CC"/>
    <w:rsid w:val="00545759"/>
    <w:rsid w:val="005457AF"/>
    <w:rsid w:val="00545BE0"/>
    <w:rsid w:val="00553A2D"/>
    <w:rsid w:val="00554C6A"/>
    <w:rsid w:val="005558BE"/>
    <w:rsid w:val="00562E85"/>
    <w:rsid w:val="0056332F"/>
    <w:rsid w:val="00567D0E"/>
    <w:rsid w:val="00573DB6"/>
    <w:rsid w:val="00576595"/>
    <w:rsid w:val="00581C39"/>
    <w:rsid w:val="00583323"/>
    <w:rsid w:val="005834A4"/>
    <w:rsid w:val="00584F6B"/>
    <w:rsid w:val="00584F71"/>
    <w:rsid w:val="005903B6"/>
    <w:rsid w:val="00591680"/>
    <w:rsid w:val="00592B20"/>
    <w:rsid w:val="00592E3B"/>
    <w:rsid w:val="00593B3B"/>
    <w:rsid w:val="005969C9"/>
    <w:rsid w:val="00596FAD"/>
    <w:rsid w:val="005A0247"/>
    <w:rsid w:val="005A126E"/>
    <w:rsid w:val="005A2854"/>
    <w:rsid w:val="005A452F"/>
    <w:rsid w:val="005A703F"/>
    <w:rsid w:val="005B140D"/>
    <w:rsid w:val="005B1BC3"/>
    <w:rsid w:val="005B31F4"/>
    <w:rsid w:val="005B6DF2"/>
    <w:rsid w:val="005C1FEA"/>
    <w:rsid w:val="005C3495"/>
    <w:rsid w:val="005C3785"/>
    <w:rsid w:val="005C5037"/>
    <w:rsid w:val="005C5DDC"/>
    <w:rsid w:val="005C7354"/>
    <w:rsid w:val="005D2335"/>
    <w:rsid w:val="005E13EA"/>
    <w:rsid w:val="005E15E0"/>
    <w:rsid w:val="005E3889"/>
    <w:rsid w:val="005E3C0D"/>
    <w:rsid w:val="005E3DFC"/>
    <w:rsid w:val="005E4624"/>
    <w:rsid w:val="005E60AF"/>
    <w:rsid w:val="005E7B4E"/>
    <w:rsid w:val="005F1CBC"/>
    <w:rsid w:val="005F1DEA"/>
    <w:rsid w:val="005F4932"/>
    <w:rsid w:val="005F5BDD"/>
    <w:rsid w:val="00602FCB"/>
    <w:rsid w:val="00603AE9"/>
    <w:rsid w:val="00606914"/>
    <w:rsid w:val="00606AF3"/>
    <w:rsid w:val="00607FC9"/>
    <w:rsid w:val="00610955"/>
    <w:rsid w:val="0061490C"/>
    <w:rsid w:val="00616861"/>
    <w:rsid w:val="00620678"/>
    <w:rsid w:val="00622FE1"/>
    <w:rsid w:val="00624918"/>
    <w:rsid w:val="0062521C"/>
    <w:rsid w:val="00625F34"/>
    <w:rsid w:val="00630A2B"/>
    <w:rsid w:val="00630BA2"/>
    <w:rsid w:val="006310A6"/>
    <w:rsid w:val="0063283F"/>
    <w:rsid w:val="00632DC7"/>
    <w:rsid w:val="00633896"/>
    <w:rsid w:val="006357FB"/>
    <w:rsid w:val="006401C2"/>
    <w:rsid w:val="006406FC"/>
    <w:rsid w:val="00643A7D"/>
    <w:rsid w:val="0064407B"/>
    <w:rsid w:val="00646122"/>
    <w:rsid w:val="00651C29"/>
    <w:rsid w:val="00653E16"/>
    <w:rsid w:val="00657220"/>
    <w:rsid w:val="0066104B"/>
    <w:rsid w:val="00661419"/>
    <w:rsid w:val="00661EF0"/>
    <w:rsid w:val="006655EE"/>
    <w:rsid w:val="00667C10"/>
    <w:rsid w:val="00667EF4"/>
    <w:rsid w:val="00670FC2"/>
    <w:rsid w:val="00672B85"/>
    <w:rsid w:val="006734E6"/>
    <w:rsid w:val="00673B97"/>
    <w:rsid w:val="00674E59"/>
    <w:rsid w:val="0067555E"/>
    <w:rsid w:val="00676EBE"/>
    <w:rsid w:val="00676FCA"/>
    <w:rsid w:val="0067700C"/>
    <w:rsid w:val="00677177"/>
    <w:rsid w:val="0068056B"/>
    <w:rsid w:val="00681583"/>
    <w:rsid w:val="0068612E"/>
    <w:rsid w:val="00687858"/>
    <w:rsid w:val="00687C92"/>
    <w:rsid w:val="00690257"/>
    <w:rsid w:val="006903B7"/>
    <w:rsid w:val="006917B4"/>
    <w:rsid w:val="006931B2"/>
    <w:rsid w:val="006947BF"/>
    <w:rsid w:val="0069534E"/>
    <w:rsid w:val="00696365"/>
    <w:rsid w:val="0069669C"/>
    <w:rsid w:val="00696EDE"/>
    <w:rsid w:val="006A1200"/>
    <w:rsid w:val="006A14DB"/>
    <w:rsid w:val="006A2C5A"/>
    <w:rsid w:val="006A4BD9"/>
    <w:rsid w:val="006A4F4E"/>
    <w:rsid w:val="006B00A5"/>
    <w:rsid w:val="006B14DB"/>
    <w:rsid w:val="006B21C4"/>
    <w:rsid w:val="006B274A"/>
    <w:rsid w:val="006C452F"/>
    <w:rsid w:val="006C4A1A"/>
    <w:rsid w:val="006C7DAD"/>
    <w:rsid w:val="006D0393"/>
    <w:rsid w:val="006D1A83"/>
    <w:rsid w:val="006D5D1E"/>
    <w:rsid w:val="006E1CFE"/>
    <w:rsid w:val="006E31A2"/>
    <w:rsid w:val="006E44BF"/>
    <w:rsid w:val="006E6D10"/>
    <w:rsid w:val="006E7E4D"/>
    <w:rsid w:val="006F0356"/>
    <w:rsid w:val="006F04C8"/>
    <w:rsid w:val="006F10C4"/>
    <w:rsid w:val="006F145F"/>
    <w:rsid w:val="006F40E9"/>
    <w:rsid w:val="006F5603"/>
    <w:rsid w:val="006F7B6B"/>
    <w:rsid w:val="00701400"/>
    <w:rsid w:val="00702EE4"/>
    <w:rsid w:val="00703053"/>
    <w:rsid w:val="007037CF"/>
    <w:rsid w:val="00703BB8"/>
    <w:rsid w:val="0071386A"/>
    <w:rsid w:val="00713FE2"/>
    <w:rsid w:val="00716583"/>
    <w:rsid w:val="007167C0"/>
    <w:rsid w:val="0071785F"/>
    <w:rsid w:val="007203C3"/>
    <w:rsid w:val="00720481"/>
    <w:rsid w:val="007214B0"/>
    <w:rsid w:val="00721642"/>
    <w:rsid w:val="00722527"/>
    <w:rsid w:val="0072510B"/>
    <w:rsid w:val="00726BD1"/>
    <w:rsid w:val="00727C18"/>
    <w:rsid w:val="00727E2F"/>
    <w:rsid w:val="007306E7"/>
    <w:rsid w:val="00733193"/>
    <w:rsid w:val="00734214"/>
    <w:rsid w:val="00736AFD"/>
    <w:rsid w:val="00737CBA"/>
    <w:rsid w:val="007412DA"/>
    <w:rsid w:val="00741EAB"/>
    <w:rsid w:val="00752FF8"/>
    <w:rsid w:val="00754C17"/>
    <w:rsid w:val="0075732A"/>
    <w:rsid w:val="00760262"/>
    <w:rsid w:val="007617C2"/>
    <w:rsid w:val="0076310C"/>
    <w:rsid w:val="0076744F"/>
    <w:rsid w:val="007675EB"/>
    <w:rsid w:val="00767BCE"/>
    <w:rsid w:val="00767EFC"/>
    <w:rsid w:val="007707DE"/>
    <w:rsid w:val="00770B5D"/>
    <w:rsid w:val="00775265"/>
    <w:rsid w:val="007752F1"/>
    <w:rsid w:val="00776768"/>
    <w:rsid w:val="00780C48"/>
    <w:rsid w:val="00782D61"/>
    <w:rsid w:val="00785415"/>
    <w:rsid w:val="00787E68"/>
    <w:rsid w:val="00787F6A"/>
    <w:rsid w:val="00791024"/>
    <w:rsid w:val="007921C6"/>
    <w:rsid w:val="00794818"/>
    <w:rsid w:val="007979B4"/>
    <w:rsid w:val="007A0AAC"/>
    <w:rsid w:val="007A0FED"/>
    <w:rsid w:val="007A2573"/>
    <w:rsid w:val="007A3143"/>
    <w:rsid w:val="007A3B9C"/>
    <w:rsid w:val="007A5E8C"/>
    <w:rsid w:val="007B0063"/>
    <w:rsid w:val="007B04A4"/>
    <w:rsid w:val="007B106C"/>
    <w:rsid w:val="007B1913"/>
    <w:rsid w:val="007B1A4E"/>
    <w:rsid w:val="007B1BB6"/>
    <w:rsid w:val="007B3D05"/>
    <w:rsid w:val="007B5250"/>
    <w:rsid w:val="007B5503"/>
    <w:rsid w:val="007C03C9"/>
    <w:rsid w:val="007C39D4"/>
    <w:rsid w:val="007C6BB3"/>
    <w:rsid w:val="007C7FAC"/>
    <w:rsid w:val="007D14B4"/>
    <w:rsid w:val="007D278B"/>
    <w:rsid w:val="007D3AD7"/>
    <w:rsid w:val="007D6FFE"/>
    <w:rsid w:val="007E2275"/>
    <w:rsid w:val="007E24F6"/>
    <w:rsid w:val="007E7819"/>
    <w:rsid w:val="007F443F"/>
    <w:rsid w:val="0080058D"/>
    <w:rsid w:val="00800F64"/>
    <w:rsid w:val="00802F0B"/>
    <w:rsid w:val="00803B47"/>
    <w:rsid w:val="0081037F"/>
    <w:rsid w:val="00810A67"/>
    <w:rsid w:val="0081315B"/>
    <w:rsid w:val="008172E6"/>
    <w:rsid w:val="00821061"/>
    <w:rsid w:val="00823B29"/>
    <w:rsid w:val="008304D9"/>
    <w:rsid w:val="00831DCB"/>
    <w:rsid w:val="00833CF7"/>
    <w:rsid w:val="00841312"/>
    <w:rsid w:val="008415D1"/>
    <w:rsid w:val="008446CD"/>
    <w:rsid w:val="00844751"/>
    <w:rsid w:val="00845601"/>
    <w:rsid w:val="008524B9"/>
    <w:rsid w:val="008537F5"/>
    <w:rsid w:val="00855C5C"/>
    <w:rsid w:val="0086233C"/>
    <w:rsid w:val="00865CFA"/>
    <w:rsid w:val="008679AA"/>
    <w:rsid w:val="00873352"/>
    <w:rsid w:val="008765D5"/>
    <w:rsid w:val="00882C7C"/>
    <w:rsid w:val="00883CE7"/>
    <w:rsid w:val="0089087E"/>
    <w:rsid w:val="00894345"/>
    <w:rsid w:val="008A187F"/>
    <w:rsid w:val="008A3C8B"/>
    <w:rsid w:val="008A3C96"/>
    <w:rsid w:val="008A51B6"/>
    <w:rsid w:val="008B0BBA"/>
    <w:rsid w:val="008B1627"/>
    <w:rsid w:val="008B3C2F"/>
    <w:rsid w:val="008B4019"/>
    <w:rsid w:val="008B505F"/>
    <w:rsid w:val="008B6293"/>
    <w:rsid w:val="008B65C9"/>
    <w:rsid w:val="008C02EE"/>
    <w:rsid w:val="008C2D4A"/>
    <w:rsid w:val="008C4BD8"/>
    <w:rsid w:val="008C6A05"/>
    <w:rsid w:val="008C7DBB"/>
    <w:rsid w:val="008D353E"/>
    <w:rsid w:val="008D3900"/>
    <w:rsid w:val="008D43B5"/>
    <w:rsid w:val="008D6E1D"/>
    <w:rsid w:val="008D6EDB"/>
    <w:rsid w:val="008E1055"/>
    <w:rsid w:val="008E2EDE"/>
    <w:rsid w:val="008E36FE"/>
    <w:rsid w:val="008E4652"/>
    <w:rsid w:val="008F39B4"/>
    <w:rsid w:val="008F4162"/>
    <w:rsid w:val="008F4574"/>
    <w:rsid w:val="008F671B"/>
    <w:rsid w:val="00903E02"/>
    <w:rsid w:val="00904A2B"/>
    <w:rsid w:val="00905030"/>
    <w:rsid w:val="00913175"/>
    <w:rsid w:val="00913D30"/>
    <w:rsid w:val="00916EDB"/>
    <w:rsid w:val="00917EDA"/>
    <w:rsid w:val="00920861"/>
    <w:rsid w:val="00921526"/>
    <w:rsid w:val="009222E3"/>
    <w:rsid w:val="00922B13"/>
    <w:rsid w:val="009242EF"/>
    <w:rsid w:val="00924AB9"/>
    <w:rsid w:val="00932291"/>
    <w:rsid w:val="00933B1B"/>
    <w:rsid w:val="0093408E"/>
    <w:rsid w:val="00934B6F"/>
    <w:rsid w:val="00940467"/>
    <w:rsid w:val="009432E5"/>
    <w:rsid w:val="00944852"/>
    <w:rsid w:val="00946FC8"/>
    <w:rsid w:val="00947507"/>
    <w:rsid w:val="00950E57"/>
    <w:rsid w:val="00950EE2"/>
    <w:rsid w:val="00952DDF"/>
    <w:rsid w:val="00952EC4"/>
    <w:rsid w:val="0095474C"/>
    <w:rsid w:val="009652E2"/>
    <w:rsid w:val="00965960"/>
    <w:rsid w:val="00972423"/>
    <w:rsid w:val="00972472"/>
    <w:rsid w:val="00972971"/>
    <w:rsid w:val="00973C34"/>
    <w:rsid w:val="009812D4"/>
    <w:rsid w:val="00982653"/>
    <w:rsid w:val="0098487E"/>
    <w:rsid w:val="009873F4"/>
    <w:rsid w:val="009920D8"/>
    <w:rsid w:val="009975A9"/>
    <w:rsid w:val="009A00AC"/>
    <w:rsid w:val="009A051B"/>
    <w:rsid w:val="009A1129"/>
    <w:rsid w:val="009A1324"/>
    <w:rsid w:val="009A2261"/>
    <w:rsid w:val="009A371F"/>
    <w:rsid w:val="009A52D4"/>
    <w:rsid w:val="009A5E2C"/>
    <w:rsid w:val="009A61D5"/>
    <w:rsid w:val="009A78F2"/>
    <w:rsid w:val="009B2B13"/>
    <w:rsid w:val="009B38BE"/>
    <w:rsid w:val="009B4556"/>
    <w:rsid w:val="009B682F"/>
    <w:rsid w:val="009B79DF"/>
    <w:rsid w:val="009C1EDC"/>
    <w:rsid w:val="009C3D0F"/>
    <w:rsid w:val="009C7DB9"/>
    <w:rsid w:val="009D13DB"/>
    <w:rsid w:val="009D33C2"/>
    <w:rsid w:val="009D6232"/>
    <w:rsid w:val="009E1B19"/>
    <w:rsid w:val="009E1D6D"/>
    <w:rsid w:val="009E31FA"/>
    <w:rsid w:val="009E39E1"/>
    <w:rsid w:val="009E67BE"/>
    <w:rsid w:val="009E688A"/>
    <w:rsid w:val="009F0597"/>
    <w:rsid w:val="009F0B7F"/>
    <w:rsid w:val="009F2763"/>
    <w:rsid w:val="009F33D1"/>
    <w:rsid w:val="009F35E2"/>
    <w:rsid w:val="009F438B"/>
    <w:rsid w:val="009F65F9"/>
    <w:rsid w:val="009F68BA"/>
    <w:rsid w:val="00A00B1A"/>
    <w:rsid w:val="00A06277"/>
    <w:rsid w:val="00A079DC"/>
    <w:rsid w:val="00A10BAB"/>
    <w:rsid w:val="00A10F47"/>
    <w:rsid w:val="00A111C2"/>
    <w:rsid w:val="00A12BA8"/>
    <w:rsid w:val="00A13E55"/>
    <w:rsid w:val="00A165ED"/>
    <w:rsid w:val="00A17C39"/>
    <w:rsid w:val="00A21440"/>
    <w:rsid w:val="00A2211D"/>
    <w:rsid w:val="00A238AA"/>
    <w:rsid w:val="00A24050"/>
    <w:rsid w:val="00A275AB"/>
    <w:rsid w:val="00A276B5"/>
    <w:rsid w:val="00A338E7"/>
    <w:rsid w:val="00A34214"/>
    <w:rsid w:val="00A35CAA"/>
    <w:rsid w:val="00A36E7F"/>
    <w:rsid w:val="00A41E65"/>
    <w:rsid w:val="00A426F9"/>
    <w:rsid w:val="00A43517"/>
    <w:rsid w:val="00A43E0A"/>
    <w:rsid w:val="00A45E56"/>
    <w:rsid w:val="00A46247"/>
    <w:rsid w:val="00A47F07"/>
    <w:rsid w:val="00A530C7"/>
    <w:rsid w:val="00A552BF"/>
    <w:rsid w:val="00A55F5B"/>
    <w:rsid w:val="00A56F72"/>
    <w:rsid w:val="00A60185"/>
    <w:rsid w:val="00A66043"/>
    <w:rsid w:val="00A661EA"/>
    <w:rsid w:val="00A66263"/>
    <w:rsid w:val="00A6775C"/>
    <w:rsid w:val="00A67C27"/>
    <w:rsid w:val="00A70A6C"/>
    <w:rsid w:val="00A71327"/>
    <w:rsid w:val="00A714B6"/>
    <w:rsid w:val="00A774C7"/>
    <w:rsid w:val="00A81976"/>
    <w:rsid w:val="00A830E5"/>
    <w:rsid w:val="00A84BF3"/>
    <w:rsid w:val="00A87135"/>
    <w:rsid w:val="00A906DA"/>
    <w:rsid w:val="00A93280"/>
    <w:rsid w:val="00A93C73"/>
    <w:rsid w:val="00A951EA"/>
    <w:rsid w:val="00A961A6"/>
    <w:rsid w:val="00A973E1"/>
    <w:rsid w:val="00A97F71"/>
    <w:rsid w:val="00AA09B0"/>
    <w:rsid w:val="00AA1C65"/>
    <w:rsid w:val="00AA2548"/>
    <w:rsid w:val="00AA2BBB"/>
    <w:rsid w:val="00AA3B6E"/>
    <w:rsid w:val="00AA58C4"/>
    <w:rsid w:val="00AA71CF"/>
    <w:rsid w:val="00AB007D"/>
    <w:rsid w:val="00AB11C8"/>
    <w:rsid w:val="00AB2248"/>
    <w:rsid w:val="00AB255A"/>
    <w:rsid w:val="00AB5652"/>
    <w:rsid w:val="00AB5B65"/>
    <w:rsid w:val="00AB6C22"/>
    <w:rsid w:val="00AB7649"/>
    <w:rsid w:val="00AC08A8"/>
    <w:rsid w:val="00AC3649"/>
    <w:rsid w:val="00AD3AF5"/>
    <w:rsid w:val="00AD3D44"/>
    <w:rsid w:val="00AD56C8"/>
    <w:rsid w:val="00AD58F2"/>
    <w:rsid w:val="00AD739A"/>
    <w:rsid w:val="00AD74A7"/>
    <w:rsid w:val="00AD7B2E"/>
    <w:rsid w:val="00AE0103"/>
    <w:rsid w:val="00AE1332"/>
    <w:rsid w:val="00AE48FA"/>
    <w:rsid w:val="00AE6ABD"/>
    <w:rsid w:val="00AF5EA3"/>
    <w:rsid w:val="00AF6573"/>
    <w:rsid w:val="00AF6A48"/>
    <w:rsid w:val="00AF7690"/>
    <w:rsid w:val="00B0512A"/>
    <w:rsid w:val="00B0529F"/>
    <w:rsid w:val="00B05D52"/>
    <w:rsid w:val="00B06955"/>
    <w:rsid w:val="00B10395"/>
    <w:rsid w:val="00B123AB"/>
    <w:rsid w:val="00B1418B"/>
    <w:rsid w:val="00B14581"/>
    <w:rsid w:val="00B151A0"/>
    <w:rsid w:val="00B1520C"/>
    <w:rsid w:val="00B1560E"/>
    <w:rsid w:val="00B209D4"/>
    <w:rsid w:val="00B21195"/>
    <w:rsid w:val="00B22AE4"/>
    <w:rsid w:val="00B22B3D"/>
    <w:rsid w:val="00B238D2"/>
    <w:rsid w:val="00B24B22"/>
    <w:rsid w:val="00B25310"/>
    <w:rsid w:val="00B27C06"/>
    <w:rsid w:val="00B27CA0"/>
    <w:rsid w:val="00B32F8F"/>
    <w:rsid w:val="00B3337F"/>
    <w:rsid w:val="00B45669"/>
    <w:rsid w:val="00B4690F"/>
    <w:rsid w:val="00B47C42"/>
    <w:rsid w:val="00B510B1"/>
    <w:rsid w:val="00B54DE9"/>
    <w:rsid w:val="00B553EC"/>
    <w:rsid w:val="00B55870"/>
    <w:rsid w:val="00B60501"/>
    <w:rsid w:val="00B63DA0"/>
    <w:rsid w:val="00B71774"/>
    <w:rsid w:val="00B71E19"/>
    <w:rsid w:val="00B76EA3"/>
    <w:rsid w:val="00B77732"/>
    <w:rsid w:val="00B77EDD"/>
    <w:rsid w:val="00B80D6D"/>
    <w:rsid w:val="00B83326"/>
    <w:rsid w:val="00B90039"/>
    <w:rsid w:val="00B9154F"/>
    <w:rsid w:val="00B93DD0"/>
    <w:rsid w:val="00B94B82"/>
    <w:rsid w:val="00B974AA"/>
    <w:rsid w:val="00B97732"/>
    <w:rsid w:val="00BA3734"/>
    <w:rsid w:val="00BA56D7"/>
    <w:rsid w:val="00BA65A8"/>
    <w:rsid w:val="00BA6A97"/>
    <w:rsid w:val="00BA6D19"/>
    <w:rsid w:val="00BA7461"/>
    <w:rsid w:val="00BA7DA9"/>
    <w:rsid w:val="00BB0645"/>
    <w:rsid w:val="00BB280C"/>
    <w:rsid w:val="00BB4EEE"/>
    <w:rsid w:val="00BC0351"/>
    <w:rsid w:val="00BC1890"/>
    <w:rsid w:val="00BC4215"/>
    <w:rsid w:val="00BD0396"/>
    <w:rsid w:val="00BD1A6F"/>
    <w:rsid w:val="00BD5B71"/>
    <w:rsid w:val="00BE48DF"/>
    <w:rsid w:val="00BE6D3C"/>
    <w:rsid w:val="00BE728C"/>
    <w:rsid w:val="00BE7852"/>
    <w:rsid w:val="00BF4BE6"/>
    <w:rsid w:val="00BF4C86"/>
    <w:rsid w:val="00BF6D87"/>
    <w:rsid w:val="00BF7CEE"/>
    <w:rsid w:val="00C005C4"/>
    <w:rsid w:val="00C025D2"/>
    <w:rsid w:val="00C03880"/>
    <w:rsid w:val="00C07B05"/>
    <w:rsid w:val="00C11EEC"/>
    <w:rsid w:val="00C135CF"/>
    <w:rsid w:val="00C13D15"/>
    <w:rsid w:val="00C16923"/>
    <w:rsid w:val="00C224FD"/>
    <w:rsid w:val="00C236CB"/>
    <w:rsid w:val="00C257E0"/>
    <w:rsid w:val="00C265F4"/>
    <w:rsid w:val="00C2683F"/>
    <w:rsid w:val="00C26855"/>
    <w:rsid w:val="00C3184D"/>
    <w:rsid w:val="00C31C0E"/>
    <w:rsid w:val="00C365EC"/>
    <w:rsid w:val="00C40C77"/>
    <w:rsid w:val="00C42517"/>
    <w:rsid w:val="00C43084"/>
    <w:rsid w:val="00C4714E"/>
    <w:rsid w:val="00C50941"/>
    <w:rsid w:val="00C50D93"/>
    <w:rsid w:val="00C5300D"/>
    <w:rsid w:val="00C536CB"/>
    <w:rsid w:val="00C5504F"/>
    <w:rsid w:val="00C55606"/>
    <w:rsid w:val="00C55991"/>
    <w:rsid w:val="00C604A9"/>
    <w:rsid w:val="00C63376"/>
    <w:rsid w:val="00C6377F"/>
    <w:rsid w:val="00C66CB4"/>
    <w:rsid w:val="00C72EEB"/>
    <w:rsid w:val="00C74F97"/>
    <w:rsid w:val="00C76456"/>
    <w:rsid w:val="00C769FA"/>
    <w:rsid w:val="00C76A08"/>
    <w:rsid w:val="00C8004E"/>
    <w:rsid w:val="00C803D7"/>
    <w:rsid w:val="00C80B92"/>
    <w:rsid w:val="00C8276E"/>
    <w:rsid w:val="00C83747"/>
    <w:rsid w:val="00C83A01"/>
    <w:rsid w:val="00C83AD1"/>
    <w:rsid w:val="00C842AC"/>
    <w:rsid w:val="00C85B7B"/>
    <w:rsid w:val="00C87405"/>
    <w:rsid w:val="00C924F2"/>
    <w:rsid w:val="00C92AD5"/>
    <w:rsid w:val="00C93152"/>
    <w:rsid w:val="00C93FD9"/>
    <w:rsid w:val="00C96688"/>
    <w:rsid w:val="00CA0723"/>
    <w:rsid w:val="00CA4542"/>
    <w:rsid w:val="00CB14D6"/>
    <w:rsid w:val="00CB1690"/>
    <w:rsid w:val="00CB2CDF"/>
    <w:rsid w:val="00CB5931"/>
    <w:rsid w:val="00CC2B33"/>
    <w:rsid w:val="00CC4365"/>
    <w:rsid w:val="00CC43A5"/>
    <w:rsid w:val="00CD11B0"/>
    <w:rsid w:val="00CD5E0E"/>
    <w:rsid w:val="00CE71C2"/>
    <w:rsid w:val="00CF067E"/>
    <w:rsid w:val="00CF2242"/>
    <w:rsid w:val="00CF38FA"/>
    <w:rsid w:val="00CF42D5"/>
    <w:rsid w:val="00CF4EDA"/>
    <w:rsid w:val="00CF4FF2"/>
    <w:rsid w:val="00D00281"/>
    <w:rsid w:val="00D01E11"/>
    <w:rsid w:val="00D021CB"/>
    <w:rsid w:val="00D0749B"/>
    <w:rsid w:val="00D10C4C"/>
    <w:rsid w:val="00D10F1A"/>
    <w:rsid w:val="00D116F8"/>
    <w:rsid w:val="00D144D4"/>
    <w:rsid w:val="00D147F4"/>
    <w:rsid w:val="00D15280"/>
    <w:rsid w:val="00D173C5"/>
    <w:rsid w:val="00D17596"/>
    <w:rsid w:val="00D22640"/>
    <w:rsid w:val="00D2370E"/>
    <w:rsid w:val="00D25E24"/>
    <w:rsid w:val="00D26D3A"/>
    <w:rsid w:val="00D40B3F"/>
    <w:rsid w:val="00D40DCA"/>
    <w:rsid w:val="00D453B6"/>
    <w:rsid w:val="00D45C91"/>
    <w:rsid w:val="00D45EE3"/>
    <w:rsid w:val="00D47CCD"/>
    <w:rsid w:val="00D50618"/>
    <w:rsid w:val="00D509E9"/>
    <w:rsid w:val="00D50F67"/>
    <w:rsid w:val="00D53B1C"/>
    <w:rsid w:val="00D60E43"/>
    <w:rsid w:val="00D61714"/>
    <w:rsid w:val="00D620BE"/>
    <w:rsid w:val="00D63FF8"/>
    <w:rsid w:val="00D652C8"/>
    <w:rsid w:val="00D654B2"/>
    <w:rsid w:val="00D656FF"/>
    <w:rsid w:val="00D7251D"/>
    <w:rsid w:val="00D74FCD"/>
    <w:rsid w:val="00D77810"/>
    <w:rsid w:val="00D82448"/>
    <w:rsid w:val="00D83615"/>
    <w:rsid w:val="00D97037"/>
    <w:rsid w:val="00D972F7"/>
    <w:rsid w:val="00DA1B12"/>
    <w:rsid w:val="00DA1B74"/>
    <w:rsid w:val="00DA4F90"/>
    <w:rsid w:val="00DA54C9"/>
    <w:rsid w:val="00DA6739"/>
    <w:rsid w:val="00DA6CAE"/>
    <w:rsid w:val="00DB1A9E"/>
    <w:rsid w:val="00DB31D6"/>
    <w:rsid w:val="00DB3296"/>
    <w:rsid w:val="00DB4005"/>
    <w:rsid w:val="00DB44E2"/>
    <w:rsid w:val="00DB61F1"/>
    <w:rsid w:val="00DC325B"/>
    <w:rsid w:val="00DC34EB"/>
    <w:rsid w:val="00DC4E2E"/>
    <w:rsid w:val="00DC78C0"/>
    <w:rsid w:val="00DC7ECC"/>
    <w:rsid w:val="00DD0E69"/>
    <w:rsid w:val="00DD280B"/>
    <w:rsid w:val="00DE07D8"/>
    <w:rsid w:val="00DE2C10"/>
    <w:rsid w:val="00DF04FB"/>
    <w:rsid w:val="00DF1018"/>
    <w:rsid w:val="00DF14C9"/>
    <w:rsid w:val="00DF1E5B"/>
    <w:rsid w:val="00DF2275"/>
    <w:rsid w:val="00DF37A1"/>
    <w:rsid w:val="00DF3F5E"/>
    <w:rsid w:val="00DF52BA"/>
    <w:rsid w:val="00DF5653"/>
    <w:rsid w:val="00E0232E"/>
    <w:rsid w:val="00E0573D"/>
    <w:rsid w:val="00E0596E"/>
    <w:rsid w:val="00E06156"/>
    <w:rsid w:val="00E06F66"/>
    <w:rsid w:val="00E11090"/>
    <w:rsid w:val="00E11507"/>
    <w:rsid w:val="00E1454F"/>
    <w:rsid w:val="00E1599D"/>
    <w:rsid w:val="00E16BA3"/>
    <w:rsid w:val="00E2111A"/>
    <w:rsid w:val="00E21678"/>
    <w:rsid w:val="00E22145"/>
    <w:rsid w:val="00E24B0E"/>
    <w:rsid w:val="00E30E79"/>
    <w:rsid w:val="00E31126"/>
    <w:rsid w:val="00E344AA"/>
    <w:rsid w:val="00E35350"/>
    <w:rsid w:val="00E356E5"/>
    <w:rsid w:val="00E36A89"/>
    <w:rsid w:val="00E36F81"/>
    <w:rsid w:val="00E378A8"/>
    <w:rsid w:val="00E40B9B"/>
    <w:rsid w:val="00E43F25"/>
    <w:rsid w:val="00E452B0"/>
    <w:rsid w:val="00E45765"/>
    <w:rsid w:val="00E47FA1"/>
    <w:rsid w:val="00E5098C"/>
    <w:rsid w:val="00E54ECD"/>
    <w:rsid w:val="00E574EF"/>
    <w:rsid w:val="00E57CD8"/>
    <w:rsid w:val="00E57D7D"/>
    <w:rsid w:val="00E57E07"/>
    <w:rsid w:val="00E60213"/>
    <w:rsid w:val="00E622A2"/>
    <w:rsid w:val="00E6259F"/>
    <w:rsid w:val="00E62B59"/>
    <w:rsid w:val="00E6439C"/>
    <w:rsid w:val="00E661B2"/>
    <w:rsid w:val="00E709E1"/>
    <w:rsid w:val="00E740AD"/>
    <w:rsid w:val="00E74D29"/>
    <w:rsid w:val="00E75978"/>
    <w:rsid w:val="00E76D5F"/>
    <w:rsid w:val="00E77273"/>
    <w:rsid w:val="00E806FF"/>
    <w:rsid w:val="00E8100D"/>
    <w:rsid w:val="00E83C74"/>
    <w:rsid w:val="00E83CEE"/>
    <w:rsid w:val="00E871EB"/>
    <w:rsid w:val="00E908D4"/>
    <w:rsid w:val="00E91F18"/>
    <w:rsid w:val="00E9226D"/>
    <w:rsid w:val="00E9478A"/>
    <w:rsid w:val="00E9525E"/>
    <w:rsid w:val="00E96424"/>
    <w:rsid w:val="00E971DC"/>
    <w:rsid w:val="00E97333"/>
    <w:rsid w:val="00EA1AFA"/>
    <w:rsid w:val="00EA2A91"/>
    <w:rsid w:val="00EA3E48"/>
    <w:rsid w:val="00EA416C"/>
    <w:rsid w:val="00EA5941"/>
    <w:rsid w:val="00EB16A3"/>
    <w:rsid w:val="00EB60CE"/>
    <w:rsid w:val="00EB6D17"/>
    <w:rsid w:val="00EB7D53"/>
    <w:rsid w:val="00EC4182"/>
    <w:rsid w:val="00EC444B"/>
    <w:rsid w:val="00EC596B"/>
    <w:rsid w:val="00EC6FA0"/>
    <w:rsid w:val="00EC7141"/>
    <w:rsid w:val="00EC720D"/>
    <w:rsid w:val="00ED4748"/>
    <w:rsid w:val="00EE0D63"/>
    <w:rsid w:val="00EE13C5"/>
    <w:rsid w:val="00EE3146"/>
    <w:rsid w:val="00EE5582"/>
    <w:rsid w:val="00EF1620"/>
    <w:rsid w:val="00EF1EA6"/>
    <w:rsid w:val="00EF4264"/>
    <w:rsid w:val="00EF4B2B"/>
    <w:rsid w:val="00EF50BB"/>
    <w:rsid w:val="00EF535B"/>
    <w:rsid w:val="00EF6940"/>
    <w:rsid w:val="00EF71E4"/>
    <w:rsid w:val="00F00192"/>
    <w:rsid w:val="00F01041"/>
    <w:rsid w:val="00F01DF6"/>
    <w:rsid w:val="00F027B8"/>
    <w:rsid w:val="00F0340D"/>
    <w:rsid w:val="00F035F2"/>
    <w:rsid w:val="00F059A6"/>
    <w:rsid w:val="00F06206"/>
    <w:rsid w:val="00F113F7"/>
    <w:rsid w:val="00F169EC"/>
    <w:rsid w:val="00F21474"/>
    <w:rsid w:val="00F231C0"/>
    <w:rsid w:val="00F23756"/>
    <w:rsid w:val="00F2464C"/>
    <w:rsid w:val="00F2523A"/>
    <w:rsid w:val="00F25FFA"/>
    <w:rsid w:val="00F26E6A"/>
    <w:rsid w:val="00F310D2"/>
    <w:rsid w:val="00F32EAB"/>
    <w:rsid w:val="00F35DA2"/>
    <w:rsid w:val="00F368C2"/>
    <w:rsid w:val="00F36F3D"/>
    <w:rsid w:val="00F37C48"/>
    <w:rsid w:val="00F43327"/>
    <w:rsid w:val="00F43B9D"/>
    <w:rsid w:val="00F477BD"/>
    <w:rsid w:val="00F50333"/>
    <w:rsid w:val="00F53491"/>
    <w:rsid w:val="00F54656"/>
    <w:rsid w:val="00F55386"/>
    <w:rsid w:val="00F56411"/>
    <w:rsid w:val="00F57DB9"/>
    <w:rsid w:val="00F60181"/>
    <w:rsid w:val="00F60233"/>
    <w:rsid w:val="00F62141"/>
    <w:rsid w:val="00F64F6F"/>
    <w:rsid w:val="00F65A1C"/>
    <w:rsid w:val="00F66F50"/>
    <w:rsid w:val="00F707C1"/>
    <w:rsid w:val="00F7201B"/>
    <w:rsid w:val="00F77432"/>
    <w:rsid w:val="00F81162"/>
    <w:rsid w:val="00F827F3"/>
    <w:rsid w:val="00F82FF8"/>
    <w:rsid w:val="00F8330D"/>
    <w:rsid w:val="00F83ABE"/>
    <w:rsid w:val="00F84305"/>
    <w:rsid w:val="00F8485C"/>
    <w:rsid w:val="00F87149"/>
    <w:rsid w:val="00F87FFE"/>
    <w:rsid w:val="00F954C9"/>
    <w:rsid w:val="00F95A07"/>
    <w:rsid w:val="00FA4CF0"/>
    <w:rsid w:val="00FA61AA"/>
    <w:rsid w:val="00FA69A4"/>
    <w:rsid w:val="00FB1279"/>
    <w:rsid w:val="00FB1495"/>
    <w:rsid w:val="00FC20F8"/>
    <w:rsid w:val="00FC3EEC"/>
    <w:rsid w:val="00FC79FA"/>
    <w:rsid w:val="00FD0219"/>
    <w:rsid w:val="00FD1694"/>
    <w:rsid w:val="00FD7636"/>
    <w:rsid w:val="00FE2954"/>
    <w:rsid w:val="00FE3229"/>
    <w:rsid w:val="00FE5615"/>
    <w:rsid w:val="00FE74C3"/>
    <w:rsid w:val="00FF1D45"/>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3AF5"/>
    <w:pPr>
      <w:spacing w:after="200" w:line="276" w:lineRule="auto"/>
    </w:pPr>
    <w:rPr>
      <w:rFonts w:eastAsia="Times New Roman"/>
      <w:szCs w:val="24"/>
      <w:lang w:eastAsia="en-US"/>
    </w:rPr>
  </w:style>
  <w:style w:type="paragraph" w:styleId="Heading1">
    <w:name w:val="heading 1"/>
    <w:basedOn w:val="Header"/>
    <w:next w:val="Normal"/>
    <w:link w:val="Heading1Char"/>
    <w:uiPriority w:val="9"/>
    <w:qFormat/>
    <w:rsid w:val="00AD3AF5"/>
    <w:pPr>
      <w:keepLines/>
      <w:tabs>
        <w:tab w:val="left" w:pos="2835"/>
      </w:tabs>
      <w:jc w:val="center"/>
      <w:outlineLvl w:val="0"/>
    </w:pPr>
    <w:rPr>
      <w:rFonts w:cs="Arial"/>
      <w:b/>
      <w:sz w:val="24"/>
    </w:rPr>
  </w:style>
  <w:style w:type="paragraph" w:styleId="Heading2">
    <w:name w:val="heading 2"/>
    <w:basedOn w:val="Header"/>
    <w:next w:val="Normal"/>
    <w:link w:val="Heading2Char"/>
    <w:uiPriority w:val="9"/>
    <w:qFormat/>
    <w:rsid w:val="00AD3AF5"/>
    <w:pPr>
      <w:keepLines/>
      <w:tabs>
        <w:tab w:val="left" w:pos="2835"/>
      </w:tabs>
      <w:jc w:val="center"/>
      <w:outlineLvl w:val="1"/>
    </w:pPr>
    <w:rPr>
      <w:rFonts w:cs="Arial"/>
      <w:b/>
      <w:color w:val="000000" w:themeColor="text1"/>
      <w:lang w:eastAsia="en-AU"/>
    </w:rPr>
  </w:style>
  <w:style w:type="paragraph" w:styleId="Heading3">
    <w:name w:val="heading 3"/>
    <w:basedOn w:val="tablelabel"/>
    <w:next w:val="Normal"/>
    <w:link w:val="Heading3Char"/>
    <w:uiPriority w:val="9"/>
    <w:qFormat/>
    <w:rsid w:val="00AD3AF5"/>
    <w:pPr>
      <w:outlineLvl w:val="2"/>
    </w:pPr>
    <w:rPr>
      <w:rFonts w:cs="Arial"/>
      <w:sz w:val="20"/>
    </w:rPr>
  </w:style>
  <w:style w:type="paragraph" w:styleId="Heading4">
    <w:name w:val="heading 4"/>
    <w:basedOn w:val="Normal"/>
    <w:next w:val="Normal"/>
    <w:link w:val="Heading4Char"/>
    <w:uiPriority w:val="9"/>
    <w:qFormat/>
    <w:rsid w:val="001E233B"/>
    <w:pPr>
      <w:outlineLvl w:val="3"/>
    </w:pPr>
    <w:rPr>
      <w:rFonts w:cs="Arial"/>
      <w:i/>
    </w:rPr>
  </w:style>
  <w:style w:type="paragraph" w:styleId="Heading5">
    <w:name w:val="heading 5"/>
    <w:basedOn w:val="ListNumber2"/>
    <w:next w:val="Normal"/>
    <w:link w:val="Heading5Char"/>
    <w:uiPriority w:val="9"/>
    <w:unhideWhenUsed/>
    <w:qFormat/>
    <w:rsid w:val="001E233B"/>
    <w:pPr>
      <w:numPr>
        <w:ilvl w:val="0"/>
        <w:numId w:val="0"/>
      </w:numPr>
      <w:ind w:left="738" w:hanging="369"/>
      <w:outlineLvl w:val="4"/>
    </w:pPr>
    <w:rPr>
      <w:rFonts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AD3AF5"/>
    <w:rPr>
      <w:rFonts w:eastAsia="Times New Roman" w:cs="Arial"/>
      <w:b/>
      <w:sz w:val="24"/>
      <w:szCs w:val="24"/>
      <w:lang w:eastAsia="en-US"/>
    </w:rPr>
  </w:style>
  <w:style w:type="character" w:customStyle="1" w:styleId="Heading2Char">
    <w:name w:val="Heading 2 Char"/>
    <w:basedOn w:val="DefaultParagraphFont"/>
    <w:link w:val="Heading2"/>
    <w:uiPriority w:val="9"/>
    <w:rsid w:val="00AD3AF5"/>
    <w:rPr>
      <w:rFonts w:eastAsia="Times New Roman" w:cs="Arial"/>
      <w:b/>
      <w:color w:val="000000" w:themeColor="text1"/>
      <w:szCs w:val="24"/>
    </w:rPr>
  </w:style>
  <w:style w:type="character" w:customStyle="1" w:styleId="Heading3Char">
    <w:name w:val="Heading 3 Char"/>
    <w:basedOn w:val="DefaultParagraphFont"/>
    <w:link w:val="Heading3"/>
    <w:uiPriority w:val="9"/>
    <w:rsid w:val="00AD3AF5"/>
    <w:rPr>
      <w:rFonts w:eastAsia="Times New Roman" w:cs="Arial"/>
      <w:b/>
      <w:lang w:eastAsia="en-US"/>
    </w:rPr>
  </w:style>
  <w:style w:type="character" w:customStyle="1" w:styleId="Heading4Char">
    <w:name w:val="Heading 4 Char"/>
    <w:basedOn w:val="DefaultParagraphFont"/>
    <w:link w:val="Heading4"/>
    <w:uiPriority w:val="9"/>
    <w:rsid w:val="001E233B"/>
    <w:rPr>
      <w:rFonts w:eastAsia="Times New Roman" w:cs="Arial"/>
      <w:i/>
      <w:szCs w:val="24"/>
      <w:lang w:eastAsia="en-US"/>
    </w:rPr>
  </w:style>
  <w:style w:type="paragraph" w:styleId="ListBullet">
    <w:name w:val="List Bullet"/>
    <w:basedOn w:val="Normal"/>
    <w:uiPriority w:val="99"/>
    <w:unhideWhenUsed/>
    <w:qFormat/>
    <w:rsid w:val="001E233B"/>
    <w:pPr>
      <w:numPr>
        <w:numId w:val="29"/>
      </w:numPr>
      <w:ind w:left="426" w:hanging="426"/>
    </w:p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E233B"/>
    <w:pPr>
      <w:numPr>
        <w:numId w:val="5"/>
      </w:numPr>
    </w:pPr>
    <w:rPr>
      <w:rFonts w:cs="Arial"/>
      <w:szCs w:val="20"/>
    </w:r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E233B"/>
    <w:rPr>
      <w:rFonts w:eastAsia="Times New Roman" w:cs="Arial"/>
      <w:u w:val="single"/>
      <w:lang w:eastAsia="en-US"/>
    </w:rPr>
  </w:style>
  <w:style w:type="character" w:styleId="CommentReference">
    <w:name w:val="annotation reference"/>
    <w:basedOn w:val="DefaultParagraphFont"/>
    <w:uiPriority w:val="99"/>
    <w:semiHidden/>
    <w:unhideWhenUsed/>
    <w:rsid w:val="001D0FE4"/>
    <w:rPr>
      <w:sz w:val="16"/>
      <w:szCs w:val="16"/>
    </w:rPr>
  </w:style>
  <w:style w:type="paragraph" w:styleId="CommentText">
    <w:name w:val="annotation text"/>
    <w:basedOn w:val="Normal"/>
    <w:link w:val="CommentTextChar"/>
    <w:uiPriority w:val="99"/>
    <w:semiHidden/>
    <w:unhideWhenUsed/>
    <w:rsid w:val="001D0FE4"/>
    <w:rPr>
      <w:szCs w:val="20"/>
    </w:rPr>
  </w:style>
  <w:style w:type="character" w:customStyle="1" w:styleId="CommentTextChar">
    <w:name w:val="Comment Text Char"/>
    <w:basedOn w:val="DefaultParagraphFont"/>
    <w:link w:val="CommentText"/>
    <w:uiPriority w:val="99"/>
    <w:semiHidden/>
    <w:rsid w:val="001D0F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D0FE4"/>
    <w:rPr>
      <w:b/>
      <w:bCs/>
    </w:rPr>
  </w:style>
  <w:style w:type="character" w:customStyle="1" w:styleId="CommentSubjectChar">
    <w:name w:val="Comment Subject Char"/>
    <w:basedOn w:val="CommentTextChar"/>
    <w:link w:val="CommentSubject"/>
    <w:uiPriority w:val="99"/>
    <w:semiHidden/>
    <w:rsid w:val="001D0FE4"/>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1D0FE4"/>
    <w:rPr>
      <w:sz w:val="16"/>
      <w:szCs w:val="16"/>
    </w:rPr>
  </w:style>
  <w:style w:type="paragraph" w:styleId="CommentText">
    <w:name w:val="annotation text"/>
    <w:basedOn w:val="Normal"/>
    <w:link w:val="CommentTextChar"/>
    <w:uiPriority w:val="99"/>
    <w:semiHidden/>
    <w:unhideWhenUsed/>
    <w:rsid w:val="001D0FE4"/>
    <w:rPr>
      <w:sz w:val="20"/>
      <w:szCs w:val="20"/>
    </w:rPr>
  </w:style>
  <w:style w:type="character" w:customStyle="1" w:styleId="CommentTextChar">
    <w:name w:val="Comment Text Char"/>
    <w:basedOn w:val="DefaultParagraphFont"/>
    <w:link w:val="CommentText"/>
    <w:uiPriority w:val="99"/>
    <w:semiHidden/>
    <w:rsid w:val="001D0F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D0FE4"/>
    <w:rPr>
      <w:b/>
      <w:bCs/>
    </w:rPr>
  </w:style>
  <w:style w:type="character" w:customStyle="1" w:styleId="CommentSubjectChar">
    <w:name w:val="Comment Subject Char"/>
    <w:basedOn w:val="CommentTextChar"/>
    <w:link w:val="CommentSubject"/>
    <w:uiPriority w:val="99"/>
    <w:semiHidden/>
    <w:rsid w:val="001D0FE4"/>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27103528">
      <w:bodyDiv w:val="1"/>
      <w:marLeft w:val="0"/>
      <w:marRight w:val="0"/>
      <w:marTop w:val="0"/>
      <w:marBottom w:val="0"/>
      <w:divBdr>
        <w:top w:val="none" w:sz="0" w:space="0" w:color="auto"/>
        <w:left w:val="none" w:sz="0" w:space="0" w:color="auto"/>
        <w:bottom w:val="none" w:sz="0" w:space="0" w:color="auto"/>
        <w:right w:val="none" w:sz="0" w:space="0" w:color="auto"/>
      </w:divBdr>
    </w:div>
    <w:div w:id="11923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87133-C356-4864-BC1D-36575775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2013-040: Bylong Coal Project – New Development</dc:title>
  <dc:creator/>
  <cp:lastModifiedBy/>
  <cp:revision>1</cp:revision>
  <dcterms:created xsi:type="dcterms:W3CDTF">2014-03-14T05:11:00Z</dcterms:created>
  <dcterms:modified xsi:type="dcterms:W3CDTF">2014-03-14T05:11:00Z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-943356855</vt:i4>
  </property>
</Properties>
</file>