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p>
    <w:p w:rsidR="001765DA" w:rsidRPr="002A5EC3" w:rsidRDefault="00F027B8" w:rsidP="00B4690F">
      <w:pPr>
        <w:pStyle w:val="Header"/>
        <w:keepLines/>
        <w:tabs>
          <w:tab w:val="left" w:pos="2835"/>
        </w:tabs>
        <w:spacing w:after="200" w:line="276" w:lineRule="auto"/>
        <w:jc w:val="center"/>
        <w:rPr>
          <w:rFonts w:ascii="Arial" w:hAnsi="Arial" w:cs="Arial"/>
          <w:b/>
        </w:rPr>
      </w:pPr>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w:t>
      </w:r>
    </w:p>
    <w:p w:rsidR="004861E6" w:rsidRDefault="00D10C4C" w:rsidP="00A21440">
      <w:pPr>
        <w:pStyle w:val="Header"/>
        <w:keepLines/>
        <w:tabs>
          <w:tab w:val="left" w:pos="2835"/>
        </w:tabs>
        <w:spacing w:after="200" w:line="276" w:lineRule="auto"/>
        <w:jc w:val="center"/>
        <w:rPr>
          <w:rFonts w:ascii="Arial" w:hAnsi="Arial" w:cs="Arial"/>
          <w:b/>
          <w:sz w:val="20"/>
          <w:lang w:eastAsia="en-AU"/>
        </w:rPr>
      </w:pPr>
      <w:bookmarkStart w:id="0" w:name="OLE_LINK1"/>
      <w:bookmarkStart w:id="1" w:name="OLE_LINK2"/>
      <w:r>
        <w:rPr>
          <w:rFonts w:ascii="Arial" w:hAnsi="Arial" w:cs="Arial"/>
          <w:b/>
          <w:sz w:val="20"/>
          <w:lang w:eastAsia="en-AU"/>
        </w:rPr>
        <w:t>IESC</w:t>
      </w:r>
      <w:r w:rsidRPr="00A03784">
        <w:rPr>
          <w:rFonts w:ascii="Arial" w:hAnsi="Arial" w:cs="Arial"/>
          <w:b/>
          <w:sz w:val="20"/>
          <w:lang w:eastAsia="en-AU"/>
        </w:rPr>
        <w:t xml:space="preserve"> </w:t>
      </w:r>
      <w:r w:rsidR="00C43084" w:rsidRPr="00A03784">
        <w:rPr>
          <w:rFonts w:ascii="Arial" w:hAnsi="Arial" w:cs="Arial"/>
          <w:b/>
          <w:sz w:val="20"/>
          <w:lang w:eastAsia="en-AU"/>
        </w:rPr>
        <w:t>201</w:t>
      </w:r>
      <w:r w:rsidR="00A03784" w:rsidRPr="00A03784">
        <w:rPr>
          <w:rFonts w:ascii="Arial" w:hAnsi="Arial" w:cs="Arial"/>
          <w:b/>
          <w:sz w:val="20"/>
          <w:lang w:eastAsia="en-AU"/>
        </w:rPr>
        <w:t>3</w:t>
      </w:r>
      <w:r w:rsidR="006C4746">
        <w:rPr>
          <w:rFonts w:ascii="Arial" w:hAnsi="Arial" w:cs="Arial"/>
          <w:b/>
          <w:sz w:val="20"/>
          <w:lang w:eastAsia="en-AU"/>
        </w:rPr>
        <w:t>-</w:t>
      </w:r>
      <w:r w:rsidRPr="00A03784">
        <w:rPr>
          <w:rFonts w:ascii="Arial" w:hAnsi="Arial" w:cs="Arial"/>
          <w:b/>
          <w:sz w:val="20"/>
          <w:lang w:eastAsia="en-AU"/>
        </w:rPr>
        <w:t>0</w:t>
      </w:r>
      <w:r w:rsidR="00A03784" w:rsidRPr="00A03784">
        <w:rPr>
          <w:rFonts w:ascii="Arial" w:hAnsi="Arial" w:cs="Arial"/>
          <w:b/>
          <w:sz w:val="20"/>
          <w:lang w:eastAsia="en-AU"/>
        </w:rPr>
        <w:t>38</w:t>
      </w:r>
      <w:r w:rsidR="001765DA" w:rsidRPr="00A03784">
        <w:rPr>
          <w:rFonts w:ascii="Arial" w:hAnsi="Arial" w:cs="Arial"/>
          <w:b/>
          <w:sz w:val="20"/>
          <w:lang w:eastAsia="en-AU"/>
        </w:rPr>
        <w:t>:</w:t>
      </w:r>
      <w:r w:rsidR="002974BC" w:rsidRPr="00A03784">
        <w:rPr>
          <w:rFonts w:ascii="Arial" w:hAnsi="Arial" w:cs="Arial"/>
          <w:b/>
          <w:sz w:val="20"/>
          <w:lang w:eastAsia="en-AU"/>
        </w:rPr>
        <w:t xml:space="preserve"> </w:t>
      </w:r>
      <w:r w:rsidR="00A03784" w:rsidRPr="00A03784">
        <w:rPr>
          <w:rFonts w:ascii="Arial Bold" w:hAnsi="Arial Bold" w:cs="Arial"/>
          <w:b/>
          <w:sz w:val="20"/>
          <w:lang w:eastAsia="en-AU"/>
        </w:rPr>
        <w:t>Bulga Optimisation Project</w:t>
      </w:r>
      <w:r w:rsidR="00C803D7" w:rsidRPr="00A03784">
        <w:rPr>
          <w:rFonts w:ascii="Arial" w:hAnsi="Arial" w:cs="Arial"/>
          <w:b/>
          <w:sz w:val="20"/>
          <w:lang w:eastAsia="en-AU"/>
        </w:rPr>
        <w:t xml:space="preserve"> </w:t>
      </w:r>
      <w:r w:rsidR="00C803D7">
        <w:rPr>
          <w:rFonts w:ascii="Arial" w:hAnsi="Arial" w:cs="Arial"/>
          <w:b/>
          <w:sz w:val="20"/>
          <w:lang w:eastAsia="en-AU"/>
        </w:rPr>
        <w:t>– Expansion</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B4690F">
        <w:trPr>
          <w:trHeight w:val="563"/>
        </w:trPr>
        <w:tc>
          <w:tcPr>
            <w:tcW w:w="1809" w:type="dxa"/>
            <w:tcBorders>
              <w:top w:val="single" w:sz="4" w:space="0" w:color="auto"/>
              <w:bottom w:val="single" w:sz="4" w:space="0" w:color="auto"/>
            </w:tcBorders>
          </w:tcPr>
          <w:bookmarkEnd w:id="0"/>
          <w:bookmarkEnd w:id="1"/>
          <w:p w:rsidR="001765DA" w:rsidRPr="002A5EC3" w:rsidRDefault="001765DA" w:rsidP="00B4690F">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3E2BDB" w:rsidRPr="00C43084" w:rsidRDefault="00B1520C" w:rsidP="00E254A1">
            <w:pPr>
              <w:spacing w:line="276" w:lineRule="auto"/>
              <w:ind w:left="369" w:hanging="369"/>
              <w:rPr>
                <w:rFonts w:ascii="Arial" w:hAnsi="Arial" w:cs="Arial"/>
                <w:sz w:val="20"/>
                <w:szCs w:val="20"/>
              </w:rPr>
            </w:pPr>
            <w:r w:rsidRPr="00C43084">
              <w:rPr>
                <w:rFonts w:ascii="Arial" w:hAnsi="Arial" w:cs="Arial"/>
                <w:sz w:val="20"/>
                <w:szCs w:val="20"/>
              </w:rPr>
              <w:t xml:space="preserve">The </w:t>
            </w:r>
            <w:r w:rsidR="00C43084">
              <w:rPr>
                <w:rFonts w:ascii="Arial" w:hAnsi="Arial" w:cs="Arial"/>
                <w:sz w:val="20"/>
                <w:szCs w:val="20"/>
              </w:rPr>
              <w:t xml:space="preserve">Australian Government </w:t>
            </w:r>
            <w:r w:rsidR="001765DA" w:rsidRPr="00C43084">
              <w:rPr>
                <w:rFonts w:ascii="Arial" w:hAnsi="Arial" w:cs="Arial"/>
                <w:sz w:val="20"/>
                <w:szCs w:val="20"/>
              </w:rPr>
              <w:t>Dep</w:t>
            </w:r>
            <w:bookmarkStart w:id="2" w:name="_GoBack"/>
            <w:bookmarkEnd w:id="2"/>
            <w:r w:rsidR="001765DA" w:rsidRPr="00C43084">
              <w:rPr>
                <w:rFonts w:ascii="Arial" w:hAnsi="Arial" w:cs="Arial"/>
                <w:sz w:val="20"/>
                <w:szCs w:val="20"/>
              </w:rPr>
              <w:t xml:space="preserve">artment of </w:t>
            </w:r>
            <w:r w:rsidR="00616861" w:rsidRPr="00C43084">
              <w:rPr>
                <w:rFonts w:ascii="Arial" w:hAnsi="Arial" w:cs="Arial"/>
                <w:sz w:val="20"/>
                <w:szCs w:val="20"/>
              </w:rPr>
              <w:t>the</w:t>
            </w:r>
            <w:r w:rsidR="001765DA" w:rsidRPr="00C43084">
              <w:rPr>
                <w:rFonts w:ascii="Arial" w:hAnsi="Arial" w:cs="Arial"/>
                <w:sz w:val="20"/>
                <w:szCs w:val="20"/>
              </w:rPr>
              <w:t xml:space="preserve"> Environment</w:t>
            </w:r>
            <w:r w:rsidRPr="00C43084">
              <w:rPr>
                <w:rFonts w:ascii="Arial" w:hAnsi="Arial" w:cs="Arial"/>
                <w:sz w:val="20"/>
                <w:szCs w:val="20"/>
              </w:rPr>
              <w:t xml:space="preserve"> </w:t>
            </w:r>
          </w:p>
        </w:tc>
      </w:tr>
      <w:tr w:rsidR="001765DA" w:rsidRPr="002A5EC3" w:rsidTr="00B4690F">
        <w:trPr>
          <w:trHeight w:val="19"/>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A03784" w:rsidP="00A03784">
            <w:pPr>
              <w:spacing w:line="276" w:lineRule="auto"/>
              <w:rPr>
                <w:rFonts w:ascii="Arial" w:hAnsi="Arial" w:cs="Arial"/>
                <w:sz w:val="20"/>
                <w:szCs w:val="20"/>
              </w:rPr>
            </w:pPr>
            <w:r>
              <w:rPr>
                <w:rFonts w:ascii="Arial" w:hAnsi="Arial" w:cs="Arial"/>
                <w:sz w:val="20"/>
                <w:szCs w:val="20"/>
              </w:rPr>
              <w:t>19 December</w:t>
            </w:r>
            <w:r w:rsidR="00A10BAB" w:rsidRPr="002A5EC3">
              <w:rPr>
                <w:rFonts w:ascii="Arial" w:hAnsi="Arial" w:cs="Arial"/>
                <w:sz w:val="20"/>
                <w:szCs w:val="20"/>
              </w:rPr>
              <w:t xml:space="preserve"> </w:t>
            </w:r>
            <w:r w:rsidR="00716583" w:rsidRPr="002A5EC3">
              <w:rPr>
                <w:rFonts w:ascii="Arial" w:hAnsi="Arial" w:cs="Arial"/>
                <w:sz w:val="20"/>
                <w:szCs w:val="20"/>
              </w:rPr>
              <w:t>201</w:t>
            </w:r>
            <w:r>
              <w:rPr>
                <w:rFonts w:ascii="Arial" w:hAnsi="Arial" w:cs="Arial"/>
                <w:sz w:val="20"/>
                <w:szCs w:val="20"/>
              </w:rPr>
              <w:t>3</w:t>
            </w:r>
          </w:p>
        </w:tc>
      </w:tr>
      <w:tr w:rsidR="00185039" w:rsidRPr="002A5EC3" w:rsidTr="00B4690F">
        <w:trPr>
          <w:trHeight w:val="19"/>
        </w:trPr>
        <w:tc>
          <w:tcPr>
            <w:tcW w:w="1809" w:type="dxa"/>
            <w:tcBorders>
              <w:top w:val="single" w:sz="4" w:space="0" w:color="auto"/>
              <w:bottom w:val="single" w:sz="4" w:space="0" w:color="auto"/>
            </w:tcBorders>
          </w:tcPr>
          <w:p w:rsidR="00185039" w:rsidRPr="002A5EC3" w:rsidRDefault="00185039" w:rsidP="00B4690F">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A03784" w:rsidP="0081315B">
            <w:pPr>
              <w:spacing w:line="276" w:lineRule="auto"/>
              <w:rPr>
                <w:rFonts w:ascii="Arial" w:hAnsi="Arial" w:cs="Arial"/>
                <w:color w:val="FF0000"/>
                <w:sz w:val="20"/>
                <w:szCs w:val="20"/>
              </w:rPr>
            </w:pPr>
            <w:r>
              <w:rPr>
                <w:rFonts w:ascii="Arial" w:hAnsi="Arial" w:cs="Arial"/>
                <w:sz w:val="20"/>
                <w:szCs w:val="20"/>
              </w:rPr>
              <w:t>23 December 2013</w:t>
            </w:r>
          </w:p>
        </w:tc>
      </w:tr>
      <w:tr w:rsidR="00062A46" w:rsidRPr="002A5EC3" w:rsidTr="00B4690F">
        <w:trPr>
          <w:trHeight w:val="19"/>
        </w:trPr>
        <w:tc>
          <w:tcPr>
            <w:tcW w:w="1809" w:type="dxa"/>
            <w:tcBorders>
              <w:top w:val="single" w:sz="4" w:space="0" w:color="auto"/>
              <w:bottom w:val="single" w:sz="4" w:space="0" w:color="auto"/>
            </w:tcBorders>
            <w:vAlign w:val="center"/>
          </w:tcPr>
          <w:p w:rsidR="00062A46" w:rsidRPr="00B451D3" w:rsidRDefault="00062A46" w:rsidP="00B4690F">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vAlign w:val="center"/>
          </w:tcPr>
          <w:p w:rsidR="00062A46" w:rsidRPr="00B451D3" w:rsidRDefault="00062A46" w:rsidP="00B4690F">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Assessment</w:t>
            </w:r>
          </w:p>
        </w:tc>
      </w:tr>
    </w:tbl>
    <w:p w:rsidR="007203C3" w:rsidRDefault="007203C3" w:rsidP="007203C3">
      <w:pPr>
        <w:pStyle w:val="tablelabel"/>
        <w:spacing w:before="200" w:after="200" w:line="276" w:lineRule="auto"/>
        <w:rPr>
          <w:rFonts w:cs="Arial"/>
          <w:sz w:val="20"/>
        </w:rPr>
      </w:pPr>
      <w:r w:rsidRPr="00F37C48">
        <w:rPr>
          <w:rFonts w:cs="Arial"/>
          <w:sz w:val="20"/>
        </w:rPr>
        <w:t>Advice</w:t>
      </w:r>
    </w:p>
    <w:p w:rsidR="007203C3" w:rsidRDefault="007203C3" w:rsidP="00D10C4C">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sidRPr="002A5EC3">
        <w:rPr>
          <w:rFonts w:ascii="Arial" w:hAnsi="Arial" w:cs="Arial"/>
          <w:sz w:val="20"/>
          <w:szCs w:val="20"/>
        </w:rPr>
        <w:t xml:space="preserve">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r w:rsidRPr="002A5EC3">
        <w:rPr>
          <w:rFonts w:ascii="Arial" w:hAnsi="Arial" w:cs="Arial"/>
          <w:sz w:val="20"/>
          <w:szCs w:val="20"/>
        </w:rPr>
        <w:t xml:space="preserve">(the </w:t>
      </w:r>
      <w:r>
        <w:rPr>
          <w:rFonts w:ascii="Arial" w:hAnsi="Arial" w:cs="Arial"/>
          <w:sz w:val="20"/>
          <w:szCs w:val="20"/>
        </w:rPr>
        <w:t>C</w:t>
      </w:r>
      <w:r w:rsidRPr="002A5EC3">
        <w:rPr>
          <w:rFonts w:ascii="Arial" w:hAnsi="Arial" w:cs="Arial"/>
          <w:sz w:val="20"/>
          <w:szCs w:val="20"/>
        </w:rPr>
        <w:t xml:space="preserve">ommittee) </w:t>
      </w:r>
      <w:r w:rsidRPr="00CC2B33">
        <w:rPr>
          <w:rFonts w:ascii="Arial" w:hAnsi="Arial" w:cs="Arial"/>
          <w:sz w:val="20"/>
          <w:szCs w:val="20"/>
        </w:rPr>
        <w:t xml:space="preserve">was requested </w:t>
      </w:r>
      <w:r w:rsidR="00D10C4C">
        <w:rPr>
          <w:rFonts w:ascii="Arial" w:hAnsi="Arial" w:cs="Arial"/>
          <w:sz w:val="20"/>
          <w:szCs w:val="20"/>
        </w:rPr>
        <w:t xml:space="preserve">by </w:t>
      </w:r>
      <w:r w:rsidR="00D10C4C" w:rsidRPr="00D10C4C">
        <w:rPr>
          <w:rFonts w:ascii="Arial" w:hAnsi="Arial" w:cs="Arial"/>
          <w:sz w:val="20"/>
          <w:szCs w:val="20"/>
        </w:rPr>
        <w:t>the</w:t>
      </w:r>
      <w:r w:rsidR="00C43084">
        <w:rPr>
          <w:rFonts w:ascii="Arial" w:hAnsi="Arial" w:cs="Arial"/>
          <w:sz w:val="20"/>
          <w:szCs w:val="20"/>
        </w:rPr>
        <w:t xml:space="preserve"> Australian Government</w:t>
      </w:r>
      <w:r w:rsidR="00D10C4C" w:rsidRPr="00D10C4C">
        <w:rPr>
          <w:rFonts w:ascii="Arial" w:hAnsi="Arial" w:cs="Arial"/>
          <w:sz w:val="20"/>
          <w:szCs w:val="20"/>
        </w:rPr>
        <w:t xml:space="preserve"> Department of </w:t>
      </w:r>
      <w:r w:rsidR="00D10C4C">
        <w:rPr>
          <w:rFonts w:ascii="Arial" w:hAnsi="Arial" w:cs="Arial"/>
          <w:sz w:val="20"/>
          <w:szCs w:val="20"/>
        </w:rPr>
        <w:t xml:space="preserve">the </w:t>
      </w:r>
      <w:r w:rsidR="00D10C4C" w:rsidRPr="00D10C4C">
        <w:rPr>
          <w:rFonts w:ascii="Arial" w:hAnsi="Arial" w:cs="Arial"/>
          <w:sz w:val="20"/>
          <w:szCs w:val="20"/>
        </w:rPr>
        <w:t xml:space="preserve">Environment </w:t>
      </w:r>
      <w:r w:rsidR="008C0511">
        <w:rPr>
          <w:rFonts w:ascii="Arial" w:hAnsi="Arial" w:cs="Arial"/>
          <w:sz w:val="20"/>
          <w:szCs w:val="20"/>
        </w:rPr>
        <w:t xml:space="preserve">(the Department) </w:t>
      </w:r>
      <w:r w:rsidRPr="00CC2B33">
        <w:rPr>
          <w:rFonts w:ascii="Arial" w:hAnsi="Arial" w:cs="Arial"/>
          <w:sz w:val="20"/>
          <w:szCs w:val="20"/>
        </w:rPr>
        <w:t xml:space="preserve">to provide advice on the </w:t>
      </w:r>
      <w:r w:rsidR="00F72E16">
        <w:rPr>
          <w:rFonts w:ascii="Arial" w:hAnsi="Arial" w:cs="Arial"/>
          <w:sz w:val="20"/>
          <w:szCs w:val="20"/>
        </w:rPr>
        <w:t xml:space="preserve">Bulga Optimisation Project </w:t>
      </w:r>
      <w:r w:rsidRPr="00CC2B33">
        <w:rPr>
          <w:rFonts w:ascii="Arial" w:hAnsi="Arial" w:cs="Arial"/>
          <w:sz w:val="20"/>
          <w:szCs w:val="20"/>
        </w:rPr>
        <w:t xml:space="preserve">in </w:t>
      </w:r>
      <w:r w:rsidR="00F72E16">
        <w:rPr>
          <w:rFonts w:ascii="Arial" w:hAnsi="Arial" w:cs="Arial"/>
          <w:sz w:val="20"/>
          <w:szCs w:val="20"/>
        </w:rPr>
        <w:t>New South Wales</w:t>
      </w:r>
      <w:r w:rsidR="008C0511">
        <w:rPr>
          <w:rFonts w:ascii="Arial" w:hAnsi="Arial" w:cs="Arial"/>
          <w:sz w:val="20"/>
          <w:szCs w:val="20"/>
        </w:rPr>
        <w:t>.</w:t>
      </w:r>
    </w:p>
    <w:p w:rsidR="007203C3" w:rsidRPr="00CC2B33" w:rsidRDefault="007203C3" w:rsidP="007203C3">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This advice draws upon aspects of information in the</w:t>
      </w:r>
      <w:r w:rsidR="008C0511">
        <w:rPr>
          <w:rFonts w:ascii="Arial" w:hAnsi="Arial" w:cs="Arial"/>
          <w:b/>
          <w:color w:val="FF0000"/>
          <w:sz w:val="20"/>
          <w:szCs w:val="20"/>
        </w:rPr>
        <w:t xml:space="preserve"> </w:t>
      </w:r>
      <w:r w:rsidR="008C0511" w:rsidRPr="008C0511">
        <w:rPr>
          <w:rFonts w:ascii="Arial" w:hAnsi="Arial" w:cs="Arial"/>
          <w:sz w:val="20"/>
          <w:szCs w:val="20"/>
        </w:rPr>
        <w:t>Preliminary Documentation</w:t>
      </w:r>
      <w:r w:rsidRPr="00CC2B33">
        <w:rPr>
          <w:rFonts w:ascii="Arial" w:hAnsi="Arial" w:cs="Arial"/>
          <w:sz w:val="20"/>
          <w:szCs w:val="20"/>
        </w:rPr>
        <w:t xml:space="preserve">, together with the expert deliberations of the Committee. The </w:t>
      </w:r>
      <w:r w:rsidRPr="00DC4E2E">
        <w:rPr>
          <w:rFonts w:ascii="Arial" w:hAnsi="Arial" w:cs="Arial"/>
          <w:sz w:val="20"/>
          <w:szCs w:val="20"/>
        </w:rPr>
        <w:t xml:space="preserve">project documentation </w:t>
      </w:r>
      <w:r w:rsidRPr="00CC2B33">
        <w:rPr>
          <w:rFonts w:ascii="Arial" w:hAnsi="Arial" w:cs="Arial"/>
          <w:sz w:val="20"/>
          <w:szCs w:val="20"/>
        </w:rPr>
        <w:t>and information accessed by the Committee are listed in the source documentation at the end of this advice.</w:t>
      </w:r>
    </w:p>
    <w:p w:rsidR="0009140E" w:rsidRPr="00E66F50" w:rsidRDefault="0009140E" w:rsidP="0009140E">
      <w:pPr>
        <w:tabs>
          <w:tab w:val="left" w:pos="425"/>
        </w:tabs>
        <w:spacing w:after="200" w:line="276" w:lineRule="auto"/>
        <w:rPr>
          <w:rFonts w:ascii="Arial" w:eastAsia="Calibri" w:hAnsi="Arial" w:cs="Arial"/>
          <w:sz w:val="20"/>
          <w:szCs w:val="22"/>
          <w:lang w:val="en-US"/>
        </w:rPr>
      </w:pPr>
      <w:r>
        <w:rPr>
          <w:rFonts w:ascii="Arial" w:eastAsia="Calibri" w:hAnsi="Arial" w:cs="Arial"/>
          <w:sz w:val="20"/>
          <w:szCs w:val="22"/>
          <w:lang w:val="en-US"/>
        </w:rPr>
        <w:t xml:space="preserve">The </w:t>
      </w:r>
      <w:proofErr w:type="spellStart"/>
      <w:r>
        <w:rPr>
          <w:rFonts w:ascii="Arial" w:eastAsia="Calibri" w:hAnsi="Arial" w:cs="Arial"/>
          <w:sz w:val="20"/>
          <w:szCs w:val="22"/>
          <w:lang w:val="en-US"/>
        </w:rPr>
        <w:t>Bulga</w:t>
      </w:r>
      <w:proofErr w:type="spellEnd"/>
      <w:r>
        <w:rPr>
          <w:rFonts w:ascii="Arial" w:eastAsia="Calibri" w:hAnsi="Arial" w:cs="Arial"/>
          <w:sz w:val="20"/>
          <w:szCs w:val="22"/>
          <w:lang w:val="en-US"/>
        </w:rPr>
        <w:t xml:space="preserve"> </w:t>
      </w:r>
      <w:proofErr w:type="spellStart"/>
      <w:r>
        <w:rPr>
          <w:rFonts w:ascii="Arial" w:eastAsia="Calibri" w:hAnsi="Arial" w:cs="Arial"/>
          <w:sz w:val="20"/>
          <w:szCs w:val="22"/>
          <w:lang w:val="en-US"/>
        </w:rPr>
        <w:t>Optimisation</w:t>
      </w:r>
      <w:proofErr w:type="spellEnd"/>
      <w:r>
        <w:rPr>
          <w:rFonts w:ascii="Arial" w:eastAsia="Calibri" w:hAnsi="Arial" w:cs="Arial"/>
          <w:sz w:val="20"/>
          <w:szCs w:val="22"/>
          <w:lang w:val="en-US"/>
        </w:rPr>
        <w:t xml:space="preserve"> Project is </w:t>
      </w:r>
      <w:r w:rsidRPr="00E66F50">
        <w:rPr>
          <w:rFonts w:ascii="Arial" w:eastAsia="Calibri" w:hAnsi="Arial" w:cs="Arial"/>
          <w:sz w:val="20"/>
          <w:szCs w:val="22"/>
          <w:lang w:val="en-US"/>
        </w:rPr>
        <w:t xml:space="preserve">located in the Hunter Valley of New South Wales, approximately 12 km southeast of the township of Singleton, 4 km southeast of </w:t>
      </w:r>
      <w:r w:rsidRPr="00E66F50">
        <w:rPr>
          <w:rFonts w:ascii="Arial" w:eastAsia="Calibri" w:hAnsi="Arial" w:cs="Arial"/>
          <w:sz w:val="20"/>
          <w:szCs w:val="22"/>
        </w:rPr>
        <w:t>Bulga</w:t>
      </w:r>
      <w:r w:rsidRPr="00E66F50">
        <w:rPr>
          <w:rFonts w:ascii="Arial" w:eastAsia="Calibri" w:hAnsi="Arial" w:cs="Arial"/>
          <w:sz w:val="20"/>
          <w:szCs w:val="22"/>
          <w:lang w:val="en-US"/>
        </w:rPr>
        <w:t xml:space="preserve"> Village and 4 km north of the village of Broke. The project is proposed to be undertaken within the catchments of Wollombi Brook</w:t>
      </w:r>
      <w:r w:rsidRPr="00E66F50">
        <w:rPr>
          <w:rFonts w:ascii="Arial" w:eastAsia="Calibri" w:hAnsi="Arial" w:cs="Arial"/>
          <w:bCs/>
          <w:color w:val="000000" w:themeColor="text1"/>
          <w:sz w:val="20"/>
          <w:szCs w:val="22"/>
          <w:lang w:val="en-US"/>
        </w:rPr>
        <w:t xml:space="preserve"> </w:t>
      </w:r>
      <w:r w:rsidRPr="00E66F50">
        <w:rPr>
          <w:rFonts w:ascii="Arial" w:eastAsia="Calibri" w:hAnsi="Arial" w:cs="Arial"/>
          <w:sz w:val="20"/>
          <w:szCs w:val="22"/>
          <w:lang w:val="en-US"/>
        </w:rPr>
        <w:t xml:space="preserve">and Loders Creek, both of which are tributaries of the Hunter River. </w:t>
      </w:r>
    </w:p>
    <w:p w:rsidR="00566912" w:rsidRDefault="00566912" w:rsidP="00E66F50">
      <w:pPr>
        <w:tabs>
          <w:tab w:val="left" w:pos="425"/>
        </w:tabs>
        <w:spacing w:after="200" w:line="276" w:lineRule="auto"/>
        <w:rPr>
          <w:rFonts w:ascii="Arial" w:eastAsia="Calibri" w:hAnsi="Arial" w:cs="Arial"/>
          <w:sz w:val="20"/>
          <w:szCs w:val="22"/>
          <w:lang w:val="en-US"/>
        </w:rPr>
      </w:pPr>
      <w:r>
        <w:rPr>
          <w:rFonts w:ascii="Arial" w:eastAsia="Calibri" w:hAnsi="Arial" w:cs="Arial"/>
          <w:sz w:val="20"/>
          <w:szCs w:val="22"/>
          <w:lang w:val="en-US"/>
        </w:rPr>
        <w:t xml:space="preserve">The </w:t>
      </w:r>
      <w:proofErr w:type="spellStart"/>
      <w:r>
        <w:rPr>
          <w:rFonts w:ascii="Arial" w:eastAsia="Calibri" w:hAnsi="Arial" w:cs="Arial"/>
          <w:sz w:val="20"/>
          <w:szCs w:val="22"/>
          <w:lang w:val="en-US"/>
        </w:rPr>
        <w:t>Bulga</w:t>
      </w:r>
      <w:proofErr w:type="spellEnd"/>
      <w:r>
        <w:rPr>
          <w:rFonts w:ascii="Arial" w:eastAsia="Calibri" w:hAnsi="Arial" w:cs="Arial"/>
          <w:sz w:val="20"/>
          <w:szCs w:val="22"/>
          <w:lang w:val="en-US"/>
        </w:rPr>
        <w:t xml:space="preserve"> </w:t>
      </w:r>
      <w:proofErr w:type="spellStart"/>
      <w:r>
        <w:rPr>
          <w:rFonts w:ascii="Arial" w:eastAsia="Calibri" w:hAnsi="Arial" w:cs="Arial"/>
          <w:sz w:val="20"/>
          <w:szCs w:val="22"/>
          <w:lang w:val="en-US"/>
        </w:rPr>
        <w:t>Optimisation</w:t>
      </w:r>
      <w:proofErr w:type="spellEnd"/>
      <w:r>
        <w:rPr>
          <w:rFonts w:ascii="Arial" w:eastAsia="Calibri" w:hAnsi="Arial" w:cs="Arial"/>
          <w:sz w:val="20"/>
          <w:szCs w:val="22"/>
          <w:lang w:val="en-US"/>
        </w:rPr>
        <w:t xml:space="preserve"> Project</w:t>
      </w:r>
      <w:r w:rsidR="00E66F50" w:rsidRPr="00E66F50">
        <w:rPr>
          <w:rFonts w:ascii="Arial" w:eastAsia="Calibri" w:hAnsi="Arial" w:cs="Arial"/>
          <w:sz w:val="20"/>
          <w:szCs w:val="22"/>
          <w:lang w:val="en-US"/>
        </w:rPr>
        <w:t xml:space="preserve"> </w:t>
      </w:r>
      <w:r w:rsidRPr="00E66F50">
        <w:rPr>
          <w:rFonts w:ascii="Arial" w:eastAsia="Calibri" w:hAnsi="Arial" w:cs="Arial"/>
          <w:sz w:val="20"/>
          <w:szCs w:val="22"/>
          <w:lang w:val="en-US"/>
        </w:rPr>
        <w:t xml:space="preserve">involves extending the life of the existing </w:t>
      </w:r>
      <w:proofErr w:type="spellStart"/>
      <w:r w:rsidRPr="00E66F50">
        <w:rPr>
          <w:rFonts w:ascii="Arial" w:eastAsia="Calibri" w:hAnsi="Arial" w:cs="Arial"/>
          <w:sz w:val="20"/>
          <w:szCs w:val="22"/>
          <w:lang w:val="en-US"/>
        </w:rPr>
        <w:t>Bulga</w:t>
      </w:r>
      <w:proofErr w:type="spellEnd"/>
      <w:r w:rsidRPr="00E66F50">
        <w:rPr>
          <w:rFonts w:ascii="Arial" w:eastAsia="Calibri" w:hAnsi="Arial" w:cs="Arial"/>
          <w:sz w:val="20"/>
          <w:szCs w:val="22"/>
          <w:lang w:val="en-US"/>
        </w:rPr>
        <w:t xml:space="preserve"> open cut coal mining operations</w:t>
      </w:r>
      <w:r w:rsidRPr="0006137D">
        <w:rPr>
          <w:rFonts w:ascii="Arial" w:eastAsia="Calibri" w:hAnsi="Arial" w:cs="Arial"/>
          <w:sz w:val="20"/>
          <w:szCs w:val="22"/>
          <w:lang w:val="en-US"/>
        </w:rPr>
        <w:t xml:space="preserve"> for a further 21</w:t>
      </w:r>
      <w:r w:rsidRPr="00E66F50">
        <w:rPr>
          <w:rFonts w:ascii="Arial" w:eastAsia="Calibri" w:hAnsi="Arial" w:cs="Arial"/>
          <w:sz w:val="20"/>
          <w:szCs w:val="22"/>
          <w:lang w:val="en-US"/>
        </w:rPr>
        <w:t xml:space="preserve"> years</w:t>
      </w:r>
      <w:r w:rsidR="0028278E">
        <w:rPr>
          <w:rFonts w:ascii="Arial" w:eastAsia="Calibri" w:hAnsi="Arial" w:cs="Arial"/>
          <w:sz w:val="20"/>
          <w:szCs w:val="22"/>
          <w:lang w:val="en-US"/>
        </w:rPr>
        <w:t>,</w:t>
      </w:r>
      <w:r w:rsidRPr="00E66F50">
        <w:rPr>
          <w:rFonts w:ascii="Arial" w:eastAsia="Calibri" w:hAnsi="Arial" w:cs="Arial"/>
          <w:sz w:val="20"/>
          <w:szCs w:val="22"/>
          <w:lang w:val="en-US"/>
        </w:rPr>
        <w:t xml:space="preserve"> with ongoing rehabilitation to continue for approximately two years following the completion of mining. The proposed project involves the extraction of approximately </w:t>
      </w:r>
      <w:r>
        <w:rPr>
          <w:rFonts w:ascii="Arial" w:eastAsia="Calibri" w:hAnsi="Arial" w:cs="Arial"/>
          <w:sz w:val="20"/>
          <w:szCs w:val="22"/>
          <w:lang w:val="en-US"/>
        </w:rPr>
        <w:br/>
      </w:r>
      <w:r w:rsidR="0009140E">
        <w:rPr>
          <w:rFonts w:ascii="Arial" w:eastAsia="Calibri" w:hAnsi="Arial" w:cs="Arial"/>
          <w:sz w:val="20"/>
          <w:szCs w:val="22"/>
          <w:lang w:val="en-US"/>
        </w:rPr>
        <w:t>200 Million tonnes</w:t>
      </w:r>
      <w:r w:rsidRPr="00E66F50">
        <w:rPr>
          <w:rFonts w:ascii="Arial" w:eastAsia="Calibri" w:hAnsi="Arial" w:cs="Arial"/>
          <w:sz w:val="20"/>
          <w:szCs w:val="22"/>
          <w:lang w:val="en-US"/>
        </w:rPr>
        <w:t xml:space="preserve"> of Run of Mine (ROM) thermal coal </w:t>
      </w:r>
      <w:r w:rsidRPr="0006137D">
        <w:rPr>
          <w:rFonts w:ascii="Arial" w:eastAsia="Calibri" w:hAnsi="Arial" w:cs="Arial"/>
          <w:sz w:val="20"/>
          <w:szCs w:val="22"/>
          <w:lang w:val="en-US"/>
        </w:rPr>
        <w:t>utilising</w:t>
      </w:r>
      <w:r w:rsidRPr="00E66F50">
        <w:rPr>
          <w:rFonts w:ascii="Arial" w:eastAsia="Calibri" w:hAnsi="Arial" w:cs="Arial"/>
          <w:sz w:val="20"/>
          <w:szCs w:val="22"/>
          <w:lang w:val="en-US"/>
        </w:rPr>
        <w:t xml:space="preserve"> the highwall and auger open cut methods</w:t>
      </w:r>
      <w:r>
        <w:rPr>
          <w:rFonts w:ascii="Arial" w:eastAsia="Calibri" w:hAnsi="Arial" w:cs="Arial"/>
          <w:sz w:val="20"/>
          <w:szCs w:val="22"/>
          <w:lang w:val="en-US"/>
        </w:rPr>
        <w:t>.</w:t>
      </w:r>
      <w:r w:rsidR="0006137D">
        <w:rPr>
          <w:rFonts w:ascii="Arial" w:eastAsia="Calibri" w:hAnsi="Arial" w:cs="Arial"/>
          <w:sz w:val="20"/>
          <w:szCs w:val="22"/>
          <w:lang w:val="en-US"/>
        </w:rPr>
        <w:t xml:space="preserve"> </w:t>
      </w:r>
      <w:r w:rsidR="0006137D" w:rsidRPr="00E66F50">
        <w:rPr>
          <w:rFonts w:ascii="Arial" w:eastAsia="Calibri" w:hAnsi="Arial" w:cs="Arial"/>
          <w:sz w:val="20"/>
          <w:szCs w:val="22"/>
          <w:lang w:val="en-US"/>
        </w:rPr>
        <w:t>Mining is proposed to occur at a rate of approximately 12.2 Million tonnes per annum (Mtpa) with approximately 20 Mtpa of ROM coal to be processed by the Coal Handling and Preparation Plant (CHPP). The excess coal processed by the CHPP would be gathered from the existing coal storage facilities and through the extraction of coal from an existing approved underground mine.</w:t>
      </w:r>
    </w:p>
    <w:p w:rsidR="007203C3" w:rsidRPr="00CC2B33" w:rsidRDefault="007203C3" w:rsidP="00AF52DA">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The Committee, in line with its Information Guidelines</w:t>
      </w:r>
      <w:r w:rsidRPr="00CC2B33">
        <w:rPr>
          <w:rFonts w:ascii="Arial" w:hAnsi="Arial" w:cs="Arial"/>
          <w:sz w:val="20"/>
          <w:szCs w:val="20"/>
          <w:vertAlign w:val="superscript"/>
        </w:rPr>
        <w:t>1</w:t>
      </w:r>
      <w:r w:rsidRPr="00CC2B33">
        <w:rPr>
          <w:rFonts w:ascii="Arial" w:hAnsi="Arial" w:cs="Arial"/>
          <w:sz w:val="20"/>
          <w:szCs w:val="20"/>
        </w:rPr>
        <w:t>, has considered whether the proposed project assessment has used the following:</w:t>
      </w:r>
    </w:p>
    <w:p w:rsidR="007203C3" w:rsidRPr="00CC2B33" w:rsidRDefault="007203C3" w:rsidP="00AF52DA">
      <w:pPr>
        <w:pStyle w:val="PlainText"/>
        <w:spacing w:after="200" w:line="276" w:lineRule="auto"/>
        <w:rPr>
          <w:rFonts w:ascii="Arial" w:eastAsia="Times New Roman" w:hAnsi="Arial" w:cs="Arial"/>
          <w:sz w:val="20"/>
          <w:szCs w:val="20"/>
          <w:u w:val="single"/>
        </w:rPr>
      </w:pPr>
      <w:r w:rsidRPr="00CC2B33">
        <w:rPr>
          <w:rFonts w:ascii="Arial" w:eastAsia="Times New Roman" w:hAnsi="Arial" w:cs="Arial"/>
          <w:sz w:val="20"/>
          <w:szCs w:val="20"/>
          <w:u w:val="single"/>
        </w:rPr>
        <w:t>Relevant data and information: key conclusions</w:t>
      </w:r>
    </w:p>
    <w:p w:rsidR="000E7C58" w:rsidRDefault="00E8533E" w:rsidP="00D95CEB">
      <w:pPr>
        <w:pStyle w:val="PlainText"/>
        <w:spacing w:after="200" w:line="276" w:lineRule="auto"/>
        <w:rPr>
          <w:rFonts w:ascii="Arial" w:hAnsi="Arial" w:cs="Arial"/>
          <w:sz w:val="20"/>
          <w:szCs w:val="20"/>
          <w:lang w:val="en-US"/>
        </w:rPr>
      </w:pPr>
      <w:r>
        <w:rPr>
          <w:rFonts w:ascii="Arial" w:hAnsi="Arial" w:cs="Arial"/>
          <w:bCs/>
          <w:sz w:val="20"/>
          <w:szCs w:val="20"/>
          <w:lang w:val="en-US"/>
        </w:rPr>
        <w:lastRenderedPageBreak/>
        <w:t xml:space="preserve">The proponent has </w:t>
      </w:r>
      <w:r w:rsidR="00A909F7">
        <w:rPr>
          <w:rFonts w:ascii="Arial" w:hAnsi="Arial" w:cs="Arial"/>
          <w:bCs/>
          <w:sz w:val="20"/>
          <w:szCs w:val="20"/>
          <w:lang w:val="en-US"/>
        </w:rPr>
        <w:t>provided</w:t>
      </w:r>
      <w:r>
        <w:rPr>
          <w:rFonts w:ascii="Arial" w:hAnsi="Arial" w:cs="Arial"/>
          <w:bCs/>
          <w:sz w:val="20"/>
          <w:szCs w:val="20"/>
          <w:lang w:val="en-US"/>
        </w:rPr>
        <w:t xml:space="preserve"> a site water balance that presents detailed data and information on the site water use </w:t>
      </w:r>
      <w:r w:rsidR="00705294">
        <w:rPr>
          <w:rFonts w:ascii="Arial" w:hAnsi="Arial" w:cs="Arial"/>
          <w:bCs/>
          <w:sz w:val="20"/>
          <w:szCs w:val="20"/>
          <w:lang w:val="en-US"/>
        </w:rPr>
        <w:t>over</w:t>
      </w:r>
      <w:r>
        <w:rPr>
          <w:rFonts w:ascii="Arial" w:hAnsi="Arial" w:cs="Arial"/>
          <w:bCs/>
          <w:sz w:val="20"/>
          <w:szCs w:val="20"/>
          <w:lang w:val="en-US"/>
        </w:rPr>
        <w:t xml:space="preserve"> the life of the proposed project. </w:t>
      </w:r>
      <w:r w:rsidR="000827BE">
        <w:rPr>
          <w:rFonts w:ascii="Arial" w:hAnsi="Arial" w:cs="Arial"/>
          <w:bCs/>
          <w:sz w:val="20"/>
          <w:szCs w:val="20"/>
          <w:lang w:val="en-US"/>
        </w:rPr>
        <w:t>However, r</w:t>
      </w:r>
      <w:r w:rsidR="00AF52DA" w:rsidRPr="002578E7">
        <w:rPr>
          <w:rFonts w:ascii="Arial" w:hAnsi="Arial" w:cs="Arial"/>
          <w:bCs/>
          <w:sz w:val="20"/>
          <w:szCs w:val="20"/>
          <w:lang w:val="en-US"/>
        </w:rPr>
        <w:t xml:space="preserve">elevant data or information </w:t>
      </w:r>
      <w:r w:rsidR="00AF52DA" w:rsidRPr="002578E7">
        <w:rPr>
          <w:rFonts w:ascii="Arial" w:hAnsi="Arial" w:cs="Arial"/>
          <w:sz w:val="20"/>
          <w:szCs w:val="20"/>
          <w:lang w:val="en-US"/>
        </w:rPr>
        <w:t>has not been provided</w:t>
      </w:r>
      <w:r w:rsidR="00D95CEB">
        <w:rPr>
          <w:rFonts w:ascii="Arial" w:hAnsi="Arial" w:cs="Arial"/>
          <w:bCs/>
          <w:sz w:val="20"/>
          <w:szCs w:val="20"/>
          <w:lang w:val="en-US"/>
        </w:rPr>
        <w:t xml:space="preserve"> in relation to the </w:t>
      </w:r>
      <w:r w:rsidR="001B63D7">
        <w:rPr>
          <w:rFonts w:ascii="Arial" w:hAnsi="Arial" w:cs="Arial"/>
          <w:sz w:val="20"/>
          <w:szCs w:val="20"/>
          <w:lang w:val="en-US"/>
        </w:rPr>
        <w:t>proposed project’s</w:t>
      </w:r>
      <w:r w:rsidR="00AF52DA" w:rsidRPr="002578E7">
        <w:rPr>
          <w:rFonts w:ascii="Arial" w:hAnsi="Arial" w:cs="Arial"/>
          <w:sz w:val="20"/>
          <w:szCs w:val="20"/>
          <w:lang w:val="en-US"/>
        </w:rPr>
        <w:t xml:space="preserve"> </w:t>
      </w:r>
      <w:r w:rsidR="00705294">
        <w:rPr>
          <w:rFonts w:ascii="Arial" w:hAnsi="Arial" w:cs="Arial"/>
          <w:sz w:val="20"/>
          <w:szCs w:val="20"/>
          <w:lang w:val="en-US"/>
        </w:rPr>
        <w:t xml:space="preserve">contribution to cumulative </w:t>
      </w:r>
      <w:r w:rsidR="00041D41">
        <w:rPr>
          <w:rFonts w:ascii="Arial" w:hAnsi="Arial" w:cs="Arial"/>
          <w:sz w:val="20"/>
          <w:szCs w:val="20"/>
          <w:lang w:val="en-US"/>
        </w:rPr>
        <w:t>impacts</w:t>
      </w:r>
      <w:r w:rsidR="00AF52DA" w:rsidRPr="002578E7">
        <w:rPr>
          <w:rFonts w:ascii="Arial" w:hAnsi="Arial" w:cs="Arial"/>
          <w:sz w:val="20"/>
          <w:szCs w:val="20"/>
          <w:lang w:val="en-US"/>
        </w:rPr>
        <w:t xml:space="preserve"> to </w:t>
      </w:r>
      <w:r w:rsidR="00D8454E">
        <w:rPr>
          <w:rFonts w:ascii="Arial" w:hAnsi="Arial" w:cs="Arial"/>
          <w:sz w:val="20"/>
          <w:szCs w:val="20"/>
          <w:lang w:val="en-US"/>
        </w:rPr>
        <w:t xml:space="preserve">regional surface water (Wollombi Brook and Loders </w:t>
      </w:r>
      <w:r w:rsidR="00041D41">
        <w:rPr>
          <w:rFonts w:ascii="Arial" w:hAnsi="Arial" w:cs="Arial"/>
          <w:sz w:val="20"/>
          <w:szCs w:val="20"/>
          <w:lang w:val="en-US"/>
        </w:rPr>
        <w:t>Creek catchments) and regional groundwater (</w:t>
      </w:r>
      <w:proofErr w:type="spellStart"/>
      <w:r w:rsidR="00041D41">
        <w:rPr>
          <w:rFonts w:ascii="Arial" w:hAnsi="Arial" w:cs="Arial"/>
          <w:sz w:val="20"/>
          <w:szCs w:val="20"/>
          <w:lang w:val="en-US"/>
        </w:rPr>
        <w:t>Wittingham</w:t>
      </w:r>
      <w:proofErr w:type="spellEnd"/>
      <w:r w:rsidR="00041D41">
        <w:rPr>
          <w:rFonts w:ascii="Arial" w:hAnsi="Arial" w:cs="Arial"/>
          <w:sz w:val="20"/>
          <w:szCs w:val="20"/>
          <w:lang w:val="en-US"/>
        </w:rPr>
        <w:t xml:space="preserve"> Coal</w:t>
      </w:r>
      <w:r w:rsidR="000E7C58">
        <w:rPr>
          <w:rFonts w:ascii="Arial" w:hAnsi="Arial" w:cs="Arial"/>
          <w:sz w:val="20"/>
          <w:szCs w:val="20"/>
          <w:lang w:val="en-US"/>
        </w:rPr>
        <w:t> </w:t>
      </w:r>
      <w:r w:rsidR="00041D41">
        <w:rPr>
          <w:rFonts w:ascii="Arial" w:hAnsi="Arial" w:cs="Arial"/>
          <w:sz w:val="20"/>
          <w:szCs w:val="20"/>
          <w:lang w:val="en-US"/>
        </w:rPr>
        <w:t>Measures).</w:t>
      </w:r>
      <w:r w:rsidR="003D3C81">
        <w:rPr>
          <w:rFonts w:ascii="Arial" w:hAnsi="Arial" w:cs="Arial"/>
          <w:sz w:val="20"/>
          <w:szCs w:val="20"/>
          <w:lang w:val="en-US"/>
        </w:rPr>
        <w:t xml:space="preserve"> </w:t>
      </w:r>
    </w:p>
    <w:p w:rsidR="00AF52DA" w:rsidRPr="002578E7" w:rsidRDefault="001B63D7" w:rsidP="00D95CEB">
      <w:pPr>
        <w:pStyle w:val="PlainText"/>
        <w:spacing w:after="200" w:line="276" w:lineRule="auto"/>
        <w:rPr>
          <w:rFonts w:ascii="Arial" w:hAnsi="Arial" w:cs="Arial"/>
          <w:sz w:val="20"/>
          <w:szCs w:val="20"/>
          <w:lang w:val="en-US"/>
        </w:rPr>
      </w:pPr>
      <w:r>
        <w:rPr>
          <w:rFonts w:ascii="Arial" w:hAnsi="Arial" w:cs="Arial"/>
          <w:sz w:val="20"/>
          <w:szCs w:val="20"/>
          <w:lang w:val="en-US"/>
        </w:rPr>
        <w:t>A detailed description and analysis of the</w:t>
      </w:r>
      <w:r w:rsidR="00D95CEB" w:rsidRPr="00D95CEB">
        <w:rPr>
          <w:rFonts w:ascii="Arial" w:hAnsi="Arial" w:cs="Arial"/>
          <w:sz w:val="20"/>
          <w:szCs w:val="20"/>
          <w:lang w:val="en-US"/>
        </w:rPr>
        <w:t xml:space="preserve"> </w:t>
      </w:r>
      <w:r w:rsidR="00D95CEB">
        <w:rPr>
          <w:rFonts w:ascii="Arial" w:hAnsi="Arial" w:cs="Arial"/>
          <w:sz w:val="20"/>
          <w:szCs w:val="20"/>
          <w:lang w:val="en-US"/>
        </w:rPr>
        <w:t>i</w:t>
      </w:r>
      <w:r w:rsidR="00D95CEB" w:rsidRPr="002578E7">
        <w:rPr>
          <w:rFonts w:ascii="Arial" w:hAnsi="Arial" w:cs="Arial"/>
          <w:sz w:val="20"/>
          <w:szCs w:val="20"/>
          <w:lang w:val="en-US"/>
        </w:rPr>
        <w:t>nterconnectivity of hydrogeological units</w:t>
      </w:r>
      <w:r>
        <w:rPr>
          <w:rFonts w:ascii="Arial" w:hAnsi="Arial" w:cs="Arial"/>
          <w:sz w:val="20"/>
          <w:szCs w:val="20"/>
          <w:lang w:val="en-US"/>
        </w:rPr>
        <w:t>,</w:t>
      </w:r>
      <w:r w:rsidR="00D95CEB" w:rsidRPr="002578E7">
        <w:rPr>
          <w:rFonts w:ascii="Arial" w:hAnsi="Arial" w:cs="Arial"/>
          <w:sz w:val="20"/>
          <w:szCs w:val="20"/>
          <w:lang w:val="en-US"/>
        </w:rPr>
        <w:t xml:space="preserve"> including </w:t>
      </w:r>
      <w:r w:rsidRPr="002578E7">
        <w:rPr>
          <w:rFonts w:ascii="Arial" w:hAnsi="Arial" w:cs="Arial"/>
          <w:sz w:val="20"/>
          <w:szCs w:val="20"/>
          <w:lang w:val="en-US"/>
        </w:rPr>
        <w:t xml:space="preserve">interactions </w:t>
      </w:r>
      <w:r>
        <w:rPr>
          <w:rFonts w:ascii="Arial" w:hAnsi="Arial" w:cs="Arial"/>
          <w:sz w:val="20"/>
          <w:szCs w:val="20"/>
          <w:lang w:val="en-US"/>
        </w:rPr>
        <w:t xml:space="preserve">between </w:t>
      </w:r>
      <w:r w:rsidRPr="002578E7">
        <w:rPr>
          <w:rFonts w:ascii="Arial" w:hAnsi="Arial" w:cs="Arial"/>
          <w:sz w:val="20"/>
          <w:szCs w:val="20"/>
          <w:lang w:val="en-US"/>
        </w:rPr>
        <w:t xml:space="preserve">surface </w:t>
      </w:r>
      <w:r w:rsidR="00D95CEB" w:rsidRPr="002578E7">
        <w:rPr>
          <w:rFonts w:ascii="Arial" w:hAnsi="Arial" w:cs="Arial"/>
          <w:sz w:val="20"/>
          <w:szCs w:val="20"/>
          <w:lang w:val="en-US"/>
        </w:rPr>
        <w:t xml:space="preserve">and </w:t>
      </w:r>
      <w:r>
        <w:rPr>
          <w:rFonts w:ascii="Arial" w:hAnsi="Arial" w:cs="Arial"/>
          <w:sz w:val="20"/>
          <w:szCs w:val="20"/>
          <w:lang w:val="en-US"/>
        </w:rPr>
        <w:t>ground</w:t>
      </w:r>
      <w:r w:rsidR="00D95CEB" w:rsidRPr="002578E7">
        <w:rPr>
          <w:rFonts w:ascii="Arial" w:hAnsi="Arial" w:cs="Arial"/>
          <w:sz w:val="20"/>
          <w:szCs w:val="20"/>
          <w:lang w:val="en-US"/>
        </w:rPr>
        <w:t>water w</w:t>
      </w:r>
      <w:r>
        <w:rPr>
          <w:rFonts w:ascii="Arial" w:hAnsi="Arial" w:cs="Arial"/>
          <w:sz w:val="20"/>
          <w:szCs w:val="20"/>
          <w:lang w:val="en-US"/>
        </w:rPr>
        <w:t>ithin the groundwater model area</w:t>
      </w:r>
      <w:r w:rsidR="000E7C58">
        <w:rPr>
          <w:rFonts w:ascii="Arial" w:hAnsi="Arial" w:cs="Arial"/>
          <w:sz w:val="20"/>
          <w:szCs w:val="20"/>
          <w:lang w:val="en-US"/>
        </w:rPr>
        <w:t>, has not been clearly defined</w:t>
      </w:r>
      <w:r w:rsidR="003D3C81">
        <w:rPr>
          <w:rFonts w:ascii="Arial" w:hAnsi="Arial" w:cs="Arial"/>
          <w:sz w:val="20"/>
          <w:szCs w:val="20"/>
          <w:lang w:val="en-US"/>
        </w:rPr>
        <w:t>.</w:t>
      </w:r>
      <w:r w:rsidR="00D95CEB">
        <w:rPr>
          <w:rFonts w:ascii="Arial" w:hAnsi="Arial" w:cs="Arial"/>
          <w:sz w:val="20"/>
          <w:szCs w:val="20"/>
          <w:lang w:val="en-US"/>
        </w:rPr>
        <w:t xml:space="preserve"> </w:t>
      </w:r>
      <w:r w:rsidR="000E7C58">
        <w:rPr>
          <w:rFonts w:ascii="Arial" w:hAnsi="Arial" w:cs="Arial"/>
          <w:sz w:val="20"/>
          <w:szCs w:val="20"/>
          <w:lang w:val="en-US"/>
        </w:rPr>
        <w:t xml:space="preserve">A baseline </w:t>
      </w:r>
      <w:r w:rsidR="00576E4B">
        <w:rPr>
          <w:rFonts w:ascii="Arial" w:hAnsi="Arial" w:cs="Arial"/>
          <w:sz w:val="20"/>
          <w:szCs w:val="20"/>
          <w:lang w:val="en-US"/>
        </w:rPr>
        <w:t>assessment of</w:t>
      </w:r>
      <w:r w:rsidR="000E7C58">
        <w:rPr>
          <w:rFonts w:ascii="Arial" w:hAnsi="Arial" w:cs="Arial"/>
          <w:sz w:val="20"/>
          <w:szCs w:val="20"/>
          <w:lang w:val="en-US"/>
        </w:rPr>
        <w:t xml:space="preserve"> aquatic and terrestrial water dependent ecosystems has not been provided.</w:t>
      </w:r>
    </w:p>
    <w:p w:rsidR="007203C3" w:rsidRPr="00C56904" w:rsidRDefault="007203C3" w:rsidP="00AF52DA">
      <w:pPr>
        <w:pStyle w:val="PlainText"/>
        <w:spacing w:after="200" w:line="276" w:lineRule="auto"/>
        <w:rPr>
          <w:rFonts w:ascii="Arial" w:hAnsi="Arial" w:cs="Arial"/>
          <w:sz w:val="20"/>
          <w:szCs w:val="20"/>
          <w:u w:val="single"/>
        </w:rPr>
      </w:pPr>
      <w:r w:rsidRPr="00C56904">
        <w:rPr>
          <w:rFonts w:ascii="Arial" w:hAnsi="Arial" w:cs="Arial"/>
          <w:sz w:val="20"/>
          <w:szCs w:val="20"/>
          <w:u w:val="single"/>
        </w:rPr>
        <w:t>Application of appropriate methodologies: key conclusions</w:t>
      </w:r>
    </w:p>
    <w:p w:rsidR="003E3B0F" w:rsidRPr="00E3221C" w:rsidRDefault="00AF52DA" w:rsidP="00576E4B">
      <w:pPr>
        <w:pStyle w:val="PlainText"/>
        <w:spacing w:after="120" w:line="276" w:lineRule="auto"/>
        <w:rPr>
          <w:rFonts w:ascii="Arial" w:hAnsi="Arial" w:cs="Arial"/>
          <w:sz w:val="20"/>
          <w:szCs w:val="20"/>
          <w:lang w:val="en-US"/>
        </w:rPr>
      </w:pPr>
      <w:r w:rsidRPr="00606A90">
        <w:rPr>
          <w:rFonts w:ascii="Arial" w:hAnsi="Arial" w:cs="Arial"/>
          <w:bCs/>
          <w:sz w:val="20"/>
          <w:szCs w:val="20"/>
          <w:lang w:val="en-US"/>
        </w:rPr>
        <w:t>The Preliminary Documentation contains various assessments and reports that provide an indication of the potential impacts of the proposed action and a general overview of the proposed moni</w:t>
      </w:r>
      <w:r w:rsidR="000827BE">
        <w:rPr>
          <w:rFonts w:ascii="Arial" w:hAnsi="Arial" w:cs="Arial"/>
          <w:bCs/>
          <w:sz w:val="20"/>
          <w:szCs w:val="20"/>
          <w:lang w:val="en-US"/>
        </w:rPr>
        <w:t>toring and mitigation measures.</w:t>
      </w:r>
      <w:r w:rsidR="00576E4B" w:rsidRPr="00576E4B">
        <w:rPr>
          <w:rFonts w:ascii="Arial" w:hAnsi="Arial" w:cs="Arial"/>
          <w:bCs/>
          <w:sz w:val="20"/>
          <w:szCs w:val="20"/>
          <w:lang w:val="en-US"/>
        </w:rPr>
        <w:t xml:space="preserve"> </w:t>
      </w:r>
      <w:r w:rsidR="00576E4B">
        <w:rPr>
          <w:rFonts w:ascii="Arial" w:hAnsi="Arial" w:cs="Arial"/>
          <w:bCs/>
          <w:sz w:val="20"/>
          <w:szCs w:val="20"/>
          <w:lang w:val="en-US"/>
        </w:rPr>
        <w:t xml:space="preserve">The proponent has utilised a groundwater model that is of moderate to high complexity, which </w:t>
      </w:r>
      <w:r w:rsidR="00E35E33">
        <w:rPr>
          <w:rFonts w:ascii="Arial" w:hAnsi="Arial" w:cs="Arial"/>
          <w:bCs/>
          <w:sz w:val="20"/>
          <w:szCs w:val="20"/>
          <w:lang w:val="en-US"/>
        </w:rPr>
        <w:t>appears to have</w:t>
      </w:r>
      <w:r w:rsidR="00576E4B">
        <w:rPr>
          <w:rFonts w:ascii="Arial" w:hAnsi="Arial" w:cs="Arial"/>
          <w:bCs/>
          <w:sz w:val="20"/>
          <w:szCs w:val="20"/>
          <w:lang w:val="en-US"/>
        </w:rPr>
        <w:t xml:space="preserve"> performed well in predicting impacts under the current extractive regime. However, the</w:t>
      </w:r>
      <w:r w:rsidRPr="004451F8">
        <w:rPr>
          <w:rFonts w:ascii="Arial" w:hAnsi="Arial" w:cs="Arial"/>
          <w:sz w:val="20"/>
          <w:szCs w:val="20"/>
          <w:lang w:val="en-US"/>
        </w:rPr>
        <w:t xml:space="preserve"> </w:t>
      </w:r>
      <w:r w:rsidRPr="00606A90">
        <w:rPr>
          <w:rFonts w:ascii="Arial" w:hAnsi="Arial" w:cs="Arial"/>
          <w:sz w:val="20"/>
          <w:szCs w:val="20"/>
          <w:lang w:val="en-US"/>
        </w:rPr>
        <w:t xml:space="preserve">groundwater model </w:t>
      </w:r>
      <w:r w:rsidR="002D6B24">
        <w:rPr>
          <w:rFonts w:ascii="Arial" w:hAnsi="Arial" w:cs="Arial"/>
          <w:sz w:val="20"/>
          <w:szCs w:val="20"/>
          <w:lang w:val="en-US"/>
        </w:rPr>
        <w:t xml:space="preserve">has not </w:t>
      </w:r>
      <w:r w:rsidR="00953245">
        <w:rPr>
          <w:rFonts w:ascii="Arial" w:hAnsi="Arial" w:cs="Arial"/>
          <w:sz w:val="20"/>
          <w:szCs w:val="20"/>
          <w:lang w:val="en-US"/>
        </w:rPr>
        <w:t xml:space="preserve">undergone </w:t>
      </w:r>
      <w:r w:rsidRPr="00606A90">
        <w:rPr>
          <w:rFonts w:ascii="Arial" w:hAnsi="Arial" w:cs="Arial"/>
          <w:sz w:val="20"/>
          <w:szCs w:val="20"/>
          <w:lang w:val="en-US"/>
        </w:rPr>
        <w:t>sensitivity analyses on input pa</w:t>
      </w:r>
      <w:r w:rsidR="002D6B24">
        <w:rPr>
          <w:rFonts w:ascii="Arial" w:hAnsi="Arial" w:cs="Arial"/>
          <w:sz w:val="20"/>
          <w:szCs w:val="20"/>
          <w:lang w:val="en-US"/>
        </w:rPr>
        <w:t xml:space="preserve">rameters or </w:t>
      </w:r>
      <w:r w:rsidR="00953245">
        <w:rPr>
          <w:rFonts w:ascii="Arial" w:hAnsi="Arial" w:cs="Arial"/>
          <w:sz w:val="20"/>
          <w:szCs w:val="20"/>
          <w:lang w:val="en-US"/>
        </w:rPr>
        <w:t xml:space="preserve">been </w:t>
      </w:r>
      <w:r w:rsidRPr="00606A90">
        <w:rPr>
          <w:rFonts w:ascii="Arial" w:hAnsi="Arial" w:cs="Arial"/>
          <w:sz w:val="20"/>
          <w:szCs w:val="20"/>
          <w:lang w:val="en-US"/>
        </w:rPr>
        <w:t>peer review</w:t>
      </w:r>
      <w:r w:rsidR="00953245">
        <w:rPr>
          <w:rFonts w:ascii="Arial" w:hAnsi="Arial" w:cs="Arial"/>
          <w:sz w:val="20"/>
          <w:szCs w:val="20"/>
          <w:lang w:val="en-US"/>
        </w:rPr>
        <w:t>ed</w:t>
      </w:r>
      <w:r w:rsidR="004451F8">
        <w:rPr>
          <w:rFonts w:ascii="Arial" w:hAnsi="Arial" w:cs="Arial"/>
          <w:sz w:val="20"/>
          <w:szCs w:val="20"/>
          <w:lang w:val="en-US"/>
        </w:rPr>
        <w:t>.</w:t>
      </w:r>
      <w:r w:rsidR="00576E4B">
        <w:rPr>
          <w:rFonts w:ascii="Arial" w:hAnsi="Arial" w:cs="Arial"/>
          <w:sz w:val="20"/>
          <w:szCs w:val="20"/>
          <w:lang w:val="en-US"/>
        </w:rPr>
        <w:t xml:space="preserve"> Whilst there is data for some surface water quality variables, </w:t>
      </w:r>
      <w:r w:rsidRPr="00606A90">
        <w:rPr>
          <w:rFonts w:ascii="Arial" w:hAnsi="Arial" w:cs="Arial"/>
          <w:sz w:val="20"/>
          <w:szCs w:val="20"/>
          <w:lang w:val="en-US"/>
        </w:rPr>
        <w:t xml:space="preserve">monitoring does not include contaminants such as </w:t>
      </w:r>
      <w:r w:rsidR="00B9727B">
        <w:rPr>
          <w:rFonts w:ascii="Arial" w:hAnsi="Arial" w:cs="Arial"/>
          <w:sz w:val="20"/>
          <w:szCs w:val="20"/>
          <w:lang w:val="en-US"/>
        </w:rPr>
        <w:t xml:space="preserve">toxic </w:t>
      </w:r>
      <w:r w:rsidRPr="00606A90">
        <w:rPr>
          <w:rFonts w:ascii="Arial" w:hAnsi="Arial" w:cs="Arial"/>
          <w:sz w:val="20"/>
          <w:szCs w:val="20"/>
          <w:lang w:val="en-US"/>
        </w:rPr>
        <w:t>met</w:t>
      </w:r>
      <w:r w:rsidR="0094125F">
        <w:rPr>
          <w:rFonts w:ascii="Arial" w:hAnsi="Arial" w:cs="Arial"/>
          <w:sz w:val="20"/>
          <w:szCs w:val="20"/>
          <w:lang w:val="en-US"/>
        </w:rPr>
        <w:t xml:space="preserve">als, </w:t>
      </w:r>
      <w:r w:rsidR="00CC1B45">
        <w:rPr>
          <w:rFonts w:ascii="Arial" w:hAnsi="Arial" w:cs="Arial"/>
          <w:sz w:val="20"/>
          <w:szCs w:val="20"/>
          <w:lang w:val="en-US"/>
        </w:rPr>
        <w:t xml:space="preserve">major cations </w:t>
      </w:r>
      <w:r w:rsidR="0094125F">
        <w:rPr>
          <w:rFonts w:ascii="Arial" w:hAnsi="Arial" w:cs="Arial"/>
          <w:sz w:val="20"/>
          <w:szCs w:val="20"/>
          <w:lang w:val="en-US"/>
        </w:rPr>
        <w:t>and</w:t>
      </w:r>
      <w:r w:rsidR="00CC1B45">
        <w:rPr>
          <w:rFonts w:ascii="Arial" w:hAnsi="Arial" w:cs="Arial"/>
          <w:sz w:val="20"/>
          <w:szCs w:val="20"/>
          <w:lang w:val="en-US"/>
        </w:rPr>
        <w:t xml:space="preserve"> anions.</w:t>
      </w:r>
    </w:p>
    <w:p w:rsidR="007203C3" w:rsidRPr="00CC2B33" w:rsidRDefault="007203C3" w:rsidP="00AF52DA">
      <w:pPr>
        <w:pStyle w:val="PlainText"/>
        <w:spacing w:after="200" w:line="276" w:lineRule="auto"/>
        <w:rPr>
          <w:rFonts w:ascii="Arial" w:eastAsia="Times New Roman" w:hAnsi="Arial" w:cs="Arial"/>
          <w:sz w:val="20"/>
          <w:szCs w:val="20"/>
          <w:u w:val="single"/>
        </w:rPr>
      </w:pPr>
      <w:r w:rsidRPr="00CC2B33">
        <w:rPr>
          <w:rFonts w:ascii="Arial" w:eastAsia="Times New Roman" w:hAnsi="Arial" w:cs="Arial"/>
          <w:sz w:val="20"/>
          <w:szCs w:val="20"/>
          <w:u w:val="single"/>
        </w:rPr>
        <w:t xml:space="preserve">Reasonable values and parameters in calculation: </w:t>
      </w:r>
      <w:r w:rsidRPr="00A93C73">
        <w:rPr>
          <w:rFonts w:ascii="Arial" w:eastAsia="Times New Roman" w:hAnsi="Arial" w:cs="Arial"/>
          <w:sz w:val="20"/>
          <w:szCs w:val="20"/>
          <w:u w:val="single"/>
        </w:rPr>
        <w:t>key</w:t>
      </w:r>
      <w:r w:rsidRPr="00CC2B33">
        <w:rPr>
          <w:rFonts w:ascii="Arial" w:eastAsia="Times New Roman" w:hAnsi="Arial" w:cs="Arial"/>
          <w:sz w:val="20"/>
          <w:szCs w:val="20"/>
          <w:u w:val="single"/>
        </w:rPr>
        <w:t xml:space="preserve"> conclusions</w:t>
      </w:r>
    </w:p>
    <w:p w:rsidR="00AF52DA" w:rsidRPr="00AF52DA" w:rsidRDefault="00111E3B" w:rsidP="00AF52DA">
      <w:pPr>
        <w:tabs>
          <w:tab w:val="left" w:pos="425"/>
        </w:tabs>
        <w:spacing w:after="200" w:line="276" w:lineRule="auto"/>
        <w:rPr>
          <w:rFonts w:ascii="Arial" w:eastAsia="Calibri" w:hAnsi="Arial" w:cs="Arial"/>
          <w:sz w:val="20"/>
          <w:szCs w:val="22"/>
          <w:lang w:val="en-US"/>
        </w:rPr>
      </w:pPr>
      <w:r>
        <w:rPr>
          <w:rFonts w:ascii="Arial" w:eastAsia="Calibri" w:hAnsi="Arial" w:cs="Arial"/>
          <w:sz w:val="20"/>
          <w:szCs w:val="22"/>
          <w:lang w:val="en-US"/>
        </w:rPr>
        <w:t xml:space="preserve">The groundwater model developed for the proposed </w:t>
      </w:r>
      <w:r w:rsidR="00576E4B">
        <w:rPr>
          <w:rFonts w:ascii="Arial" w:eastAsia="Calibri" w:hAnsi="Arial" w:cs="Arial"/>
          <w:sz w:val="20"/>
          <w:szCs w:val="22"/>
          <w:lang w:val="en-US"/>
        </w:rPr>
        <w:t>project</w:t>
      </w:r>
      <w:r>
        <w:rPr>
          <w:rFonts w:ascii="Arial" w:eastAsia="Calibri" w:hAnsi="Arial" w:cs="Arial"/>
          <w:sz w:val="20"/>
          <w:szCs w:val="22"/>
          <w:lang w:val="en-US"/>
        </w:rPr>
        <w:t xml:space="preserve"> has been calibrated using data obtained from an extensive monitoring bore network. </w:t>
      </w:r>
      <w:r w:rsidR="00BA573A">
        <w:rPr>
          <w:rFonts w:ascii="Arial" w:eastAsia="Calibri" w:hAnsi="Arial" w:cs="Arial"/>
          <w:sz w:val="20"/>
          <w:szCs w:val="22"/>
          <w:lang w:val="en-US"/>
        </w:rPr>
        <w:t>This</w:t>
      </w:r>
      <w:r w:rsidR="00AF52DA" w:rsidRPr="00E7372C">
        <w:rPr>
          <w:rFonts w:ascii="Arial" w:eastAsia="Calibri" w:hAnsi="Arial" w:cs="Arial"/>
          <w:sz w:val="20"/>
          <w:szCs w:val="22"/>
          <w:lang w:val="en-US"/>
        </w:rPr>
        <w:t xml:space="preserve"> model </w:t>
      </w:r>
      <w:r w:rsidR="004B05B5" w:rsidRPr="00E7372C">
        <w:rPr>
          <w:rFonts w:ascii="Arial" w:eastAsia="Calibri" w:hAnsi="Arial" w:cs="Arial"/>
          <w:sz w:val="20"/>
          <w:szCs w:val="22"/>
          <w:lang w:val="en-US"/>
        </w:rPr>
        <w:t>predict</w:t>
      </w:r>
      <w:r w:rsidR="004B05B5">
        <w:rPr>
          <w:rFonts w:ascii="Arial" w:eastAsia="Calibri" w:hAnsi="Arial" w:cs="Arial"/>
          <w:sz w:val="20"/>
          <w:szCs w:val="22"/>
          <w:lang w:val="en-US"/>
        </w:rPr>
        <w:t>ed</w:t>
      </w:r>
      <w:r w:rsidR="004B05B5" w:rsidRPr="00E7372C">
        <w:rPr>
          <w:rFonts w:ascii="Arial" w:eastAsia="Calibri" w:hAnsi="Arial" w:cs="Arial"/>
          <w:sz w:val="20"/>
          <w:szCs w:val="22"/>
          <w:lang w:val="en-US"/>
        </w:rPr>
        <w:t xml:space="preserve"> the changes in flux between hydrogeological units</w:t>
      </w:r>
      <w:r w:rsidR="00D02038">
        <w:rPr>
          <w:rFonts w:ascii="Arial" w:eastAsia="Calibri" w:hAnsi="Arial" w:cs="Arial"/>
          <w:sz w:val="20"/>
          <w:szCs w:val="22"/>
          <w:lang w:val="en-US"/>
        </w:rPr>
        <w:t>. The result</w:t>
      </w:r>
      <w:r w:rsidR="00BF1E6D">
        <w:rPr>
          <w:rFonts w:ascii="Arial" w:eastAsia="Calibri" w:hAnsi="Arial" w:cs="Arial"/>
          <w:sz w:val="20"/>
          <w:szCs w:val="22"/>
          <w:lang w:val="en-US"/>
        </w:rPr>
        <w:t>ing</w:t>
      </w:r>
      <w:r w:rsidR="00870D64" w:rsidRPr="00E7372C">
        <w:rPr>
          <w:rFonts w:ascii="Arial" w:eastAsia="Calibri" w:hAnsi="Arial" w:cs="Arial"/>
          <w:sz w:val="20"/>
          <w:szCs w:val="22"/>
          <w:lang w:val="en-US"/>
        </w:rPr>
        <w:t xml:space="preserve"> </w:t>
      </w:r>
      <w:r w:rsidR="00D02038">
        <w:rPr>
          <w:rFonts w:ascii="Arial" w:eastAsia="Calibri" w:hAnsi="Arial" w:cs="Arial"/>
          <w:sz w:val="20"/>
          <w:szCs w:val="22"/>
          <w:lang w:val="en-US"/>
        </w:rPr>
        <w:t xml:space="preserve">predicted </w:t>
      </w:r>
      <w:r w:rsidR="00AF52DA" w:rsidRPr="00E7372C">
        <w:rPr>
          <w:rFonts w:ascii="Arial" w:eastAsia="Calibri" w:hAnsi="Arial" w:cs="Arial"/>
          <w:sz w:val="20"/>
          <w:szCs w:val="22"/>
          <w:lang w:val="en-US"/>
        </w:rPr>
        <w:t xml:space="preserve">reductions in surface </w:t>
      </w:r>
      <w:r w:rsidR="00D02038">
        <w:rPr>
          <w:rFonts w:ascii="Arial" w:eastAsia="Calibri" w:hAnsi="Arial" w:cs="Arial"/>
          <w:sz w:val="20"/>
          <w:szCs w:val="22"/>
          <w:lang w:val="en-US"/>
        </w:rPr>
        <w:t>water</w:t>
      </w:r>
      <w:r w:rsidR="00AF52DA" w:rsidRPr="00E7372C">
        <w:rPr>
          <w:rFonts w:ascii="Arial" w:eastAsia="Calibri" w:hAnsi="Arial" w:cs="Arial"/>
          <w:sz w:val="20"/>
          <w:szCs w:val="22"/>
          <w:lang w:val="en-US"/>
        </w:rPr>
        <w:t xml:space="preserve"> flows</w:t>
      </w:r>
      <w:r w:rsidR="00D02038">
        <w:rPr>
          <w:rFonts w:ascii="Arial" w:eastAsia="Calibri" w:hAnsi="Arial" w:cs="Arial"/>
          <w:sz w:val="20"/>
          <w:szCs w:val="22"/>
          <w:lang w:val="en-US"/>
        </w:rPr>
        <w:t xml:space="preserve"> were </w:t>
      </w:r>
      <w:r w:rsidR="00BF1E6D">
        <w:rPr>
          <w:rFonts w:ascii="Arial" w:eastAsia="Calibri" w:hAnsi="Arial" w:cs="Arial"/>
          <w:sz w:val="20"/>
          <w:szCs w:val="22"/>
          <w:lang w:val="en-US"/>
        </w:rPr>
        <w:t>assessed</w:t>
      </w:r>
      <w:r w:rsidR="00870D64" w:rsidRPr="00E7372C">
        <w:rPr>
          <w:rFonts w:ascii="Arial" w:eastAsia="Calibri" w:hAnsi="Arial" w:cs="Arial"/>
          <w:sz w:val="20"/>
          <w:szCs w:val="22"/>
          <w:lang w:val="en-US"/>
        </w:rPr>
        <w:t xml:space="preserve"> as </w:t>
      </w:r>
      <w:r w:rsidR="00606A90" w:rsidRPr="00E7372C">
        <w:rPr>
          <w:rFonts w:ascii="Arial" w:eastAsia="Calibri" w:hAnsi="Arial" w:cs="Arial"/>
          <w:sz w:val="20"/>
          <w:szCs w:val="22"/>
          <w:lang w:val="en-US"/>
        </w:rPr>
        <w:t xml:space="preserve">negligible. </w:t>
      </w:r>
      <w:r w:rsidR="00701BD5">
        <w:rPr>
          <w:rFonts w:ascii="Arial" w:eastAsia="Calibri" w:hAnsi="Arial" w:cs="Arial"/>
          <w:sz w:val="20"/>
          <w:szCs w:val="22"/>
          <w:lang w:val="en-US"/>
        </w:rPr>
        <w:t xml:space="preserve">However, the </w:t>
      </w:r>
      <w:r w:rsidR="00312E55">
        <w:rPr>
          <w:rFonts w:ascii="Arial" w:eastAsia="Calibri" w:hAnsi="Arial" w:cs="Arial"/>
          <w:sz w:val="20"/>
          <w:szCs w:val="22"/>
          <w:lang w:val="en-US"/>
        </w:rPr>
        <w:t xml:space="preserve">proponent notes that </w:t>
      </w:r>
      <w:r w:rsidR="009241A5">
        <w:rPr>
          <w:rFonts w:ascii="Arial" w:eastAsia="Calibri" w:hAnsi="Arial" w:cs="Arial"/>
          <w:sz w:val="20"/>
          <w:szCs w:val="22"/>
          <w:lang w:val="en-US"/>
        </w:rPr>
        <w:t>“where drainages are incised and the drainage axis does not coincide with the digital terrain grid, the topographic data commonly fails to reflect stream bed elevations…by as much as</w:t>
      </w:r>
      <w:r w:rsidR="00E35E33">
        <w:rPr>
          <w:rFonts w:ascii="Arial" w:eastAsia="Calibri" w:hAnsi="Arial" w:cs="Arial"/>
          <w:sz w:val="20"/>
          <w:szCs w:val="22"/>
          <w:lang w:val="en-US"/>
        </w:rPr>
        <w:t xml:space="preserve"> 5 m</w:t>
      </w:r>
      <w:r w:rsidR="009241A5">
        <w:rPr>
          <w:rFonts w:ascii="Arial" w:eastAsia="Calibri" w:hAnsi="Arial" w:cs="Arial"/>
          <w:sz w:val="20"/>
          <w:szCs w:val="22"/>
          <w:lang w:val="en-US"/>
        </w:rPr>
        <w:t xml:space="preserve">”. Therefore, it is the Committee’s opinion that there </w:t>
      </w:r>
      <w:r w:rsidR="000B513E">
        <w:rPr>
          <w:rFonts w:ascii="Arial" w:eastAsia="Calibri" w:hAnsi="Arial" w:cs="Arial"/>
          <w:sz w:val="20"/>
          <w:szCs w:val="22"/>
          <w:lang w:val="en-US"/>
        </w:rPr>
        <w:t>is the potential for</w:t>
      </w:r>
      <w:r w:rsidR="009241A5">
        <w:rPr>
          <w:rFonts w:ascii="Arial" w:eastAsia="Calibri" w:hAnsi="Arial" w:cs="Arial"/>
          <w:sz w:val="20"/>
          <w:szCs w:val="22"/>
          <w:lang w:val="en-US"/>
        </w:rPr>
        <w:t xml:space="preserve"> </w:t>
      </w:r>
      <w:r w:rsidR="00D02038">
        <w:rPr>
          <w:rFonts w:ascii="Arial" w:eastAsia="Calibri" w:hAnsi="Arial" w:cs="Arial"/>
          <w:sz w:val="20"/>
          <w:szCs w:val="22"/>
          <w:lang w:val="en-US"/>
        </w:rPr>
        <w:t>impacts</w:t>
      </w:r>
      <w:r w:rsidR="009D65C6">
        <w:rPr>
          <w:rFonts w:ascii="Arial" w:eastAsia="Calibri" w:hAnsi="Arial" w:cs="Arial"/>
          <w:sz w:val="20"/>
          <w:szCs w:val="22"/>
          <w:lang w:val="en-US"/>
        </w:rPr>
        <w:t xml:space="preserve"> to surface and </w:t>
      </w:r>
      <w:r w:rsidR="00BF1E6D">
        <w:rPr>
          <w:rFonts w:ascii="Arial" w:eastAsia="Calibri" w:hAnsi="Arial" w:cs="Arial"/>
          <w:sz w:val="20"/>
          <w:szCs w:val="22"/>
          <w:lang w:val="en-US"/>
        </w:rPr>
        <w:t>groundwater interactions</w:t>
      </w:r>
      <w:r w:rsidR="00E7372C">
        <w:rPr>
          <w:rFonts w:ascii="Arial" w:eastAsia="Calibri" w:hAnsi="Arial" w:cs="Arial"/>
          <w:sz w:val="20"/>
          <w:szCs w:val="22"/>
          <w:lang w:val="en-US"/>
        </w:rPr>
        <w:t>.</w:t>
      </w:r>
      <w:r w:rsidR="00701BD5">
        <w:rPr>
          <w:rFonts w:ascii="Arial" w:eastAsia="Calibri" w:hAnsi="Arial" w:cs="Arial"/>
          <w:sz w:val="20"/>
          <w:szCs w:val="22"/>
          <w:lang w:val="en-US"/>
        </w:rPr>
        <w:t xml:space="preserve"> </w:t>
      </w:r>
    </w:p>
    <w:p w:rsidR="007203C3" w:rsidRDefault="007203C3" w:rsidP="00AF52DA">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The Committee’s advice, in response to the </w:t>
      </w:r>
      <w:r w:rsidR="00E57CD8">
        <w:rPr>
          <w:rFonts w:ascii="Arial" w:eastAsia="Times New Roman" w:hAnsi="Arial" w:cs="Arial"/>
          <w:color w:val="auto"/>
          <w:sz w:val="20"/>
          <w:szCs w:val="20"/>
          <w:lang w:eastAsia="en-US"/>
        </w:rPr>
        <w:t>requesting agency</w:t>
      </w:r>
      <w:r>
        <w:rPr>
          <w:rFonts w:ascii="Arial" w:eastAsia="Times New Roman" w:hAnsi="Arial" w:cs="Arial"/>
          <w:color w:val="auto"/>
          <w:sz w:val="20"/>
          <w:szCs w:val="20"/>
          <w:lang w:eastAsia="en-US"/>
        </w:rPr>
        <w:t xml:space="preserve">’s specific </w:t>
      </w:r>
      <w:r w:rsidRPr="00BB186F">
        <w:rPr>
          <w:rFonts w:ascii="Arial" w:eastAsia="Times New Roman" w:hAnsi="Arial" w:cs="Arial"/>
          <w:color w:val="auto"/>
          <w:sz w:val="20"/>
          <w:szCs w:val="20"/>
          <w:lang w:eastAsia="en-US"/>
        </w:rPr>
        <w:t>questions</w:t>
      </w:r>
      <w:r>
        <w:rPr>
          <w:rFonts w:ascii="Arial" w:eastAsia="Times New Roman" w:hAnsi="Arial" w:cs="Arial"/>
          <w:color w:val="auto"/>
          <w:sz w:val="20"/>
          <w:szCs w:val="20"/>
          <w:lang w:eastAsia="en-US"/>
        </w:rPr>
        <w:t xml:space="preserve"> is provided below. </w:t>
      </w:r>
    </w:p>
    <w:p w:rsidR="00BB186F" w:rsidRPr="00BB186F" w:rsidRDefault="00BB186F" w:rsidP="00BB186F">
      <w:pPr>
        <w:spacing w:after="200" w:line="276" w:lineRule="auto"/>
        <w:rPr>
          <w:rFonts w:ascii="Arial" w:hAnsi="Arial" w:cs="Arial"/>
          <w:i/>
          <w:sz w:val="20"/>
        </w:rPr>
      </w:pPr>
      <w:r w:rsidRPr="00BB186F">
        <w:rPr>
          <w:rFonts w:ascii="Arial" w:hAnsi="Arial" w:cs="Arial"/>
          <w:i/>
          <w:sz w:val="20"/>
        </w:rPr>
        <w:t>Question 1: Are the numerical and conceptual groundwater models presented in the proponent’s documentation adequate to predict the impacts on groundwater? If not, please describe these inadequacies.</w:t>
      </w:r>
    </w:p>
    <w:p w:rsidR="00EA0108" w:rsidRDefault="00836B2E" w:rsidP="00192951">
      <w:pPr>
        <w:pStyle w:val="ListParagraph"/>
        <w:numPr>
          <w:ilvl w:val="0"/>
          <w:numId w:val="8"/>
        </w:numPr>
        <w:spacing w:after="120" w:line="276" w:lineRule="auto"/>
        <w:ind w:left="426" w:hanging="426"/>
        <w:rPr>
          <w:rFonts w:ascii="Arial" w:eastAsia="Calibri" w:hAnsi="Arial" w:cstheme="minorHAnsi"/>
          <w:sz w:val="20"/>
          <w:szCs w:val="22"/>
        </w:rPr>
      </w:pPr>
      <w:r>
        <w:rPr>
          <w:rFonts w:ascii="Arial" w:eastAsia="Calibri" w:hAnsi="Arial" w:cstheme="minorHAnsi"/>
          <w:sz w:val="20"/>
          <w:szCs w:val="22"/>
        </w:rPr>
        <w:t>Undertaking</w:t>
      </w:r>
      <w:r w:rsidR="00AA3ADE">
        <w:rPr>
          <w:rFonts w:ascii="Arial" w:eastAsia="Calibri" w:hAnsi="Arial" w:cstheme="minorHAnsi"/>
          <w:sz w:val="20"/>
          <w:szCs w:val="22"/>
        </w:rPr>
        <w:t xml:space="preserve"> </w:t>
      </w:r>
      <w:r w:rsidR="00D30AEF">
        <w:rPr>
          <w:rFonts w:ascii="Arial" w:eastAsia="Calibri" w:hAnsi="Arial" w:cstheme="minorHAnsi"/>
          <w:sz w:val="20"/>
          <w:szCs w:val="22"/>
        </w:rPr>
        <w:t xml:space="preserve">peer review </w:t>
      </w:r>
      <w:r w:rsidR="002D6B24">
        <w:rPr>
          <w:rFonts w:ascii="Arial" w:eastAsia="Calibri" w:hAnsi="Arial" w:cstheme="minorHAnsi"/>
          <w:sz w:val="20"/>
          <w:szCs w:val="22"/>
        </w:rPr>
        <w:t xml:space="preserve">of the groundwater model </w:t>
      </w:r>
      <w:r w:rsidR="00D30AEF">
        <w:rPr>
          <w:rFonts w:ascii="Arial" w:eastAsia="Calibri" w:hAnsi="Arial" w:cstheme="minorHAnsi"/>
          <w:sz w:val="20"/>
          <w:szCs w:val="22"/>
        </w:rPr>
        <w:t xml:space="preserve">and sensitivity analyses of key transient variables within the model </w:t>
      </w:r>
      <w:r w:rsidR="00814F64">
        <w:rPr>
          <w:rFonts w:ascii="Arial" w:eastAsia="Calibri" w:hAnsi="Arial" w:cstheme="minorHAnsi"/>
          <w:sz w:val="20"/>
          <w:szCs w:val="22"/>
        </w:rPr>
        <w:t>are considered good practic</w:t>
      </w:r>
      <w:r w:rsidR="00D30AEF">
        <w:rPr>
          <w:rFonts w:ascii="Arial" w:eastAsia="Calibri" w:hAnsi="Arial" w:cstheme="minorHAnsi"/>
          <w:sz w:val="20"/>
          <w:szCs w:val="22"/>
        </w:rPr>
        <w:t>e</w:t>
      </w:r>
      <w:r w:rsidR="00092A49">
        <w:rPr>
          <w:rFonts w:ascii="Arial" w:eastAsia="Calibri" w:hAnsi="Arial" w:cstheme="minorHAnsi"/>
          <w:sz w:val="20"/>
          <w:szCs w:val="22"/>
        </w:rPr>
        <w:t>, however these have not been undertaken.</w:t>
      </w:r>
      <w:r w:rsidR="00D30AEF" w:rsidRPr="00D30AEF">
        <w:rPr>
          <w:rFonts w:ascii="Arial" w:eastAsia="Calibri" w:hAnsi="Arial" w:cstheme="minorHAnsi"/>
          <w:sz w:val="20"/>
          <w:szCs w:val="22"/>
        </w:rPr>
        <w:t xml:space="preserve"> </w:t>
      </w:r>
      <w:r w:rsidR="005E596F">
        <w:rPr>
          <w:rFonts w:ascii="Arial" w:eastAsia="Calibri" w:hAnsi="Arial" w:cstheme="minorHAnsi"/>
          <w:sz w:val="20"/>
          <w:szCs w:val="22"/>
        </w:rPr>
        <w:t>Nonetheless</w:t>
      </w:r>
      <w:r w:rsidR="00092A49">
        <w:rPr>
          <w:rFonts w:ascii="Arial" w:eastAsia="Calibri" w:hAnsi="Arial" w:cstheme="minorHAnsi"/>
          <w:sz w:val="20"/>
          <w:szCs w:val="22"/>
        </w:rPr>
        <w:t xml:space="preserve">, </w:t>
      </w:r>
      <w:r w:rsidR="00D30AEF">
        <w:rPr>
          <w:rFonts w:ascii="Arial" w:eastAsia="Calibri" w:hAnsi="Arial" w:cstheme="minorHAnsi"/>
          <w:sz w:val="20"/>
          <w:szCs w:val="22"/>
        </w:rPr>
        <w:t>the groundwater model appears to have performed well in predicting the groundwate</w:t>
      </w:r>
      <w:r w:rsidR="00AA2B1A">
        <w:rPr>
          <w:rFonts w:ascii="Arial" w:eastAsia="Calibri" w:hAnsi="Arial" w:cstheme="minorHAnsi"/>
          <w:sz w:val="20"/>
          <w:szCs w:val="22"/>
        </w:rPr>
        <w:t xml:space="preserve">r impacts under the current </w:t>
      </w:r>
      <w:r w:rsidR="00D30AEF">
        <w:rPr>
          <w:rFonts w:ascii="Arial" w:eastAsia="Calibri" w:hAnsi="Arial" w:cstheme="minorHAnsi"/>
          <w:sz w:val="20"/>
          <w:szCs w:val="22"/>
        </w:rPr>
        <w:t>extractive regime.</w:t>
      </w:r>
      <w:r w:rsidR="00092A49">
        <w:rPr>
          <w:rFonts w:ascii="Arial" w:eastAsia="Calibri" w:hAnsi="Arial" w:cstheme="minorHAnsi"/>
          <w:sz w:val="20"/>
          <w:szCs w:val="22"/>
        </w:rPr>
        <w:t xml:space="preserve"> </w:t>
      </w:r>
    </w:p>
    <w:p w:rsidR="00814F64" w:rsidRDefault="00E3221C" w:rsidP="00814F64">
      <w:pPr>
        <w:pStyle w:val="ListParagraph"/>
        <w:numPr>
          <w:ilvl w:val="0"/>
          <w:numId w:val="8"/>
        </w:numPr>
        <w:spacing w:after="120" w:line="276" w:lineRule="auto"/>
        <w:ind w:left="426" w:hanging="426"/>
        <w:rPr>
          <w:rFonts w:ascii="Arial" w:eastAsia="Calibri" w:hAnsi="Arial" w:cstheme="minorHAnsi"/>
          <w:sz w:val="20"/>
          <w:szCs w:val="22"/>
        </w:rPr>
      </w:pPr>
      <w:r>
        <w:rPr>
          <w:rFonts w:ascii="Arial" w:eastAsia="Calibri" w:hAnsi="Arial" w:cstheme="minorHAnsi"/>
          <w:sz w:val="20"/>
          <w:szCs w:val="22"/>
        </w:rPr>
        <w:t>T</w:t>
      </w:r>
      <w:r w:rsidR="00814F64">
        <w:rPr>
          <w:rFonts w:ascii="Arial" w:eastAsia="Calibri" w:hAnsi="Arial" w:cstheme="minorHAnsi"/>
          <w:sz w:val="20"/>
          <w:szCs w:val="22"/>
        </w:rPr>
        <w:t>he groundwater model’s ability to characterise surface and groundwater interactions</w:t>
      </w:r>
      <w:r>
        <w:rPr>
          <w:rFonts w:ascii="Arial" w:eastAsia="Calibri" w:hAnsi="Arial" w:cstheme="minorHAnsi"/>
          <w:sz w:val="20"/>
          <w:szCs w:val="22"/>
        </w:rPr>
        <w:t xml:space="preserve"> is limited</w:t>
      </w:r>
      <w:r w:rsidR="00814F64">
        <w:rPr>
          <w:rFonts w:ascii="Arial" w:eastAsia="Calibri" w:hAnsi="Arial" w:cstheme="minorHAnsi"/>
          <w:sz w:val="20"/>
          <w:szCs w:val="22"/>
        </w:rPr>
        <w:t xml:space="preserve">, given the </w:t>
      </w:r>
      <w:r w:rsidR="00BF1E6D">
        <w:rPr>
          <w:rFonts w:ascii="Arial" w:eastAsia="Calibri" w:hAnsi="Arial" w:cstheme="minorHAnsi"/>
          <w:sz w:val="20"/>
          <w:szCs w:val="22"/>
        </w:rPr>
        <w:t xml:space="preserve">stated </w:t>
      </w:r>
      <w:r w:rsidR="009241A5">
        <w:rPr>
          <w:rFonts w:ascii="Arial" w:eastAsia="Calibri" w:hAnsi="Arial" w:cstheme="minorHAnsi"/>
          <w:sz w:val="20"/>
          <w:szCs w:val="22"/>
        </w:rPr>
        <w:t xml:space="preserve">topographical </w:t>
      </w:r>
      <w:r w:rsidR="00BF1E6D">
        <w:rPr>
          <w:rFonts w:ascii="Arial" w:eastAsia="Calibri" w:hAnsi="Arial" w:cstheme="minorHAnsi"/>
          <w:sz w:val="20"/>
          <w:szCs w:val="22"/>
        </w:rPr>
        <w:t>vertical</w:t>
      </w:r>
      <w:r w:rsidR="00814F64">
        <w:rPr>
          <w:rFonts w:ascii="Arial" w:eastAsia="Calibri" w:hAnsi="Arial" w:cstheme="minorHAnsi"/>
          <w:sz w:val="20"/>
          <w:szCs w:val="22"/>
        </w:rPr>
        <w:t xml:space="preserve"> resolution </w:t>
      </w:r>
      <w:r w:rsidR="00BF1E6D">
        <w:rPr>
          <w:rFonts w:ascii="Arial" w:eastAsia="Calibri" w:hAnsi="Arial" w:cstheme="minorHAnsi"/>
          <w:sz w:val="20"/>
          <w:szCs w:val="22"/>
        </w:rPr>
        <w:t xml:space="preserve">error </w:t>
      </w:r>
      <w:r w:rsidR="00814F64">
        <w:rPr>
          <w:rFonts w:ascii="Arial" w:eastAsia="Calibri" w:hAnsi="Arial" w:cstheme="minorHAnsi"/>
          <w:sz w:val="20"/>
          <w:szCs w:val="22"/>
        </w:rPr>
        <w:t xml:space="preserve">of </w:t>
      </w:r>
      <w:r w:rsidR="00BF1E6D">
        <w:rPr>
          <w:rFonts w:ascii="Arial" w:eastAsia="Calibri" w:hAnsi="Arial" w:cstheme="minorHAnsi"/>
          <w:sz w:val="20"/>
          <w:szCs w:val="22"/>
        </w:rPr>
        <w:t>up to 5 m</w:t>
      </w:r>
      <w:r w:rsidR="00814F64">
        <w:rPr>
          <w:rFonts w:ascii="Arial" w:eastAsia="Calibri" w:hAnsi="Arial" w:cstheme="minorHAnsi"/>
          <w:sz w:val="20"/>
          <w:szCs w:val="22"/>
        </w:rPr>
        <w:t xml:space="preserve">. The model would benefit from an improved representation of surface and groundwater interactions and </w:t>
      </w:r>
      <w:r w:rsidR="00836B2E">
        <w:rPr>
          <w:rFonts w:ascii="Arial" w:eastAsia="Calibri" w:hAnsi="Arial" w:cstheme="minorHAnsi"/>
          <w:sz w:val="20"/>
          <w:szCs w:val="22"/>
        </w:rPr>
        <w:t xml:space="preserve">prediction of </w:t>
      </w:r>
      <w:r w:rsidR="00814F64">
        <w:rPr>
          <w:rFonts w:ascii="Arial" w:eastAsia="Calibri" w:hAnsi="Arial" w:cstheme="minorHAnsi"/>
          <w:sz w:val="20"/>
          <w:szCs w:val="22"/>
        </w:rPr>
        <w:t xml:space="preserve">potential impacts to the Wollombi Brook, the Wollombi Alluvium and </w:t>
      </w:r>
      <w:r w:rsidR="00153B2F">
        <w:rPr>
          <w:rFonts w:ascii="Arial" w:eastAsia="Calibri" w:hAnsi="Arial" w:cstheme="minorHAnsi"/>
          <w:sz w:val="20"/>
          <w:szCs w:val="22"/>
        </w:rPr>
        <w:t xml:space="preserve">ecosystems </w:t>
      </w:r>
      <w:r w:rsidR="00814F64">
        <w:rPr>
          <w:rFonts w:ascii="Arial" w:eastAsia="Calibri" w:hAnsi="Arial" w:cstheme="minorHAnsi"/>
          <w:sz w:val="20"/>
          <w:szCs w:val="22"/>
        </w:rPr>
        <w:t>that are supported by these systems.</w:t>
      </w:r>
    </w:p>
    <w:p w:rsidR="00926FDB" w:rsidRPr="00192951" w:rsidRDefault="00D629B0" w:rsidP="00192951">
      <w:pPr>
        <w:pStyle w:val="ListParagraph"/>
        <w:numPr>
          <w:ilvl w:val="0"/>
          <w:numId w:val="8"/>
        </w:numPr>
        <w:spacing w:after="120" w:line="276" w:lineRule="auto"/>
        <w:ind w:left="426" w:hanging="426"/>
        <w:rPr>
          <w:rFonts w:ascii="Arial" w:eastAsia="Calibri" w:hAnsi="Arial" w:cstheme="minorHAnsi"/>
          <w:sz w:val="20"/>
          <w:szCs w:val="22"/>
        </w:rPr>
      </w:pPr>
      <w:r w:rsidRPr="00192951">
        <w:rPr>
          <w:rFonts w:ascii="Arial" w:eastAsia="Calibri" w:hAnsi="Arial" w:cstheme="minorHAnsi"/>
          <w:sz w:val="20"/>
          <w:szCs w:val="22"/>
        </w:rPr>
        <w:t>Th</w:t>
      </w:r>
      <w:r w:rsidR="00926FDB" w:rsidRPr="00192951">
        <w:rPr>
          <w:rFonts w:ascii="Arial" w:eastAsia="Calibri" w:hAnsi="Arial" w:cstheme="minorHAnsi"/>
          <w:sz w:val="20"/>
          <w:szCs w:val="22"/>
        </w:rPr>
        <w:t>e Hunter River Catchment</w:t>
      </w:r>
      <w:r w:rsidRPr="00192951">
        <w:rPr>
          <w:rFonts w:ascii="Arial" w:eastAsia="Calibri" w:hAnsi="Arial" w:cstheme="minorHAnsi"/>
          <w:sz w:val="20"/>
          <w:szCs w:val="22"/>
        </w:rPr>
        <w:t xml:space="preserve"> contains a significant number of existing </w:t>
      </w:r>
      <w:r w:rsidR="00E3221C">
        <w:rPr>
          <w:rFonts w:ascii="Arial" w:eastAsia="Calibri" w:hAnsi="Arial" w:cstheme="minorHAnsi"/>
          <w:sz w:val="20"/>
          <w:szCs w:val="22"/>
        </w:rPr>
        <w:t>and proposed</w:t>
      </w:r>
      <w:r w:rsidR="00E3221C" w:rsidRPr="00192951">
        <w:rPr>
          <w:rFonts w:ascii="Arial" w:eastAsia="Calibri" w:hAnsi="Arial" w:cstheme="minorHAnsi"/>
          <w:sz w:val="20"/>
          <w:szCs w:val="22"/>
        </w:rPr>
        <w:t xml:space="preserve"> </w:t>
      </w:r>
      <w:r w:rsidR="00926FDB" w:rsidRPr="00192951">
        <w:rPr>
          <w:rFonts w:ascii="Arial" w:eastAsia="Calibri" w:hAnsi="Arial" w:cstheme="minorHAnsi"/>
          <w:sz w:val="20"/>
          <w:szCs w:val="22"/>
        </w:rPr>
        <w:t>coal mines (open cut and underground)</w:t>
      </w:r>
      <w:r w:rsidRPr="00192951">
        <w:rPr>
          <w:rFonts w:ascii="Arial" w:eastAsia="Calibri" w:hAnsi="Arial" w:cstheme="minorHAnsi"/>
          <w:sz w:val="20"/>
          <w:szCs w:val="22"/>
        </w:rPr>
        <w:t>,</w:t>
      </w:r>
      <w:r w:rsidR="00926FDB" w:rsidRPr="00192951">
        <w:rPr>
          <w:rFonts w:ascii="Arial" w:eastAsia="Calibri" w:hAnsi="Arial" w:cstheme="minorHAnsi"/>
          <w:sz w:val="20"/>
          <w:szCs w:val="22"/>
        </w:rPr>
        <w:t xml:space="preserve"> within an approximate 55 km radius. Combining the findings from </w:t>
      </w:r>
      <w:r w:rsidRPr="00192951">
        <w:rPr>
          <w:rFonts w:ascii="Arial" w:eastAsia="Calibri" w:hAnsi="Arial" w:cstheme="minorHAnsi"/>
          <w:sz w:val="20"/>
          <w:szCs w:val="22"/>
        </w:rPr>
        <w:t xml:space="preserve">existing and future groundwater </w:t>
      </w:r>
      <w:r w:rsidR="00926FDB" w:rsidRPr="00192951">
        <w:rPr>
          <w:rFonts w:ascii="Arial" w:eastAsia="Calibri" w:hAnsi="Arial" w:cstheme="minorHAnsi"/>
          <w:sz w:val="20"/>
          <w:szCs w:val="22"/>
        </w:rPr>
        <w:t xml:space="preserve">models that predict impacts within the </w:t>
      </w:r>
      <w:proofErr w:type="spellStart"/>
      <w:r w:rsidR="00926FDB" w:rsidRPr="00192951">
        <w:rPr>
          <w:rFonts w:ascii="Arial" w:eastAsia="Calibri" w:hAnsi="Arial" w:cstheme="minorHAnsi"/>
          <w:sz w:val="20"/>
          <w:szCs w:val="22"/>
        </w:rPr>
        <w:t>hydrogeologically</w:t>
      </w:r>
      <w:proofErr w:type="spellEnd"/>
      <w:r w:rsidR="00926FDB" w:rsidRPr="00192951">
        <w:rPr>
          <w:rFonts w:ascii="Arial" w:eastAsia="Calibri" w:hAnsi="Arial" w:cstheme="minorHAnsi"/>
          <w:sz w:val="20"/>
          <w:szCs w:val="22"/>
        </w:rPr>
        <w:t xml:space="preserve"> connected </w:t>
      </w:r>
      <w:proofErr w:type="spellStart"/>
      <w:r w:rsidR="00926FDB" w:rsidRPr="00192951">
        <w:rPr>
          <w:rFonts w:ascii="Arial" w:eastAsia="Calibri" w:hAnsi="Arial" w:cstheme="minorHAnsi"/>
          <w:sz w:val="20"/>
          <w:szCs w:val="22"/>
        </w:rPr>
        <w:t>Wittingham</w:t>
      </w:r>
      <w:proofErr w:type="spellEnd"/>
      <w:r w:rsidR="00926FDB" w:rsidRPr="00192951">
        <w:rPr>
          <w:rFonts w:ascii="Arial" w:eastAsia="Calibri" w:hAnsi="Arial" w:cstheme="minorHAnsi"/>
          <w:sz w:val="20"/>
          <w:szCs w:val="22"/>
        </w:rPr>
        <w:t xml:space="preserve"> Coal Measures </w:t>
      </w:r>
      <w:r w:rsidRPr="00192951">
        <w:rPr>
          <w:rFonts w:ascii="Arial" w:eastAsia="Calibri" w:hAnsi="Arial" w:cstheme="minorHAnsi"/>
          <w:sz w:val="20"/>
          <w:szCs w:val="22"/>
        </w:rPr>
        <w:t xml:space="preserve">of the Hunter Valley </w:t>
      </w:r>
      <w:r w:rsidR="00926FDB" w:rsidRPr="00192951">
        <w:rPr>
          <w:rFonts w:ascii="Arial" w:eastAsia="Calibri" w:hAnsi="Arial" w:cstheme="minorHAnsi"/>
          <w:sz w:val="20"/>
          <w:szCs w:val="22"/>
        </w:rPr>
        <w:t xml:space="preserve">would aid in the determination of cumulative impacts over a larger scale than is typically presented through a single environmental </w:t>
      </w:r>
      <w:r w:rsidR="002D6B24">
        <w:rPr>
          <w:rFonts w:ascii="Arial" w:eastAsia="Calibri" w:hAnsi="Arial" w:cstheme="minorHAnsi"/>
          <w:sz w:val="20"/>
          <w:szCs w:val="22"/>
        </w:rPr>
        <w:t xml:space="preserve">assessment. A </w:t>
      </w:r>
      <w:r w:rsidR="00926FDB" w:rsidRPr="00192951">
        <w:rPr>
          <w:rFonts w:ascii="Arial" w:eastAsia="Calibri" w:hAnsi="Arial" w:cstheme="minorHAnsi"/>
          <w:sz w:val="20"/>
          <w:szCs w:val="22"/>
        </w:rPr>
        <w:t xml:space="preserve">cumulative impact assessment </w:t>
      </w:r>
      <w:r w:rsidR="00D11579">
        <w:rPr>
          <w:rFonts w:ascii="Arial" w:eastAsia="Calibri" w:hAnsi="Arial" w:cstheme="minorHAnsi"/>
          <w:sz w:val="20"/>
          <w:szCs w:val="22"/>
        </w:rPr>
        <w:t xml:space="preserve">would utilise </w:t>
      </w:r>
      <w:r w:rsidR="00877CFF">
        <w:rPr>
          <w:rFonts w:ascii="Arial" w:eastAsia="Calibri" w:hAnsi="Arial" w:cstheme="minorHAnsi"/>
          <w:sz w:val="20"/>
          <w:szCs w:val="22"/>
        </w:rPr>
        <w:t>appropriately robust, repeatable methodologies to determin</w:t>
      </w:r>
      <w:r w:rsidR="00705294">
        <w:rPr>
          <w:rFonts w:ascii="Arial" w:eastAsia="Calibri" w:hAnsi="Arial" w:cstheme="minorHAnsi"/>
          <w:sz w:val="20"/>
          <w:szCs w:val="22"/>
        </w:rPr>
        <w:t>e</w:t>
      </w:r>
      <w:r w:rsidR="00877CFF">
        <w:rPr>
          <w:rFonts w:ascii="Arial" w:eastAsia="Calibri" w:hAnsi="Arial" w:cstheme="minorHAnsi"/>
          <w:sz w:val="20"/>
          <w:szCs w:val="22"/>
        </w:rPr>
        <w:t xml:space="preserve"> the significance of impacts and would provide mitigation, monitoring and management measures t</w:t>
      </w:r>
      <w:r w:rsidR="005317BB">
        <w:rPr>
          <w:rFonts w:ascii="Arial" w:eastAsia="Calibri" w:hAnsi="Arial" w:cstheme="minorHAnsi"/>
          <w:sz w:val="20"/>
          <w:szCs w:val="22"/>
        </w:rPr>
        <w:t>o avoid, minimise and report on cumulative impacts</w:t>
      </w:r>
      <w:r w:rsidR="00877CFF">
        <w:rPr>
          <w:rFonts w:ascii="Arial" w:eastAsia="Calibri" w:hAnsi="Arial" w:cstheme="minorHAnsi"/>
          <w:sz w:val="20"/>
          <w:szCs w:val="22"/>
        </w:rPr>
        <w:t xml:space="preserve">. </w:t>
      </w:r>
    </w:p>
    <w:p w:rsidR="00BB186F" w:rsidRPr="00BB186F" w:rsidRDefault="00BB186F" w:rsidP="00BB186F">
      <w:pPr>
        <w:spacing w:after="200" w:line="276" w:lineRule="auto"/>
        <w:rPr>
          <w:rFonts w:ascii="Arial" w:hAnsi="Arial" w:cs="Arial"/>
          <w:i/>
          <w:sz w:val="20"/>
        </w:rPr>
      </w:pPr>
      <w:r w:rsidRPr="00BB186F">
        <w:rPr>
          <w:rFonts w:ascii="Arial" w:hAnsi="Arial" w:cs="Arial"/>
          <w:i/>
          <w:sz w:val="20"/>
        </w:rPr>
        <w:lastRenderedPageBreak/>
        <w:t>Question 2: Do the numerical and conceptual groundwater models presented in the proponent’s documentation present any concerns that may impact upon water resources (or any other matters of national environmental significance)?</w:t>
      </w:r>
    </w:p>
    <w:p w:rsidR="000E7C58" w:rsidRPr="003169E2" w:rsidRDefault="000E7C58" w:rsidP="000E7C58">
      <w:pPr>
        <w:pStyle w:val="ListParagraph"/>
        <w:numPr>
          <w:ilvl w:val="0"/>
          <w:numId w:val="8"/>
        </w:numPr>
        <w:spacing w:after="120" w:line="276" w:lineRule="auto"/>
        <w:ind w:left="426" w:hanging="426"/>
        <w:rPr>
          <w:rFonts w:ascii="Arial" w:eastAsia="Calibri" w:hAnsi="Arial" w:cstheme="minorHAnsi"/>
          <w:sz w:val="20"/>
          <w:szCs w:val="22"/>
        </w:rPr>
      </w:pPr>
      <w:r w:rsidRPr="003169E2">
        <w:rPr>
          <w:rFonts w:ascii="Arial" w:eastAsia="Calibri" w:hAnsi="Arial" w:cstheme="minorHAnsi"/>
          <w:sz w:val="20"/>
          <w:szCs w:val="22"/>
        </w:rPr>
        <w:t xml:space="preserve">Groundwater modelling predicts a </w:t>
      </w:r>
      <w:r w:rsidR="00BF1E6D">
        <w:rPr>
          <w:rFonts w:ascii="Arial" w:eastAsia="Calibri" w:hAnsi="Arial" w:cstheme="minorHAnsi"/>
          <w:sz w:val="20"/>
          <w:szCs w:val="22"/>
        </w:rPr>
        <w:t>small</w:t>
      </w:r>
      <w:r w:rsidR="00312E55">
        <w:rPr>
          <w:rFonts w:ascii="Arial" w:eastAsia="Calibri" w:hAnsi="Arial" w:cstheme="minorHAnsi"/>
          <w:sz w:val="20"/>
          <w:szCs w:val="22"/>
        </w:rPr>
        <w:t xml:space="preserve"> </w:t>
      </w:r>
      <w:r w:rsidRPr="003169E2">
        <w:rPr>
          <w:rFonts w:ascii="Arial" w:eastAsia="Calibri" w:hAnsi="Arial" w:cs="Arial"/>
          <w:sz w:val="20"/>
          <w:szCs w:val="22"/>
        </w:rPr>
        <w:t xml:space="preserve">reduction in groundwater </w:t>
      </w:r>
      <w:r>
        <w:rPr>
          <w:rFonts w:ascii="Arial" w:eastAsia="Calibri" w:hAnsi="Arial" w:cs="Arial"/>
          <w:sz w:val="20"/>
          <w:szCs w:val="22"/>
        </w:rPr>
        <w:t>discharge to Wollombi Brook of 0.14 ML/</w:t>
      </w:r>
      <w:r w:rsidRPr="003169E2">
        <w:rPr>
          <w:rFonts w:ascii="Arial" w:eastAsia="Calibri" w:hAnsi="Arial" w:cs="Arial"/>
          <w:sz w:val="20"/>
          <w:szCs w:val="22"/>
        </w:rPr>
        <w:t>day over a 15 km reach</w:t>
      </w:r>
      <w:r w:rsidR="00BF1E6D">
        <w:rPr>
          <w:rFonts w:ascii="Arial" w:eastAsia="Calibri" w:hAnsi="Arial" w:cs="Arial"/>
          <w:sz w:val="20"/>
          <w:szCs w:val="22"/>
        </w:rPr>
        <w:t>. C</w:t>
      </w:r>
      <w:r w:rsidRPr="003169E2">
        <w:rPr>
          <w:rFonts w:ascii="Arial" w:eastAsia="Calibri" w:hAnsi="Arial" w:cstheme="minorHAnsi"/>
          <w:sz w:val="20"/>
          <w:szCs w:val="22"/>
        </w:rPr>
        <w:t>onsideration of potential ecological impacts due to changes to</w:t>
      </w:r>
      <w:r>
        <w:rPr>
          <w:rFonts w:ascii="Arial" w:eastAsia="Calibri" w:hAnsi="Arial" w:cstheme="minorHAnsi"/>
          <w:sz w:val="20"/>
          <w:szCs w:val="22"/>
        </w:rPr>
        <w:t xml:space="preserve"> </w:t>
      </w:r>
      <w:r w:rsidRPr="003169E2">
        <w:rPr>
          <w:rFonts w:ascii="Arial" w:eastAsia="Calibri" w:hAnsi="Arial" w:cstheme="minorHAnsi"/>
          <w:sz w:val="20"/>
          <w:szCs w:val="22"/>
        </w:rPr>
        <w:t>surface and groundwater interactions, particularly during low rainfall periods</w:t>
      </w:r>
      <w:r w:rsidR="00312E55">
        <w:rPr>
          <w:rFonts w:ascii="Arial" w:eastAsia="Calibri" w:hAnsi="Arial" w:cstheme="minorHAnsi"/>
          <w:sz w:val="20"/>
          <w:szCs w:val="22"/>
        </w:rPr>
        <w:t>,</w:t>
      </w:r>
      <w:r w:rsidRPr="003169E2">
        <w:rPr>
          <w:rFonts w:ascii="Arial" w:eastAsia="Calibri" w:hAnsi="Arial" w:cstheme="minorHAnsi"/>
          <w:sz w:val="20"/>
          <w:szCs w:val="22"/>
        </w:rPr>
        <w:t xml:space="preserve"> </w:t>
      </w:r>
      <w:r w:rsidR="00BF1E6D">
        <w:rPr>
          <w:rFonts w:ascii="Arial" w:eastAsia="Calibri" w:hAnsi="Arial" w:cstheme="minorHAnsi"/>
          <w:sz w:val="20"/>
          <w:szCs w:val="22"/>
        </w:rPr>
        <w:t>is not provided within the project assessment documentation</w:t>
      </w:r>
      <w:r w:rsidRPr="003169E2">
        <w:rPr>
          <w:rFonts w:ascii="Arial" w:eastAsia="Calibri" w:hAnsi="Arial" w:cstheme="minorHAnsi"/>
          <w:sz w:val="20"/>
          <w:szCs w:val="22"/>
        </w:rPr>
        <w:t xml:space="preserve">. </w:t>
      </w:r>
    </w:p>
    <w:p w:rsidR="00196DB1" w:rsidRPr="00BB186F" w:rsidRDefault="00196DB1" w:rsidP="00196DB1">
      <w:pPr>
        <w:spacing w:after="200" w:line="276" w:lineRule="auto"/>
        <w:rPr>
          <w:rFonts w:ascii="Arial" w:hAnsi="Arial" w:cs="Arial"/>
          <w:i/>
          <w:sz w:val="20"/>
        </w:rPr>
      </w:pPr>
      <w:r w:rsidRPr="00BB186F">
        <w:rPr>
          <w:rFonts w:ascii="Arial" w:hAnsi="Arial" w:cs="Arial"/>
          <w:i/>
          <w:sz w:val="20"/>
        </w:rPr>
        <w:t>Question 3: Does the Committee have any concerns regarding the predicted levels of groundwater drawdown and recovery?</w:t>
      </w:r>
    </w:p>
    <w:p w:rsidR="00196DB1" w:rsidRPr="00295EF2" w:rsidRDefault="00196DB1" w:rsidP="00196DB1">
      <w:pPr>
        <w:pStyle w:val="ListParagraph"/>
        <w:numPr>
          <w:ilvl w:val="0"/>
          <w:numId w:val="8"/>
        </w:numPr>
        <w:spacing w:after="120" w:line="276" w:lineRule="auto"/>
        <w:ind w:left="426" w:hanging="426"/>
        <w:rPr>
          <w:rFonts w:ascii="Arial" w:eastAsia="Calibri" w:hAnsi="Arial" w:cstheme="minorHAnsi"/>
          <w:sz w:val="20"/>
          <w:szCs w:val="22"/>
        </w:rPr>
      </w:pPr>
      <w:r w:rsidRPr="00295EF2">
        <w:rPr>
          <w:rFonts w:ascii="Arial" w:eastAsia="Calibri" w:hAnsi="Arial" w:cstheme="minorHAnsi"/>
          <w:sz w:val="20"/>
          <w:szCs w:val="22"/>
        </w:rPr>
        <w:t>The Committee has the following concerns with the proponent’s drawdown recovery predictions:</w:t>
      </w:r>
    </w:p>
    <w:p w:rsidR="00196DB1" w:rsidRPr="00295EF2" w:rsidRDefault="00196DB1" w:rsidP="00196DB1">
      <w:pPr>
        <w:pStyle w:val="ListParagraph"/>
        <w:numPr>
          <w:ilvl w:val="1"/>
          <w:numId w:val="8"/>
        </w:numPr>
        <w:spacing w:after="120" w:line="276" w:lineRule="auto"/>
        <w:ind w:left="851" w:hanging="425"/>
        <w:rPr>
          <w:rFonts w:ascii="Arial" w:eastAsia="Calibri" w:hAnsi="Arial" w:cstheme="minorHAnsi"/>
          <w:sz w:val="20"/>
          <w:szCs w:val="22"/>
          <w:lang w:val="en-US"/>
        </w:rPr>
      </w:pPr>
      <w:r w:rsidRPr="00295EF2">
        <w:rPr>
          <w:rFonts w:ascii="Arial" w:eastAsia="Calibri" w:hAnsi="Arial" w:cstheme="minorHAnsi"/>
          <w:sz w:val="20"/>
          <w:szCs w:val="22"/>
          <w:lang w:val="en-US"/>
        </w:rPr>
        <w:t>The proponent has not provided long term groundwater drawdown contour plots for the target coal seams. The inclusion of drawdown recovery contours for each of the target coal seams, at specific intervals into the future</w:t>
      </w:r>
      <w:r>
        <w:rPr>
          <w:rFonts w:ascii="Arial" w:eastAsia="Calibri" w:hAnsi="Arial" w:cstheme="minorHAnsi"/>
          <w:sz w:val="20"/>
          <w:szCs w:val="22"/>
          <w:lang w:val="en-US"/>
        </w:rPr>
        <w:t>,</w:t>
      </w:r>
      <w:r w:rsidRPr="00295EF2">
        <w:rPr>
          <w:rFonts w:ascii="Arial" w:eastAsia="Calibri" w:hAnsi="Arial" w:cstheme="minorHAnsi"/>
          <w:sz w:val="20"/>
          <w:szCs w:val="22"/>
          <w:lang w:val="en-US"/>
        </w:rPr>
        <w:t xml:space="preserve"> would be a beneficial inclusion in future iterations of the groundwater model. </w:t>
      </w:r>
      <w:r>
        <w:rPr>
          <w:rFonts w:ascii="Arial" w:eastAsia="Calibri" w:hAnsi="Arial" w:cstheme="minorHAnsi"/>
          <w:sz w:val="20"/>
          <w:szCs w:val="22"/>
          <w:lang w:val="en-US"/>
        </w:rPr>
        <w:t xml:space="preserve">The provision of </w:t>
      </w:r>
      <w:r w:rsidRPr="00295EF2">
        <w:rPr>
          <w:rFonts w:ascii="Arial" w:eastAsia="Calibri" w:hAnsi="Arial" w:cstheme="minorHAnsi"/>
          <w:sz w:val="20"/>
          <w:szCs w:val="22"/>
          <w:lang w:val="en-US"/>
        </w:rPr>
        <w:t>this</w:t>
      </w:r>
      <w:r>
        <w:rPr>
          <w:rFonts w:ascii="Arial" w:eastAsia="Calibri" w:hAnsi="Arial" w:cstheme="minorHAnsi"/>
          <w:sz w:val="20"/>
          <w:szCs w:val="22"/>
          <w:lang w:val="en-US"/>
        </w:rPr>
        <w:t xml:space="preserve"> information</w:t>
      </w:r>
      <w:r w:rsidRPr="00295EF2">
        <w:rPr>
          <w:rFonts w:ascii="Arial" w:eastAsia="Calibri" w:hAnsi="Arial" w:cstheme="minorHAnsi"/>
          <w:sz w:val="20"/>
          <w:szCs w:val="22"/>
          <w:lang w:val="en-US"/>
        </w:rPr>
        <w:t xml:space="preserve"> would provide a better indication of potential future groundwater impacts.</w:t>
      </w:r>
    </w:p>
    <w:p w:rsidR="00196DB1" w:rsidRDefault="00196DB1" w:rsidP="00196DB1">
      <w:pPr>
        <w:pStyle w:val="ListParagraph"/>
        <w:numPr>
          <w:ilvl w:val="1"/>
          <w:numId w:val="8"/>
        </w:numPr>
        <w:spacing w:after="120" w:line="276" w:lineRule="auto"/>
        <w:ind w:left="851" w:hanging="425"/>
        <w:rPr>
          <w:rFonts w:ascii="Arial" w:eastAsia="Calibri" w:hAnsi="Arial" w:cstheme="minorHAnsi"/>
          <w:sz w:val="20"/>
          <w:szCs w:val="22"/>
          <w:lang w:val="en-US"/>
        </w:rPr>
      </w:pPr>
      <w:r w:rsidRPr="00295EF2">
        <w:rPr>
          <w:rFonts w:ascii="Arial" w:eastAsia="Calibri" w:hAnsi="Arial" w:cstheme="minorHAnsi"/>
          <w:sz w:val="20"/>
          <w:szCs w:val="22"/>
          <w:lang w:val="en-US"/>
        </w:rPr>
        <w:t>Groundwater</w:t>
      </w:r>
      <w:r>
        <w:rPr>
          <w:rFonts w:ascii="Arial" w:eastAsia="Calibri" w:hAnsi="Arial" w:cstheme="minorHAnsi"/>
          <w:sz w:val="20"/>
          <w:szCs w:val="22"/>
          <w:lang w:val="en-US"/>
        </w:rPr>
        <w:t xml:space="preserve"> levels are</w:t>
      </w:r>
      <w:r w:rsidRPr="00295EF2">
        <w:rPr>
          <w:rFonts w:ascii="Arial" w:eastAsia="Calibri" w:hAnsi="Arial" w:cstheme="minorHAnsi"/>
          <w:sz w:val="20"/>
          <w:szCs w:val="22"/>
          <w:lang w:val="en-US"/>
        </w:rPr>
        <w:t xml:space="preserve"> not predicted to </w:t>
      </w:r>
      <w:r>
        <w:rPr>
          <w:rFonts w:ascii="Arial" w:eastAsia="Calibri" w:hAnsi="Arial" w:cstheme="minorHAnsi"/>
          <w:sz w:val="20"/>
          <w:szCs w:val="22"/>
          <w:lang w:val="en-US"/>
        </w:rPr>
        <w:t>recover to present day levels. The new groundwater equilibrium will not occur</w:t>
      </w:r>
      <w:r w:rsidRPr="00295EF2">
        <w:rPr>
          <w:rFonts w:ascii="Arial" w:eastAsia="Calibri" w:hAnsi="Arial" w:cstheme="minorHAnsi"/>
          <w:sz w:val="20"/>
          <w:szCs w:val="22"/>
          <w:lang w:val="en-US"/>
        </w:rPr>
        <w:t xml:space="preserve"> for at least 500 years following the completion of the proposed project and </w:t>
      </w:r>
      <w:r>
        <w:rPr>
          <w:rFonts w:ascii="Arial" w:eastAsia="Calibri" w:hAnsi="Arial" w:cstheme="minorHAnsi"/>
          <w:sz w:val="20"/>
          <w:szCs w:val="22"/>
          <w:lang w:val="en-US"/>
        </w:rPr>
        <w:t xml:space="preserve">the final water table is predicted to lie </w:t>
      </w:r>
      <w:r w:rsidRPr="00295EF2">
        <w:rPr>
          <w:rFonts w:ascii="Arial" w:eastAsia="Calibri" w:hAnsi="Arial" w:cstheme="minorHAnsi"/>
          <w:sz w:val="20"/>
          <w:szCs w:val="22"/>
          <w:lang w:val="en-US"/>
        </w:rPr>
        <w:t xml:space="preserve">below the </w:t>
      </w:r>
      <w:r>
        <w:rPr>
          <w:rFonts w:ascii="Arial" w:eastAsia="Calibri" w:hAnsi="Arial" w:cstheme="minorHAnsi"/>
          <w:sz w:val="20"/>
          <w:szCs w:val="22"/>
          <w:lang w:val="en-US"/>
        </w:rPr>
        <w:t>current</w:t>
      </w:r>
      <w:r w:rsidRPr="00295EF2">
        <w:rPr>
          <w:rFonts w:ascii="Arial" w:eastAsia="Calibri" w:hAnsi="Arial" w:cstheme="minorHAnsi"/>
          <w:sz w:val="20"/>
          <w:szCs w:val="22"/>
          <w:lang w:val="en-US"/>
        </w:rPr>
        <w:t xml:space="preserve"> water table. </w:t>
      </w:r>
      <w:r>
        <w:rPr>
          <w:rFonts w:ascii="Arial" w:eastAsia="Calibri" w:hAnsi="Arial" w:cstheme="minorHAnsi"/>
          <w:sz w:val="20"/>
          <w:szCs w:val="22"/>
          <w:lang w:val="en-US"/>
        </w:rPr>
        <w:t>A</w:t>
      </w:r>
      <w:r w:rsidRPr="00092475">
        <w:rPr>
          <w:rFonts w:ascii="Arial" w:eastAsia="Calibri" w:hAnsi="Arial" w:cstheme="minorHAnsi"/>
          <w:sz w:val="20"/>
          <w:szCs w:val="22"/>
          <w:lang w:val="en-US"/>
        </w:rPr>
        <w:t xml:space="preserve">n assessment of the potential impacts of the final groundwater </w:t>
      </w:r>
      <w:r>
        <w:rPr>
          <w:rFonts w:ascii="Arial" w:eastAsia="Calibri" w:hAnsi="Arial" w:cstheme="minorHAnsi"/>
          <w:sz w:val="20"/>
          <w:szCs w:val="22"/>
          <w:lang w:val="en-US"/>
        </w:rPr>
        <w:t>level</w:t>
      </w:r>
      <w:r w:rsidRPr="00092475">
        <w:rPr>
          <w:rFonts w:ascii="Arial" w:eastAsia="Calibri" w:hAnsi="Arial" w:cstheme="minorHAnsi"/>
          <w:sz w:val="20"/>
          <w:szCs w:val="22"/>
          <w:lang w:val="en-US"/>
        </w:rPr>
        <w:t xml:space="preserve"> on surrounding</w:t>
      </w:r>
      <w:r w:rsidRPr="00295EF2">
        <w:rPr>
          <w:rFonts w:ascii="Arial" w:eastAsia="Calibri" w:hAnsi="Arial" w:cstheme="minorHAnsi"/>
          <w:sz w:val="20"/>
          <w:szCs w:val="22"/>
          <w:lang w:val="en-US"/>
        </w:rPr>
        <w:t xml:space="preserve"> water dependent assets, including the potential for changes to ground and surface</w:t>
      </w:r>
      <w:r>
        <w:rPr>
          <w:rFonts w:ascii="Arial" w:eastAsia="Calibri" w:hAnsi="Arial" w:cstheme="minorHAnsi"/>
          <w:sz w:val="20"/>
          <w:szCs w:val="22"/>
          <w:lang w:val="en-US"/>
        </w:rPr>
        <w:t xml:space="preserve"> water interactions, would be </w:t>
      </w:r>
      <w:r w:rsidRPr="00295EF2">
        <w:rPr>
          <w:rFonts w:ascii="Arial" w:eastAsia="Calibri" w:hAnsi="Arial" w:cstheme="minorHAnsi"/>
          <w:sz w:val="20"/>
          <w:szCs w:val="22"/>
          <w:lang w:val="en-US"/>
        </w:rPr>
        <w:t>beneficial inclusion</w:t>
      </w:r>
      <w:r>
        <w:rPr>
          <w:rFonts w:ascii="Arial" w:eastAsia="Calibri" w:hAnsi="Arial" w:cstheme="minorHAnsi"/>
          <w:sz w:val="20"/>
          <w:szCs w:val="22"/>
          <w:lang w:val="en-US"/>
        </w:rPr>
        <w:t>s</w:t>
      </w:r>
      <w:r w:rsidRPr="00295EF2">
        <w:rPr>
          <w:rFonts w:ascii="Arial" w:eastAsia="Calibri" w:hAnsi="Arial" w:cstheme="minorHAnsi"/>
          <w:sz w:val="20"/>
          <w:szCs w:val="22"/>
          <w:lang w:val="en-US"/>
        </w:rPr>
        <w:t xml:space="preserve"> to the </w:t>
      </w:r>
      <w:r>
        <w:rPr>
          <w:rFonts w:ascii="Arial" w:eastAsia="Calibri" w:hAnsi="Arial" w:cstheme="minorHAnsi"/>
          <w:sz w:val="20"/>
          <w:szCs w:val="22"/>
          <w:lang w:val="en-US"/>
        </w:rPr>
        <w:t xml:space="preserve">project </w:t>
      </w:r>
      <w:r w:rsidRPr="00295EF2">
        <w:rPr>
          <w:rFonts w:ascii="Arial" w:eastAsia="Calibri" w:hAnsi="Arial" w:cstheme="minorHAnsi"/>
          <w:sz w:val="20"/>
          <w:szCs w:val="22"/>
          <w:lang w:val="en-US"/>
        </w:rPr>
        <w:t>assessment documentation.</w:t>
      </w:r>
    </w:p>
    <w:p w:rsidR="00196DB1" w:rsidRPr="00BB186F" w:rsidRDefault="00196DB1" w:rsidP="00196DB1">
      <w:pPr>
        <w:spacing w:after="200" w:line="276" w:lineRule="auto"/>
        <w:rPr>
          <w:rFonts w:ascii="Arial" w:hAnsi="Arial" w:cs="Arial"/>
          <w:i/>
          <w:sz w:val="20"/>
        </w:rPr>
      </w:pPr>
      <w:r w:rsidRPr="00BB186F">
        <w:rPr>
          <w:rFonts w:ascii="Arial" w:hAnsi="Arial" w:cs="Arial"/>
          <w:i/>
          <w:sz w:val="20"/>
        </w:rPr>
        <w:t>Question 4: What does the Committee consider are the key uncertainties and risks of the project in relation to water resources?</w:t>
      </w:r>
    </w:p>
    <w:p w:rsidR="00196DB1" w:rsidRPr="0017602A" w:rsidRDefault="00196DB1" w:rsidP="00196DB1">
      <w:pPr>
        <w:pStyle w:val="ListParagraph"/>
        <w:numPr>
          <w:ilvl w:val="0"/>
          <w:numId w:val="8"/>
        </w:numPr>
        <w:spacing w:after="120" w:line="276" w:lineRule="auto"/>
        <w:ind w:left="426" w:hanging="426"/>
        <w:rPr>
          <w:rFonts w:ascii="Arial" w:hAnsi="Arial" w:cs="Arial"/>
          <w:sz w:val="20"/>
        </w:rPr>
      </w:pPr>
      <w:r w:rsidRPr="0017602A">
        <w:rPr>
          <w:rFonts w:ascii="Arial" w:eastAsia="Calibri" w:hAnsi="Arial" w:cs="Arial"/>
          <w:sz w:val="20"/>
          <w:szCs w:val="22"/>
        </w:rPr>
        <w:t xml:space="preserve">The Committee considers that the key risks of the proposed project are the increases in discharge to the ephemeral Loders Creek Catchment and the </w:t>
      </w:r>
      <w:r>
        <w:rPr>
          <w:rFonts w:ascii="Arial" w:eastAsia="Calibri" w:hAnsi="Arial" w:cs="Arial"/>
          <w:sz w:val="20"/>
          <w:szCs w:val="22"/>
        </w:rPr>
        <w:t xml:space="preserve">release of contaminants from </w:t>
      </w:r>
      <w:r w:rsidRPr="0017602A">
        <w:rPr>
          <w:rFonts w:ascii="Arial" w:eastAsia="Calibri" w:hAnsi="Arial" w:cs="Arial"/>
          <w:sz w:val="20"/>
          <w:szCs w:val="22"/>
        </w:rPr>
        <w:t>the final landform</w:t>
      </w:r>
      <w:r>
        <w:rPr>
          <w:rFonts w:ascii="Arial" w:eastAsia="Calibri" w:hAnsi="Arial" w:cs="Arial"/>
          <w:sz w:val="20"/>
          <w:szCs w:val="22"/>
        </w:rPr>
        <w:t xml:space="preserve"> to surface and groundwater systems and impacts to dependent ecosystems</w:t>
      </w:r>
      <w:r w:rsidRPr="0017602A">
        <w:rPr>
          <w:rFonts w:ascii="Arial" w:eastAsia="Calibri" w:hAnsi="Arial" w:cs="Arial"/>
          <w:sz w:val="20"/>
          <w:szCs w:val="22"/>
        </w:rPr>
        <w:t xml:space="preserve">. </w:t>
      </w:r>
    </w:p>
    <w:p w:rsidR="00196DB1" w:rsidRPr="006A3180" w:rsidRDefault="00196DB1" w:rsidP="00196DB1">
      <w:pPr>
        <w:pStyle w:val="ListParagraph"/>
        <w:numPr>
          <w:ilvl w:val="1"/>
          <w:numId w:val="8"/>
        </w:numPr>
        <w:spacing w:after="120" w:line="276" w:lineRule="auto"/>
        <w:ind w:left="851" w:hanging="425"/>
        <w:rPr>
          <w:rFonts w:ascii="Arial" w:eastAsia="Calibri" w:hAnsi="Arial" w:cstheme="minorHAnsi"/>
          <w:sz w:val="20"/>
          <w:szCs w:val="22"/>
          <w:lang w:val="en-US"/>
        </w:rPr>
      </w:pPr>
      <w:r w:rsidRPr="006A3180">
        <w:rPr>
          <w:rFonts w:ascii="Arial" w:eastAsia="Calibri" w:hAnsi="Arial" w:cstheme="minorHAnsi"/>
          <w:sz w:val="20"/>
          <w:szCs w:val="22"/>
          <w:lang w:val="en-US"/>
        </w:rPr>
        <w:t xml:space="preserve">The proponent proposes to increase the current licensed maximum discharge of 55 ML/day to 627 ML/day. This is an increase in maximum discharge of over 300 per cent, which has the potential to have an adverse effect on the ephemeral Loders Creek </w:t>
      </w:r>
      <w:r w:rsidR="00312E55">
        <w:rPr>
          <w:rFonts w:ascii="Arial" w:eastAsia="Calibri" w:hAnsi="Arial" w:cstheme="minorHAnsi"/>
          <w:sz w:val="20"/>
          <w:szCs w:val="22"/>
          <w:lang w:val="en-US"/>
        </w:rPr>
        <w:t>Catchment</w:t>
      </w:r>
      <w:r w:rsidRPr="006A3180">
        <w:rPr>
          <w:rFonts w:ascii="Arial" w:eastAsia="Calibri" w:hAnsi="Arial" w:cstheme="minorHAnsi"/>
          <w:sz w:val="20"/>
          <w:szCs w:val="22"/>
          <w:lang w:val="en-US"/>
        </w:rPr>
        <w:t xml:space="preserve"> by changing t</w:t>
      </w:r>
      <w:r>
        <w:rPr>
          <w:rFonts w:ascii="Arial" w:eastAsia="Calibri" w:hAnsi="Arial" w:cstheme="minorHAnsi"/>
          <w:sz w:val="20"/>
          <w:szCs w:val="22"/>
          <w:lang w:val="en-US"/>
        </w:rPr>
        <w:t>he flow dynamics of this stream, leading to erosion and potential bank instability.</w:t>
      </w:r>
    </w:p>
    <w:p w:rsidR="00196DB1" w:rsidRPr="006A3180" w:rsidRDefault="00196DB1" w:rsidP="00196DB1">
      <w:pPr>
        <w:pStyle w:val="ListParagraph"/>
        <w:numPr>
          <w:ilvl w:val="1"/>
          <w:numId w:val="8"/>
        </w:numPr>
        <w:spacing w:after="120" w:line="276" w:lineRule="auto"/>
        <w:ind w:left="851" w:hanging="425"/>
        <w:rPr>
          <w:rFonts w:ascii="Arial" w:eastAsia="Calibri" w:hAnsi="Arial" w:cstheme="minorHAnsi"/>
          <w:sz w:val="20"/>
          <w:szCs w:val="22"/>
          <w:lang w:val="en-US"/>
        </w:rPr>
      </w:pPr>
      <w:r w:rsidRPr="006A3180">
        <w:rPr>
          <w:rFonts w:ascii="Arial" w:eastAsia="Calibri" w:hAnsi="Arial" w:cstheme="minorHAnsi"/>
          <w:sz w:val="20"/>
          <w:szCs w:val="22"/>
          <w:lang w:val="en-US"/>
        </w:rPr>
        <w:t xml:space="preserve">The final proposed void will generate a pit lake and act as a groundwater sink beyond 500 years following the completion of the proposed project. The Preliminary Documentation </w:t>
      </w:r>
      <w:r w:rsidR="009D65C6">
        <w:rPr>
          <w:rFonts w:ascii="Arial" w:eastAsia="Calibri" w:hAnsi="Arial" w:cstheme="minorHAnsi"/>
          <w:sz w:val="20"/>
          <w:szCs w:val="22"/>
          <w:lang w:val="en-US"/>
        </w:rPr>
        <w:t>has</w:t>
      </w:r>
      <w:r w:rsidRPr="006A3180">
        <w:rPr>
          <w:rFonts w:ascii="Arial" w:eastAsia="Calibri" w:hAnsi="Arial" w:cstheme="minorHAnsi"/>
          <w:sz w:val="20"/>
          <w:szCs w:val="22"/>
          <w:lang w:val="en-US"/>
        </w:rPr>
        <w:t xml:space="preserve"> no</w:t>
      </w:r>
      <w:r w:rsidR="009D65C6">
        <w:rPr>
          <w:rFonts w:ascii="Arial" w:eastAsia="Calibri" w:hAnsi="Arial" w:cstheme="minorHAnsi"/>
          <w:sz w:val="20"/>
          <w:szCs w:val="22"/>
          <w:lang w:val="en-US"/>
        </w:rPr>
        <w:t>t considered</w:t>
      </w:r>
      <w:r w:rsidRPr="006A3180">
        <w:rPr>
          <w:rFonts w:ascii="Arial" w:eastAsia="Calibri" w:hAnsi="Arial" w:cstheme="minorHAnsi"/>
          <w:sz w:val="20"/>
          <w:szCs w:val="22"/>
          <w:lang w:val="en-US"/>
        </w:rPr>
        <w:t xml:space="preserve"> the potential impacts of the release of pit lake water to surrounding surface or groundwater resources. Water held within the void is expected to become highly saline and may be a source for surface or groundwater contamination, particularly as the pit lake water level at equilibrium is predicted to exceed the void spill height. The proponent predicts that spill will occur in a “spring like manner” through the emplaced waste rock and into the surrounding surface waterways through the identified leakage points. There is a risk that these </w:t>
      </w:r>
      <w:r>
        <w:rPr>
          <w:rFonts w:ascii="Arial" w:eastAsia="Calibri" w:hAnsi="Arial" w:cstheme="minorHAnsi"/>
          <w:sz w:val="20"/>
          <w:szCs w:val="22"/>
          <w:lang w:val="en-US"/>
        </w:rPr>
        <w:t>“</w:t>
      </w:r>
      <w:r w:rsidRPr="006A3180">
        <w:rPr>
          <w:rFonts w:ascii="Arial" w:eastAsia="Calibri" w:hAnsi="Arial" w:cstheme="minorHAnsi"/>
          <w:sz w:val="20"/>
          <w:szCs w:val="22"/>
          <w:lang w:val="en-US"/>
        </w:rPr>
        <w:t>springs</w:t>
      </w:r>
      <w:r>
        <w:rPr>
          <w:rFonts w:ascii="Arial" w:eastAsia="Calibri" w:hAnsi="Arial" w:cstheme="minorHAnsi"/>
          <w:sz w:val="20"/>
          <w:szCs w:val="22"/>
          <w:lang w:val="en-US"/>
        </w:rPr>
        <w:t>”</w:t>
      </w:r>
      <w:r w:rsidRPr="006A3180">
        <w:rPr>
          <w:rFonts w:ascii="Arial" w:eastAsia="Calibri" w:hAnsi="Arial" w:cstheme="minorHAnsi"/>
          <w:sz w:val="20"/>
          <w:szCs w:val="22"/>
          <w:lang w:val="en-US"/>
        </w:rPr>
        <w:t xml:space="preserve"> will contain contaminants or leachates, including elevated salt levels and acid forming materials. Assessment of this risk should be informed by </w:t>
      </w:r>
      <w:r>
        <w:rPr>
          <w:rFonts w:ascii="Arial" w:eastAsia="Calibri" w:hAnsi="Arial" w:cstheme="minorHAnsi"/>
          <w:sz w:val="20"/>
          <w:szCs w:val="22"/>
          <w:lang w:val="en-US"/>
        </w:rPr>
        <w:t>hydro</w:t>
      </w:r>
      <w:r w:rsidRPr="006A3180">
        <w:rPr>
          <w:rFonts w:ascii="Arial" w:eastAsia="Calibri" w:hAnsi="Arial" w:cstheme="minorHAnsi"/>
          <w:sz w:val="20"/>
          <w:szCs w:val="22"/>
          <w:lang w:val="en-US"/>
        </w:rPr>
        <w:t xml:space="preserve">chemical characterisation of the </w:t>
      </w:r>
      <w:r>
        <w:rPr>
          <w:rFonts w:ascii="Arial" w:eastAsia="Calibri" w:hAnsi="Arial" w:cstheme="minorHAnsi"/>
          <w:sz w:val="20"/>
          <w:szCs w:val="22"/>
          <w:lang w:val="en-US"/>
        </w:rPr>
        <w:t xml:space="preserve">pit lake and </w:t>
      </w:r>
      <w:r w:rsidRPr="006A3180">
        <w:rPr>
          <w:rFonts w:ascii="Arial" w:eastAsia="Calibri" w:hAnsi="Arial" w:cstheme="minorHAnsi"/>
          <w:sz w:val="20"/>
          <w:szCs w:val="22"/>
          <w:lang w:val="en-US"/>
        </w:rPr>
        <w:t xml:space="preserve">surrounding emplacement areas. </w:t>
      </w:r>
    </w:p>
    <w:p w:rsidR="00196DB1" w:rsidRPr="007C3372" w:rsidRDefault="00196DB1" w:rsidP="00196DB1">
      <w:pPr>
        <w:pStyle w:val="ListParagraph"/>
        <w:numPr>
          <w:ilvl w:val="1"/>
          <w:numId w:val="8"/>
        </w:numPr>
        <w:spacing w:after="120" w:line="276" w:lineRule="auto"/>
        <w:ind w:left="851" w:hanging="425"/>
        <w:rPr>
          <w:rFonts w:ascii="Arial" w:eastAsia="Calibri" w:hAnsi="Arial" w:cstheme="minorHAnsi"/>
          <w:sz w:val="20"/>
          <w:szCs w:val="22"/>
          <w:lang w:val="en-US"/>
        </w:rPr>
      </w:pPr>
      <w:r w:rsidRPr="007C3372">
        <w:rPr>
          <w:rFonts w:ascii="Arial" w:eastAsia="Calibri" w:hAnsi="Arial" w:cstheme="minorHAnsi"/>
          <w:sz w:val="20"/>
          <w:szCs w:val="22"/>
          <w:lang w:val="en-US"/>
        </w:rPr>
        <w:t xml:space="preserve">The risk analysis methodology used by the proponent was semi-quantitative and dealt with risks at a high-level (for example “surface water”), rather than considering the specific measurable individual risk components. The Committee considers that it is good practice to include a stand-alone risk assessment considering specific water-related risks to the environment in project assessment documentation. </w:t>
      </w:r>
    </w:p>
    <w:p w:rsidR="00196DB1" w:rsidRPr="000B60B3" w:rsidRDefault="00196DB1" w:rsidP="00196DB1">
      <w:pPr>
        <w:spacing w:after="200" w:line="276" w:lineRule="auto"/>
        <w:rPr>
          <w:rFonts w:ascii="Arial" w:hAnsi="Arial" w:cs="Arial"/>
          <w:i/>
          <w:sz w:val="20"/>
        </w:rPr>
      </w:pPr>
      <w:r w:rsidRPr="000B60B3">
        <w:rPr>
          <w:rFonts w:ascii="Arial" w:hAnsi="Arial" w:cs="Arial"/>
          <w:i/>
          <w:sz w:val="20"/>
        </w:rPr>
        <w:lastRenderedPageBreak/>
        <w:t>Question 5: Are there any likely impacts that the proponent has not considered that might lead to changes in surface and/or groundwater dynamics that may support other water dependent matters of national environmental significance?</w:t>
      </w:r>
    </w:p>
    <w:p w:rsidR="00196DB1" w:rsidRPr="00F13550" w:rsidRDefault="00196DB1" w:rsidP="00196DB1">
      <w:pPr>
        <w:pStyle w:val="ListParagraph"/>
        <w:numPr>
          <w:ilvl w:val="0"/>
          <w:numId w:val="8"/>
        </w:numPr>
        <w:spacing w:after="120" w:line="276" w:lineRule="auto"/>
        <w:ind w:left="426" w:hanging="426"/>
        <w:rPr>
          <w:rFonts w:ascii="Arial" w:eastAsia="Calibri" w:hAnsi="Arial" w:cs="Arial"/>
          <w:sz w:val="20"/>
          <w:szCs w:val="22"/>
        </w:rPr>
      </w:pPr>
      <w:r w:rsidRPr="00F13550">
        <w:rPr>
          <w:rFonts w:ascii="Arial" w:eastAsia="Calibri" w:hAnsi="Arial" w:cs="Arial"/>
          <w:sz w:val="20"/>
          <w:szCs w:val="22"/>
        </w:rPr>
        <w:t xml:space="preserve">Although the proponent includes baseline </w:t>
      </w:r>
      <w:r>
        <w:rPr>
          <w:rFonts w:ascii="Arial" w:eastAsia="Calibri" w:hAnsi="Arial" w:cs="Arial"/>
          <w:sz w:val="20"/>
          <w:szCs w:val="22"/>
        </w:rPr>
        <w:t xml:space="preserve">surface water </w:t>
      </w:r>
      <w:r w:rsidRPr="00F13550">
        <w:rPr>
          <w:rFonts w:ascii="Arial" w:eastAsia="Calibri" w:hAnsi="Arial" w:cs="Arial"/>
          <w:sz w:val="20"/>
          <w:szCs w:val="22"/>
        </w:rPr>
        <w:t>conditions for pH, electrical conductivity and total suspended solids, information has</w:t>
      </w:r>
      <w:r w:rsidR="00AE33AB">
        <w:rPr>
          <w:rFonts w:ascii="Arial" w:eastAsia="Calibri" w:hAnsi="Arial" w:cs="Arial"/>
          <w:sz w:val="20"/>
          <w:szCs w:val="22"/>
        </w:rPr>
        <w:t xml:space="preserve"> not</w:t>
      </w:r>
      <w:r w:rsidRPr="00F13550">
        <w:rPr>
          <w:rFonts w:ascii="Arial" w:eastAsia="Calibri" w:hAnsi="Arial" w:cs="Arial"/>
          <w:sz w:val="20"/>
          <w:szCs w:val="22"/>
        </w:rPr>
        <w:t xml:space="preserve"> been provided regarding baseline trends for any other water quality parameters. Based on the information provided and the limited </w:t>
      </w:r>
      <w:r>
        <w:rPr>
          <w:rFonts w:ascii="Arial" w:eastAsia="Calibri" w:hAnsi="Arial" w:cs="Arial"/>
          <w:sz w:val="20"/>
          <w:szCs w:val="22"/>
        </w:rPr>
        <w:t xml:space="preserve">surface </w:t>
      </w:r>
      <w:r w:rsidRPr="00F13550">
        <w:rPr>
          <w:rFonts w:ascii="Arial" w:eastAsia="Calibri" w:hAnsi="Arial" w:cs="Arial"/>
          <w:sz w:val="20"/>
          <w:szCs w:val="22"/>
        </w:rPr>
        <w:t>water quality monitoring regime proposed by the pro</w:t>
      </w:r>
      <w:r>
        <w:rPr>
          <w:rFonts w:ascii="Arial" w:eastAsia="Calibri" w:hAnsi="Arial" w:cs="Arial"/>
          <w:sz w:val="20"/>
          <w:szCs w:val="22"/>
        </w:rPr>
        <w:t xml:space="preserve">ponent, the Committee is unable </w:t>
      </w:r>
      <w:r w:rsidRPr="00F13550">
        <w:rPr>
          <w:rFonts w:ascii="Arial" w:eastAsia="Calibri" w:hAnsi="Arial" w:cs="Arial"/>
          <w:sz w:val="20"/>
          <w:szCs w:val="22"/>
        </w:rPr>
        <w:t>to assess the potential for any other pollutants to enter the receiving environment.</w:t>
      </w:r>
    </w:p>
    <w:p w:rsidR="00196DB1" w:rsidRPr="00BB186F" w:rsidRDefault="00196DB1" w:rsidP="00196DB1">
      <w:pPr>
        <w:spacing w:after="200" w:line="276" w:lineRule="auto"/>
        <w:rPr>
          <w:rFonts w:ascii="Arial" w:hAnsi="Arial" w:cs="Arial"/>
          <w:i/>
          <w:sz w:val="20"/>
        </w:rPr>
      </w:pPr>
      <w:r w:rsidRPr="00BB186F">
        <w:rPr>
          <w:rFonts w:ascii="Arial" w:hAnsi="Arial" w:cs="Arial"/>
          <w:i/>
          <w:sz w:val="20"/>
        </w:rPr>
        <w:t>Question 6: Are there additional measures and commitments required to monitor, mitigate and manage impacts resulting from changes to surface and groundwater resources?</w:t>
      </w:r>
    </w:p>
    <w:p w:rsidR="00196DB1" w:rsidRDefault="00196DB1" w:rsidP="00196DB1">
      <w:pPr>
        <w:pStyle w:val="ListParagraph"/>
        <w:numPr>
          <w:ilvl w:val="0"/>
          <w:numId w:val="8"/>
        </w:numPr>
        <w:spacing w:after="120" w:line="276" w:lineRule="auto"/>
        <w:ind w:left="426" w:hanging="426"/>
        <w:rPr>
          <w:rFonts w:ascii="Arial" w:eastAsia="Calibri" w:hAnsi="Arial" w:cs="Arial"/>
          <w:sz w:val="20"/>
          <w:szCs w:val="20"/>
        </w:rPr>
      </w:pPr>
      <w:r w:rsidRPr="00A07171">
        <w:rPr>
          <w:rFonts w:ascii="Arial" w:eastAsia="Calibri" w:hAnsi="Arial" w:cs="Arial"/>
          <w:sz w:val="20"/>
          <w:szCs w:val="20"/>
        </w:rPr>
        <w:t xml:space="preserve">The </w:t>
      </w:r>
      <w:r w:rsidRPr="00A07171">
        <w:rPr>
          <w:rFonts w:ascii="Arial" w:eastAsia="Calibri" w:hAnsi="Arial" w:cstheme="minorHAnsi"/>
          <w:sz w:val="20"/>
          <w:szCs w:val="22"/>
        </w:rPr>
        <w:t>proponent</w:t>
      </w:r>
      <w:r w:rsidRPr="00A07171">
        <w:rPr>
          <w:rFonts w:ascii="Arial" w:eastAsia="Calibri" w:hAnsi="Arial" w:cs="Arial"/>
          <w:sz w:val="20"/>
          <w:szCs w:val="20"/>
        </w:rPr>
        <w:t xml:space="preserve"> has listed several existing monitoring, management and reporting protocols or plans that it proposes to update and expand to address the ongoing mitigation and management needs of the proposed project. </w:t>
      </w:r>
      <w:r>
        <w:rPr>
          <w:rFonts w:ascii="Arial" w:eastAsia="Calibri" w:hAnsi="Arial" w:cs="Arial"/>
          <w:sz w:val="20"/>
          <w:szCs w:val="20"/>
        </w:rPr>
        <w:t>It</w:t>
      </w:r>
      <w:r w:rsidRPr="00A07171">
        <w:rPr>
          <w:rFonts w:ascii="Arial" w:eastAsia="Calibri" w:hAnsi="Arial" w:cs="Arial"/>
          <w:sz w:val="20"/>
          <w:szCs w:val="20"/>
        </w:rPr>
        <w:t xml:space="preserve"> would be beneficial for these documents to be </w:t>
      </w:r>
      <w:r w:rsidRPr="009C0DD7">
        <w:rPr>
          <w:rFonts w:ascii="Arial" w:eastAsia="Calibri" w:hAnsi="Arial" w:cs="Arial"/>
          <w:sz w:val="20"/>
          <w:szCs w:val="20"/>
        </w:rPr>
        <w:t>updated prior to the commencement of the proposed project to prevent the short-term risk should impacts occur unexpectedly</w:t>
      </w:r>
      <w:r w:rsidRPr="00A07171">
        <w:rPr>
          <w:rFonts w:ascii="Arial" w:eastAsia="Calibri" w:hAnsi="Arial" w:cs="Arial"/>
          <w:sz w:val="20"/>
          <w:szCs w:val="20"/>
        </w:rPr>
        <w:t xml:space="preserve"> or sooner than predicted. </w:t>
      </w:r>
    </w:p>
    <w:p w:rsidR="00196DB1" w:rsidRPr="00E40C70" w:rsidRDefault="00196DB1" w:rsidP="00196DB1">
      <w:pPr>
        <w:pStyle w:val="ListParagraph"/>
        <w:numPr>
          <w:ilvl w:val="0"/>
          <w:numId w:val="8"/>
        </w:numPr>
        <w:spacing w:after="120" w:line="276" w:lineRule="auto"/>
        <w:ind w:left="426" w:hanging="426"/>
        <w:rPr>
          <w:rFonts w:ascii="Arial" w:eastAsia="Calibri" w:hAnsi="Arial" w:cs="Arial"/>
          <w:sz w:val="20"/>
          <w:szCs w:val="20"/>
        </w:rPr>
      </w:pPr>
      <w:r w:rsidRPr="00E40C70">
        <w:rPr>
          <w:rFonts w:ascii="Arial" w:eastAsia="Calibri" w:hAnsi="Arial" w:cs="Arial"/>
          <w:sz w:val="20"/>
          <w:szCs w:val="20"/>
        </w:rPr>
        <w:t>The proponent has an extensive network of monitoring bore</w:t>
      </w:r>
      <w:r>
        <w:rPr>
          <w:rFonts w:ascii="Arial" w:eastAsia="Calibri" w:hAnsi="Arial" w:cs="Arial"/>
          <w:sz w:val="20"/>
          <w:szCs w:val="20"/>
        </w:rPr>
        <w:t>s</w:t>
      </w:r>
      <w:r w:rsidRPr="00E40C70">
        <w:rPr>
          <w:rFonts w:ascii="Arial" w:eastAsia="Calibri" w:hAnsi="Arial" w:cs="Arial"/>
          <w:sz w:val="20"/>
          <w:szCs w:val="20"/>
        </w:rPr>
        <w:t xml:space="preserve">, an existing groundwater monitoring schedule and commits to use these existing and future datasets to inform and </w:t>
      </w:r>
      <w:r>
        <w:rPr>
          <w:rFonts w:ascii="Arial" w:eastAsia="Calibri" w:hAnsi="Arial" w:cs="Arial"/>
          <w:sz w:val="20"/>
          <w:szCs w:val="20"/>
        </w:rPr>
        <w:br/>
      </w:r>
      <w:r w:rsidRPr="00E40C70">
        <w:rPr>
          <w:rFonts w:ascii="Arial" w:eastAsia="Calibri" w:hAnsi="Arial" w:cs="Arial"/>
          <w:sz w:val="20"/>
          <w:szCs w:val="20"/>
        </w:rPr>
        <w:t>re-calibrate future iterations of groundwater modelling for the site. Additional components of a groundwater management plan should include the development of groundwater impact avoidance and prevention strategies as well as triggers to determine when management or contingency actions are to be undertaken.</w:t>
      </w:r>
    </w:p>
    <w:p w:rsidR="00196DB1" w:rsidRPr="00473847" w:rsidRDefault="00196DB1" w:rsidP="00196DB1">
      <w:pPr>
        <w:pStyle w:val="ListParagraph"/>
        <w:numPr>
          <w:ilvl w:val="0"/>
          <w:numId w:val="8"/>
        </w:numPr>
        <w:spacing w:after="120" w:line="276" w:lineRule="auto"/>
        <w:ind w:left="426" w:hanging="426"/>
        <w:rPr>
          <w:rFonts w:ascii="Arial" w:eastAsia="Calibri" w:hAnsi="Arial" w:cs="Arial"/>
          <w:sz w:val="20"/>
          <w:szCs w:val="20"/>
          <w:lang w:val="en-US"/>
        </w:rPr>
      </w:pPr>
      <w:r w:rsidRPr="00473847">
        <w:rPr>
          <w:rFonts w:ascii="Arial" w:eastAsia="Calibri" w:hAnsi="Arial" w:cs="Arial"/>
          <w:sz w:val="20"/>
          <w:szCs w:val="20"/>
          <w:lang w:val="en-US"/>
        </w:rPr>
        <w:t xml:space="preserve">The following </w:t>
      </w:r>
      <w:r>
        <w:rPr>
          <w:rFonts w:ascii="Arial" w:eastAsia="Calibri" w:hAnsi="Arial" w:cs="Arial"/>
          <w:sz w:val="20"/>
          <w:szCs w:val="20"/>
          <w:lang w:val="en-US"/>
        </w:rPr>
        <w:t>s</w:t>
      </w:r>
      <w:r w:rsidRPr="00473847">
        <w:rPr>
          <w:rFonts w:ascii="Arial" w:eastAsia="Calibri" w:hAnsi="Arial" w:cs="Arial"/>
          <w:sz w:val="20"/>
          <w:szCs w:val="20"/>
          <w:lang w:val="en-US"/>
        </w:rPr>
        <w:t>urface water monitoring and mitigation measures would be appropriate to aid in the prevention of impacts to water resources:</w:t>
      </w:r>
    </w:p>
    <w:p w:rsidR="00196DB1" w:rsidRPr="00473847" w:rsidRDefault="00196DB1" w:rsidP="00196DB1">
      <w:pPr>
        <w:pStyle w:val="ListParagraph"/>
        <w:numPr>
          <w:ilvl w:val="0"/>
          <w:numId w:val="21"/>
        </w:numPr>
        <w:spacing w:after="120" w:line="276" w:lineRule="auto"/>
        <w:ind w:left="851" w:hanging="425"/>
        <w:rPr>
          <w:rFonts w:ascii="Arial" w:eastAsia="Calibri" w:hAnsi="Arial" w:cstheme="minorHAnsi"/>
          <w:sz w:val="20"/>
          <w:szCs w:val="20"/>
          <w:lang w:val="en-US"/>
        </w:rPr>
      </w:pPr>
      <w:r w:rsidRPr="00473847">
        <w:rPr>
          <w:rFonts w:ascii="Arial" w:eastAsia="Calibri" w:hAnsi="Arial" w:cstheme="minorHAnsi"/>
          <w:sz w:val="20"/>
          <w:szCs w:val="20"/>
          <w:lang w:val="en-US"/>
        </w:rPr>
        <w:t>The implementation of a monitoring and mitigation program</w:t>
      </w:r>
      <w:r>
        <w:rPr>
          <w:rFonts w:ascii="Arial" w:eastAsia="Calibri" w:hAnsi="Arial" w:cstheme="minorHAnsi"/>
          <w:sz w:val="20"/>
          <w:szCs w:val="20"/>
          <w:lang w:val="en-US"/>
        </w:rPr>
        <w:t xml:space="preserve">me </w:t>
      </w:r>
      <w:r w:rsidRPr="00473847">
        <w:rPr>
          <w:rFonts w:ascii="Arial" w:eastAsia="Calibri" w:hAnsi="Arial" w:cstheme="minorHAnsi"/>
          <w:sz w:val="20"/>
          <w:szCs w:val="20"/>
          <w:lang w:val="en-US"/>
        </w:rPr>
        <w:t xml:space="preserve">to address the risk of erosion and bank instability </w:t>
      </w:r>
      <w:r>
        <w:rPr>
          <w:rFonts w:ascii="Arial" w:eastAsia="Calibri" w:hAnsi="Arial" w:cstheme="minorHAnsi"/>
          <w:sz w:val="20"/>
          <w:szCs w:val="20"/>
          <w:lang w:val="en-US"/>
        </w:rPr>
        <w:t>in the</w:t>
      </w:r>
      <w:r w:rsidRPr="00473847">
        <w:rPr>
          <w:rFonts w:ascii="Arial" w:eastAsia="Calibri" w:hAnsi="Arial" w:cstheme="minorHAnsi"/>
          <w:sz w:val="20"/>
          <w:szCs w:val="20"/>
          <w:lang w:val="en-US"/>
        </w:rPr>
        <w:t xml:space="preserve"> Loders Creek</w:t>
      </w:r>
      <w:r>
        <w:rPr>
          <w:rFonts w:ascii="Arial" w:eastAsia="Calibri" w:hAnsi="Arial" w:cstheme="minorHAnsi"/>
          <w:sz w:val="20"/>
          <w:szCs w:val="20"/>
          <w:lang w:val="en-US"/>
        </w:rPr>
        <w:t xml:space="preserve"> Catchment downstream of the proposed discharge points. This programme should consider</w:t>
      </w:r>
      <w:r w:rsidRPr="009C127F">
        <w:rPr>
          <w:rFonts w:ascii="Arial" w:eastAsia="Calibri" w:hAnsi="Arial" w:cstheme="minorHAnsi"/>
          <w:sz w:val="20"/>
          <w:szCs w:val="20"/>
          <w:lang w:val="en-US"/>
        </w:rPr>
        <w:t xml:space="preserve"> </w:t>
      </w:r>
      <w:r>
        <w:rPr>
          <w:rFonts w:ascii="Arial" w:eastAsia="Calibri" w:hAnsi="Arial" w:cstheme="minorHAnsi"/>
          <w:sz w:val="20"/>
          <w:szCs w:val="20"/>
          <w:lang w:val="en-US"/>
        </w:rPr>
        <w:t>the relocation of</w:t>
      </w:r>
      <w:r w:rsidRPr="00473847">
        <w:rPr>
          <w:rFonts w:ascii="Arial" w:eastAsia="Calibri" w:hAnsi="Arial" w:cstheme="minorHAnsi"/>
          <w:sz w:val="20"/>
          <w:szCs w:val="20"/>
          <w:lang w:val="en-US"/>
        </w:rPr>
        <w:t xml:space="preserve"> the proposed Northern Dam discharge point </w:t>
      </w:r>
      <w:r>
        <w:rPr>
          <w:rFonts w:ascii="Arial" w:eastAsia="Calibri" w:hAnsi="Arial" w:cstheme="minorHAnsi"/>
          <w:sz w:val="20"/>
          <w:szCs w:val="20"/>
          <w:lang w:val="en-US"/>
        </w:rPr>
        <w:t>to</w:t>
      </w:r>
      <w:r w:rsidRPr="00473847">
        <w:rPr>
          <w:rFonts w:ascii="Arial" w:eastAsia="Calibri" w:hAnsi="Arial" w:cstheme="minorHAnsi"/>
          <w:sz w:val="20"/>
          <w:szCs w:val="20"/>
          <w:lang w:val="en-US"/>
        </w:rPr>
        <w:t xml:space="preserve"> an area of low erosion risk</w:t>
      </w:r>
      <w:r>
        <w:rPr>
          <w:rFonts w:ascii="Arial" w:eastAsia="Calibri" w:hAnsi="Arial" w:cstheme="minorHAnsi"/>
          <w:sz w:val="20"/>
          <w:szCs w:val="20"/>
          <w:lang w:val="en-US"/>
        </w:rPr>
        <w:t>.</w:t>
      </w:r>
      <w:r w:rsidRPr="006E6B65">
        <w:rPr>
          <w:rFonts w:ascii="Arial" w:eastAsia="Calibri" w:hAnsi="Arial" w:cstheme="minorHAnsi"/>
          <w:sz w:val="20"/>
          <w:szCs w:val="20"/>
          <w:lang w:val="en-US"/>
        </w:rPr>
        <w:t xml:space="preserve"> </w:t>
      </w:r>
    </w:p>
    <w:p w:rsidR="00196DB1" w:rsidRPr="00473847" w:rsidRDefault="00196DB1" w:rsidP="00196DB1">
      <w:pPr>
        <w:pStyle w:val="ListParagraph"/>
        <w:numPr>
          <w:ilvl w:val="0"/>
          <w:numId w:val="21"/>
        </w:numPr>
        <w:spacing w:after="120" w:line="276" w:lineRule="auto"/>
        <w:ind w:left="851" w:hanging="425"/>
        <w:rPr>
          <w:rFonts w:ascii="Arial" w:eastAsia="Calibri" w:hAnsi="Arial" w:cstheme="minorHAnsi"/>
          <w:sz w:val="20"/>
          <w:szCs w:val="20"/>
          <w:lang w:val="en-US"/>
        </w:rPr>
      </w:pPr>
      <w:r>
        <w:rPr>
          <w:rFonts w:ascii="Arial" w:eastAsia="Calibri" w:hAnsi="Arial" w:cstheme="minorHAnsi"/>
          <w:sz w:val="20"/>
          <w:szCs w:val="20"/>
          <w:lang w:val="en-US"/>
        </w:rPr>
        <w:t>The m</w:t>
      </w:r>
      <w:r w:rsidRPr="00473847">
        <w:rPr>
          <w:rFonts w:ascii="Arial" w:eastAsia="Calibri" w:hAnsi="Arial" w:cstheme="minorHAnsi"/>
          <w:sz w:val="20"/>
          <w:szCs w:val="20"/>
          <w:lang w:val="en-US"/>
        </w:rPr>
        <w:t>onitor</w:t>
      </w:r>
      <w:r>
        <w:rPr>
          <w:rFonts w:ascii="Arial" w:eastAsia="Calibri" w:hAnsi="Arial" w:cstheme="minorHAnsi"/>
          <w:sz w:val="20"/>
          <w:szCs w:val="20"/>
          <w:lang w:val="en-US"/>
        </w:rPr>
        <w:t>ing of</w:t>
      </w:r>
      <w:r w:rsidRPr="00473847">
        <w:rPr>
          <w:rFonts w:ascii="Arial" w:eastAsia="Calibri" w:hAnsi="Arial" w:cstheme="minorHAnsi"/>
          <w:sz w:val="20"/>
          <w:szCs w:val="20"/>
          <w:lang w:val="en-US"/>
        </w:rPr>
        <w:t xml:space="preserve"> additional water quality variables including ions, total and trace metals to enable a complete assessment of potential water quality impacts from the proposed project on the surrounding water resources</w:t>
      </w:r>
      <w:r>
        <w:rPr>
          <w:rFonts w:ascii="Arial" w:eastAsia="Calibri" w:hAnsi="Arial" w:cstheme="minorHAnsi"/>
          <w:sz w:val="20"/>
          <w:szCs w:val="20"/>
          <w:lang w:val="en-US"/>
        </w:rPr>
        <w:t>. Triggers, exceedence thresholds and management responses should be developed.</w:t>
      </w:r>
    </w:p>
    <w:p w:rsidR="00196DB1" w:rsidRPr="00473847" w:rsidRDefault="00196DB1" w:rsidP="00196DB1">
      <w:pPr>
        <w:pStyle w:val="ListParagraph"/>
        <w:numPr>
          <w:ilvl w:val="0"/>
          <w:numId w:val="21"/>
        </w:numPr>
        <w:spacing w:after="120" w:line="276" w:lineRule="auto"/>
        <w:ind w:left="851" w:hanging="425"/>
        <w:rPr>
          <w:rFonts w:ascii="Arial" w:eastAsia="Calibri" w:hAnsi="Arial" w:cstheme="minorHAnsi"/>
          <w:sz w:val="20"/>
          <w:szCs w:val="20"/>
          <w:lang w:val="en-US"/>
        </w:rPr>
      </w:pPr>
      <w:r w:rsidRPr="00473847">
        <w:rPr>
          <w:rFonts w:ascii="Arial" w:eastAsia="Calibri" w:hAnsi="Arial" w:cstheme="minorHAnsi"/>
          <w:sz w:val="20"/>
          <w:szCs w:val="20"/>
          <w:lang w:val="en-US"/>
        </w:rPr>
        <w:t>Install</w:t>
      </w:r>
      <w:r>
        <w:rPr>
          <w:rFonts w:ascii="Arial" w:eastAsia="Calibri" w:hAnsi="Arial" w:cstheme="minorHAnsi"/>
          <w:sz w:val="20"/>
          <w:szCs w:val="20"/>
          <w:lang w:val="en-US"/>
        </w:rPr>
        <w:t>ation of</w:t>
      </w:r>
      <w:r w:rsidRPr="00473847">
        <w:rPr>
          <w:rFonts w:ascii="Arial" w:eastAsia="Calibri" w:hAnsi="Arial" w:cstheme="minorHAnsi"/>
          <w:sz w:val="20"/>
          <w:szCs w:val="20"/>
          <w:lang w:val="en-US"/>
        </w:rPr>
        <w:t xml:space="preserve"> an </w:t>
      </w:r>
      <w:r w:rsidRPr="009C0DD7">
        <w:rPr>
          <w:rFonts w:ascii="Arial" w:eastAsia="Calibri" w:hAnsi="Arial" w:cstheme="minorHAnsi"/>
          <w:sz w:val="20"/>
          <w:szCs w:val="20"/>
          <w:lang w:val="en-US"/>
        </w:rPr>
        <w:t>upstream surface water monitoring</w:t>
      </w:r>
      <w:r w:rsidRPr="00473847">
        <w:rPr>
          <w:rFonts w:ascii="Arial" w:eastAsia="Calibri" w:hAnsi="Arial" w:cstheme="minorHAnsi"/>
          <w:sz w:val="20"/>
          <w:szCs w:val="20"/>
          <w:lang w:val="en-US"/>
        </w:rPr>
        <w:t xml:space="preserve"> control site in the Loders Creek Catchment to provide for a representative baseline against which to assess pot</w:t>
      </w:r>
      <w:r>
        <w:rPr>
          <w:rFonts w:ascii="Arial" w:eastAsia="Calibri" w:hAnsi="Arial" w:cstheme="minorHAnsi"/>
          <w:sz w:val="20"/>
          <w:szCs w:val="20"/>
          <w:lang w:val="en-US"/>
        </w:rPr>
        <w:t>ential hydrological impacts.</w:t>
      </w:r>
    </w:p>
    <w:p w:rsidR="00196DB1" w:rsidRPr="00473847" w:rsidRDefault="00196DB1" w:rsidP="00196DB1">
      <w:pPr>
        <w:pStyle w:val="ListParagraph"/>
        <w:numPr>
          <w:ilvl w:val="0"/>
          <w:numId w:val="21"/>
        </w:numPr>
        <w:spacing w:after="120" w:line="276" w:lineRule="auto"/>
        <w:ind w:left="851" w:hanging="425"/>
        <w:rPr>
          <w:rFonts w:ascii="Arial" w:eastAsia="Calibri" w:hAnsi="Arial" w:cs="Arial"/>
          <w:sz w:val="20"/>
          <w:szCs w:val="20"/>
          <w:lang w:val="en-US"/>
        </w:rPr>
      </w:pPr>
      <w:r w:rsidRPr="00473847">
        <w:rPr>
          <w:rFonts w:ascii="Arial" w:eastAsia="Calibri" w:hAnsi="Arial" w:cstheme="minorHAnsi"/>
          <w:sz w:val="20"/>
          <w:szCs w:val="20"/>
          <w:lang w:val="en-US"/>
        </w:rPr>
        <w:t xml:space="preserve">Use </w:t>
      </w:r>
      <w:r>
        <w:rPr>
          <w:rFonts w:ascii="Arial" w:eastAsia="Calibri" w:hAnsi="Arial" w:cstheme="minorHAnsi"/>
          <w:sz w:val="20"/>
          <w:szCs w:val="20"/>
          <w:lang w:val="en-US"/>
        </w:rPr>
        <w:t xml:space="preserve">of </w:t>
      </w:r>
      <w:r w:rsidRPr="00473847">
        <w:rPr>
          <w:rFonts w:ascii="Arial" w:eastAsia="Calibri" w:hAnsi="Arial" w:cstheme="minorHAnsi"/>
          <w:sz w:val="20"/>
          <w:szCs w:val="20"/>
          <w:lang w:val="en-US"/>
        </w:rPr>
        <w:t>quantitative flow monitoring, such as days with or without flow, to d</w:t>
      </w:r>
      <w:r w:rsidRPr="00473847">
        <w:rPr>
          <w:rFonts w:ascii="Arial" w:eastAsia="Calibri" w:hAnsi="Arial" w:cs="Arial"/>
          <w:sz w:val="20"/>
          <w:szCs w:val="20"/>
          <w:lang w:val="en-US"/>
        </w:rPr>
        <w:t>evelop a baseline database of flows in and around the proposed site.</w:t>
      </w:r>
      <w:r>
        <w:rPr>
          <w:rFonts w:ascii="Arial" w:eastAsia="Calibri" w:hAnsi="Arial" w:cs="Arial"/>
          <w:sz w:val="20"/>
          <w:szCs w:val="20"/>
          <w:lang w:val="en-US"/>
        </w:rPr>
        <w:t xml:space="preserve"> This baseline would enable a more quantitative assessment of impacts, should they occur, and the success of mitigation measures on ephemeral streams.</w:t>
      </w:r>
    </w:p>
    <w:p w:rsidR="00196DB1" w:rsidRPr="00C810D0" w:rsidRDefault="00196DB1" w:rsidP="00196DB1">
      <w:pPr>
        <w:pStyle w:val="ListParagraph"/>
        <w:numPr>
          <w:ilvl w:val="0"/>
          <w:numId w:val="8"/>
        </w:numPr>
        <w:spacing w:after="120" w:line="276" w:lineRule="auto"/>
        <w:ind w:left="426" w:hanging="426"/>
        <w:rPr>
          <w:rFonts w:ascii="Arial" w:eastAsia="Calibri" w:hAnsi="Arial" w:cs="Arial"/>
          <w:sz w:val="20"/>
          <w:szCs w:val="20"/>
          <w:lang w:val="en-US"/>
        </w:rPr>
      </w:pPr>
      <w:r w:rsidRPr="00C810D0">
        <w:rPr>
          <w:rFonts w:ascii="Arial" w:eastAsia="Calibri" w:hAnsi="Arial" w:cs="Arial"/>
          <w:sz w:val="20"/>
          <w:szCs w:val="20"/>
          <w:lang w:val="en-US"/>
        </w:rPr>
        <w:t xml:space="preserve">Improvements to the proponent’s existing monitoring regime for water dependent ecological assets </w:t>
      </w:r>
      <w:r w:rsidR="00AE33AB">
        <w:rPr>
          <w:rFonts w:ascii="Arial" w:eastAsia="Calibri" w:hAnsi="Arial" w:cs="Arial"/>
          <w:sz w:val="20"/>
          <w:szCs w:val="20"/>
          <w:lang w:val="en-US"/>
        </w:rPr>
        <w:t>would be expected to</w:t>
      </w:r>
      <w:r w:rsidRPr="00C810D0">
        <w:rPr>
          <w:rFonts w:ascii="Arial" w:eastAsia="Calibri" w:hAnsi="Arial" w:cs="Arial"/>
          <w:sz w:val="20"/>
          <w:szCs w:val="20"/>
          <w:lang w:val="en-US"/>
        </w:rPr>
        <w:t xml:space="preserve"> include:</w:t>
      </w:r>
    </w:p>
    <w:p w:rsidR="00196DB1" w:rsidRPr="00C810D0" w:rsidRDefault="00196DB1" w:rsidP="00196DB1">
      <w:pPr>
        <w:pStyle w:val="ListParagraph"/>
        <w:numPr>
          <w:ilvl w:val="0"/>
          <w:numId w:val="22"/>
        </w:numPr>
        <w:spacing w:after="120" w:line="276" w:lineRule="auto"/>
        <w:ind w:left="851" w:hanging="425"/>
        <w:rPr>
          <w:rFonts w:ascii="Arial" w:eastAsia="Calibri" w:hAnsi="Arial" w:cstheme="minorHAnsi"/>
          <w:sz w:val="20"/>
          <w:szCs w:val="20"/>
          <w:lang w:val="en-US"/>
        </w:rPr>
      </w:pPr>
      <w:r w:rsidRPr="00C810D0">
        <w:rPr>
          <w:rFonts w:ascii="Arial" w:eastAsia="Calibri" w:hAnsi="Arial" w:cs="Arial"/>
          <w:sz w:val="20"/>
          <w:szCs w:val="20"/>
          <w:lang w:val="en-US"/>
        </w:rPr>
        <w:t>Con</w:t>
      </w:r>
      <w:r w:rsidRPr="00C810D0">
        <w:rPr>
          <w:rFonts w:ascii="Arial" w:eastAsia="Calibri" w:hAnsi="Arial" w:cstheme="minorHAnsi"/>
          <w:sz w:val="20"/>
          <w:szCs w:val="20"/>
          <w:lang w:val="en-US"/>
        </w:rPr>
        <w:t xml:space="preserve">firmation of the location and extent of </w:t>
      </w:r>
      <w:r>
        <w:rPr>
          <w:rFonts w:ascii="Arial" w:eastAsia="Calibri" w:hAnsi="Arial" w:cstheme="minorHAnsi"/>
          <w:sz w:val="20"/>
          <w:szCs w:val="20"/>
          <w:lang w:val="en-US"/>
        </w:rPr>
        <w:t>GDEs</w:t>
      </w:r>
      <w:r w:rsidRPr="00C810D0">
        <w:rPr>
          <w:rFonts w:ascii="Arial" w:eastAsia="Calibri" w:hAnsi="Arial" w:cstheme="minorHAnsi"/>
          <w:sz w:val="20"/>
          <w:szCs w:val="20"/>
          <w:lang w:val="en-US"/>
        </w:rPr>
        <w:t xml:space="preserve"> within the </w:t>
      </w:r>
      <w:r>
        <w:rPr>
          <w:rFonts w:ascii="Arial" w:eastAsia="Calibri" w:hAnsi="Arial" w:cstheme="minorHAnsi"/>
          <w:sz w:val="20"/>
          <w:szCs w:val="20"/>
          <w:lang w:val="en-US"/>
        </w:rPr>
        <w:t xml:space="preserve">area of impact of the proposed project. </w:t>
      </w:r>
      <w:r w:rsidRPr="0053127D">
        <w:rPr>
          <w:rFonts w:ascii="Arial" w:eastAsia="Calibri" w:hAnsi="Arial" w:cstheme="minorHAnsi"/>
          <w:sz w:val="20"/>
          <w:szCs w:val="20"/>
          <w:lang w:val="en-US"/>
        </w:rPr>
        <w:t>The proponent should demonstrate that potential impacts to identified GDEs will be monitored, mitigated and managed</w:t>
      </w:r>
      <w:r>
        <w:rPr>
          <w:rFonts w:ascii="Arial" w:eastAsia="Calibri" w:hAnsi="Arial" w:cstheme="minorHAnsi"/>
          <w:sz w:val="20"/>
          <w:szCs w:val="20"/>
          <w:lang w:val="en-US"/>
        </w:rPr>
        <w:t>.</w:t>
      </w:r>
    </w:p>
    <w:p w:rsidR="00196DB1" w:rsidRDefault="00196DB1" w:rsidP="00196DB1">
      <w:pPr>
        <w:pStyle w:val="ListParagraph"/>
        <w:numPr>
          <w:ilvl w:val="0"/>
          <w:numId w:val="22"/>
        </w:numPr>
        <w:spacing w:after="120" w:line="276" w:lineRule="auto"/>
        <w:ind w:left="851" w:hanging="425"/>
        <w:rPr>
          <w:rFonts w:ascii="Arial" w:eastAsia="Calibri" w:hAnsi="Arial" w:cs="Arial"/>
          <w:sz w:val="20"/>
          <w:szCs w:val="20"/>
          <w:lang w:val="en-US"/>
        </w:rPr>
      </w:pPr>
      <w:r w:rsidRPr="00C810D0">
        <w:rPr>
          <w:rFonts w:ascii="Arial" w:eastAsia="Calibri" w:hAnsi="Arial" w:cstheme="minorHAnsi"/>
          <w:sz w:val="20"/>
          <w:szCs w:val="20"/>
          <w:lang w:val="en-US"/>
        </w:rPr>
        <w:t>Ongoing monitoring</w:t>
      </w:r>
      <w:r w:rsidR="00AE33AB">
        <w:rPr>
          <w:rFonts w:ascii="Arial" w:eastAsia="Calibri" w:hAnsi="Arial" w:cstheme="minorHAnsi"/>
          <w:sz w:val="20"/>
          <w:szCs w:val="20"/>
          <w:lang w:val="en-US"/>
        </w:rPr>
        <w:t xml:space="preserve"> in aquatic ecosystems</w:t>
      </w:r>
      <w:r w:rsidRPr="00C810D0">
        <w:rPr>
          <w:rFonts w:ascii="Arial" w:eastAsia="Calibri" w:hAnsi="Arial" w:cstheme="minorHAnsi"/>
          <w:sz w:val="20"/>
          <w:szCs w:val="20"/>
          <w:lang w:val="en-US"/>
        </w:rPr>
        <w:t>,</w:t>
      </w:r>
      <w:r>
        <w:rPr>
          <w:rFonts w:ascii="Arial" w:eastAsia="Calibri" w:hAnsi="Arial" w:cstheme="minorHAnsi"/>
          <w:sz w:val="20"/>
          <w:szCs w:val="20"/>
          <w:lang w:val="en-US"/>
        </w:rPr>
        <w:t xml:space="preserve"> including baseline sampling</w:t>
      </w:r>
      <w:r>
        <w:rPr>
          <w:rFonts w:ascii="Arial" w:eastAsia="Calibri" w:hAnsi="Arial" w:cs="Arial"/>
          <w:sz w:val="20"/>
          <w:szCs w:val="20"/>
          <w:lang w:val="en-US"/>
        </w:rPr>
        <w:t xml:space="preserve"> of </w:t>
      </w:r>
      <w:r w:rsidRPr="00C810D0">
        <w:rPr>
          <w:rFonts w:ascii="Arial" w:eastAsia="Calibri" w:hAnsi="Arial" w:cs="Arial"/>
          <w:sz w:val="20"/>
          <w:szCs w:val="20"/>
          <w:lang w:val="en-US"/>
        </w:rPr>
        <w:t>stygofauna, macroi</w:t>
      </w:r>
      <w:r w:rsidR="00AE33AB">
        <w:rPr>
          <w:rFonts w:ascii="Arial" w:eastAsia="Calibri" w:hAnsi="Arial" w:cs="Arial"/>
          <w:sz w:val="20"/>
          <w:szCs w:val="20"/>
          <w:lang w:val="en-US"/>
        </w:rPr>
        <w:t>nvertebrates and fish</w:t>
      </w:r>
      <w:r w:rsidRPr="00C810D0">
        <w:rPr>
          <w:rFonts w:ascii="Arial" w:eastAsia="Calibri" w:hAnsi="Arial" w:cs="Arial"/>
          <w:sz w:val="20"/>
          <w:szCs w:val="20"/>
          <w:lang w:val="en-US"/>
        </w:rPr>
        <w:t xml:space="preserve">. </w:t>
      </w:r>
    </w:p>
    <w:p w:rsidR="00196DB1" w:rsidRDefault="00196DB1" w:rsidP="00196DB1">
      <w:pPr>
        <w:pStyle w:val="ListParagraph"/>
        <w:numPr>
          <w:ilvl w:val="0"/>
          <w:numId w:val="22"/>
        </w:numPr>
        <w:spacing w:after="120" w:line="276" w:lineRule="auto"/>
        <w:ind w:left="851" w:hanging="425"/>
        <w:rPr>
          <w:rFonts w:ascii="Arial" w:eastAsia="Calibri" w:hAnsi="Arial" w:cs="Arial"/>
          <w:sz w:val="20"/>
          <w:szCs w:val="20"/>
          <w:lang w:val="en-US"/>
        </w:rPr>
      </w:pPr>
      <w:r>
        <w:rPr>
          <w:rFonts w:ascii="Arial" w:eastAsia="Calibri" w:hAnsi="Arial" w:cs="Arial"/>
          <w:sz w:val="20"/>
          <w:szCs w:val="20"/>
          <w:lang w:val="en-US"/>
        </w:rPr>
        <w:lastRenderedPageBreak/>
        <w:t>The GDE assessment should consider the potential for i</w:t>
      </w:r>
      <w:r w:rsidRPr="00D1404A">
        <w:rPr>
          <w:rFonts w:ascii="Arial" w:eastAsia="Calibri" w:hAnsi="Arial" w:cs="Arial"/>
          <w:sz w:val="20"/>
          <w:szCs w:val="20"/>
          <w:lang w:val="en-US"/>
        </w:rPr>
        <w:t>mpacts to downstream aquatic and riparian ecosystems that may provide habitat for listed threatened species that may occur within the Wollombi Brook, such as the Green and Golden Bell Frog (</w:t>
      </w:r>
      <w:proofErr w:type="spellStart"/>
      <w:r w:rsidRPr="00AB15CD">
        <w:rPr>
          <w:rFonts w:ascii="Arial" w:eastAsia="Calibri" w:hAnsi="Arial" w:cs="Arial"/>
          <w:i/>
          <w:sz w:val="20"/>
          <w:szCs w:val="20"/>
          <w:lang w:val="en-US"/>
        </w:rPr>
        <w:t>Litoria</w:t>
      </w:r>
      <w:proofErr w:type="spellEnd"/>
      <w:r w:rsidRPr="00AB15CD">
        <w:rPr>
          <w:rFonts w:ascii="Arial" w:eastAsia="Calibri" w:hAnsi="Arial" w:cs="Arial"/>
          <w:i/>
          <w:sz w:val="20"/>
          <w:szCs w:val="20"/>
          <w:lang w:val="en-US"/>
        </w:rPr>
        <w:t xml:space="preserve"> </w:t>
      </w:r>
      <w:proofErr w:type="spellStart"/>
      <w:r w:rsidRPr="00AB15CD">
        <w:rPr>
          <w:rFonts w:ascii="Arial" w:eastAsia="Calibri" w:hAnsi="Arial" w:cs="Arial"/>
          <w:i/>
          <w:sz w:val="20"/>
          <w:szCs w:val="20"/>
          <w:lang w:val="en-US"/>
        </w:rPr>
        <w:t>aurea</w:t>
      </w:r>
      <w:proofErr w:type="spellEnd"/>
      <w:r>
        <w:rPr>
          <w:rFonts w:ascii="Arial" w:eastAsia="Calibri" w:hAnsi="Arial" w:cs="Arial"/>
          <w:sz w:val="20"/>
          <w:szCs w:val="20"/>
          <w:lang w:val="en-US"/>
        </w:rPr>
        <w:t>)</w:t>
      </w:r>
      <w:r w:rsidRPr="00AB15CD">
        <w:rPr>
          <w:rFonts w:ascii="Arial" w:eastAsia="Calibri" w:hAnsi="Arial" w:cs="Arial"/>
          <w:sz w:val="20"/>
          <w:szCs w:val="20"/>
          <w:vertAlign w:val="superscript"/>
          <w:lang w:val="en-US"/>
        </w:rPr>
        <w:t>2</w:t>
      </w:r>
      <w:r>
        <w:rPr>
          <w:rFonts w:ascii="Arial" w:eastAsia="Calibri" w:hAnsi="Arial" w:cs="Arial"/>
          <w:sz w:val="20"/>
          <w:szCs w:val="20"/>
          <w:lang w:val="en-US"/>
        </w:rPr>
        <w:t>.</w:t>
      </w:r>
    </w:p>
    <w:p w:rsidR="00196DB1" w:rsidRPr="00870E8E" w:rsidRDefault="00196DB1" w:rsidP="00196DB1">
      <w:pPr>
        <w:pStyle w:val="ListParagraph"/>
        <w:numPr>
          <w:ilvl w:val="0"/>
          <w:numId w:val="8"/>
        </w:numPr>
        <w:spacing w:after="120" w:line="276" w:lineRule="auto"/>
        <w:ind w:left="426" w:hanging="426"/>
        <w:rPr>
          <w:rFonts w:ascii="Arial" w:eastAsia="Calibri" w:hAnsi="Arial" w:cs="Arial"/>
          <w:sz w:val="20"/>
          <w:szCs w:val="20"/>
          <w:u w:val="single"/>
          <w:lang w:val="en-US"/>
        </w:rPr>
      </w:pPr>
      <w:r w:rsidRPr="00870E8E">
        <w:rPr>
          <w:rFonts w:ascii="Arial" w:eastAsia="Calibri" w:hAnsi="Arial" w:cs="Arial"/>
          <w:sz w:val="20"/>
          <w:szCs w:val="20"/>
          <w:lang w:val="en-US"/>
        </w:rPr>
        <w:t xml:space="preserve">The </w:t>
      </w:r>
      <w:r>
        <w:rPr>
          <w:rFonts w:ascii="Arial" w:eastAsia="Calibri" w:hAnsi="Arial" w:cs="Arial"/>
          <w:sz w:val="20"/>
          <w:szCs w:val="20"/>
          <w:lang w:val="en-US"/>
        </w:rPr>
        <w:t>proponent</w:t>
      </w:r>
      <w:r w:rsidRPr="00870E8E">
        <w:rPr>
          <w:rFonts w:ascii="Arial" w:eastAsia="Calibri" w:hAnsi="Arial" w:cs="Arial"/>
          <w:sz w:val="20"/>
          <w:szCs w:val="20"/>
          <w:lang w:val="en-US"/>
        </w:rPr>
        <w:t xml:space="preserve"> should demonstrate that all potential </w:t>
      </w:r>
      <w:r>
        <w:rPr>
          <w:rFonts w:ascii="Arial" w:eastAsia="Calibri" w:hAnsi="Arial" w:cstheme="minorHAnsi"/>
          <w:sz w:val="20"/>
          <w:szCs w:val="20"/>
          <w:lang w:val="en-US"/>
        </w:rPr>
        <w:t>risks</w:t>
      </w:r>
      <w:r w:rsidRPr="00870E8E">
        <w:rPr>
          <w:rFonts w:ascii="Arial" w:eastAsia="Calibri" w:hAnsi="Arial" w:cstheme="minorHAnsi"/>
          <w:sz w:val="20"/>
          <w:szCs w:val="20"/>
          <w:lang w:val="en-US"/>
        </w:rPr>
        <w:t xml:space="preserve"> to water resources as a</w:t>
      </w:r>
      <w:r>
        <w:rPr>
          <w:rFonts w:ascii="Arial" w:eastAsia="Calibri" w:hAnsi="Arial" w:cstheme="minorHAnsi"/>
          <w:sz w:val="20"/>
          <w:szCs w:val="20"/>
          <w:lang w:val="en-US"/>
        </w:rPr>
        <w:t xml:space="preserve"> </w:t>
      </w:r>
      <w:r w:rsidRPr="00870E8E">
        <w:rPr>
          <w:rFonts w:ascii="Arial" w:eastAsia="Calibri" w:hAnsi="Arial" w:cstheme="minorHAnsi"/>
          <w:sz w:val="20"/>
          <w:szCs w:val="20"/>
          <w:lang w:val="en-US"/>
        </w:rPr>
        <w:t xml:space="preserve">result of the final landform </w:t>
      </w:r>
      <w:r>
        <w:rPr>
          <w:rFonts w:ascii="Arial" w:eastAsia="Calibri" w:hAnsi="Arial" w:cstheme="minorHAnsi"/>
          <w:sz w:val="20"/>
          <w:szCs w:val="20"/>
          <w:lang w:val="en-US"/>
        </w:rPr>
        <w:t>have been assessed and are</w:t>
      </w:r>
      <w:r w:rsidRPr="00870E8E">
        <w:rPr>
          <w:rFonts w:ascii="Arial" w:eastAsia="Calibri" w:hAnsi="Arial" w:cstheme="minorHAnsi"/>
          <w:sz w:val="20"/>
          <w:szCs w:val="20"/>
          <w:lang w:val="en-US"/>
        </w:rPr>
        <w:t xml:space="preserve"> mitigated and managed. </w:t>
      </w:r>
      <w:r>
        <w:rPr>
          <w:rFonts w:ascii="Arial" w:eastAsia="Calibri" w:hAnsi="Arial" w:cstheme="minorHAnsi"/>
          <w:sz w:val="20"/>
          <w:szCs w:val="20"/>
          <w:lang w:val="en-US"/>
        </w:rPr>
        <w:t>This assessment</w:t>
      </w:r>
      <w:r w:rsidRPr="00870E8E">
        <w:rPr>
          <w:rFonts w:ascii="Arial" w:eastAsia="Calibri" w:hAnsi="Arial" w:cstheme="minorHAnsi"/>
          <w:sz w:val="20"/>
          <w:szCs w:val="20"/>
          <w:lang w:val="en-US"/>
        </w:rPr>
        <w:t xml:space="preserve"> should include:</w:t>
      </w:r>
    </w:p>
    <w:p w:rsidR="002F4270" w:rsidRPr="002F4270" w:rsidRDefault="002F4270" w:rsidP="002F4270">
      <w:pPr>
        <w:pStyle w:val="ListParagraph"/>
        <w:numPr>
          <w:ilvl w:val="0"/>
          <w:numId w:val="27"/>
        </w:numPr>
        <w:spacing w:after="120" w:line="276" w:lineRule="auto"/>
        <w:ind w:left="851" w:hanging="425"/>
        <w:rPr>
          <w:rFonts w:ascii="Arial" w:eastAsia="Calibri" w:hAnsi="Arial" w:cstheme="minorHAnsi"/>
          <w:sz w:val="20"/>
          <w:szCs w:val="20"/>
          <w:lang w:val="en-US"/>
        </w:rPr>
      </w:pPr>
      <w:r w:rsidRPr="002F4270">
        <w:rPr>
          <w:rFonts w:ascii="Arial" w:eastAsia="Calibri" w:hAnsi="Arial" w:cstheme="minorHAnsi"/>
          <w:sz w:val="20"/>
          <w:szCs w:val="20"/>
          <w:lang w:val="en-US"/>
        </w:rPr>
        <w:t xml:space="preserve">Modelled predictions of water quality, particularly </w:t>
      </w:r>
      <w:r>
        <w:rPr>
          <w:rFonts w:ascii="Arial" w:eastAsia="Calibri" w:hAnsi="Arial" w:cstheme="minorHAnsi"/>
          <w:sz w:val="20"/>
          <w:szCs w:val="20"/>
          <w:lang w:val="en-US"/>
        </w:rPr>
        <w:t>salinity</w:t>
      </w:r>
      <w:r w:rsidRPr="002F4270">
        <w:rPr>
          <w:rFonts w:ascii="Arial" w:eastAsia="Calibri" w:hAnsi="Arial" w:cstheme="minorHAnsi"/>
          <w:sz w:val="20"/>
          <w:szCs w:val="20"/>
          <w:lang w:val="en-US"/>
        </w:rPr>
        <w:t xml:space="preserve"> and acidity, </w:t>
      </w:r>
      <w:r>
        <w:rPr>
          <w:rFonts w:ascii="Arial" w:eastAsia="Calibri" w:hAnsi="Arial" w:cstheme="minorHAnsi"/>
          <w:sz w:val="20"/>
          <w:szCs w:val="20"/>
          <w:lang w:val="en-US"/>
        </w:rPr>
        <w:t>in</w:t>
      </w:r>
      <w:r w:rsidRPr="002F4270">
        <w:rPr>
          <w:rFonts w:ascii="Arial" w:eastAsia="Calibri" w:hAnsi="Arial" w:cstheme="minorHAnsi"/>
          <w:sz w:val="20"/>
          <w:szCs w:val="20"/>
          <w:lang w:val="en-US"/>
        </w:rPr>
        <w:t xml:space="preserve"> the pit lake and </w:t>
      </w:r>
      <w:r>
        <w:rPr>
          <w:rFonts w:ascii="Arial" w:eastAsia="Calibri" w:hAnsi="Arial" w:cstheme="minorHAnsi"/>
          <w:sz w:val="20"/>
          <w:szCs w:val="20"/>
          <w:lang w:val="en-US"/>
        </w:rPr>
        <w:t>identified leakage points</w:t>
      </w:r>
      <w:r w:rsidRPr="002F4270">
        <w:rPr>
          <w:rFonts w:ascii="Arial" w:eastAsia="Calibri" w:hAnsi="Arial" w:cstheme="minorHAnsi"/>
          <w:sz w:val="20"/>
          <w:szCs w:val="20"/>
          <w:lang w:val="en-US"/>
        </w:rPr>
        <w:t xml:space="preserve">. </w:t>
      </w:r>
      <w:r w:rsidR="000B513E">
        <w:rPr>
          <w:rFonts w:ascii="Arial" w:eastAsia="Calibri" w:hAnsi="Arial" w:cstheme="minorHAnsi"/>
          <w:sz w:val="20"/>
          <w:szCs w:val="20"/>
          <w:lang w:val="en-US"/>
        </w:rPr>
        <w:t>Water quality criteria</w:t>
      </w:r>
      <w:r w:rsidR="000B513E" w:rsidRPr="002F4270">
        <w:rPr>
          <w:rFonts w:ascii="Arial" w:eastAsia="Calibri" w:hAnsi="Arial" w:cstheme="minorHAnsi"/>
          <w:sz w:val="20"/>
          <w:szCs w:val="20"/>
          <w:lang w:val="en-US"/>
        </w:rPr>
        <w:t>, including contingency measures</w:t>
      </w:r>
      <w:r w:rsidR="000B513E">
        <w:rPr>
          <w:rFonts w:ascii="Arial" w:eastAsia="Calibri" w:hAnsi="Arial" w:cstheme="minorHAnsi"/>
          <w:sz w:val="20"/>
          <w:szCs w:val="20"/>
          <w:lang w:val="en-US"/>
        </w:rPr>
        <w:t xml:space="preserve"> should also be developed </w:t>
      </w:r>
      <w:r w:rsidRPr="002F4270">
        <w:rPr>
          <w:rFonts w:ascii="Arial" w:eastAsia="Calibri" w:hAnsi="Arial" w:cstheme="minorHAnsi"/>
          <w:sz w:val="20"/>
          <w:szCs w:val="20"/>
          <w:lang w:val="en-US"/>
        </w:rPr>
        <w:t xml:space="preserve">for the </w:t>
      </w:r>
      <w:r w:rsidR="000B513E">
        <w:rPr>
          <w:rFonts w:ascii="Arial" w:eastAsia="Calibri" w:hAnsi="Arial" w:cstheme="minorHAnsi"/>
          <w:sz w:val="20"/>
          <w:szCs w:val="20"/>
          <w:lang w:val="en-US"/>
        </w:rPr>
        <w:t>pit</w:t>
      </w:r>
      <w:r w:rsidRPr="002F4270">
        <w:rPr>
          <w:rFonts w:ascii="Arial" w:eastAsia="Calibri" w:hAnsi="Arial" w:cstheme="minorHAnsi"/>
          <w:sz w:val="20"/>
          <w:szCs w:val="20"/>
          <w:lang w:val="en-US"/>
        </w:rPr>
        <w:t xml:space="preserve"> lake and designated leakage points.</w:t>
      </w:r>
    </w:p>
    <w:p w:rsidR="00196DB1" w:rsidRPr="009C0DD7" w:rsidRDefault="00196DB1" w:rsidP="00196DB1">
      <w:pPr>
        <w:pStyle w:val="ListParagraph"/>
        <w:numPr>
          <w:ilvl w:val="0"/>
          <w:numId w:val="27"/>
        </w:numPr>
        <w:spacing w:after="120" w:line="276" w:lineRule="auto"/>
        <w:ind w:left="851" w:hanging="425"/>
        <w:rPr>
          <w:rFonts w:ascii="Arial" w:eastAsia="Calibri" w:hAnsi="Arial" w:cstheme="minorHAnsi"/>
          <w:sz w:val="20"/>
          <w:szCs w:val="20"/>
          <w:lang w:val="en-US"/>
        </w:rPr>
      </w:pPr>
      <w:r w:rsidRPr="009C0DD7">
        <w:rPr>
          <w:rFonts w:ascii="Arial" w:eastAsia="Calibri" w:hAnsi="Arial" w:cstheme="minorHAnsi"/>
          <w:sz w:val="20"/>
          <w:szCs w:val="20"/>
          <w:lang w:val="en-US"/>
        </w:rPr>
        <w:t xml:space="preserve">Design of a monitoring bore network within emplacement areas surrounding the </w:t>
      </w:r>
      <w:r>
        <w:rPr>
          <w:rFonts w:ascii="Arial" w:eastAsia="Calibri" w:hAnsi="Arial" w:cstheme="minorHAnsi"/>
          <w:sz w:val="20"/>
          <w:szCs w:val="20"/>
          <w:lang w:val="en-US"/>
        </w:rPr>
        <w:t>pit</w:t>
      </w:r>
      <w:r w:rsidRPr="009C0DD7">
        <w:rPr>
          <w:rFonts w:ascii="Arial" w:eastAsia="Calibri" w:hAnsi="Arial" w:cstheme="minorHAnsi"/>
          <w:sz w:val="20"/>
          <w:szCs w:val="20"/>
          <w:lang w:val="en-US"/>
        </w:rPr>
        <w:t xml:space="preserve"> lake to provide a representative indication of groundwater water quality to identify any leaching of highly saline or acidic material.</w:t>
      </w:r>
    </w:p>
    <w:p w:rsidR="00196DB1" w:rsidRPr="00E763B8" w:rsidRDefault="00196DB1" w:rsidP="00196DB1">
      <w:pPr>
        <w:pStyle w:val="ListParagraph"/>
        <w:numPr>
          <w:ilvl w:val="0"/>
          <w:numId w:val="27"/>
        </w:numPr>
        <w:spacing w:after="120" w:line="276" w:lineRule="auto"/>
        <w:ind w:left="851" w:hanging="425"/>
        <w:rPr>
          <w:rFonts w:ascii="Arial" w:eastAsia="Calibri" w:hAnsi="Arial" w:cstheme="minorHAnsi"/>
          <w:sz w:val="20"/>
          <w:szCs w:val="20"/>
          <w:lang w:val="en-US"/>
        </w:rPr>
      </w:pPr>
      <w:r>
        <w:rPr>
          <w:rFonts w:ascii="Arial" w:eastAsia="Calibri" w:hAnsi="Arial" w:cs="Arial"/>
          <w:sz w:val="20"/>
          <w:szCs w:val="20"/>
          <w:lang w:val="en-US"/>
        </w:rPr>
        <w:t>R</w:t>
      </w:r>
      <w:r w:rsidRPr="00213222">
        <w:rPr>
          <w:rFonts w:ascii="Arial" w:eastAsia="Calibri" w:hAnsi="Arial" w:cs="Arial"/>
          <w:sz w:val="20"/>
          <w:szCs w:val="20"/>
          <w:lang w:val="en-US"/>
        </w:rPr>
        <w:t xml:space="preserve">ehabilitation criteria for the </w:t>
      </w:r>
      <w:r>
        <w:rPr>
          <w:rFonts w:ascii="Arial" w:eastAsia="Calibri" w:hAnsi="Arial" w:cs="Arial"/>
          <w:sz w:val="20"/>
          <w:szCs w:val="20"/>
          <w:lang w:val="en-US"/>
        </w:rPr>
        <w:t xml:space="preserve">pit lake and </w:t>
      </w:r>
      <w:r w:rsidRPr="00213222">
        <w:rPr>
          <w:rFonts w:ascii="Arial" w:eastAsia="Calibri" w:hAnsi="Arial" w:cs="Arial"/>
          <w:sz w:val="20"/>
          <w:szCs w:val="20"/>
          <w:lang w:val="en-US"/>
        </w:rPr>
        <w:t>surrounding emplacement areas.</w:t>
      </w:r>
    </w:p>
    <w:p w:rsidR="0067757F" w:rsidRPr="005E596F" w:rsidRDefault="00196DB1" w:rsidP="005E596F">
      <w:pPr>
        <w:pStyle w:val="ListParagraph"/>
        <w:numPr>
          <w:ilvl w:val="0"/>
          <w:numId w:val="8"/>
        </w:numPr>
        <w:spacing w:after="120" w:line="276" w:lineRule="auto"/>
        <w:ind w:left="426" w:hanging="426"/>
        <w:rPr>
          <w:rFonts w:ascii="Arial" w:eastAsia="Calibri" w:hAnsi="Arial" w:cs="Arial"/>
          <w:sz w:val="20"/>
          <w:szCs w:val="20"/>
          <w:lang w:val="en-US"/>
        </w:rPr>
      </w:pPr>
      <w:bookmarkStart w:id="3" w:name="_____replySeparator"/>
      <w:bookmarkEnd w:id="3"/>
      <w:r w:rsidRPr="006E6B65">
        <w:rPr>
          <w:rFonts w:ascii="Arial" w:eastAsia="Calibri" w:hAnsi="Arial" w:cs="Arial"/>
          <w:sz w:val="20"/>
          <w:szCs w:val="20"/>
          <w:lang w:val="en-US"/>
        </w:rPr>
        <w:t xml:space="preserve">The Hunter </w:t>
      </w:r>
      <w:proofErr w:type="spellStart"/>
      <w:r w:rsidRPr="006E6B65">
        <w:rPr>
          <w:rFonts w:ascii="Arial" w:eastAsia="Calibri" w:hAnsi="Arial" w:cs="Arial"/>
          <w:sz w:val="20"/>
          <w:szCs w:val="20"/>
          <w:lang w:val="en-US"/>
        </w:rPr>
        <w:t>Subregion</w:t>
      </w:r>
      <w:proofErr w:type="spellEnd"/>
      <w:r w:rsidRPr="006E6B65">
        <w:rPr>
          <w:rFonts w:ascii="Arial" w:eastAsia="Calibri" w:hAnsi="Arial" w:cs="Arial"/>
          <w:sz w:val="20"/>
          <w:szCs w:val="20"/>
          <w:lang w:val="en-US"/>
        </w:rPr>
        <w:t xml:space="preserve"> within the Northern Sydney Basin has been identified for Bioregional Assessment. Data and relevant information from the proposed project should be made accessible for this Bioregional Assessment to assist the knowledge base for regional scale assessments.</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B1520C">
        <w:trPr>
          <w:trHeight w:val="19"/>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7203C3" w:rsidRPr="00B451D3" w:rsidRDefault="00FF6F3E" w:rsidP="008272A7">
            <w:pPr>
              <w:spacing w:line="276" w:lineRule="auto"/>
              <w:rPr>
                <w:rFonts w:ascii="Arial" w:hAnsi="Arial" w:cs="Arial"/>
                <w:sz w:val="20"/>
                <w:szCs w:val="20"/>
              </w:rPr>
            </w:pPr>
            <w:r>
              <w:rPr>
                <w:rFonts w:ascii="Arial" w:hAnsi="Arial" w:cs="Arial"/>
                <w:sz w:val="20"/>
                <w:szCs w:val="20"/>
              </w:rPr>
              <w:t>10</w:t>
            </w:r>
            <w:r w:rsidR="008272A7">
              <w:rPr>
                <w:rFonts w:ascii="Arial" w:hAnsi="Arial" w:cs="Arial"/>
                <w:sz w:val="20"/>
                <w:szCs w:val="20"/>
              </w:rPr>
              <w:t xml:space="preserve"> February</w:t>
            </w:r>
            <w:r w:rsidR="007203C3">
              <w:rPr>
                <w:rFonts w:ascii="Arial" w:hAnsi="Arial" w:cs="Arial"/>
                <w:sz w:val="20"/>
                <w:szCs w:val="20"/>
              </w:rPr>
              <w:t xml:space="preserve"> 201</w:t>
            </w:r>
            <w:r w:rsidR="00D10C4C">
              <w:rPr>
                <w:rFonts w:ascii="Arial" w:hAnsi="Arial" w:cs="Arial"/>
                <w:sz w:val="20"/>
                <w:szCs w:val="20"/>
              </w:rPr>
              <w:t>4</w:t>
            </w:r>
          </w:p>
        </w:tc>
      </w:tr>
      <w:tr w:rsidR="007203C3" w:rsidRPr="00CC2B33" w:rsidTr="00B1520C">
        <w:trPr>
          <w:trHeight w:val="161"/>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7203C3" w:rsidRPr="00FA7DD7" w:rsidRDefault="00FA7DD7" w:rsidP="00FA7DD7">
            <w:pPr>
              <w:pStyle w:val="ListBullet"/>
              <w:spacing w:after="120" w:line="276" w:lineRule="auto"/>
              <w:rPr>
                <w:rFonts w:ascii="Arial" w:hAnsi="Arial" w:cs="Arial"/>
                <w:sz w:val="20"/>
                <w:szCs w:val="22"/>
              </w:rPr>
            </w:pPr>
            <w:proofErr w:type="spellStart"/>
            <w:r w:rsidRPr="00FA7DD7">
              <w:rPr>
                <w:rFonts w:ascii="Arial" w:hAnsi="Arial" w:cs="Arial"/>
                <w:sz w:val="20"/>
                <w:szCs w:val="22"/>
              </w:rPr>
              <w:t>Umwelt</w:t>
            </w:r>
            <w:proofErr w:type="spellEnd"/>
            <w:r w:rsidRPr="00FA7DD7">
              <w:rPr>
                <w:rFonts w:ascii="Arial" w:hAnsi="Arial" w:cs="Arial"/>
                <w:sz w:val="20"/>
                <w:szCs w:val="22"/>
              </w:rPr>
              <w:t xml:space="preserve"> (Australia) Pty Ltd 2013a. Bulga Optimisation Project Preliminary Documentation, EPBC Referral 2012/6637. Report for Bulga Coal Management, October 2013.</w:t>
            </w:r>
          </w:p>
          <w:p w:rsidR="00FA7DD7" w:rsidRPr="00FA7DD7" w:rsidRDefault="00FA7DD7" w:rsidP="00FA7DD7">
            <w:pPr>
              <w:pStyle w:val="ListBullet"/>
              <w:spacing w:after="120" w:line="276" w:lineRule="auto"/>
              <w:rPr>
                <w:rFonts w:ascii="Arial" w:hAnsi="Arial" w:cs="Arial"/>
                <w:sz w:val="20"/>
                <w:szCs w:val="22"/>
              </w:rPr>
            </w:pPr>
            <w:proofErr w:type="spellStart"/>
            <w:r w:rsidRPr="00FA7DD7">
              <w:rPr>
                <w:rFonts w:ascii="Arial" w:hAnsi="Arial" w:cs="Arial"/>
                <w:sz w:val="20"/>
                <w:szCs w:val="22"/>
              </w:rPr>
              <w:t>Umwelt</w:t>
            </w:r>
            <w:proofErr w:type="spellEnd"/>
            <w:r w:rsidRPr="00FA7DD7">
              <w:rPr>
                <w:rFonts w:ascii="Arial" w:hAnsi="Arial" w:cs="Arial"/>
                <w:sz w:val="20"/>
                <w:szCs w:val="22"/>
              </w:rPr>
              <w:t xml:space="preserve"> (Australia) Pty Ltd 2013b. Bulga Optimisation Project Environmental Impact Assessment. Report for Bulg</w:t>
            </w:r>
            <w:r w:rsidR="00845C7A">
              <w:rPr>
                <w:rFonts w:ascii="Arial" w:hAnsi="Arial" w:cs="Arial"/>
                <w:sz w:val="20"/>
                <w:szCs w:val="22"/>
              </w:rPr>
              <w:t>a</w:t>
            </w:r>
            <w:r w:rsidRPr="00FA7DD7">
              <w:rPr>
                <w:rFonts w:ascii="Arial" w:hAnsi="Arial" w:cs="Arial"/>
                <w:sz w:val="20"/>
                <w:szCs w:val="22"/>
              </w:rPr>
              <w:t xml:space="preserve"> Coal Management, April 2013.</w:t>
            </w:r>
          </w:p>
          <w:p w:rsidR="00FA7DD7" w:rsidRPr="00FA7DD7" w:rsidRDefault="00FA7DD7" w:rsidP="00FA7DD7">
            <w:pPr>
              <w:pStyle w:val="ListBullet"/>
              <w:spacing w:after="120" w:line="276" w:lineRule="auto"/>
              <w:rPr>
                <w:rFonts w:ascii="Arial" w:hAnsi="Arial" w:cs="Arial"/>
                <w:color w:val="FF0000"/>
                <w:sz w:val="20"/>
                <w:szCs w:val="22"/>
              </w:rPr>
            </w:pPr>
            <w:proofErr w:type="spellStart"/>
            <w:r w:rsidRPr="00FA7DD7">
              <w:rPr>
                <w:rFonts w:ascii="Arial" w:hAnsi="Arial" w:cs="Arial"/>
                <w:sz w:val="20"/>
                <w:szCs w:val="22"/>
              </w:rPr>
              <w:t>Umwelt</w:t>
            </w:r>
            <w:proofErr w:type="spellEnd"/>
            <w:r w:rsidRPr="00FA7DD7">
              <w:rPr>
                <w:rFonts w:ascii="Arial" w:hAnsi="Arial" w:cs="Arial"/>
                <w:sz w:val="20"/>
                <w:szCs w:val="22"/>
              </w:rPr>
              <w:t xml:space="preserve"> (Australia) Pty Ltd 2013c. Bulga Optimisation Project Response to Submissions and Revised and Amended Project Application Assessment Report. Report for Bulga Coal Management, August 2013.</w:t>
            </w:r>
          </w:p>
        </w:tc>
      </w:tr>
      <w:tr w:rsidR="007203C3" w:rsidRPr="00304CA9" w:rsidTr="00B1520C">
        <w:trPr>
          <w:trHeight w:val="19"/>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sidRPr="00B159F9">
              <w:rPr>
                <w:rFonts w:cs="Arial"/>
                <w:sz w:val="20"/>
              </w:rPr>
              <w:t>References cited within the Committee’s advice</w:t>
            </w:r>
          </w:p>
        </w:tc>
        <w:tc>
          <w:tcPr>
            <w:tcW w:w="8159" w:type="dxa"/>
            <w:tcBorders>
              <w:top w:val="single" w:sz="4" w:space="0" w:color="auto"/>
              <w:bottom w:val="single" w:sz="4" w:space="0" w:color="auto"/>
            </w:tcBorders>
          </w:tcPr>
          <w:p w:rsidR="00C42FF5" w:rsidRDefault="007203C3" w:rsidP="000B348C">
            <w:pPr>
              <w:pStyle w:val="ListNumber"/>
              <w:numPr>
                <w:ilvl w:val="0"/>
                <w:numId w:val="0"/>
              </w:numPr>
              <w:tabs>
                <w:tab w:val="left" w:pos="34"/>
              </w:tabs>
              <w:spacing w:after="120" w:line="276" w:lineRule="auto"/>
              <w:ind w:left="34"/>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 xml:space="preserve">Information Guidelines for Proposals Relating to the Development of Coal Seam Gas and Large Coal Mines where there is a Significant Impact on Water Resources available at: </w:t>
            </w:r>
            <w:hyperlink r:id="rId10" w:history="1">
              <w:r w:rsidRPr="006C4F46">
                <w:rPr>
                  <w:rStyle w:val="Hyperlink"/>
                  <w:rFonts w:ascii="Arial" w:hAnsi="Arial" w:cs="Arial"/>
                  <w:sz w:val="20"/>
                  <w:szCs w:val="20"/>
                </w:rPr>
                <w:t>http://www.environment.gov.au/coal-seam-gas-mining/project-advice/pubs/iesc-information-guidelines.pdf</w:t>
              </w:r>
            </w:hyperlink>
          </w:p>
          <w:p w:rsidR="00857DA7" w:rsidRPr="00857DA7" w:rsidRDefault="00857DA7" w:rsidP="00857DA7">
            <w:pPr>
              <w:autoSpaceDE w:val="0"/>
              <w:autoSpaceDN w:val="0"/>
              <w:rPr>
                <w:sz w:val="20"/>
                <w:szCs w:val="20"/>
              </w:rPr>
            </w:pPr>
            <w:r w:rsidRPr="00857DA7">
              <w:rPr>
                <w:rFonts w:ascii="Arial" w:hAnsi="Arial" w:cs="Arial"/>
                <w:sz w:val="20"/>
                <w:szCs w:val="20"/>
                <w:vertAlign w:val="superscript"/>
              </w:rPr>
              <w:t>2</w:t>
            </w:r>
            <w:r w:rsidRPr="00857DA7">
              <w:rPr>
                <w:sz w:val="20"/>
                <w:szCs w:val="20"/>
              </w:rPr>
              <w:t xml:space="preserve"> </w:t>
            </w:r>
            <w:r w:rsidRPr="00857DA7">
              <w:rPr>
                <w:rFonts w:ascii="Arial" w:hAnsi="Arial" w:cs="Arial"/>
                <w:sz w:val="20"/>
                <w:szCs w:val="20"/>
              </w:rPr>
              <w:t xml:space="preserve">White A.W. and Pyke G.H. 1996. Distribution and conservation status of the Green and Golden Bell Frog </w:t>
            </w:r>
            <w:proofErr w:type="spellStart"/>
            <w:r w:rsidRPr="00857DA7">
              <w:rPr>
                <w:rFonts w:ascii="Arial" w:hAnsi="Arial" w:cs="Arial"/>
                <w:i/>
                <w:iCs/>
                <w:sz w:val="20"/>
                <w:szCs w:val="20"/>
              </w:rPr>
              <w:t>Litoria</w:t>
            </w:r>
            <w:proofErr w:type="spellEnd"/>
            <w:r w:rsidRPr="00857DA7">
              <w:rPr>
                <w:rFonts w:ascii="Arial" w:hAnsi="Arial" w:cs="Arial"/>
                <w:i/>
                <w:iCs/>
                <w:sz w:val="20"/>
                <w:szCs w:val="20"/>
              </w:rPr>
              <w:t xml:space="preserve"> </w:t>
            </w:r>
            <w:proofErr w:type="spellStart"/>
            <w:r w:rsidRPr="00857DA7">
              <w:rPr>
                <w:rFonts w:ascii="Arial" w:hAnsi="Arial" w:cs="Arial"/>
                <w:i/>
                <w:iCs/>
                <w:sz w:val="20"/>
                <w:szCs w:val="20"/>
              </w:rPr>
              <w:t>aurea</w:t>
            </w:r>
            <w:proofErr w:type="spellEnd"/>
            <w:r w:rsidRPr="00857DA7">
              <w:rPr>
                <w:rFonts w:ascii="Arial" w:hAnsi="Arial" w:cs="Arial"/>
                <w:i/>
                <w:iCs/>
                <w:sz w:val="20"/>
                <w:szCs w:val="20"/>
              </w:rPr>
              <w:t xml:space="preserve"> </w:t>
            </w:r>
            <w:r w:rsidRPr="00857DA7">
              <w:rPr>
                <w:rFonts w:ascii="Arial" w:hAnsi="Arial" w:cs="Arial"/>
                <w:sz w:val="20"/>
                <w:szCs w:val="20"/>
              </w:rPr>
              <w:t xml:space="preserve">in New South Wales. </w:t>
            </w:r>
            <w:r w:rsidRPr="00857DA7">
              <w:rPr>
                <w:rFonts w:ascii="Arial" w:hAnsi="Arial" w:cs="Arial"/>
                <w:i/>
                <w:iCs/>
                <w:sz w:val="20"/>
                <w:szCs w:val="20"/>
              </w:rPr>
              <w:t xml:space="preserve">Australian Zoologist </w:t>
            </w:r>
            <w:r w:rsidRPr="00857DA7">
              <w:rPr>
                <w:rFonts w:ascii="Arial" w:hAnsi="Arial" w:cs="Arial"/>
                <w:sz w:val="20"/>
                <w:szCs w:val="20"/>
              </w:rPr>
              <w:t>30 (2): 177-189.</w:t>
            </w:r>
          </w:p>
        </w:tc>
      </w:tr>
    </w:tbl>
    <w:p w:rsidR="007203C3" w:rsidRPr="00062A46" w:rsidRDefault="007203C3" w:rsidP="007203C3">
      <w:pPr>
        <w:spacing w:after="200" w:line="276" w:lineRule="auto"/>
      </w:pPr>
    </w:p>
    <w:sectPr w:rsidR="007203C3" w:rsidRPr="00062A46" w:rsidSect="007203C3">
      <w:headerReference w:type="even" r:id="rId11"/>
      <w:footerReference w:type="default" r:id="rId12"/>
      <w:headerReference w:type="first" r:id="rId13"/>
      <w:footerReference w:type="first" r:id="rId14"/>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5C6" w:rsidRDefault="009D65C6" w:rsidP="00A60185">
      <w:r>
        <w:separator/>
      </w:r>
    </w:p>
  </w:endnote>
  <w:endnote w:type="continuationSeparator" w:id="0">
    <w:p w:rsidR="009D65C6" w:rsidRDefault="009D65C6"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5C6" w:rsidRPr="007203C3" w:rsidRDefault="009D65C6" w:rsidP="007203C3">
    <w:pPr>
      <w:pStyle w:val="Footer"/>
      <w:pBdr>
        <w:top w:val="single" w:sz="4" w:space="1" w:color="auto"/>
      </w:pBdr>
      <w:rPr>
        <w:rFonts w:ascii="Arial" w:hAnsi="Arial" w:cs="Arial"/>
        <w:color w:val="FF0000"/>
        <w:sz w:val="12"/>
        <w:szCs w:val="20"/>
      </w:rPr>
    </w:pPr>
  </w:p>
  <w:p w:rsidR="009D65C6" w:rsidRPr="00ED3F75" w:rsidRDefault="009D65C6" w:rsidP="007203C3">
    <w:pPr>
      <w:pStyle w:val="Footer"/>
      <w:pBdr>
        <w:top w:val="single" w:sz="4" w:space="1" w:color="auto"/>
      </w:pBdr>
      <w:rPr>
        <w:rFonts w:ascii="Arial" w:hAnsi="Arial" w:cs="Arial"/>
        <w:sz w:val="20"/>
        <w:szCs w:val="20"/>
      </w:rPr>
    </w:pPr>
    <w:r>
      <w:rPr>
        <w:rFonts w:ascii="Arial" w:hAnsi="Arial" w:cs="Arial"/>
        <w:sz w:val="20"/>
        <w:szCs w:val="20"/>
      </w:rPr>
      <w:t xml:space="preserve">Final Advice </w:t>
    </w:r>
    <w:r w:rsidRPr="00ED3F75">
      <w:rPr>
        <w:rFonts w:ascii="Arial" w:hAnsi="Arial" w:cs="Arial"/>
        <w:sz w:val="20"/>
        <w:szCs w:val="20"/>
      </w:rPr>
      <w:ptab w:relativeTo="margin" w:alignment="right" w:leader="none"/>
    </w:r>
    <w:r w:rsidR="00FF6F3E">
      <w:rPr>
        <w:rFonts w:ascii="Arial" w:hAnsi="Arial" w:cs="Arial"/>
        <w:sz w:val="20"/>
        <w:szCs w:val="20"/>
      </w:rPr>
      <w:t>10</w:t>
    </w:r>
    <w:r w:rsidRPr="00870E8E">
      <w:rPr>
        <w:rFonts w:ascii="Arial" w:hAnsi="Arial" w:cs="Arial"/>
        <w:sz w:val="20"/>
        <w:szCs w:val="20"/>
      </w:rPr>
      <w:t xml:space="preserve"> February 2014</w:t>
    </w:r>
  </w:p>
  <w:p w:rsidR="009D65C6" w:rsidRPr="00185039" w:rsidRDefault="002D2600">
    <w:pPr>
      <w:pStyle w:val="Footer"/>
      <w:jc w:val="center"/>
      <w:rPr>
        <w:rFonts w:ascii="Arial" w:hAnsi="Arial" w:cs="Arial"/>
        <w:sz w:val="20"/>
        <w:szCs w:val="20"/>
      </w:rPr>
    </w:pPr>
    <w:r w:rsidRPr="00185039">
      <w:rPr>
        <w:rFonts w:ascii="Arial" w:hAnsi="Arial" w:cs="Arial"/>
        <w:sz w:val="20"/>
        <w:szCs w:val="20"/>
      </w:rPr>
      <w:fldChar w:fldCharType="begin"/>
    </w:r>
    <w:r w:rsidR="009D65C6"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B94376">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5C6" w:rsidRPr="00D15280" w:rsidRDefault="009D65C6">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9D65C6" w:rsidRPr="00062A46" w:rsidRDefault="002D2600"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9D65C6"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9D65C6">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5C6" w:rsidRDefault="009D65C6" w:rsidP="00A60185">
      <w:r>
        <w:separator/>
      </w:r>
    </w:p>
  </w:footnote>
  <w:footnote w:type="continuationSeparator" w:id="0">
    <w:p w:rsidR="009D65C6" w:rsidRDefault="009D65C6"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5C6" w:rsidRDefault="009D65C6"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5C6" w:rsidRDefault="009D65C6" w:rsidP="0034504D">
    <w:pPr>
      <w:pStyle w:val="Header"/>
      <w:ind w:left="-1418"/>
    </w:pPr>
  </w:p>
  <w:p w:rsidR="009D65C6" w:rsidRDefault="009D65C6"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23275014"/>
    <w:multiLevelType w:val="hybridMultilevel"/>
    <w:tmpl w:val="A522A582"/>
    <w:lvl w:ilvl="0" w:tplc="BBFE739A">
      <w:start w:val="1"/>
      <w:numFmt w:val="lowerLetter"/>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85A0883"/>
    <w:multiLevelType w:val="hybridMultilevel"/>
    <w:tmpl w:val="7B3AF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6892EA0"/>
    <w:multiLevelType w:val="hybridMultilevel"/>
    <w:tmpl w:val="BC7C6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6C3C00"/>
    <w:multiLevelType w:val="hybridMultilevel"/>
    <w:tmpl w:val="4D30AB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50B4B90"/>
    <w:multiLevelType w:val="hybridMultilevel"/>
    <w:tmpl w:val="534CFF68"/>
    <w:lvl w:ilvl="0" w:tplc="46B8986A">
      <w:start w:val="1"/>
      <w:numFmt w:val="lowerLetter"/>
      <w:lvlText w:val="%1."/>
      <w:lvlJc w:val="left"/>
      <w:pPr>
        <w:ind w:left="114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nsid w:val="6FC47D7D"/>
    <w:multiLevelType w:val="hybridMultilevel"/>
    <w:tmpl w:val="FCC0F680"/>
    <w:lvl w:ilvl="0" w:tplc="70CA8050">
      <w:start w:val="1"/>
      <w:numFmt w:val="lowerLetter"/>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0343A6A"/>
    <w:multiLevelType w:val="hybridMultilevel"/>
    <w:tmpl w:val="21E0D7F0"/>
    <w:lvl w:ilvl="0" w:tplc="0C090019">
      <w:start w:val="1"/>
      <w:numFmt w:val="lowerLetter"/>
      <w:lvlText w:val="%1."/>
      <w:lvlJc w:val="left"/>
      <w:pPr>
        <w:ind w:left="1146" w:hanging="360"/>
      </w:pPr>
    </w:lvl>
    <w:lvl w:ilvl="1" w:tplc="0C09001B">
      <w:start w:val="1"/>
      <w:numFmt w:val="lowerRoman"/>
      <w:lvlText w:val="%2."/>
      <w:lvlJc w:val="righ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nsid w:val="74F93E1D"/>
    <w:multiLevelType w:val="hybridMultilevel"/>
    <w:tmpl w:val="458A14B2"/>
    <w:lvl w:ilvl="0" w:tplc="5F1C2392">
      <w:start w:val="1"/>
      <w:numFmt w:val="lowerLetter"/>
      <w:lvlText w:val="%1."/>
      <w:lvlJc w:val="left"/>
      <w:pPr>
        <w:ind w:left="114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nsid w:val="7639418D"/>
    <w:multiLevelType w:val="hybridMultilevel"/>
    <w:tmpl w:val="0E6E03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
  </w:num>
  <w:num w:numId="5">
    <w:abstractNumId w:val="8"/>
  </w:num>
  <w:num w:numId="6">
    <w:abstractNumId w:val="4"/>
  </w:num>
  <w:num w:numId="7">
    <w:abstractNumId w:val="5"/>
  </w:num>
  <w:num w:numId="8">
    <w:abstractNumId w:val="13"/>
  </w:num>
  <w:num w:numId="9">
    <w:abstractNumId w:val="6"/>
  </w:num>
  <w:num w:numId="10">
    <w:abstractNumId w:val="10"/>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9"/>
  </w:num>
  <w:num w:numId="22">
    <w:abstractNumId w:val="7"/>
  </w:num>
  <w:num w:numId="23">
    <w:abstractNumId w:val="11"/>
  </w:num>
  <w:num w:numId="24">
    <w:abstractNumId w:val="2"/>
  </w:num>
  <w:num w:numId="25">
    <w:abstractNumId w:val="2"/>
  </w:num>
  <w:num w:numId="26">
    <w:abstractNumId w:val="2"/>
  </w:num>
  <w:num w:numId="27">
    <w:abstractNumId w:val="1"/>
  </w:num>
  <w:num w:numId="28">
    <w:abstractNumId w:val="2"/>
  </w:num>
  <w:num w:numId="29">
    <w:abstractNumId w:val="2"/>
  </w:num>
  <w:num w:numId="30">
    <w:abstractNumId w:val="2"/>
  </w:num>
  <w:num w:numId="31">
    <w:abstractNumId w:val="2"/>
  </w:num>
  <w:num w:numId="3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rsids>
    <w:rsidRoot w:val="0041275D"/>
    <w:rsid w:val="000040BE"/>
    <w:rsid w:val="00004AEE"/>
    <w:rsid w:val="000053B1"/>
    <w:rsid w:val="00005CAA"/>
    <w:rsid w:val="00010210"/>
    <w:rsid w:val="00010D3B"/>
    <w:rsid w:val="00012D66"/>
    <w:rsid w:val="00015ADA"/>
    <w:rsid w:val="00020C99"/>
    <w:rsid w:val="00021D4A"/>
    <w:rsid w:val="0002707B"/>
    <w:rsid w:val="00027FBF"/>
    <w:rsid w:val="00031B32"/>
    <w:rsid w:val="00032459"/>
    <w:rsid w:val="00041D41"/>
    <w:rsid w:val="00043324"/>
    <w:rsid w:val="0005148E"/>
    <w:rsid w:val="000547F0"/>
    <w:rsid w:val="0006137D"/>
    <w:rsid w:val="00062A46"/>
    <w:rsid w:val="00063F0E"/>
    <w:rsid w:val="000759E5"/>
    <w:rsid w:val="0007601C"/>
    <w:rsid w:val="00081473"/>
    <w:rsid w:val="000827BE"/>
    <w:rsid w:val="00082C2D"/>
    <w:rsid w:val="00084AC6"/>
    <w:rsid w:val="00084DAE"/>
    <w:rsid w:val="0009140E"/>
    <w:rsid w:val="00091608"/>
    <w:rsid w:val="0009196E"/>
    <w:rsid w:val="00092475"/>
    <w:rsid w:val="00092A49"/>
    <w:rsid w:val="00092F92"/>
    <w:rsid w:val="0009333C"/>
    <w:rsid w:val="00095935"/>
    <w:rsid w:val="0009704F"/>
    <w:rsid w:val="000A0F11"/>
    <w:rsid w:val="000A125A"/>
    <w:rsid w:val="000A228F"/>
    <w:rsid w:val="000A57CD"/>
    <w:rsid w:val="000B1F2E"/>
    <w:rsid w:val="000B348C"/>
    <w:rsid w:val="000B368F"/>
    <w:rsid w:val="000B3758"/>
    <w:rsid w:val="000B513E"/>
    <w:rsid w:val="000B6360"/>
    <w:rsid w:val="000B7681"/>
    <w:rsid w:val="000B7B42"/>
    <w:rsid w:val="000C02B7"/>
    <w:rsid w:val="000C2814"/>
    <w:rsid w:val="000C451B"/>
    <w:rsid w:val="000C5342"/>
    <w:rsid w:val="000C706A"/>
    <w:rsid w:val="000D2887"/>
    <w:rsid w:val="000D6CED"/>
    <w:rsid w:val="000D6D63"/>
    <w:rsid w:val="000D706B"/>
    <w:rsid w:val="000D7810"/>
    <w:rsid w:val="000E0081"/>
    <w:rsid w:val="000E07CF"/>
    <w:rsid w:val="000E7C58"/>
    <w:rsid w:val="00100BEF"/>
    <w:rsid w:val="00101C3E"/>
    <w:rsid w:val="00102E17"/>
    <w:rsid w:val="00111E3B"/>
    <w:rsid w:val="00113E82"/>
    <w:rsid w:val="0011498E"/>
    <w:rsid w:val="00116F28"/>
    <w:rsid w:val="00117A45"/>
    <w:rsid w:val="001224AE"/>
    <w:rsid w:val="00123035"/>
    <w:rsid w:val="001337D4"/>
    <w:rsid w:val="001340EA"/>
    <w:rsid w:val="00147C12"/>
    <w:rsid w:val="00147EFC"/>
    <w:rsid w:val="001527A1"/>
    <w:rsid w:val="001530DC"/>
    <w:rsid w:val="001539AF"/>
    <w:rsid w:val="00153B2F"/>
    <w:rsid w:val="00154989"/>
    <w:rsid w:val="00155A9F"/>
    <w:rsid w:val="0015684F"/>
    <w:rsid w:val="00160262"/>
    <w:rsid w:val="0016186F"/>
    <w:rsid w:val="0016281C"/>
    <w:rsid w:val="0016433A"/>
    <w:rsid w:val="0016780A"/>
    <w:rsid w:val="001713FA"/>
    <w:rsid w:val="00173EBF"/>
    <w:rsid w:val="001765DA"/>
    <w:rsid w:val="001842A2"/>
    <w:rsid w:val="00185039"/>
    <w:rsid w:val="00185407"/>
    <w:rsid w:val="00187711"/>
    <w:rsid w:val="00187FA8"/>
    <w:rsid w:val="001922D0"/>
    <w:rsid w:val="00192951"/>
    <w:rsid w:val="00192F5E"/>
    <w:rsid w:val="00196DB1"/>
    <w:rsid w:val="00197772"/>
    <w:rsid w:val="001A3E39"/>
    <w:rsid w:val="001A51C8"/>
    <w:rsid w:val="001B472B"/>
    <w:rsid w:val="001B4CA8"/>
    <w:rsid w:val="001B63D7"/>
    <w:rsid w:val="001C2A92"/>
    <w:rsid w:val="001C4F3D"/>
    <w:rsid w:val="001D0CDC"/>
    <w:rsid w:val="001D1D82"/>
    <w:rsid w:val="001E1182"/>
    <w:rsid w:val="001F0E8B"/>
    <w:rsid w:val="001F1BC1"/>
    <w:rsid w:val="001F6C99"/>
    <w:rsid w:val="00200944"/>
    <w:rsid w:val="00200DDE"/>
    <w:rsid w:val="00202387"/>
    <w:rsid w:val="00202C90"/>
    <w:rsid w:val="00206B92"/>
    <w:rsid w:val="00212F59"/>
    <w:rsid w:val="00213DE8"/>
    <w:rsid w:val="00216118"/>
    <w:rsid w:val="00216415"/>
    <w:rsid w:val="002209AB"/>
    <w:rsid w:val="00220F6B"/>
    <w:rsid w:val="002251E3"/>
    <w:rsid w:val="002262E6"/>
    <w:rsid w:val="00227A95"/>
    <w:rsid w:val="002316BD"/>
    <w:rsid w:val="002336F3"/>
    <w:rsid w:val="00246C4A"/>
    <w:rsid w:val="002473FC"/>
    <w:rsid w:val="00251F26"/>
    <w:rsid w:val="00252E3C"/>
    <w:rsid w:val="002578E7"/>
    <w:rsid w:val="00262198"/>
    <w:rsid w:val="0028278E"/>
    <w:rsid w:val="00285F1B"/>
    <w:rsid w:val="002925FD"/>
    <w:rsid w:val="00292B81"/>
    <w:rsid w:val="0029322E"/>
    <w:rsid w:val="00295EF2"/>
    <w:rsid w:val="00296477"/>
    <w:rsid w:val="002974BC"/>
    <w:rsid w:val="002A5EC3"/>
    <w:rsid w:val="002B18AE"/>
    <w:rsid w:val="002B41A2"/>
    <w:rsid w:val="002B6472"/>
    <w:rsid w:val="002B67D3"/>
    <w:rsid w:val="002B72DF"/>
    <w:rsid w:val="002C1C93"/>
    <w:rsid w:val="002C3738"/>
    <w:rsid w:val="002C5066"/>
    <w:rsid w:val="002D2600"/>
    <w:rsid w:val="002D4AAC"/>
    <w:rsid w:val="002D6B24"/>
    <w:rsid w:val="002D6C33"/>
    <w:rsid w:val="002F045A"/>
    <w:rsid w:val="002F4270"/>
    <w:rsid w:val="0030039D"/>
    <w:rsid w:val="00300715"/>
    <w:rsid w:val="0030326F"/>
    <w:rsid w:val="00310701"/>
    <w:rsid w:val="00311510"/>
    <w:rsid w:val="00312E55"/>
    <w:rsid w:val="003138AC"/>
    <w:rsid w:val="00315980"/>
    <w:rsid w:val="003169E2"/>
    <w:rsid w:val="00316F7F"/>
    <w:rsid w:val="00320162"/>
    <w:rsid w:val="0032087E"/>
    <w:rsid w:val="003218E8"/>
    <w:rsid w:val="00330DCE"/>
    <w:rsid w:val="0033139A"/>
    <w:rsid w:val="00331E11"/>
    <w:rsid w:val="00334761"/>
    <w:rsid w:val="00337EBC"/>
    <w:rsid w:val="0034033E"/>
    <w:rsid w:val="00341DCD"/>
    <w:rsid w:val="0034504D"/>
    <w:rsid w:val="0034563E"/>
    <w:rsid w:val="003504CC"/>
    <w:rsid w:val="0035163C"/>
    <w:rsid w:val="003518D6"/>
    <w:rsid w:val="0035460C"/>
    <w:rsid w:val="003556BD"/>
    <w:rsid w:val="00365147"/>
    <w:rsid w:val="0037016E"/>
    <w:rsid w:val="00370E55"/>
    <w:rsid w:val="00372908"/>
    <w:rsid w:val="00376457"/>
    <w:rsid w:val="00376B94"/>
    <w:rsid w:val="00381917"/>
    <w:rsid w:val="00383020"/>
    <w:rsid w:val="003860C3"/>
    <w:rsid w:val="00391779"/>
    <w:rsid w:val="00396863"/>
    <w:rsid w:val="003975FD"/>
    <w:rsid w:val="003A0593"/>
    <w:rsid w:val="003A1382"/>
    <w:rsid w:val="003B44DD"/>
    <w:rsid w:val="003B60CC"/>
    <w:rsid w:val="003B7E5B"/>
    <w:rsid w:val="003C1B25"/>
    <w:rsid w:val="003C2443"/>
    <w:rsid w:val="003C2556"/>
    <w:rsid w:val="003C31E0"/>
    <w:rsid w:val="003C5DA3"/>
    <w:rsid w:val="003D3C81"/>
    <w:rsid w:val="003D4BCD"/>
    <w:rsid w:val="003E01D8"/>
    <w:rsid w:val="003E2100"/>
    <w:rsid w:val="003E2BDB"/>
    <w:rsid w:val="003E3B0F"/>
    <w:rsid w:val="003E45FA"/>
    <w:rsid w:val="003E53CA"/>
    <w:rsid w:val="003E5ED5"/>
    <w:rsid w:val="003F0CB7"/>
    <w:rsid w:val="003F2588"/>
    <w:rsid w:val="003F4AC2"/>
    <w:rsid w:val="003F6F5B"/>
    <w:rsid w:val="004027C2"/>
    <w:rsid w:val="0040342D"/>
    <w:rsid w:val="00403FB9"/>
    <w:rsid w:val="00405E1C"/>
    <w:rsid w:val="0041192D"/>
    <w:rsid w:val="0041275D"/>
    <w:rsid w:val="00413EE1"/>
    <w:rsid w:val="0042128E"/>
    <w:rsid w:val="0042465A"/>
    <w:rsid w:val="00432B60"/>
    <w:rsid w:val="004333E6"/>
    <w:rsid w:val="00434D48"/>
    <w:rsid w:val="00440698"/>
    <w:rsid w:val="004451F8"/>
    <w:rsid w:val="00451902"/>
    <w:rsid w:val="004540E2"/>
    <w:rsid w:val="00454454"/>
    <w:rsid w:val="00467720"/>
    <w:rsid w:val="00467924"/>
    <w:rsid w:val="004712A5"/>
    <w:rsid w:val="0047266F"/>
    <w:rsid w:val="00473847"/>
    <w:rsid w:val="00476D6B"/>
    <w:rsid w:val="004825EA"/>
    <w:rsid w:val="004861E6"/>
    <w:rsid w:val="0049013A"/>
    <w:rsid w:val="00492C16"/>
    <w:rsid w:val="004A0678"/>
    <w:rsid w:val="004A20B1"/>
    <w:rsid w:val="004A27CA"/>
    <w:rsid w:val="004A48A3"/>
    <w:rsid w:val="004B05B5"/>
    <w:rsid w:val="004B0D92"/>
    <w:rsid w:val="004B0EC0"/>
    <w:rsid w:val="004B2182"/>
    <w:rsid w:val="004B32B2"/>
    <w:rsid w:val="004B66F1"/>
    <w:rsid w:val="004C3B7B"/>
    <w:rsid w:val="004C3EA0"/>
    <w:rsid w:val="004D46E9"/>
    <w:rsid w:val="004F3D69"/>
    <w:rsid w:val="004F7169"/>
    <w:rsid w:val="00500D66"/>
    <w:rsid w:val="00502388"/>
    <w:rsid w:val="005036A6"/>
    <w:rsid w:val="0051198A"/>
    <w:rsid w:val="00511E3E"/>
    <w:rsid w:val="00512BB9"/>
    <w:rsid w:val="00514C8E"/>
    <w:rsid w:val="00517F35"/>
    <w:rsid w:val="00523A57"/>
    <w:rsid w:val="00523ED3"/>
    <w:rsid w:val="005242F1"/>
    <w:rsid w:val="0053002E"/>
    <w:rsid w:val="0053127D"/>
    <w:rsid w:val="005317BB"/>
    <w:rsid w:val="00531DBF"/>
    <w:rsid w:val="005337FC"/>
    <w:rsid w:val="00545759"/>
    <w:rsid w:val="00545BE0"/>
    <w:rsid w:val="00554C6A"/>
    <w:rsid w:val="00560789"/>
    <w:rsid w:val="00562E85"/>
    <w:rsid w:val="0056332F"/>
    <w:rsid w:val="00566912"/>
    <w:rsid w:val="00576E4B"/>
    <w:rsid w:val="00581C39"/>
    <w:rsid w:val="005834A4"/>
    <w:rsid w:val="00584F6B"/>
    <w:rsid w:val="00585839"/>
    <w:rsid w:val="005903B6"/>
    <w:rsid w:val="00592B20"/>
    <w:rsid w:val="005A0247"/>
    <w:rsid w:val="005A126E"/>
    <w:rsid w:val="005A452F"/>
    <w:rsid w:val="005A703F"/>
    <w:rsid w:val="005A7D53"/>
    <w:rsid w:val="005B0451"/>
    <w:rsid w:val="005B140D"/>
    <w:rsid w:val="005B6165"/>
    <w:rsid w:val="005C1FEA"/>
    <w:rsid w:val="005C3495"/>
    <w:rsid w:val="005C3785"/>
    <w:rsid w:val="005D1ED7"/>
    <w:rsid w:val="005E0688"/>
    <w:rsid w:val="005E13EA"/>
    <w:rsid w:val="005E15E0"/>
    <w:rsid w:val="005E3889"/>
    <w:rsid w:val="005E3DFC"/>
    <w:rsid w:val="005E596F"/>
    <w:rsid w:val="005E60AF"/>
    <w:rsid w:val="005E7B4E"/>
    <w:rsid w:val="005F1DEA"/>
    <w:rsid w:val="005F4932"/>
    <w:rsid w:val="00602FCB"/>
    <w:rsid w:val="00606A90"/>
    <w:rsid w:val="00607FC9"/>
    <w:rsid w:val="00610955"/>
    <w:rsid w:val="0061490C"/>
    <w:rsid w:val="00616861"/>
    <w:rsid w:val="006212B6"/>
    <w:rsid w:val="00622FE1"/>
    <w:rsid w:val="0062521C"/>
    <w:rsid w:val="00630A2B"/>
    <w:rsid w:val="00630BA2"/>
    <w:rsid w:val="0063149B"/>
    <w:rsid w:val="00631505"/>
    <w:rsid w:val="0063283F"/>
    <w:rsid w:val="00632DC7"/>
    <w:rsid w:val="00633896"/>
    <w:rsid w:val="006357FB"/>
    <w:rsid w:val="006406FC"/>
    <w:rsid w:val="0064407B"/>
    <w:rsid w:val="00646122"/>
    <w:rsid w:val="00653E16"/>
    <w:rsid w:val="00654DE1"/>
    <w:rsid w:val="00655BA8"/>
    <w:rsid w:val="00657220"/>
    <w:rsid w:val="0066104B"/>
    <w:rsid w:val="00661419"/>
    <w:rsid w:val="006655EE"/>
    <w:rsid w:val="00667C10"/>
    <w:rsid w:val="00667EF4"/>
    <w:rsid w:val="00672B85"/>
    <w:rsid w:val="00673B97"/>
    <w:rsid w:val="00674E59"/>
    <w:rsid w:val="00676FCA"/>
    <w:rsid w:val="00677177"/>
    <w:rsid w:val="0067757F"/>
    <w:rsid w:val="0068056B"/>
    <w:rsid w:val="0068612E"/>
    <w:rsid w:val="00687858"/>
    <w:rsid w:val="00687C92"/>
    <w:rsid w:val="006903B7"/>
    <w:rsid w:val="00692999"/>
    <w:rsid w:val="0069336E"/>
    <w:rsid w:val="00693648"/>
    <w:rsid w:val="0069534E"/>
    <w:rsid w:val="00696365"/>
    <w:rsid w:val="0069669C"/>
    <w:rsid w:val="006975B4"/>
    <w:rsid w:val="006A1200"/>
    <w:rsid w:val="006A2C5A"/>
    <w:rsid w:val="006A4F4E"/>
    <w:rsid w:val="006B014C"/>
    <w:rsid w:val="006B14DB"/>
    <w:rsid w:val="006B21C4"/>
    <w:rsid w:val="006C4746"/>
    <w:rsid w:val="006C4A1A"/>
    <w:rsid w:val="006C7DAD"/>
    <w:rsid w:val="006D0393"/>
    <w:rsid w:val="006D1A83"/>
    <w:rsid w:val="006D51EC"/>
    <w:rsid w:val="006D5D1E"/>
    <w:rsid w:val="006E1CFE"/>
    <w:rsid w:val="006E31A2"/>
    <w:rsid w:val="006E6D10"/>
    <w:rsid w:val="006F10C4"/>
    <w:rsid w:val="006F40E9"/>
    <w:rsid w:val="006F5603"/>
    <w:rsid w:val="00701400"/>
    <w:rsid w:val="00701BD5"/>
    <w:rsid w:val="00702393"/>
    <w:rsid w:val="007037CF"/>
    <w:rsid w:val="00703BB8"/>
    <w:rsid w:val="00705294"/>
    <w:rsid w:val="00716583"/>
    <w:rsid w:val="007167C0"/>
    <w:rsid w:val="007203C3"/>
    <w:rsid w:val="00720481"/>
    <w:rsid w:val="00721642"/>
    <w:rsid w:val="0072510B"/>
    <w:rsid w:val="00727C18"/>
    <w:rsid w:val="00727E2F"/>
    <w:rsid w:val="00733193"/>
    <w:rsid w:val="00736083"/>
    <w:rsid w:val="00737CBA"/>
    <w:rsid w:val="0074308E"/>
    <w:rsid w:val="00744151"/>
    <w:rsid w:val="00752FF8"/>
    <w:rsid w:val="00754C17"/>
    <w:rsid w:val="0075732A"/>
    <w:rsid w:val="00760262"/>
    <w:rsid w:val="0076310C"/>
    <w:rsid w:val="0076744F"/>
    <w:rsid w:val="007674B0"/>
    <w:rsid w:val="00767BCE"/>
    <w:rsid w:val="00767EFC"/>
    <w:rsid w:val="007707DE"/>
    <w:rsid w:val="00770B5D"/>
    <w:rsid w:val="007752F1"/>
    <w:rsid w:val="00776768"/>
    <w:rsid w:val="00777D13"/>
    <w:rsid w:val="00782D61"/>
    <w:rsid w:val="00784164"/>
    <w:rsid w:val="00784731"/>
    <w:rsid w:val="00787B74"/>
    <w:rsid w:val="00791024"/>
    <w:rsid w:val="00791531"/>
    <w:rsid w:val="007921C6"/>
    <w:rsid w:val="00794818"/>
    <w:rsid w:val="007A2573"/>
    <w:rsid w:val="007A3B9C"/>
    <w:rsid w:val="007A746E"/>
    <w:rsid w:val="007B05C3"/>
    <w:rsid w:val="007B106C"/>
    <w:rsid w:val="007B1A4E"/>
    <w:rsid w:val="007B3D05"/>
    <w:rsid w:val="007B5503"/>
    <w:rsid w:val="007B6DF6"/>
    <w:rsid w:val="007C5E04"/>
    <w:rsid w:val="007C69AC"/>
    <w:rsid w:val="007C6BB3"/>
    <w:rsid w:val="007D14B4"/>
    <w:rsid w:val="007D3AD7"/>
    <w:rsid w:val="007E24F6"/>
    <w:rsid w:val="00800F64"/>
    <w:rsid w:val="00802F0B"/>
    <w:rsid w:val="00803F79"/>
    <w:rsid w:val="00810A67"/>
    <w:rsid w:val="0081315B"/>
    <w:rsid w:val="00814F64"/>
    <w:rsid w:val="008252BF"/>
    <w:rsid w:val="008272A7"/>
    <w:rsid w:val="00833CF7"/>
    <w:rsid w:val="00836B2E"/>
    <w:rsid w:val="008439AC"/>
    <w:rsid w:val="00843A9E"/>
    <w:rsid w:val="00845601"/>
    <w:rsid w:val="00845C7A"/>
    <w:rsid w:val="008524B9"/>
    <w:rsid w:val="00855C5C"/>
    <w:rsid w:val="00857DA7"/>
    <w:rsid w:val="0086233C"/>
    <w:rsid w:val="0086419B"/>
    <w:rsid w:val="00865CFA"/>
    <w:rsid w:val="00870D64"/>
    <w:rsid w:val="00870E8E"/>
    <w:rsid w:val="00877CFF"/>
    <w:rsid w:val="00883CE7"/>
    <w:rsid w:val="00885C08"/>
    <w:rsid w:val="00886F55"/>
    <w:rsid w:val="00892FC6"/>
    <w:rsid w:val="008A187F"/>
    <w:rsid w:val="008A3C96"/>
    <w:rsid w:val="008B0BBA"/>
    <w:rsid w:val="008B1524"/>
    <w:rsid w:val="008B1627"/>
    <w:rsid w:val="008B4019"/>
    <w:rsid w:val="008B505F"/>
    <w:rsid w:val="008B64F3"/>
    <w:rsid w:val="008B65C9"/>
    <w:rsid w:val="008C0511"/>
    <w:rsid w:val="008C2D4A"/>
    <w:rsid w:val="008C577A"/>
    <w:rsid w:val="008C6A05"/>
    <w:rsid w:val="008C7DBB"/>
    <w:rsid w:val="008D3900"/>
    <w:rsid w:val="008D6E1D"/>
    <w:rsid w:val="008D6EDB"/>
    <w:rsid w:val="008D71ED"/>
    <w:rsid w:val="008E3080"/>
    <w:rsid w:val="008E36FE"/>
    <w:rsid w:val="008F39B4"/>
    <w:rsid w:val="008F4162"/>
    <w:rsid w:val="008F584A"/>
    <w:rsid w:val="00903E02"/>
    <w:rsid w:val="0090507B"/>
    <w:rsid w:val="00913175"/>
    <w:rsid w:val="0091523B"/>
    <w:rsid w:val="00915E33"/>
    <w:rsid w:val="00916EDB"/>
    <w:rsid w:val="00917841"/>
    <w:rsid w:val="00920861"/>
    <w:rsid w:val="00922B13"/>
    <w:rsid w:val="00923F25"/>
    <w:rsid w:val="009241A5"/>
    <w:rsid w:val="009242EF"/>
    <w:rsid w:val="00924AB9"/>
    <w:rsid w:val="00926FDB"/>
    <w:rsid w:val="00932291"/>
    <w:rsid w:val="00933B1B"/>
    <w:rsid w:val="0093408E"/>
    <w:rsid w:val="00934267"/>
    <w:rsid w:val="009367A4"/>
    <w:rsid w:val="00940467"/>
    <w:rsid w:val="0094125F"/>
    <w:rsid w:val="00945092"/>
    <w:rsid w:val="00945E25"/>
    <w:rsid w:val="00947507"/>
    <w:rsid w:val="00952DDF"/>
    <w:rsid w:val="00952EC4"/>
    <w:rsid w:val="00953245"/>
    <w:rsid w:val="0096356F"/>
    <w:rsid w:val="0096592B"/>
    <w:rsid w:val="00972423"/>
    <w:rsid w:val="009757F2"/>
    <w:rsid w:val="009812D4"/>
    <w:rsid w:val="00982653"/>
    <w:rsid w:val="009873F4"/>
    <w:rsid w:val="009920D8"/>
    <w:rsid w:val="009952EB"/>
    <w:rsid w:val="009A371F"/>
    <w:rsid w:val="009B38BE"/>
    <w:rsid w:val="009B4556"/>
    <w:rsid w:val="009B682F"/>
    <w:rsid w:val="009C0DD7"/>
    <w:rsid w:val="009C1607"/>
    <w:rsid w:val="009C3541"/>
    <w:rsid w:val="009C3D0F"/>
    <w:rsid w:val="009D6232"/>
    <w:rsid w:val="009D65C6"/>
    <w:rsid w:val="009E1B19"/>
    <w:rsid w:val="009E1D6D"/>
    <w:rsid w:val="009E348F"/>
    <w:rsid w:val="009E67BE"/>
    <w:rsid w:val="009F35E2"/>
    <w:rsid w:val="009F438B"/>
    <w:rsid w:val="009F65F9"/>
    <w:rsid w:val="009F68BA"/>
    <w:rsid w:val="00A00C6C"/>
    <w:rsid w:val="00A014E0"/>
    <w:rsid w:val="00A03784"/>
    <w:rsid w:val="00A06277"/>
    <w:rsid w:val="00A06489"/>
    <w:rsid w:val="00A07171"/>
    <w:rsid w:val="00A079DC"/>
    <w:rsid w:val="00A10BAB"/>
    <w:rsid w:val="00A111C2"/>
    <w:rsid w:val="00A14BC2"/>
    <w:rsid w:val="00A17C39"/>
    <w:rsid w:val="00A2039F"/>
    <w:rsid w:val="00A21440"/>
    <w:rsid w:val="00A238AA"/>
    <w:rsid w:val="00A338E7"/>
    <w:rsid w:val="00A35CAA"/>
    <w:rsid w:val="00A36E7F"/>
    <w:rsid w:val="00A41405"/>
    <w:rsid w:val="00A41E65"/>
    <w:rsid w:val="00A426F9"/>
    <w:rsid w:val="00A43517"/>
    <w:rsid w:val="00A43E0A"/>
    <w:rsid w:val="00A46247"/>
    <w:rsid w:val="00A47F07"/>
    <w:rsid w:val="00A530C7"/>
    <w:rsid w:val="00A55F5B"/>
    <w:rsid w:val="00A60185"/>
    <w:rsid w:val="00A6356E"/>
    <w:rsid w:val="00A661EA"/>
    <w:rsid w:val="00A66263"/>
    <w:rsid w:val="00A6775C"/>
    <w:rsid w:val="00A70A6C"/>
    <w:rsid w:val="00A807B2"/>
    <w:rsid w:val="00A830E5"/>
    <w:rsid w:val="00A84BF3"/>
    <w:rsid w:val="00A868A9"/>
    <w:rsid w:val="00A87135"/>
    <w:rsid w:val="00A909F7"/>
    <w:rsid w:val="00A93280"/>
    <w:rsid w:val="00A93C73"/>
    <w:rsid w:val="00A93E29"/>
    <w:rsid w:val="00A951EA"/>
    <w:rsid w:val="00A956E4"/>
    <w:rsid w:val="00A961A6"/>
    <w:rsid w:val="00A973E1"/>
    <w:rsid w:val="00A97F71"/>
    <w:rsid w:val="00AA1C65"/>
    <w:rsid w:val="00AA2548"/>
    <w:rsid w:val="00AA2B1A"/>
    <w:rsid w:val="00AA3ADE"/>
    <w:rsid w:val="00AA3B6E"/>
    <w:rsid w:val="00AA58C4"/>
    <w:rsid w:val="00AA71AB"/>
    <w:rsid w:val="00AB11C8"/>
    <w:rsid w:val="00AB2248"/>
    <w:rsid w:val="00AB52A6"/>
    <w:rsid w:val="00AC0513"/>
    <w:rsid w:val="00AC08A8"/>
    <w:rsid w:val="00AD36EE"/>
    <w:rsid w:val="00AD4C29"/>
    <w:rsid w:val="00AD56C8"/>
    <w:rsid w:val="00AD58F2"/>
    <w:rsid w:val="00AE33AB"/>
    <w:rsid w:val="00AE5439"/>
    <w:rsid w:val="00AE6E5F"/>
    <w:rsid w:val="00AF52DA"/>
    <w:rsid w:val="00AF5EA3"/>
    <w:rsid w:val="00AF6573"/>
    <w:rsid w:val="00AF7690"/>
    <w:rsid w:val="00B0512A"/>
    <w:rsid w:val="00B0529F"/>
    <w:rsid w:val="00B05D52"/>
    <w:rsid w:val="00B07080"/>
    <w:rsid w:val="00B1418B"/>
    <w:rsid w:val="00B151A0"/>
    <w:rsid w:val="00B1520C"/>
    <w:rsid w:val="00B1560E"/>
    <w:rsid w:val="00B21195"/>
    <w:rsid w:val="00B22B3D"/>
    <w:rsid w:val="00B249E3"/>
    <w:rsid w:val="00B24B22"/>
    <w:rsid w:val="00B25310"/>
    <w:rsid w:val="00B27D8B"/>
    <w:rsid w:val="00B32F8F"/>
    <w:rsid w:val="00B44422"/>
    <w:rsid w:val="00B44C03"/>
    <w:rsid w:val="00B4690F"/>
    <w:rsid w:val="00B47C42"/>
    <w:rsid w:val="00B510B1"/>
    <w:rsid w:val="00B54BAC"/>
    <w:rsid w:val="00B54DE9"/>
    <w:rsid w:val="00B553EC"/>
    <w:rsid w:val="00B55870"/>
    <w:rsid w:val="00B56D41"/>
    <w:rsid w:val="00B724F7"/>
    <w:rsid w:val="00B747A9"/>
    <w:rsid w:val="00B77732"/>
    <w:rsid w:val="00B80D6D"/>
    <w:rsid w:val="00B844D8"/>
    <w:rsid w:val="00B9154F"/>
    <w:rsid w:val="00B93DD0"/>
    <w:rsid w:val="00B94376"/>
    <w:rsid w:val="00B9727B"/>
    <w:rsid w:val="00B97732"/>
    <w:rsid w:val="00BA2A90"/>
    <w:rsid w:val="00BA56D7"/>
    <w:rsid w:val="00BA573A"/>
    <w:rsid w:val="00BA5DD3"/>
    <w:rsid w:val="00BA65A8"/>
    <w:rsid w:val="00BA6A97"/>
    <w:rsid w:val="00BA6D19"/>
    <w:rsid w:val="00BA7461"/>
    <w:rsid w:val="00BA7DA9"/>
    <w:rsid w:val="00BB186F"/>
    <w:rsid w:val="00BC4215"/>
    <w:rsid w:val="00BD0396"/>
    <w:rsid w:val="00BD1A6F"/>
    <w:rsid w:val="00BD5B71"/>
    <w:rsid w:val="00BD7E9A"/>
    <w:rsid w:val="00BE6D3C"/>
    <w:rsid w:val="00BE7852"/>
    <w:rsid w:val="00BF1E6D"/>
    <w:rsid w:val="00BF6D87"/>
    <w:rsid w:val="00BF72ED"/>
    <w:rsid w:val="00BF7CEE"/>
    <w:rsid w:val="00C03880"/>
    <w:rsid w:val="00C135CF"/>
    <w:rsid w:val="00C262C8"/>
    <w:rsid w:val="00C2683F"/>
    <w:rsid w:val="00C3184D"/>
    <w:rsid w:val="00C42FF5"/>
    <w:rsid w:val="00C43084"/>
    <w:rsid w:val="00C432D8"/>
    <w:rsid w:val="00C4714E"/>
    <w:rsid w:val="00C50941"/>
    <w:rsid w:val="00C5504F"/>
    <w:rsid w:val="00C55991"/>
    <w:rsid w:val="00C63376"/>
    <w:rsid w:val="00C63E63"/>
    <w:rsid w:val="00C6637C"/>
    <w:rsid w:val="00C66CB4"/>
    <w:rsid w:val="00C672EF"/>
    <w:rsid w:val="00C74F97"/>
    <w:rsid w:val="00C76A08"/>
    <w:rsid w:val="00C8005C"/>
    <w:rsid w:val="00C803D7"/>
    <w:rsid w:val="00C810D0"/>
    <w:rsid w:val="00C8276E"/>
    <w:rsid w:val="00C83AD1"/>
    <w:rsid w:val="00C842AC"/>
    <w:rsid w:val="00C84D8F"/>
    <w:rsid w:val="00C85B7B"/>
    <w:rsid w:val="00C923E4"/>
    <w:rsid w:val="00C92AD5"/>
    <w:rsid w:val="00C93152"/>
    <w:rsid w:val="00C93FD9"/>
    <w:rsid w:val="00C96688"/>
    <w:rsid w:val="00CA0723"/>
    <w:rsid w:val="00CA3FB6"/>
    <w:rsid w:val="00CA4542"/>
    <w:rsid w:val="00CB1690"/>
    <w:rsid w:val="00CC15E4"/>
    <w:rsid w:val="00CC1B45"/>
    <w:rsid w:val="00CC1F25"/>
    <w:rsid w:val="00CC2B33"/>
    <w:rsid w:val="00CC4365"/>
    <w:rsid w:val="00CD11B0"/>
    <w:rsid w:val="00CD5E0E"/>
    <w:rsid w:val="00CD616B"/>
    <w:rsid w:val="00CE2B14"/>
    <w:rsid w:val="00CE5E8D"/>
    <w:rsid w:val="00CE716D"/>
    <w:rsid w:val="00CE71C2"/>
    <w:rsid w:val="00CF2242"/>
    <w:rsid w:val="00CF42D5"/>
    <w:rsid w:val="00CF4EDA"/>
    <w:rsid w:val="00D00281"/>
    <w:rsid w:val="00D01E11"/>
    <w:rsid w:val="00D02038"/>
    <w:rsid w:val="00D021CB"/>
    <w:rsid w:val="00D02E53"/>
    <w:rsid w:val="00D10C4C"/>
    <w:rsid w:val="00D10F1A"/>
    <w:rsid w:val="00D11579"/>
    <w:rsid w:val="00D116F8"/>
    <w:rsid w:val="00D15280"/>
    <w:rsid w:val="00D17596"/>
    <w:rsid w:val="00D2036C"/>
    <w:rsid w:val="00D22640"/>
    <w:rsid w:val="00D226FD"/>
    <w:rsid w:val="00D24DA0"/>
    <w:rsid w:val="00D2507F"/>
    <w:rsid w:val="00D26D3A"/>
    <w:rsid w:val="00D30AEF"/>
    <w:rsid w:val="00D33BF8"/>
    <w:rsid w:val="00D3498C"/>
    <w:rsid w:val="00D45C91"/>
    <w:rsid w:val="00D45EE3"/>
    <w:rsid w:val="00D50618"/>
    <w:rsid w:val="00D509E9"/>
    <w:rsid w:val="00D53B1C"/>
    <w:rsid w:val="00D56432"/>
    <w:rsid w:val="00D61714"/>
    <w:rsid w:val="00D620BE"/>
    <w:rsid w:val="00D629B0"/>
    <w:rsid w:val="00D642C3"/>
    <w:rsid w:val="00D652C8"/>
    <w:rsid w:val="00D656FF"/>
    <w:rsid w:val="00D72FD2"/>
    <w:rsid w:val="00D82448"/>
    <w:rsid w:val="00D83615"/>
    <w:rsid w:val="00D8454E"/>
    <w:rsid w:val="00D95CEB"/>
    <w:rsid w:val="00D97037"/>
    <w:rsid w:val="00DA1B12"/>
    <w:rsid w:val="00DA4F90"/>
    <w:rsid w:val="00DA54C9"/>
    <w:rsid w:val="00DA58D2"/>
    <w:rsid w:val="00DA6739"/>
    <w:rsid w:val="00DA6CAE"/>
    <w:rsid w:val="00DA7070"/>
    <w:rsid w:val="00DB00ED"/>
    <w:rsid w:val="00DB1A9E"/>
    <w:rsid w:val="00DB2D4E"/>
    <w:rsid w:val="00DB31D6"/>
    <w:rsid w:val="00DB3296"/>
    <w:rsid w:val="00DB4005"/>
    <w:rsid w:val="00DB44E2"/>
    <w:rsid w:val="00DB61F1"/>
    <w:rsid w:val="00DC325B"/>
    <w:rsid w:val="00DC34EB"/>
    <w:rsid w:val="00DC4E2E"/>
    <w:rsid w:val="00DC66FF"/>
    <w:rsid w:val="00DC78C0"/>
    <w:rsid w:val="00DD2D6E"/>
    <w:rsid w:val="00DE2C10"/>
    <w:rsid w:val="00DE5D40"/>
    <w:rsid w:val="00DF14C9"/>
    <w:rsid w:val="00DF1E5B"/>
    <w:rsid w:val="00DF2275"/>
    <w:rsid w:val="00DF3F5E"/>
    <w:rsid w:val="00DF5653"/>
    <w:rsid w:val="00E0596E"/>
    <w:rsid w:val="00E06F66"/>
    <w:rsid w:val="00E079DB"/>
    <w:rsid w:val="00E20143"/>
    <w:rsid w:val="00E2111A"/>
    <w:rsid w:val="00E21678"/>
    <w:rsid w:val="00E22F40"/>
    <w:rsid w:val="00E236DD"/>
    <w:rsid w:val="00E25036"/>
    <w:rsid w:val="00E254A1"/>
    <w:rsid w:val="00E30C97"/>
    <w:rsid w:val="00E3221C"/>
    <w:rsid w:val="00E344AA"/>
    <w:rsid w:val="00E356E5"/>
    <w:rsid w:val="00E35E33"/>
    <w:rsid w:val="00E3641B"/>
    <w:rsid w:val="00E36F81"/>
    <w:rsid w:val="00E378A8"/>
    <w:rsid w:val="00E40B9B"/>
    <w:rsid w:val="00E441C8"/>
    <w:rsid w:val="00E45765"/>
    <w:rsid w:val="00E47B1F"/>
    <w:rsid w:val="00E5098C"/>
    <w:rsid w:val="00E54ECD"/>
    <w:rsid w:val="00E574EF"/>
    <w:rsid w:val="00E57CD8"/>
    <w:rsid w:val="00E57E07"/>
    <w:rsid w:val="00E60213"/>
    <w:rsid w:val="00E63FB8"/>
    <w:rsid w:val="00E661B2"/>
    <w:rsid w:val="00E66A68"/>
    <w:rsid w:val="00E66F50"/>
    <w:rsid w:val="00E70F2C"/>
    <w:rsid w:val="00E7372C"/>
    <w:rsid w:val="00E74D29"/>
    <w:rsid w:val="00E754A9"/>
    <w:rsid w:val="00E806FF"/>
    <w:rsid w:val="00E83C74"/>
    <w:rsid w:val="00E83CEE"/>
    <w:rsid w:val="00E8533E"/>
    <w:rsid w:val="00E91F18"/>
    <w:rsid w:val="00E9226D"/>
    <w:rsid w:val="00E92A72"/>
    <w:rsid w:val="00E958CA"/>
    <w:rsid w:val="00E96424"/>
    <w:rsid w:val="00EA0108"/>
    <w:rsid w:val="00EA2A91"/>
    <w:rsid w:val="00EA416C"/>
    <w:rsid w:val="00EA5941"/>
    <w:rsid w:val="00EB01AA"/>
    <w:rsid w:val="00EB60CE"/>
    <w:rsid w:val="00EB7D53"/>
    <w:rsid w:val="00EC29E2"/>
    <w:rsid w:val="00EC596B"/>
    <w:rsid w:val="00ED2A43"/>
    <w:rsid w:val="00ED3F75"/>
    <w:rsid w:val="00EE13C5"/>
    <w:rsid w:val="00EE3146"/>
    <w:rsid w:val="00EE6727"/>
    <w:rsid w:val="00EF50BB"/>
    <w:rsid w:val="00EF71E4"/>
    <w:rsid w:val="00F00192"/>
    <w:rsid w:val="00F01DF6"/>
    <w:rsid w:val="00F027B8"/>
    <w:rsid w:val="00F0340D"/>
    <w:rsid w:val="00F035F2"/>
    <w:rsid w:val="00F059A6"/>
    <w:rsid w:val="00F23756"/>
    <w:rsid w:val="00F23F57"/>
    <w:rsid w:val="00F2464C"/>
    <w:rsid w:val="00F2523A"/>
    <w:rsid w:val="00F25FFA"/>
    <w:rsid w:val="00F27AC8"/>
    <w:rsid w:val="00F310D2"/>
    <w:rsid w:val="00F31BAF"/>
    <w:rsid w:val="00F331A4"/>
    <w:rsid w:val="00F35456"/>
    <w:rsid w:val="00F36F3D"/>
    <w:rsid w:val="00F37C48"/>
    <w:rsid w:val="00F477BD"/>
    <w:rsid w:val="00F50333"/>
    <w:rsid w:val="00F52081"/>
    <w:rsid w:val="00F53491"/>
    <w:rsid w:val="00F5401B"/>
    <w:rsid w:val="00F54656"/>
    <w:rsid w:val="00F55386"/>
    <w:rsid w:val="00F56411"/>
    <w:rsid w:val="00F60181"/>
    <w:rsid w:val="00F61048"/>
    <w:rsid w:val="00F633CC"/>
    <w:rsid w:val="00F65A1C"/>
    <w:rsid w:val="00F66F50"/>
    <w:rsid w:val="00F72E16"/>
    <w:rsid w:val="00F77432"/>
    <w:rsid w:val="00F81162"/>
    <w:rsid w:val="00F82FF8"/>
    <w:rsid w:val="00F8330D"/>
    <w:rsid w:val="00F84305"/>
    <w:rsid w:val="00F8485C"/>
    <w:rsid w:val="00F87149"/>
    <w:rsid w:val="00F87E39"/>
    <w:rsid w:val="00F87FFE"/>
    <w:rsid w:val="00F954C9"/>
    <w:rsid w:val="00FA4CF0"/>
    <w:rsid w:val="00FA61AA"/>
    <w:rsid w:val="00FA69A4"/>
    <w:rsid w:val="00FA7DD7"/>
    <w:rsid w:val="00FB0A9B"/>
    <w:rsid w:val="00FB1279"/>
    <w:rsid w:val="00FB1495"/>
    <w:rsid w:val="00FC20F8"/>
    <w:rsid w:val="00FD1694"/>
    <w:rsid w:val="00FD7636"/>
    <w:rsid w:val="00FE31E6"/>
    <w:rsid w:val="00FE3229"/>
    <w:rsid w:val="00FE74C3"/>
    <w:rsid w:val="00FF215C"/>
    <w:rsid w:val="00FF49E8"/>
    <w:rsid w:val="00FF672F"/>
    <w:rsid w:val="00FF6DCE"/>
    <w:rsid w:val="00FF6F3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A03784"/>
    <w:rPr>
      <w:color w:val="800080" w:themeColor="followedHyperlink"/>
      <w:u w:val="single"/>
    </w:rPr>
  </w:style>
  <w:style w:type="character" w:styleId="CommentReference">
    <w:name w:val="annotation reference"/>
    <w:basedOn w:val="DefaultParagraphFont"/>
    <w:uiPriority w:val="99"/>
    <w:semiHidden/>
    <w:unhideWhenUsed/>
    <w:rsid w:val="00206B92"/>
    <w:rPr>
      <w:sz w:val="16"/>
      <w:szCs w:val="16"/>
    </w:rPr>
  </w:style>
  <w:style w:type="paragraph" w:styleId="CommentText">
    <w:name w:val="annotation text"/>
    <w:basedOn w:val="Normal"/>
    <w:link w:val="CommentTextChar"/>
    <w:uiPriority w:val="99"/>
    <w:semiHidden/>
    <w:unhideWhenUsed/>
    <w:rsid w:val="00206B92"/>
    <w:rPr>
      <w:sz w:val="20"/>
      <w:szCs w:val="20"/>
    </w:rPr>
  </w:style>
  <w:style w:type="character" w:customStyle="1" w:styleId="CommentTextChar">
    <w:name w:val="Comment Text Char"/>
    <w:basedOn w:val="DefaultParagraphFont"/>
    <w:link w:val="CommentText"/>
    <w:uiPriority w:val="99"/>
    <w:semiHidden/>
    <w:rsid w:val="00206B9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06B92"/>
    <w:rPr>
      <w:b/>
      <w:bCs/>
    </w:rPr>
  </w:style>
  <w:style w:type="character" w:customStyle="1" w:styleId="CommentSubjectChar">
    <w:name w:val="Comment Subject Char"/>
    <w:basedOn w:val="CommentTextChar"/>
    <w:link w:val="CommentSubject"/>
    <w:uiPriority w:val="99"/>
    <w:semiHidden/>
    <w:rsid w:val="00206B92"/>
    <w:rPr>
      <w:b/>
      <w:bC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600912102">
      <w:bodyDiv w:val="1"/>
      <w:marLeft w:val="0"/>
      <w:marRight w:val="0"/>
      <w:marTop w:val="0"/>
      <w:marBottom w:val="0"/>
      <w:divBdr>
        <w:top w:val="none" w:sz="0" w:space="0" w:color="auto"/>
        <w:left w:val="none" w:sz="0" w:space="0" w:color="auto"/>
        <w:bottom w:val="none" w:sz="0" w:space="0" w:color="auto"/>
        <w:right w:val="none" w:sz="0" w:space="0" w:color="auto"/>
      </w:divBdr>
    </w:div>
    <w:div w:id="694844993">
      <w:bodyDiv w:val="1"/>
      <w:marLeft w:val="0"/>
      <w:marRight w:val="0"/>
      <w:marTop w:val="0"/>
      <w:marBottom w:val="0"/>
      <w:divBdr>
        <w:top w:val="none" w:sz="0" w:space="0" w:color="auto"/>
        <w:left w:val="none" w:sz="0" w:space="0" w:color="auto"/>
        <w:bottom w:val="none" w:sz="0" w:space="0" w:color="auto"/>
        <w:right w:val="none" w:sz="0" w:space="0" w:color="auto"/>
      </w:divBdr>
    </w:div>
    <w:div w:id="883102565">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68547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nvironment.gov.au/coal-seam-gas-mining/project-advice/pubs/iesc-information-guidelin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95566-6E4A-4AD6-B17C-40BEC9319150}">
  <ds:schemaRefs>
    <ds:schemaRef ds:uri="http://schemas.openxmlformats.org/officeDocument/2006/bibliography"/>
  </ds:schemaRefs>
</ds:datastoreItem>
</file>

<file path=customXml/itemProps2.xml><?xml version="1.0" encoding="utf-8"?>
<ds:datastoreItem xmlns:ds="http://schemas.openxmlformats.org/officeDocument/2006/customXml" ds:itemID="{11D2F5A0-5793-410B-81DE-4F13184C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2013-038: Bulga Optimisation Project – Expansion</dc:title>
  <dc:creator/>
  <cp:lastModifiedBy/>
  <cp:revision>1</cp:revision>
  <dcterms:created xsi:type="dcterms:W3CDTF">2014-02-06T06:16:00Z</dcterms:created>
  <dcterms:modified xsi:type="dcterms:W3CDTF">2014-06-05T23:43:00Z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-1983661962</vt:i4>
  </property>
</Properties>
</file>