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0A" w:rsidRDefault="00DF68B0"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-883285</wp:posOffset>
            </wp:positionV>
            <wp:extent cx="7572375" cy="235712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72375" cy="2357120"/>
                    </a:xfrm>
                    <a:prstGeom prst="rect">
                      <a:avLst/>
                    </a:prstGeom>
                    <a:noFill/>
                  </pic:spPr>
                </pic:pic>
              </a:graphicData>
            </a:graphic>
          </wp:anchor>
        </w:drawing>
      </w:r>
      <w:proofErr w:type="spellStart"/>
      <w:r w:rsidR="00CF260A" w:rsidRPr="002A5EC3">
        <w:rPr>
          <w:rFonts w:ascii="Arial" w:hAnsi="Arial" w:cs="Arial"/>
          <w:b/>
        </w:rPr>
        <w:t>Advi</w:t>
      </w:r>
      <w:proofErr w:type="spellEnd"/>
    </w:p>
    <w:p w:rsidR="00CF260A" w:rsidRDefault="00CF260A" w:rsidP="0032087E">
      <w:pPr>
        <w:pStyle w:val="Header"/>
        <w:keepLines/>
        <w:tabs>
          <w:tab w:val="left" w:pos="2835"/>
        </w:tabs>
        <w:spacing w:after="200" w:line="276" w:lineRule="auto"/>
        <w:ind w:left="-360" w:right="-289"/>
        <w:jc w:val="center"/>
        <w:rPr>
          <w:rFonts w:ascii="Arial" w:hAnsi="Arial" w:cs="Arial"/>
          <w:b/>
        </w:rPr>
      </w:pPr>
    </w:p>
    <w:p w:rsidR="00CF260A" w:rsidRDefault="00CF260A" w:rsidP="0032087E">
      <w:pPr>
        <w:pStyle w:val="Header"/>
        <w:keepLines/>
        <w:tabs>
          <w:tab w:val="left" w:pos="2835"/>
        </w:tabs>
        <w:spacing w:after="200" w:line="276" w:lineRule="auto"/>
        <w:ind w:left="-360" w:right="-289"/>
        <w:jc w:val="center"/>
        <w:rPr>
          <w:rFonts w:ascii="Arial" w:hAnsi="Arial" w:cs="Arial"/>
          <w:b/>
        </w:rPr>
      </w:pPr>
    </w:p>
    <w:p w:rsidR="00CF260A" w:rsidRDefault="00CF260A" w:rsidP="0032087E">
      <w:pPr>
        <w:pStyle w:val="Header"/>
        <w:keepLines/>
        <w:tabs>
          <w:tab w:val="left" w:pos="2835"/>
        </w:tabs>
        <w:spacing w:after="200" w:line="276" w:lineRule="auto"/>
        <w:ind w:left="-360" w:right="-289"/>
        <w:jc w:val="center"/>
        <w:rPr>
          <w:rFonts w:ascii="Arial" w:hAnsi="Arial" w:cs="Arial"/>
          <w:b/>
        </w:rPr>
      </w:pPr>
    </w:p>
    <w:p w:rsidR="00CF260A" w:rsidRDefault="00CF260A" w:rsidP="0032087E">
      <w:pPr>
        <w:pStyle w:val="Header"/>
        <w:keepLines/>
        <w:tabs>
          <w:tab w:val="left" w:pos="2835"/>
        </w:tabs>
        <w:spacing w:after="200" w:line="276" w:lineRule="auto"/>
        <w:ind w:left="-360" w:right="-289"/>
        <w:jc w:val="center"/>
        <w:rPr>
          <w:rFonts w:ascii="Arial" w:hAnsi="Arial" w:cs="Arial"/>
          <w:b/>
        </w:rPr>
      </w:pPr>
    </w:p>
    <w:p w:rsidR="00CF260A" w:rsidRPr="002A5EC3" w:rsidRDefault="00CF260A"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Pr="002A5EC3">
        <w:rPr>
          <w:rFonts w:ascii="Arial" w:hAnsi="Arial" w:cs="Arial"/>
          <w:b/>
        </w:rPr>
        <w:t xml:space="preserve">ce to decision maker on </w:t>
      </w:r>
      <w:r>
        <w:rPr>
          <w:rFonts w:ascii="Arial" w:hAnsi="Arial" w:cs="Arial"/>
          <w:b/>
        </w:rPr>
        <w:t>coal seam gas development</w:t>
      </w:r>
    </w:p>
    <w:bookmarkEnd w:id="0"/>
    <w:bookmarkEnd w:id="1"/>
    <w:p w:rsidR="00CF260A" w:rsidRPr="000241D4" w:rsidRDefault="00CF260A" w:rsidP="000241D4">
      <w:pPr>
        <w:pStyle w:val="Header"/>
        <w:keepLines/>
        <w:tabs>
          <w:tab w:val="left" w:pos="2835"/>
        </w:tabs>
        <w:spacing w:after="200" w:line="276" w:lineRule="auto"/>
        <w:ind w:left="-360" w:right="-289"/>
        <w:jc w:val="center"/>
        <w:rPr>
          <w:rFonts w:ascii="Arial" w:hAnsi="Arial" w:cs="Arial"/>
          <w:b/>
          <w:sz w:val="20"/>
          <w:lang w:eastAsia="en-AU"/>
        </w:rPr>
      </w:pPr>
      <w:r w:rsidRPr="000241D4">
        <w:rPr>
          <w:rFonts w:ascii="Arial" w:hAnsi="Arial" w:cs="Arial"/>
          <w:b/>
          <w:sz w:val="20"/>
          <w:lang w:eastAsia="en-AU"/>
        </w:rPr>
        <w:t xml:space="preserve">Proposed action: </w:t>
      </w:r>
      <w:r w:rsidRPr="000241D4">
        <w:rPr>
          <w:rFonts w:ascii="Arial Bold" w:hAnsi="Arial Bold" w:cs="Arial"/>
          <w:b/>
          <w:sz w:val="20"/>
          <w:lang w:eastAsia="en-AU"/>
        </w:rPr>
        <w:t>Bowen Gas Project</w:t>
      </w:r>
      <w:r w:rsidR="00833E8F">
        <w:rPr>
          <w:rFonts w:ascii="Arial Bold" w:hAnsi="Arial Bold" w:cs="Arial"/>
          <w:b/>
          <w:sz w:val="20"/>
          <w:lang w:eastAsia="en-AU"/>
        </w:rPr>
        <w:t xml:space="preserve">, </w:t>
      </w:r>
      <w:r w:rsidRPr="000241D4">
        <w:rPr>
          <w:rFonts w:ascii="Arial Bold" w:hAnsi="Arial Bold" w:cs="Arial"/>
          <w:b/>
          <w:sz w:val="20"/>
          <w:lang w:eastAsia="en-AU"/>
        </w:rPr>
        <w:t>Arrow Energy Pty Ltd</w:t>
      </w:r>
      <w:r w:rsidR="00DF68B0">
        <w:rPr>
          <w:rFonts w:ascii="Arial Bold" w:hAnsi="Arial Bold" w:cs="Arial"/>
          <w:b/>
          <w:sz w:val="20"/>
          <w:lang w:eastAsia="en-AU"/>
        </w:rPr>
        <w:t xml:space="preserve"> </w:t>
      </w:r>
      <w:r w:rsidRPr="000241D4">
        <w:rPr>
          <w:rFonts w:ascii="Arial" w:hAnsi="Arial" w:cs="Arial"/>
          <w:b/>
          <w:sz w:val="20"/>
          <w:lang w:eastAsia="en-AU"/>
        </w:rPr>
        <w:t>– New Development</w:t>
      </w:r>
    </w:p>
    <w:tbl>
      <w:tblPr>
        <w:tblW w:w="9968" w:type="dxa"/>
        <w:tblBorders>
          <w:top w:val="single" w:sz="4" w:space="0" w:color="auto"/>
          <w:bottom w:val="single" w:sz="4" w:space="0" w:color="auto"/>
          <w:insideH w:val="single" w:sz="4" w:space="0" w:color="auto"/>
        </w:tblBorders>
        <w:tblCellMar>
          <w:top w:w="113" w:type="dxa"/>
          <w:bottom w:w="113" w:type="dxa"/>
        </w:tblCellMar>
        <w:tblLook w:val="01E0"/>
      </w:tblPr>
      <w:tblGrid>
        <w:gridCol w:w="1809"/>
        <w:gridCol w:w="8159"/>
      </w:tblGrid>
      <w:tr w:rsidR="00CF260A" w:rsidRPr="002A5EC3" w:rsidTr="00833E8F">
        <w:trPr>
          <w:trHeight w:val="148"/>
        </w:trPr>
        <w:tc>
          <w:tcPr>
            <w:tcW w:w="1809" w:type="dxa"/>
          </w:tcPr>
          <w:p w:rsidR="00CF260A" w:rsidRPr="002A5EC3" w:rsidRDefault="00CF260A" w:rsidP="00062A46">
            <w:pPr>
              <w:pStyle w:val="tablelabel"/>
              <w:spacing w:line="276" w:lineRule="auto"/>
              <w:rPr>
                <w:rFonts w:cs="Arial"/>
                <w:b w:val="0"/>
                <w:color w:val="FF0000"/>
                <w:sz w:val="20"/>
              </w:rPr>
            </w:pPr>
            <w:r w:rsidRPr="002A5EC3">
              <w:rPr>
                <w:rFonts w:cs="Arial"/>
                <w:sz w:val="20"/>
              </w:rPr>
              <w:t>Requesting agency</w:t>
            </w:r>
          </w:p>
        </w:tc>
        <w:tc>
          <w:tcPr>
            <w:tcW w:w="8159" w:type="dxa"/>
          </w:tcPr>
          <w:p w:rsidR="00CF260A" w:rsidRPr="002A5EC3" w:rsidRDefault="00CF260A" w:rsidP="000241D4">
            <w:pPr>
              <w:spacing w:line="276" w:lineRule="auto"/>
              <w:rPr>
                <w:rFonts w:ascii="Arial" w:hAnsi="Arial" w:cs="Arial"/>
                <w:sz w:val="20"/>
                <w:szCs w:val="20"/>
              </w:rPr>
            </w:pPr>
            <w:r w:rsidRPr="00D97037">
              <w:rPr>
                <w:rFonts w:ascii="Arial" w:hAnsi="Arial" w:cs="Arial"/>
                <w:sz w:val="20"/>
                <w:szCs w:val="20"/>
              </w:rPr>
              <w:t xml:space="preserve">The </w:t>
            </w:r>
            <w:r>
              <w:rPr>
                <w:rFonts w:ascii="Arial" w:hAnsi="Arial" w:cs="Arial"/>
                <w:sz w:val="20"/>
                <w:szCs w:val="20"/>
              </w:rPr>
              <w:t xml:space="preserve">Queensland Department of Environment and Heritage Protection </w:t>
            </w:r>
          </w:p>
        </w:tc>
      </w:tr>
      <w:tr w:rsidR="00CF260A" w:rsidRPr="002A5EC3" w:rsidTr="005A0077">
        <w:trPr>
          <w:trHeight w:val="136"/>
        </w:trPr>
        <w:tc>
          <w:tcPr>
            <w:tcW w:w="1809" w:type="dxa"/>
          </w:tcPr>
          <w:p w:rsidR="00CF260A" w:rsidRPr="002A5EC3" w:rsidRDefault="00CF260A" w:rsidP="00062A46">
            <w:pPr>
              <w:pStyle w:val="tablelabel"/>
              <w:spacing w:line="276" w:lineRule="auto"/>
              <w:rPr>
                <w:rFonts w:cs="Arial"/>
                <w:sz w:val="20"/>
              </w:rPr>
            </w:pPr>
            <w:r w:rsidRPr="002A5EC3">
              <w:rPr>
                <w:rFonts w:cs="Arial"/>
                <w:sz w:val="20"/>
              </w:rPr>
              <w:t>Date of request</w:t>
            </w:r>
          </w:p>
        </w:tc>
        <w:tc>
          <w:tcPr>
            <w:tcW w:w="8159" w:type="dxa"/>
          </w:tcPr>
          <w:p w:rsidR="00CF260A" w:rsidRPr="002A5EC3" w:rsidRDefault="00CF260A" w:rsidP="000241D4">
            <w:pPr>
              <w:spacing w:line="276" w:lineRule="auto"/>
              <w:rPr>
                <w:rFonts w:ascii="Arial" w:hAnsi="Arial" w:cs="Arial"/>
                <w:sz w:val="20"/>
                <w:szCs w:val="20"/>
              </w:rPr>
            </w:pPr>
            <w:r>
              <w:rPr>
                <w:rFonts w:ascii="Arial" w:hAnsi="Arial" w:cs="Arial"/>
                <w:sz w:val="20"/>
                <w:szCs w:val="20"/>
              </w:rPr>
              <w:t xml:space="preserve">12 April </w:t>
            </w:r>
            <w:r w:rsidRPr="002A5EC3">
              <w:rPr>
                <w:rFonts w:ascii="Arial" w:hAnsi="Arial" w:cs="Arial"/>
                <w:sz w:val="20"/>
                <w:szCs w:val="20"/>
              </w:rPr>
              <w:t>201</w:t>
            </w:r>
            <w:r>
              <w:rPr>
                <w:rFonts w:ascii="Arial" w:hAnsi="Arial" w:cs="Arial"/>
                <w:sz w:val="20"/>
                <w:szCs w:val="20"/>
              </w:rPr>
              <w:t>3</w:t>
            </w:r>
            <w:r w:rsidRPr="002A5EC3">
              <w:rPr>
                <w:rFonts w:ascii="Arial" w:hAnsi="Arial" w:cs="Arial"/>
                <w:b/>
                <w:color w:val="FF0000"/>
                <w:sz w:val="20"/>
                <w:szCs w:val="20"/>
              </w:rPr>
              <w:t xml:space="preserve"> </w:t>
            </w:r>
            <w:r>
              <w:rPr>
                <w:rFonts w:ascii="Arial" w:hAnsi="Arial" w:cs="Arial"/>
                <w:color w:val="FF0000"/>
                <w:sz w:val="20"/>
                <w:szCs w:val="20"/>
              </w:rPr>
              <w:t xml:space="preserve"> </w:t>
            </w:r>
          </w:p>
        </w:tc>
      </w:tr>
      <w:tr w:rsidR="00CF260A" w:rsidRPr="002A5EC3" w:rsidTr="005A0077">
        <w:trPr>
          <w:trHeight w:val="19"/>
        </w:trPr>
        <w:tc>
          <w:tcPr>
            <w:tcW w:w="1809" w:type="dxa"/>
          </w:tcPr>
          <w:p w:rsidR="00CF260A" w:rsidRPr="002A5EC3" w:rsidRDefault="00CF260A" w:rsidP="00062A46">
            <w:pPr>
              <w:pStyle w:val="tablelabel"/>
              <w:spacing w:line="276" w:lineRule="auto"/>
              <w:rPr>
                <w:rFonts w:cs="Arial"/>
                <w:sz w:val="20"/>
              </w:rPr>
            </w:pPr>
            <w:r w:rsidRPr="002A5EC3">
              <w:rPr>
                <w:rFonts w:cs="Arial"/>
                <w:sz w:val="20"/>
              </w:rPr>
              <w:t>Date request accepted</w:t>
            </w:r>
          </w:p>
        </w:tc>
        <w:tc>
          <w:tcPr>
            <w:tcW w:w="8159" w:type="dxa"/>
          </w:tcPr>
          <w:p w:rsidR="00CF260A" w:rsidRPr="002A5EC3" w:rsidRDefault="00CF260A" w:rsidP="002070B4">
            <w:pPr>
              <w:spacing w:line="276" w:lineRule="auto"/>
              <w:rPr>
                <w:rFonts w:ascii="Arial" w:hAnsi="Arial" w:cs="Arial"/>
                <w:color w:val="FF0000"/>
                <w:sz w:val="20"/>
                <w:szCs w:val="20"/>
              </w:rPr>
            </w:pPr>
            <w:r w:rsidRPr="002070B4">
              <w:rPr>
                <w:rFonts w:ascii="Arial" w:hAnsi="Arial" w:cs="Arial"/>
                <w:sz w:val="20"/>
                <w:szCs w:val="20"/>
              </w:rPr>
              <w:t>12 April 2013</w:t>
            </w:r>
            <w:r w:rsidRPr="002070B4">
              <w:rPr>
                <w:rFonts w:ascii="Arial" w:hAnsi="Arial" w:cs="Arial"/>
                <w:b/>
                <w:sz w:val="20"/>
                <w:szCs w:val="20"/>
              </w:rPr>
              <w:t xml:space="preserve"> </w:t>
            </w:r>
          </w:p>
        </w:tc>
      </w:tr>
      <w:tr w:rsidR="00CF260A" w:rsidRPr="002A5EC3" w:rsidTr="005A0077">
        <w:trPr>
          <w:trHeight w:val="19"/>
        </w:trPr>
        <w:tc>
          <w:tcPr>
            <w:tcW w:w="1809" w:type="dxa"/>
            <w:vAlign w:val="center"/>
          </w:tcPr>
          <w:p w:rsidR="00CF260A" w:rsidRPr="00B451D3" w:rsidRDefault="00CF260A" w:rsidP="006903B7">
            <w:pPr>
              <w:pStyle w:val="tablelabel"/>
              <w:rPr>
                <w:rFonts w:cs="Arial"/>
                <w:b w:val="0"/>
                <w:color w:val="FF0000"/>
                <w:sz w:val="20"/>
              </w:rPr>
            </w:pPr>
            <w:r>
              <w:rPr>
                <w:rFonts w:cs="Arial"/>
                <w:sz w:val="20"/>
              </w:rPr>
              <w:t xml:space="preserve">Advice stage </w:t>
            </w:r>
          </w:p>
        </w:tc>
        <w:tc>
          <w:tcPr>
            <w:tcW w:w="8159" w:type="dxa"/>
            <w:vAlign w:val="center"/>
          </w:tcPr>
          <w:p w:rsidR="00CF260A" w:rsidRPr="002070B4" w:rsidRDefault="00CF260A" w:rsidP="006903B7">
            <w:pPr>
              <w:autoSpaceDE w:val="0"/>
              <w:autoSpaceDN w:val="0"/>
              <w:adjustRightInd w:val="0"/>
              <w:rPr>
                <w:rFonts w:ascii="Arial" w:hAnsi="Arial" w:cs="Arial"/>
                <w:sz w:val="20"/>
                <w:lang w:eastAsia="en-AU"/>
              </w:rPr>
            </w:pPr>
            <w:r>
              <w:rPr>
                <w:rFonts w:ascii="Arial" w:hAnsi="Arial" w:cs="Arial"/>
                <w:sz w:val="20"/>
                <w:lang w:eastAsia="en-AU"/>
              </w:rPr>
              <w:t>Environment Impact Assessment (draft)</w:t>
            </w:r>
          </w:p>
        </w:tc>
      </w:tr>
      <w:tr w:rsidR="00CF260A" w:rsidRPr="002A5EC3" w:rsidTr="005A0077">
        <w:trPr>
          <w:trHeight w:val="2588"/>
        </w:trPr>
        <w:tc>
          <w:tcPr>
            <w:tcW w:w="1809" w:type="dxa"/>
          </w:tcPr>
          <w:p w:rsidR="00CF260A" w:rsidRPr="002A5EC3" w:rsidRDefault="00CF260A" w:rsidP="00062A46">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159" w:type="dxa"/>
          </w:tcPr>
          <w:p w:rsidR="00CF260A" w:rsidRDefault="00CF260A" w:rsidP="00875B2B">
            <w:pPr>
              <w:tabs>
                <w:tab w:val="left" w:pos="425"/>
              </w:tabs>
              <w:spacing w:after="200" w:line="276" w:lineRule="auto"/>
              <w:rPr>
                <w:rFonts w:ascii="Arial" w:hAnsi="Arial" w:cs="Arial"/>
                <w:b/>
                <w:color w:val="FF0000"/>
                <w:sz w:val="20"/>
                <w:szCs w:val="20"/>
              </w:rPr>
            </w:pPr>
            <w:r w:rsidRPr="005A703F">
              <w:rPr>
                <w:rFonts w:ascii="Arial" w:hAnsi="Arial" w:cs="Arial"/>
                <w:sz w:val="20"/>
                <w:szCs w:val="20"/>
              </w:rPr>
              <w:t xml:space="preserve">The </w:t>
            </w:r>
            <w:r>
              <w:rPr>
                <w:rFonts w:ascii="Arial" w:hAnsi="Arial" w:cs="Arial"/>
                <w:sz w:val="20"/>
                <w:szCs w:val="20"/>
              </w:rPr>
              <w:t xml:space="preserve">Queensland Department of Environment and Heritage Protection (the Department) is currently assessing the proposed project in accordance with the </w:t>
            </w:r>
            <w:r w:rsidRPr="00D97037">
              <w:rPr>
                <w:rFonts w:ascii="Arial" w:hAnsi="Arial" w:cs="Arial"/>
                <w:i/>
                <w:sz w:val="20"/>
                <w:szCs w:val="20"/>
              </w:rPr>
              <w:t>Environmental Protection Act 1994</w:t>
            </w:r>
            <w:r w:rsidRPr="00D97037">
              <w:rPr>
                <w:rFonts w:ascii="Arial" w:hAnsi="Arial" w:cs="Arial"/>
                <w:sz w:val="20"/>
                <w:szCs w:val="20"/>
              </w:rPr>
              <w:t xml:space="preserve"> (EP Act)</w:t>
            </w:r>
            <w:r>
              <w:rPr>
                <w:rFonts w:ascii="Arial" w:hAnsi="Arial" w:cs="Arial"/>
                <w:sz w:val="20"/>
                <w:szCs w:val="20"/>
              </w:rPr>
              <w:t xml:space="preserve"> and Bilateral Agreement with the Commonwealth</w:t>
            </w:r>
            <w:r w:rsidRPr="005A703F">
              <w:rPr>
                <w:rFonts w:ascii="Arial" w:hAnsi="Arial" w:cs="Arial"/>
                <w:sz w:val="20"/>
                <w:szCs w:val="20"/>
              </w:rPr>
              <w:t>.</w:t>
            </w:r>
          </w:p>
          <w:p w:rsidR="00CF260A" w:rsidRPr="002A5EC3" w:rsidRDefault="00CF260A" w:rsidP="00875B2B">
            <w:pPr>
              <w:pStyle w:val="Default"/>
              <w:spacing w:after="200" w:line="276" w:lineRule="auto"/>
              <w:rPr>
                <w:rFonts w:ascii="Arial" w:hAnsi="Arial" w:cs="Arial"/>
                <w:color w:val="auto"/>
                <w:sz w:val="20"/>
                <w:szCs w:val="20"/>
                <w:lang w:eastAsia="en-US"/>
              </w:rPr>
            </w:pPr>
            <w:r>
              <w:rPr>
                <w:rFonts w:ascii="Arial" w:hAnsi="Arial" w:cs="Arial"/>
                <w:color w:val="auto"/>
                <w:sz w:val="20"/>
                <w:szCs w:val="20"/>
                <w:lang w:eastAsia="en-US"/>
              </w:rPr>
              <w:t>The D</w:t>
            </w:r>
            <w:r w:rsidRPr="002A5EC3">
              <w:rPr>
                <w:rFonts w:ascii="Arial" w:hAnsi="Arial" w:cs="Arial"/>
                <w:color w:val="auto"/>
                <w:sz w:val="20"/>
                <w:szCs w:val="20"/>
                <w:lang w:eastAsia="en-US"/>
              </w:rPr>
              <w:t xml:space="preserve">epartment </w:t>
            </w:r>
            <w:r>
              <w:rPr>
                <w:rFonts w:ascii="Arial" w:hAnsi="Arial" w:cs="Arial"/>
                <w:color w:val="auto"/>
                <w:sz w:val="20"/>
                <w:szCs w:val="20"/>
                <w:lang w:eastAsia="en-US"/>
              </w:rPr>
              <w:t xml:space="preserve">notifies </w:t>
            </w:r>
            <w:r w:rsidRPr="002A5EC3">
              <w:rPr>
                <w:rFonts w:ascii="Arial" w:hAnsi="Arial" w:cs="Arial"/>
                <w:color w:val="auto"/>
                <w:sz w:val="20"/>
                <w:szCs w:val="20"/>
                <w:lang w:eastAsia="en-US"/>
              </w:rPr>
              <w:t xml:space="preserve">the Independent Expert Scientific Committee on Coal Seam Gas and </w:t>
            </w:r>
            <w:r>
              <w:rPr>
                <w:rFonts w:ascii="Arial" w:hAnsi="Arial" w:cs="Arial"/>
                <w:color w:val="auto"/>
                <w:sz w:val="20"/>
                <w:szCs w:val="20"/>
                <w:lang w:eastAsia="en-US"/>
              </w:rPr>
              <w:t xml:space="preserve">Large </w:t>
            </w:r>
            <w:r w:rsidRPr="002A5EC3">
              <w:rPr>
                <w:rFonts w:ascii="Arial" w:hAnsi="Arial" w:cs="Arial"/>
                <w:color w:val="auto"/>
                <w:sz w:val="20"/>
                <w:szCs w:val="20"/>
                <w:lang w:eastAsia="en-US"/>
              </w:rPr>
              <w:t xml:space="preserve">Coal Mining </w:t>
            </w:r>
            <w:r>
              <w:rPr>
                <w:rFonts w:ascii="Arial" w:hAnsi="Arial" w:cs="Arial"/>
                <w:color w:val="auto"/>
                <w:sz w:val="20"/>
                <w:szCs w:val="20"/>
                <w:lang w:eastAsia="en-US"/>
              </w:rPr>
              <w:t xml:space="preserve">Development </w:t>
            </w:r>
            <w:r w:rsidRPr="002A5EC3">
              <w:rPr>
                <w:rFonts w:ascii="Arial" w:hAnsi="Arial" w:cs="Arial"/>
                <w:color w:val="auto"/>
                <w:sz w:val="20"/>
                <w:szCs w:val="20"/>
                <w:lang w:eastAsia="en-US"/>
              </w:rPr>
              <w:t xml:space="preserve">(the </w:t>
            </w:r>
            <w:r>
              <w:rPr>
                <w:rFonts w:ascii="Arial" w:hAnsi="Arial" w:cs="Arial"/>
                <w:color w:val="auto"/>
                <w:sz w:val="20"/>
                <w:szCs w:val="20"/>
                <w:lang w:eastAsia="en-US"/>
              </w:rPr>
              <w:t>C</w:t>
            </w:r>
            <w:r w:rsidRPr="002A5EC3">
              <w:rPr>
                <w:rFonts w:ascii="Arial" w:hAnsi="Arial" w:cs="Arial"/>
                <w:color w:val="auto"/>
                <w:sz w:val="20"/>
                <w:szCs w:val="20"/>
                <w:lang w:eastAsia="en-US"/>
              </w:rPr>
              <w:t xml:space="preserve">ommittee) of an opportunity to comment on </w:t>
            </w:r>
            <w:r>
              <w:rPr>
                <w:rFonts w:ascii="Arial" w:hAnsi="Arial" w:cs="Arial"/>
                <w:color w:val="auto"/>
                <w:sz w:val="20"/>
                <w:szCs w:val="20"/>
                <w:lang w:eastAsia="en-US"/>
              </w:rPr>
              <w:t>the draft Environmental Impact Statement</w:t>
            </w:r>
            <w:r w:rsidR="00F751A2">
              <w:rPr>
                <w:rFonts w:ascii="Arial" w:hAnsi="Arial" w:cs="Arial"/>
                <w:color w:val="auto"/>
                <w:sz w:val="20"/>
                <w:szCs w:val="20"/>
                <w:lang w:eastAsia="en-US"/>
              </w:rPr>
              <w:t xml:space="preserve"> (EIS)</w:t>
            </w:r>
            <w:r w:rsidRPr="002A5EC3">
              <w:rPr>
                <w:rFonts w:ascii="Arial" w:hAnsi="Arial" w:cs="Arial"/>
                <w:color w:val="auto"/>
                <w:sz w:val="20"/>
                <w:szCs w:val="20"/>
                <w:lang w:eastAsia="en-US"/>
              </w:rPr>
              <w:t xml:space="preserve">. Specifically, the </w:t>
            </w:r>
            <w:r>
              <w:rPr>
                <w:rFonts w:ascii="Arial" w:hAnsi="Arial" w:cs="Arial"/>
                <w:color w:val="auto"/>
                <w:sz w:val="20"/>
                <w:szCs w:val="20"/>
                <w:lang w:eastAsia="en-US"/>
              </w:rPr>
              <w:t>D</w:t>
            </w:r>
            <w:r w:rsidRPr="002A5EC3">
              <w:rPr>
                <w:rFonts w:ascii="Arial" w:hAnsi="Arial" w:cs="Arial"/>
                <w:color w:val="auto"/>
                <w:sz w:val="20"/>
                <w:szCs w:val="20"/>
                <w:lang w:eastAsia="en-US"/>
              </w:rPr>
              <w:t xml:space="preserve">epartment seeks the advice of the </w:t>
            </w:r>
            <w:r>
              <w:rPr>
                <w:rFonts w:ascii="Arial" w:hAnsi="Arial" w:cs="Arial"/>
                <w:color w:val="auto"/>
                <w:sz w:val="20"/>
                <w:szCs w:val="20"/>
                <w:lang w:eastAsia="en-US"/>
              </w:rPr>
              <w:t>Committee on</w:t>
            </w:r>
            <w:r w:rsidRPr="002A5EC3">
              <w:rPr>
                <w:rFonts w:ascii="Arial" w:hAnsi="Arial" w:cs="Arial"/>
                <w:color w:val="auto"/>
                <w:sz w:val="20"/>
                <w:szCs w:val="20"/>
                <w:lang w:eastAsia="en-US"/>
              </w:rPr>
              <w:t xml:space="preserve">: </w:t>
            </w:r>
          </w:p>
          <w:p w:rsidR="00CF260A" w:rsidRPr="005F7B10" w:rsidRDefault="00CF260A" w:rsidP="00875B2B">
            <w:pPr>
              <w:pStyle w:val="Default"/>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Groundwater</w:t>
            </w:r>
          </w:p>
          <w:p w:rsidR="00CF260A" w:rsidRPr="005F7B10" w:rsidRDefault="00CF260A" w:rsidP="00875B2B">
            <w:pPr>
              <w:pStyle w:val="Default"/>
              <w:numPr>
                <w:ilvl w:val="0"/>
                <w:numId w:val="25"/>
              </w:numPr>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Does the EIS sufficiently address the potential for hydraulic stimulation to enhance interconnection of groundwater aquifers and adequately address the implications of such interconnection on groundwater quality and level</w:t>
            </w:r>
            <w:r>
              <w:rPr>
                <w:rFonts w:ascii="Arial" w:hAnsi="Arial" w:cs="Arial"/>
                <w:color w:val="auto"/>
                <w:sz w:val="20"/>
                <w:szCs w:val="20"/>
                <w:lang w:eastAsia="en-US"/>
              </w:rPr>
              <w:t>?</w:t>
            </w:r>
          </w:p>
          <w:p w:rsidR="00CF260A" w:rsidRPr="005F7B10" w:rsidRDefault="00CF260A" w:rsidP="00875B2B">
            <w:pPr>
              <w:pStyle w:val="Default"/>
              <w:numPr>
                <w:ilvl w:val="0"/>
                <w:numId w:val="25"/>
              </w:numPr>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 xml:space="preserve">Does the EIS sufficiently address the potential for interconnection of aquifers and/or coal seam gas contamination in target and non-target aquifers particularly at fault lines, with or without </w:t>
            </w:r>
            <w:proofErr w:type="spellStart"/>
            <w:r w:rsidRPr="005F7B10">
              <w:rPr>
                <w:rFonts w:ascii="Arial" w:hAnsi="Arial" w:cs="Arial"/>
                <w:color w:val="auto"/>
                <w:sz w:val="20"/>
                <w:szCs w:val="20"/>
                <w:lang w:eastAsia="en-US"/>
              </w:rPr>
              <w:t>fraccing</w:t>
            </w:r>
            <w:proofErr w:type="spellEnd"/>
            <w:r>
              <w:rPr>
                <w:rFonts w:ascii="Arial" w:hAnsi="Arial" w:cs="Arial"/>
                <w:color w:val="auto"/>
                <w:sz w:val="20"/>
                <w:szCs w:val="20"/>
                <w:lang w:eastAsia="en-US"/>
              </w:rPr>
              <w:t>?</w:t>
            </w:r>
          </w:p>
          <w:p w:rsidR="00CF260A" w:rsidRPr="005F7B10" w:rsidRDefault="00CF260A" w:rsidP="00875B2B">
            <w:pPr>
              <w:pStyle w:val="Default"/>
              <w:numPr>
                <w:ilvl w:val="0"/>
                <w:numId w:val="25"/>
              </w:numPr>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Does the EIS provide sufficient details on groundwater impacts due to the project taking account of cumulative impacts incorporating coal and gas projects already operating in the location?</w:t>
            </w:r>
          </w:p>
          <w:p w:rsidR="00CF260A" w:rsidRPr="005F7B10" w:rsidRDefault="00CF260A" w:rsidP="00875B2B">
            <w:pPr>
              <w:pStyle w:val="Default"/>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Surface water</w:t>
            </w:r>
          </w:p>
          <w:p w:rsidR="00CF260A" w:rsidRPr="005F7B10" w:rsidRDefault="00CF260A" w:rsidP="00875B2B">
            <w:pPr>
              <w:pStyle w:val="Default"/>
              <w:numPr>
                <w:ilvl w:val="0"/>
                <w:numId w:val="25"/>
              </w:numPr>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Are management of impacts on waterways and water quality sufficiently addressed in the EIS?</w:t>
            </w:r>
          </w:p>
          <w:p w:rsidR="00CF260A" w:rsidRDefault="00CF260A" w:rsidP="00875B2B">
            <w:pPr>
              <w:pStyle w:val="Default"/>
              <w:numPr>
                <w:ilvl w:val="0"/>
                <w:numId w:val="25"/>
              </w:numPr>
              <w:spacing w:after="200" w:line="276" w:lineRule="auto"/>
              <w:rPr>
                <w:rFonts w:ascii="Arial" w:hAnsi="Arial" w:cs="Arial"/>
                <w:color w:val="auto"/>
                <w:sz w:val="20"/>
                <w:szCs w:val="20"/>
                <w:lang w:eastAsia="en-US"/>
              </w:rPr>
            </w:pPr>
            <w:r w:rsidRPr="005F7B10">
              <w:rPr>
                <w:rFonts w:ascii="Arial" w:hAnsi="Arial" w:cs="Arial"/>
                <w:color w:val="auto"/>
                <w:sz w:val="20"/>
                <w:szCs w:val="20"/>
                <w:lang w:eastAsia="en-US"/>
              </w:rPr>
              <w:t>Does the EIS sufficiently address the management of saline groundwater extracted from the gas wells?</w:t>
            </w:r>
          </w:p>
          <w:p w:rsidR="00D16ACA" w:rsidRPr="005F7B10" w:rsidRDefault="00D16ACA" w:rsidP="00D16ACA">
            <w:pPr>
              <w:pStyle w:val="Default"/>
              <w:spacing w:after="200" w:line="276" w:lineRule="auto"/>
              <w:ind w:left="720"/>
              <w:rPr>
                <w:rFonts w:ascii="Arial" w:hAnsi="Arial" w:cs="Arial"/>
                <w:color w:val="auto"/>
                <w:sz w:val="20"/>
                <w:szCs w:val="20"/>
                <w:lang w:eastAsia="en-US"/>
              </w:rPr>
            </w:pPr>
          </w:p>
        </w:tc>
      </w:tr>
      <w:tr w:rsidR="00CF260A" w:rsidRPr="00B451D3" w:rsidTr="005A0077">
        <w:trPr>
          <w:trHeight w:val="452"/>
        </w:trPr>
        <w:tc>
          <w:tcPr>
            <w:tcW w:w="9968" w:type="dxa"/>
            <w:gridSpan w:val="2"/>
          </w:tcPr>
          <w:p w:rsidR="00CF260A" w:rsidRDefault="00CF260A" w:rsidP="009B560C">
            <w:pPr>
              <w:pStyle w:val="tablelabel"/>
              <w:spacing w:after="200" w:line="276" w:lineRule="auto"/>
              <w:rPr>
                <w:rFonts w:cs="Arial"/>
                <w:sz w:val="20"/>
              </w:rPr>
            </w:pPr>
            <w:r w:rsidRPr="00F37C48">
              <w:rPr>
                <w:rFonts w:cs="Arial"/>
                <w:sz w:val="20"/>
              </w:rPr>
              <w:lastRenderedPageBreak/>
              <w:t>Advice</w:t>
            </w:r>
          </w:p>
          <w:p w:rsidR="005950AE" w:rsidRPr="005950AE" w:rsidRDefault="00CF260A" w:rsidP="009B560C">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Committee was requested to provide advice </w:t>
            </w:r>
            <w:r w:rsidR="00B15654">
              <w:rPr>
                <w:rFonts w:ascii="Arial" w:hAnsi="Arial" w:cs="Arial"/>
                <w:sz w:val="20"/>
                <w:szCs w:val="20"/>
              </w:rPr>
              <w:t xml:space="preserve">to the State Regulator </w:t>
            </w:r>
            <w:r>
              <w:rPr>
                <w:rFonts w:ascii="Arial" w:hAnsi="Arial" w:cs="Arial"/>
                <w:sz w:val="20"/>
                <w:szCs w:val="20"/>
              </w:rPr>
              <w:t xml:space="preserve">on </w:t>
            </w:r>
            <w:r w:rsidR="00B15654">
              <w:rPr>
                <w:rFonts w:ascii="Arial" w:hAnsi="Arial" w:cs="Arial"/>
                <w:sz w:val="20"/>
                <w:szCs w:val="20"/>
              </w:rPr>
              <w:t xml:space="preserve">the </w:t>
            </w:r>
            <w:r>
              <w:rPr>
                <w:rFonts w:ascii="Arial" w:hAnsi="Arial" w:cs="Arial"/>
                <w:sz w:val="20"/>
                <w:szCs w:val="20"/>
              </w:rPr>
              <w:t xml:space="preserve">Bowen </w:t>
            </w:r>
            <w:r w:rsidRPr="00C57C1C">
              <w:rPr>
                <w:rFonts w:ascii="Arial" w:hAnsi="Arial" w:cs="Arial"/>
                <w:sz w:val="20"/>
                <w:szCs w:val="20"/>
              </w:rPr>
              <w:t>Gas project – Arrow Energy Pty Ltd in Queensland at the draft Environmental Impact Statement stage.</w:t>
            </w:r>
            <w:r w:rsidR="005950AE" w:rsidRPr="005950AE">
              <w:rPr>
                <w:rFonts w:ascii="Arial" w:hAnsi="Arial" w:cs="Arial"/>
                <w:sz w:val="20"/>
                <w:szCs w:val="20"/>
              </w:rPr>
              <w:t xml:space="preserve"> This advice draws upon aspects of information in the draft Environmental Impact Statement, together with the expert deliberations of the Committee. The relevant chapters of the d</w:t>
            </w:r>
            <w:r w:rsidR="0072406C">
              <w:rPr>
                <w:rFonts w:ascii="Arial" w:hAnsi="Arial" w:cs="Arial"/>
                <w:sz w:val="20"/>
                <w:szCs w:val="20"/>
              </w:rPr>
              <w:t xml:space="preserve">raft </w:t>
            </w:r>
            <w:r w:rsidR="005950AE" w:rsidRPr="005950AE">
              <w:rPr>
                <w:rFonts w:ascii="Arial" w:hAnsi="Arial" w:cs="Arial"/>
                <w:sz w:val="20"/>
                <w:szCs w:val="20"/>
              </w:rPr>
              <w:t>E</w:t>
            </w:r>
            <w:r w:rsidR="0072406C">
              <w:rPr>
                <w:rFonts w:ascii="Arial" w:hAnsi="Arial" w:cs="Arial"/>
                <w:sz w:val="20"/>
                <w:szCs w:val="20"/>
              </w:rPr>
              <w:t xml:space="preserve">nvironmental </w:t>
            </w:r>
            <w:r w:rsidR="005950AE" w:rsidRPr="005950AE">
              <w:rPr>
                <w:rFonts w:ascii="Arial" w:hAnsi="Arial" w:cs="Arial"/>
                <w:sz w:val="20"/>
                <w:szCs w:val="20"/>
              </w:rPr>
              <w:t>I</w:t>
            </w:r>
            <w:r w:rsidR="0072406C">
              <w:rPr>
                <w:rFonts w:ascii="Arial" w:hAnsi="Arial" w:cs="Arial"/>
                <w:sz w:val="20"/>
                <w:szCs w:val="20"/>
              </w:rPr>
              <w:t xml:space="preserve">mpact </w:t>
            </w:r>
            <w:r w:rsidR="005950AE" w:rsidRPr="005950AE">
              <w:rPr>
                <w:rFonts w:ascii="Arial" w:hAnsi="Arial" w:cs="Arial"/>
                <w:sz w:val="20"/>
                <w:szCs w:val="20"/>
              </w:rPr>
              <w:t>S</w:t>
            </w:r>
            <w:r w:rsidR="0072406C">
              <w:rPr>
                <w:rFonts w:ascii="Arial" w:hAnsi="Arial" w:cs="Arial"/>
                <w:sz w:val="20"/>
                <w:szCs w:val="20"/>
              </w:rPr>
              <w:t>tatement</w:t>
            </w:r>
            <w:r w:rsidR="005950AE" w:rsidRPr="005950AE">
              <w:rPr>
                <w:rFonts w:ascii="Arial" w:hAnsi="Arial" w:cs="Arial"/>
                <w:sz w:val="20"/>
                <w:szCs w:val="20"/>
              </w:rPr>
              <w:t xml:space="preserve"> are listed in the source documentation </w:t>
            </w:r>
            <w:r w:rsidR="005950AE">
              <w:rPr>
                <w:rFonts w:ascii="Arial" w:hAnsi="Arial" w:cs="Arial"/>
                <w:sz w:val="20"/>
                <w:szCs w:val="20"/>
              </w:rPr>
              <w:t>at the end of this advice</w:t>
            </w:r>
            <w:r w:rsidR="005950AE" w:rsidRPr="005950AE">
              <w:rPr>
                <w:rFonts w:ascii="Arial" w:hAnsi="Arial" w:cs="Arial"/>
                <w:sz w:val="20"/>
                <w:szCs w:val="20"/>
              </w:rPr>
              <w:t xml:space="preserve">. </w:t>
            </w:r>
          </w:p>
          <w:p w:rsidR="00CF260A" w:rsidRDefault="00CF260A" w:rsidP="009B560C">
            <w:pPr>
              <w:autoSpaceDE w:val="0"/>
              <w:autoSpaceDN w:val="0"/>
              <w:adjustRightInd w:val="0"/>
              <w:spacing w:after="200" w:line="276" w:lineRule="auto"/>
              <w:rPr>
                <w:rFonts w:ascii="Arial" w:hAnsi="Arial" w:cs="Arial"/>
                <w:sz w:val="20"/>
                <w:szCs w:val="20"/>
              </w:rPr>
            </w:pPr>
            <w:r>
              <w:rPr>
                <w:rFonts w:ascii="Arial" w:hAnsi="Arial" w:cs="Arial"/>
                <w:sz w:val="20"/>
                <w:szCs w:val="20"/>
              </w:rPr>
              <w:t>The Bowen Gas project is a new coal seam gas field development covering an approximate area of 8000</w:t>
            </w:r>
            <w:r w:rsidR="00B15654">
              <w:rPr>
                <w:rFonts w:ascii="Arial" w:hAnsi="Arial" w:cs="Arial"/>
                <w:sz w:val="20"/>
                <w:szCs w:val="20"/>
              </w:rPr>
              <w:t>k</w:t>
            </w:r>
            <w:r>
              <w:rPr>
                <w:rFonts w:ascii="Arial" w:hAnsi="Arial" w:cs="Arial"/>
                <w:sz w:val="20"/>
                <w:szCs w:val="20"/>
              </w:rPr>
              <w:t>m</w:t>
            </w:r>
            <w:r w:rsidRPr="00B97277">
              <w:rPr>
                <w:rFonts w:ascii="Arial" w:hAnsi="Arial" w:cs="Arial"/>
                <w:sz w:val="20"/>
                <w:szCs w:val="20"/>
                <w:vertAlign w:val="superscript"/>
              </w:rPr>
              <w:t>2</w:t>
            </w:r>
            <w:r>
              <w:rPr>
                <w:rFonts w:ascii="Arial" w:hAnsi="Arial" w:cs="Arial"/>
                <w:sz w:val="20"/>
                <w:szCs w:val="20"/>
              </w:rPr>
              <w:t xml:space="preserve"> in Central Queensland. The proposed project tenements extend from Glenden in the north to Blackwater in the South. </w:t>
            </w:r>
            <w:r w:rsidR="0036089D">
              <w:rPr>
                <w:rFonts w:ascii="Arial" w:hAnsi="Arial" w:cs="Arial"/>
                <w:sz w:val="20"/>
                <w:szCs w:val="20"/>
              </w:rPr>
              <w:t xml:space="preserve"> </w:t>
            </w:r>
            <w:r>
              <w:rPr>
                <w:rFonts w:ascii="Arial" w:hAnsi="Arial" w:cs="Arial"/>
                <w:sz w:val="20"/>
                <w:szCs w:val="20"/>
              </w:rPr>
              <w:t xml:space="preserve">Arrow Energy Pty Ltd has planned for approximately 6625 production wells throughout the project area. </w:t>
            </w:r>
            <w:r w:rsidRPr="00FA5804">
              <w:rPr>
                <w:rFonts w:ascii="Arial" w:hAnsi="Arial" w:cs="Arial"/>
                <w:sz w:val="20"/>
                <w:szCs w:val="20"/>
              </w:rPr>
              <w:t xml:space="preserve">The estimated </w:t>
            </w:r>
            <w:r>
              <w:rPr>
                <w:rFonts w:ascii="Arial" w:hAnsi="Arial" w:cs="Arial"/>
                <w:sz w:val="20"/>
                <w:szCs w:val="20"/>
              </w:rPr>
              <w:t>co-produced</w:t>
            </w:r>
            <w:r w:rsidRPr="00FA5804">
              <w:rPr>
                <w:rFonts w:ascii="Arial" w:hAnsi="Arial" w:cs="Arial"/>
                <w:sz w:val="20"/>
                <w:szCs w:val="20"/>
              </w:rPr>
              <w:t xml:space="preserve"> water is approximately 264.3 billion litres</w:t>
            </w:r>
            <w:r w:rsidR="00FC12BB">
              <w:rPr>
                <w:rFonts w:ascii="Arial" w:hAnsi="Arial" w:cs="Arial"/>
                <w:sz w:val="20"/>
                <w:szCs w:val="20"/>
              </w:rPr>
              <w:t>. This is estimated to generate approximat</w:t>
            </w:r>
            <w:r w:rsidR="000E4452">
              <w:rPr>
                <w:rFonts w:ascii="Arial" w:hAnsi="Arial" w:cs="Arial"/>
                <w:sz w:val="20"/>
                <w:szCs w:val="20"/>
              </w:rPr>
              <w:t>ely 1.2 million to</w:t>
            </w:r>
            <w:r w:rsidR="00DE44FC">
              <w:rPr>
                <w:rFonts w:ascii="Arial" w:hAnsi="Arial" w:cs="Arial"/>
                <w:sz w:val="20"/>
                <w:szCs w:val="20"/>
              </w:rPr>
              <w:t>nnes of salt</w:t>
            </w:r>
            <w:r w:rsidR="00FC12BB">
              <w:rPr>
                <w:rFonts w:ascii="Arial" w:hAnsi="Arial" w:cs="Arial"/>
                <w:sz w:val="20"/>
                <w:szCs w:val="20"/>
              </w:rPr>
              <w:t xml:space="preserve"> </w:t>
            </w:r>
            <w:r w:rsidR="000E4452">
              <w:rPr>
                <w:rFonts w:ascii="Arial" w:hAnsi="Arial" w:cs="Arial"/>
                <w:sz w:val="20"/>
                <w:szCs w:val="20"/>
              </w:rPr>
              <w:t xml:space="preserve">over the 40 year </w:t>
            </w:r>
            <w:r w:rsidR="00E12361">
              <w:rPr>
                <w:rFonts w:ascii="Arial" w:hAnsi="Arial" w:cs="Arial"/>
                <w:sz w:val="20"/>
                <w:szCs w:val="20"/>
              </w:rPr>
              <w:t xml:space="preserve">life of the </w:t>
            </w:r>
            <w:r w:rsidR="000E4452">
              <w:rPr>
                <w:rFonts w:ascii="Arial" w:hAnsi="Arial" w:cs="Arial"/>
                <w:sz w:val="20"/>
                <w:szCs w:val="20"/>
              </w:rPr>
              <w:t xml:space="preserve">project. </w:t>
            </w:r>
          </w:p>
          <w:p w:rsidR="00CF260A" w:rsidRPr="007E4B61" w:rsidRDefault="00CF260A" w:rsidP="009B560C">
            <w:pPr>
              <w:autoSpaceDE w:val="0"/>
              <w:autoSpaceDN w:val="0"/>
              <w:adjustRightInd w:val="0"/>
              <w:spacing w:after="200" w:line="276" w:lineRule="auto"/>
              <w:rPr>
                <w:rFonts w:ascii="Arial" w:hAnsi="Arial" w:cs="Arial"/>
                <w:sz w:val="20"/>
                <w:szCs w:val="20"/>
              </w:rPr>
            </w:pPr>
            <w:r>
              <w:rPr>
                <w:rFonts w:ascii="Arial" w:hAnsi="Arial" w:cs="Arial"/>
                <w:sz w:val="20"/>
                <w:szCs w:val="20"/>
              </w:rPr>
              <w:t>The Committee in line with its Information Guidelines</w:t>
            </w:r>
            <w:r w:rsidR="005F62D7" w:rsidRPr="005F62D7">
              <w:rPr>
                <w:rFonts w:ascii="Arial" w:hAnsi="Arial" w:cs="Arial"/>
                <w:sz w:val="20"/>
                <w:szCs w:val="20"/>
                <w:vertAlign w:val="superscript"/>
              </w:rPr>
              <w:t>1</w:t>
            </w:r>
            <w:r>
              <w:rPr>
                <w:rFonts w:ascii="Arial" w:hAnsi="Arial" w:cs="Arial"/>
                <w:sz w:val="20"/>
                <w:szCs w:val="20"/>
              </w:rPr>
              <w:t xml:space="preserve"> has considered whether the proposed project assessment has used the following:  </w:t>
            </w:r>
          </w:p>
          <w:p w:rsidR="007D7AA1" w:rsidRDefault="00CF260A" w:rsidP="009B560C">
            <w:pPr>
              <w:pStyle w:val="ListBullet"/>
              <w:spacing w:after="200" w:line="276" w:lineRule="auto"/>
              <w:rPr>
                <w:rFonts w:ascii="Arial" w:hAnsi="Arial" w:cs="Arial"/>
                <w:i/>
                <w:sz w:val="20"/>
                <w:szCs w:val="20"/>
                <w:u w:val="single"/>
              </w:rPr>
            </w:pPr>
            <w:r w:rsidRPr="00CA3117">
              <w:rPr>
                <w:rFonts w:ascii="Arial" w:hAnsi="Arial" w:cs="Arial"/>
                <w:i/>
                <w:sz w:val="20"/>
                <w:szCs w:val="20"/>
                <w:u w:val="single"/>
              </w:rPr>
              <w:t>Relevant data and information: key conclusions</w:t>
            </w:r>
          </w:p>
          <w:p w:rsidR="00D00E32" w:rsidRDefault="00B07A18" w:rsidP="009B560C">
            <w:pPr>
              <w:pStyle w:val="ListBullet"/>
              <w:spacing w:after="200" w:line="276" w:lineRule="auto"/>
              <w:rPr>
                <w:rFonts w:ascii="Arial" w:hAnsi="Arial" w:cs="Arial"/>
                <w:sz w:val="20"/>
                <w:szCs w:val="20"/>
                <w:lang w:val="en-US"/>
              </w:rPr>
            </w:pPr>
            <w:r>
              <w:rPr>
                <w:rFonts w:ascii="Arial" w:hAnsi="Arial" w:cs="Arial"/>
                <w:sz w:val="20"/>
                <w:szCs w:val="20"/>
                <w:lang w:val="en-US"/>
              </w:rPr>
              <w:t xml:space="preserve">Whilst </w:t>
            </w:r>
            <w:r w:rsidR="00440E7D">
              <w:rPr>
                <w:rFonts w:ascii="Arial" w:hAnsi="Arial" w:cs="Arial"/>
                <w:sz w:val="20"/>
                <w:szCs w:val="20"/>
                <w:lang w:val="en-US"/>
              </w:rPr>
              <w:t>the Committee</w:t>
            </w:r>
            <w:r>
              <w:rPr>
                <w:rFonts w:ascii="Arial" w:hAnsi="Arial" w:cs="Arial"/>
                <w:sz w:val="20"/>
                <w:szCs w:val="20"/>
                <w:lang w:val="en-US"/>
              </w:rPr>
              <w:t xml:space="preserve"> </w:t>
            </w:r>
            <w:r w:rsidR="00EC1EC9">
              <w:rPr>
                <w:rFonts w:ascii="Arial" w:hAnsi="Arial" w:cs="Arial"/>
                <w:sz w:val="20"/>
                <w:szCs w:val="20"/>
                <w:lang w:val="en-US"/>
              </w:rPr>
              <w:t xml:space="preserve">appreciates </w:t>
            </w:r>
            <w:r w:rsidR="0072406C">
              <w:rPr>
                <w:rFonts w:ascii="Arial" w:hAnsi="Arial" w:cs="Arial"/>
                <w:sz w:val="20"/>
                <w:szCs w:val="20"/>
                <w:lang w:val="en-US"/>
              </w:rPr>
              <w:t>that the project’s assessment documentation</w:t>
            </w:r>
            <w:r>
              <w:rPr>
                <w:rFonts w:ascii="Arial" w:hAnsi="Arial" w:cs="Arial"/>
                <w:sz w:val="20"/>
                <w:szCs w:val="20"/>
                <w:lang w:val="en-US"/>
              </w:rPr>
              <w:t xml:space="preserve"> is at a conceptual stage,</w:t>
            </w:r>
            <w:r w:rsidR="001F7E0C">
              <w:rPr>
                <w:rFonts w:ascii="Arial" w:hAnsi="Arial" w:cs="Arial"/>
                <w:sz w:val="20"/>
                <w:szCs w:val="20"/>
                <w:lang w:val="en-US"/>
              </w:rPr>
              <w:t xml:space="preserve"> </w:t>
            </w:r>
            <w:r w:rsidR="00045C1E">
              <w:rPr>
                <w:rFonts w:ascii="Arial" w:hAnsi="Arial" w:cs="Arial"/>
                <w:sz w:val="20"/>
                <w:szCs w:val="20"/>
                <w:lang w:val="en-US"/>
              </w:rPr>
              <w:t xml:space="preserve">there is insufficient information to provide confidence </w:t>
            </w:r>
            <w:r w:rsidR="00CE5252">
              <w:rPr>
                <w:rFonts w:ascii="Arial" w:hAnsi="Arial" w:cs="Arial"/>
                <w:sz w:val="20"/>
                <w:szCs w:val="20"/>
                <w:lang w:val="en-US"/>
              </w:rPr>
              <w:t xml:space="preserve">in the assessment of the potential </w:t>
            </w:r>
            <w:r w:rsidR="00045C1E">
              <w:rPr>
                <w:rFonts w:ascii="Arial" w:hAnsi="Arial" w:cs="Arial"/>
                <w:sz w:val="20"/>
                <w:szCs w:val="20"/>
                <w:lang w:val="en-US"/>
              </w:rPr>
              <w:t>the considerable risks associated with this project.</w:t>
            </w:r>
            <w:r>
              <w:rPr>
                <w:rFonts w:ascii="Arial" w:hAnsi="Arial" w:cs="Arial"/>
                <w:sz w:val="20"/>
                <w:szCs w:val="20"/>
                <w:lang w:val="en-US"/>
              </w:rPr>
              <w:t xml:space="preserve"> </w:t>
            </w:r>
            <w:r w:rsidR="001F7E0C">
              <w:rPr>
                <w:rFonts w:ascii="Arial" w:hAnsi="Arial" w:cs="Arial"/>
                <w:sz w:val="20"/>
                <w:szCs w:val="20"/>
                <w:lang w:val="en-US"/>
              </w:rPr>
              <w:t>I</w:t>
            </w:r>
            <w:r w:rsidR="00440E7D">
              <w:rPr>
                <w:rFonts w:ascii="Arial" w:hAnsi="Arial" w:cs="Arial"/>
                <w:sz w:val="20"/>
                <w:szCs w:val="20"/>
                <w:lang w:val="en-US"/>
              </w:rPr>
              <w:t xml:space="preserve">t is </w:t>
            </w:r>
            <w:r>
              <w:rPr>
                <w:rFonts w:ascii="Arial" w:hAnsi="Arial" w:cs="Arial"/>
                <w:sz w:val="20"/>
                <w:szCs w:val="20"/>
                <w:lang w:val="en-US"/>
              </w:rPr>
              <w:t xml:space="preserve">imperative that additional </w:t>
            </w:r>
            <w:r w:rsidR="00440E7D">
              <w:rPr>
                <w:rFonts w:ascii="Arial" w:hAnsi="Arial" w:cs="Arial"/>
                <w:sz w:val="20"/>
                <w:szCs w:val="20"/>
                <w:lang w:val="en-US"/>
              </w:rPr>
              <w:t>substantiated</w:t>
            </w:r>
            <w:r>
              <w:rPr>
                <w:rFonts w:ascii="Arial" w:hAnsi="Arial" w:cs="Arial"/>
                <w:sz w:val="20"/>
                <w:szCs w:val="20"/>
                <w:lang w:val="en-US"/>
              </w:rPr>
              <w:t xml:space="preserve"> information be </w:t>
            </w:r>
            <w:r w:rsidR="00045C1E">
              <w:rPr>
                <w:rFonts w:ascii="Arial" w:hAnsi="Arial" w:cs="Arial"/>
                <w:sz w:val="20"/>
                <w:szCs w:val="20"/>
                <w:lang w:val="en-US"/>
              </w:rPr>
              <w:t xml:space="preserve">provided </w:t>
            </w:r>
            <w:r>
              <w:rPr>
                <w:rFonts w:ascii="Arial" w:hAnsi="Arial" w:cs="Arial"/>
                <w:sz w:val="20"/>
                <w:szCs w:val="20"/>
                <w:lang w:val="en-US"/>
              </w:rPr>
              <w:t>and considered a</w:t>
            </w:r>
            <w:r w:rsidR="00440E7D">
              <w:rPr>
                <w:rFonts w:ascii="Arial" w:hAnsi="Arial" w:cs="Arial"/>
                <w:sz w:val="20"/>
                <w:szCs w:val="20"/>
                <w:lang w:val="en-US"/>
              </w:rPr>
              <w:t>s part of the approval process, to enable scientific conclusions to be drawn.</w:t>
            </w:r>
          </w:p>
          <w:p w:rsidR="00CF260A" w:rsidRDefault="002641AB" w:rsidP="009B560C">
            <w:pPr>
              <w:pStyle w:val="ListBullet"/>
              <w:spacing w:after="200" w:line="276" w:lineRule="auto"/>
              <w:rPr>
                <w:rFonts w:ascii="Arial" w:hAnsi="Arial" w:cs="Arial"/>
                <w:sz w:val="20"/>
                <w:szCs w:val="20"/>
                <w:lang w:val="en-US"/>
              </w:rPr>
            </w:pPr>
            <w:r>
              <w:rPr>
                <w:rFonts w:ascii="Arial" w:hAnsi="Arial" w:cs="Arial"/>
                <w:sz w:val="20"/>
                <w:szCs w:val="20"/>
                <w:lang w:val="en-US"/>
              </w:rPr>
              <w:t>Th</w:t>
            </w:r>
            <w:r w:rsidR="0057053B">
              <w:rPr>
                <w:rFonts w:ascii="Arial" w:hAnsi="Arial" w:cs="Arial"/>
                <w:sz w:val="20"/>
                <w:szCs w:val="20"/>
                <w:lang w:val="en-US"/>
              </w:rPr>
              <w:t>e</w:t>
            </w:r>
            <w:r w:rsidR="00DE44FC">
              <w:rPr>
                <w:rFonts w:ascii="Arial" w:hAnsi="Arial" w:cs="Arial"/>
                <w:sz w:val="20"/>
                <w:szCs w:val="20"/>
                <w:lang w:val="en-US"/>
              </w:rPr>
              <w:t xml:space="preserve"> location of wells and inf</w:t>
            </w:r>
            <w:r w:rsidR="00E112D4">
              <w:rPr>
                <w:rFonts w:ascii="Arial" w:hAnsi="Arial" w:cs="Arial"/>
                <w:sz w:val="20"/>
                <w:szCs w:val="20"/>
                <w:lang w:val="en-US"/>
              </w:rPr>
              <w:t>rastructure are</w:t>
            </w:r>
            <w:r w:rsidR="00B73750">
              <w:rPr>
                <w:rFonts w:ascii="Arial" w:hAnsi="Arial" w:cs="Arial"/>
                <w:sz w:val="20"/>
                <w:szCs w:val="20"/>
                <w:lang w:val="en-US"/>
              </w:rPr>
              <w:t xml:space="preserve"> not provided and</w:t>
            </w:r>
            <w:r w:rsidR="00504898">
              <w:rPr>
                <w:rFonts w:ascii="Arial" w:hAnsi="Arial" w:cs="Arial"/>
                <w:sz w:val="20"/>
                <w:szCs w:val="20"/>
                <w:lang w:val="en-US"/>
              </w:rPr>
              <w:t xml:space="preserve"> detailed impacts at </w:t>
            </w:r>
            <w:r w:rsidR="00CF260A" w:rsidRPr="00CA3117">
              <w:rPr>
                <w:rFonts w:ascii="Arial" w:hAnsi="Arial" w:cs="Arial"/>
                <w:sz w:val="20"/>
                <w:szCs w:val="20"/>
                <w:lang w:val="en-US"/>
              </w:rPr>
              <w:t>specific location</w:t>
            </w:r>
            <w:r w:rsidR="005D4C7D">
              <w:rPr>
                <w:rFonts w:ascii="Arial" w:hAnsi="Arial" w:cs="Arial"/>
                <w:sz w:val="20"/>
                <w:szCs w:val="20"/>
                <w:lang w:val="en-US"/>
              </w:rPr>
              <w:t>s</w:t>
            </w:r>
            <w:r w:rsidR="00CF260A" w:rsidRPr="00CA3117">
              <w:rPr>
                <w:rFonts w:ascii="Arial" w:hAnsi="Arial" w:cs="Arial"/>
                <w:sz w:val="20"/>
                <w:szCs w:val="20"/>
                <w:lang w:val="en-US"/>
              </w:rPr>
              <w:t xml:space="preserve"> </w:t>
            </w:r>
            <w:r w:rsidR="00097237">
              <w:rPr>
                <w:rFonts w:ascii="Arial" w:hAnsi="Arial" w:cs="Arial"/>
                <w:sz w:val="20"/>
                <w:szCs w:val="20"/>
                <w:lang w:val="en-US"/>
              </w:rPr>
              <w:t>have not been asse</w:t>
            </w:r>
            <w:r w:rsidR="00504898">
              <w:rPr>
                <w:rFonts w:ascii="Arial" w:hAnsi="Arial" w:cs="Arial"/>
                <w:sz w:val="20"/>
                <w:szCs w:val="20"/>
                <w:lang w:val="en-US"/>
              </w:rPr>
              <w:t>ssed.</w:t>
            </w:r>
            <w:r w:rsidR="005D4C7D">
              <w:rPr>
                <w:rFonts w:ascii="Arial" w:hAnsi="Arial" w:cs="Arial"/>
                <w:sz w:val="20"/>
                <w:szCs w:val="20"/>
                <w:lang w:val="en-US"/>
              </w:rPr>
              <w:t xml:space="preserve"> The p</w:t>
            </w:r>
            <w:r w:rsidR="005D4C7D" w:rsidRPr="00CA3117">
              <w:rPr>
                <w:rFonts w:ascii="Arial" w:hAnsi="Arial" w:cs="Arial"/>
                <w:sz w:val="20"/>
                <w:szCs w:val="20"/>
                <w:lang w:val="en-US"/>
              </w:rPr>
              <w:t>otential</w:t>
            </w:r>
            <w:r w:rsidR="00CF260A" w:rsidRPr="00CA3117">
              <w:rPr>
                <w:rFonts w:ascii="Arial" w:hAnsi="Arial" w:cs="Arial"/>
                <w:sz w:val="20"/>
                <w:szCs w:val="20"/>
                <w:lang w:val="en-US"/>
              </w:rPr>
              <w:t xml:space="preserve"> impacts </w:t>
            </w:r>
            <w:r w:rsidR="005D4C7D">
              <w:rPr>
                <w:rFonts w:ascii="Arial" w:hAnsi="Arial" w:cs="Arial"/>
                <w:sz w:val="20"/>
                <w:szCs w:val="20"/>
                <w:lang w:val="en-US"/>
              </w:rPr>
              <w:t xml:space="preserve">associated with the project activities are assessed </w:t>
            </w:r>
            <w:r w:rsidR="008E2D08">
              <w:rPr>
                <w:rFonts w:ascii="Arial" w:hAnsi="Arial" w:cs="Arial"/>
                <w:sz w:val="20"/>
                <w:szCs w:val="20"/>
                <w:lang w:val="en-US"/>
              </w:rPr>
              <w:t xml:space="preserve">by the proponent </w:t>
            </w:r>
            <w:r w:rsidR="005D4C7D">
              <w:rPr>
                <w:rFonts w:ascii="Arial" w:hAnsi="Arial" w:cs="Arial"/>
                <w:sz w:val="20"/>
                <w:szCs w:val="20"/>
                <w:lang w:val="en-US"/>
              </w:rPr>
              <w:t>against a reference case</w:t>
            </w:r>
            <w:r>
              <w:rPr>
                <w:rFonts w:ascii="Arial" w:hAnsi="Arial" w:cs="Arial"/>
                <w:sz w:val="20"/>
                <w:szCs w:val="20"/>
                <w:lang w:val="en-US"/>
              </w:rPr>
              <w:t>, rather than using project specific information</w:t>
            </w:r>
            <w:r w:rsidR="005D4C7D">
              <w:rPr>
                <w:rFonts w:ascii="Arial" w:hAnsi="Arial" w:cs="Arial"/>
                <w:sz w:val="20"/>
                <w:szCs w:val="20"/>
                <w:lang w:val="en-US"/>
              </w:rPr>
              <w:t>.</w:t>
            </w:r>
            <w:r w:rsidR="004A56BA">
              <w:rPr>
                <w:rFonts w:ascii="Arial" w:hAnsi="Arial" w:cs="Arial"/>
                <w:sz w:val="20"/>
                <w:szCs w:val="20"/>
                <w:lang w:val="en-US"/>
              </w:rPr>
              <w:t xml:space="preserve">  </w:t>
            </w:r>
          </w:p>
          <w:p w:rsidR="00D757B3" w:rsidRPr="00CA3117" w:rsidRDefault="002641AB" w:rsidP="009B560C">
            <w:pPr>
              <w:pStyle w:val="ListBullet"/>
              <w:spacing w:after="200" w:line="276" w:lineRule="auto"/>
              <w:rPr>
                <w:rFonts w:ascii="Arial" w:hAnsi="Arial" w:cs="Arial"/>
                <w:sz w:val="20"/>
                <w:szCs w:val="20"/>
                <w:lang w:val="en-US"/>
              </w:rPr>
            </w:pPr>
            <w:r>
              <w:rPr>
                <w:rFonts w:ascii="Arial" w:hAnsi="Arial" w:cs="Arial"/>
                <w:sz w:val="20"/>
                <w:szCs w:val="20"/>
                <w:lang w:val="en-US"/>
              </w:rPr>
              <w:t>T</w:t>
            </w:r>
            <w:r w:rsidR="00D757B3" w:rsidRPr="00D757B3">
              <w:rPr>
                <w:rFonts w:ascii="Arial" w:hAnsi="Arial" w:cs="Arial"/>
                <w:sz w:val="20"/>
                <w:szCs w:val="20"/>
                <w:lang w:val="en-US"/>
              </w:rPr>
              <w:t xml:space="preserve">here is a lack of </w:t>
            </w:r>
            <w:r w:rsidR="0057053B">
              <w:rPr>
                <w:rFonts w:ascii="Arial" w:hAnsi="Arial" w:cs="Arial"/>
                <w:sz w:val="20"/>
                <w:szCs w:val="20"/>
                <w:lang w:val="en-US"/>
              </w:rPr>
              <w:t>i</w:t>
            </w:r>
            <w:r w:rsidR="00CC151E">
              <w:rPr>
                <w:rFonts w:ascii="Arial" w:hAnsi="Arial" w:cs="Arial"/>
                <w:sz w:val="20"/>
                <w:szCs w:val="20"/>
                <w:lang w:val="en-US"/>
              </w:rPr>
              <w:t xml:space="preserve">nformation </w:t>
            </w:r>
            <w:r w:rsidR="0057053B">
              <w:rPr>
                <w:rFonts w:ascii="Arial" w:hAnsi="Arial" w:cs="Arial"/>
                <w:sz w:val="20"/>
                <w:szCs w:val="20"/>
                <w:lang w:val="en-US"/>
              </w:rPr>
              <w:t xml:space="preserve">about </w:t>
            </w:r>
            <w:proofErr w:type="spellStart"/>
            <w:r w:rsidR="0057053B">
              <w:rPr>
                <w:rFonts w:ascii="Arial" w:hAnsi="Arial" w:cs="Arial"/>
                <w:sz w:val="20"/>
                <w:szCs w:val="20"/>
                <w:lang w:val="en-US"/>
              </w:rPr>
              <w:t>hydrogeological</w:t>
            </w:r>
            <w:proofErr w:type="spellEnd"/>
            <w:r w:rsidR="0057053B">
              <w:rPr>
                <w:rFonts w:ascii="Arial" w:hAnsi="Arial" w:cs="Arial"/>
                <w:sz w:val="20"/>
                <w:szCs w:val="20"/>
                <w:lang w:val="en-US"/>
              </w:rPr>
              <w:t xml:space="preserve"> characteristics and the </w:t>
            </w:r>
            <w:r w:rsidR="00D757B3" w:rsidRPr="00D757B3">
              <w:rPr>
                <w:rFonts w:ascii="Arial" w:hAnsi="Arial" w:cs="Arial"/>
                <w:sz w:val="20"/>
                <w:szCs w:val="20"/>
                <w:lang w:val="en-US"/>
              </w:rPr>
              <w:t xml:space="preserve">presence of faulting within the project area, </w:t>
            </w:r>
            <w:r w:rsidR="00D071C7">
              <w:rPr>
                <w:rFonts w:ascii="Arial" w:hAnsi="Arial" w:cs="Arial"/>
                <w:sz w:val="20"/>
                <w:szCs w:val="20"/>
                <w:lang w:val="en-US"/>
              </w:rPr>
              <w:t>particularly at a local scale</w:t>
            </w:r>
            <w:r w:rsidR="0057053B">
              <w:rPr>
                <w:rFonts w:ascii="Arial" w:hAnsi="Arial" w:cs="Arial"/>
                <w:sz w:val="20"/>
                <w:szCs w:val="20"/>
                <w:lang w:val="en-US"/>
              </w:rPr>
              <w:t xml:space="preserve">. </w:t>
            </w:r>
            <w:r w:rsidR="006D25D8">
              <w:rPr>
                <w:rFonts w:ascii="Arial" w:hAnsi="Arial" w:cs="Arial"/>
                <w:sz w:val="20"/>
                <w:szCs w:val="20"/>
                <w:lang w:val="en-US"/>
              </w:rPr>
              <w:t>The Committee has significant concerns regarding the lack of relevant data, field investigations</w:t>
            </w:r>
            <w:r w:rsidR="0080782E">
              <w:rPr>
                <w:rFonts w:ascii="Arial" w:hAnsi="Arial" w:cs="Arial"/>
                <w:sz w:val="20"/>
                <w:szCs w:val="20"/>
                <w:lang w:val="en-US"/>
              </w:rPr>
              <w:t xml:space="preserve"> and</w:t>
            </w:r>
            <w:r w:rsidR="006D25D8">
              <w:rPr>
                <w:rFonts w:ascii="Arial" w:hAnsi="Arial" w:cs="Arial"/>
                <w:sz w:val="20"/>
                <w:szCs w:val="20"/>
                <w:lang w:val="en-US"/>
              </w:rPr>
              <w:t xml:space="preserve"> </w:t>
            </w:r>
            <w:r w:rsidR="0080782E">
              <w:rPr>
                <w:rFonts w:ascii="Arial" w:hAnsi="Arial" w:cs="Arial"/>
                <w:sz w:val="20"/>
                <w:szCs w:val="20"/>
                <w:lang w:val="en-US"/>
              </w:rPr>
              <w:t xml:space="preserve">risk assessment </w:t>
            </w:r>
            <w:r w:rsidR="006D25D8">
              <w:rPr>
                <w:rFonts w:ascii="Arial" w:hAnsi="Arial" w:cs="Arial"/>
                <w:sz w:val="20"/>
                <w:szCs w:val="20"/>
                <w:lang w:val="en-US"/>
              </w:rPr>
              <w:t xml:space="preserve">around </w:t>
            </w:r>
            <w:r w:rsidR="00F70642">
              <w:rPr>
                <w:rFonts w:ascii="Arial" w:hAnsi="Arial" w:cs="Arial"/>
                <w:sz w:val="20"/>
                <w:szCs w:val="20"/>
                <w:lang w:val="en-US"/>
              </w:rPr>
              <w:t>the role</w:t>
            </w:r>
            <w:r w:rsidR="006D25D8">
              <w:rPr>
                <w:rFonts w:ascii="Arial" w:hAnsi="Arial" w:cs="Arial"/>
                <w:sz w:val="20"/>
                <w:szCs w:val="20"/>
                <w:lang w:val="en-US"/>
              </w:rPr>
              <w:t xml:space="preserve"> </w:t>
            </w:r>
            <w:r w:rsidR="009B1ACE">
              <w:rPr>
                <w:rFonts w:ascii="Arial" w:hAnsi="Arial" w:cs="Arial"/>
                <w:sz w:val="20"/>
                <w:szCs w:val="20"/>
                <w:lang w:val="en-US"/>
              </w:rPr>
              <w:t xml:space="preserve">of </w:t>
            </w:r>
            <w:r w:rsidR="006D25D8">
              <w:rPr>
                <w:rFonts w:ascii="Arial" w:hAnsi="Arial" w:cs="Arial"/>
                <w:sz w:val="20"/>
                <w:szCs w:val="20"/>
                <w:lang w:val="en-US"/>
              </w:rPr>
              <w:t>fault</w:t>
            </w:r>
            <w:r w:rsidR="0057053B">
              <w:rPr>
                <w:rFonts w:ascii="Arial" w:hAnsi="Arial" w:cs="Arial"/>
                <w:sz w:val="20"/>
                <w:szCs w:val="20"/>
                <w:lang w:val="en-US"/>
              </w:rPr>
              <w:t>s</w:t>
            </w:r>
            <w:r w:rsidR="00F70642">
              <w:rPr>
                <w:rFonts w:ascii="Arial" w:hAnsi="Arial" w:cs="Arial"/>
                <w:sz w:val="20"/>
                <w:szCs w:val="20"/>
                <w:lang w:val="en-US"/>
              </w:rPr>
              <w:t xml:space="preserve"> </w:t>
            </w:r>
            <w:r w:rsidR="00957762">
              <w:rPr>
                <w:rFonts w:ascii="Arial" w:hAnsi="Arial" w:cs="Arial"/>
                <w:sz w:val="20"/>
                <w:szCs w:val="20"/>
                <w:lang w:val="en-US"/>
              </w:rPr>
              <w:t>with</w:t>
            </w:r>
            <w:r w:rsidR="00CF6892">
              <w:rPr>
                <w:rFonts w:ascii="Arial" w:hAnsi="Arial" w:cs="Arial"/>
                <w:sz w:val="20"/>
                <w:szCs w:val="20"/>
                <w:lang w:val="en-US"/>
              </w:rPr>
              <w:t>in</w:t>
            </w:r>
            <w:r w:rsidR="00957762">
              <w:rPr>
                <w:rFonts w:ascii="Arial" w:hAnsi="Arial" w:cs="Arial"/>
                <w:sz w:val="20"/>
                <w:szCs w:val="20"/>
                <w:lang w:val="en-US"/>
              </w:rPr>
              <w:t xml:space="preserve"> the groundwater impact assessment</w:t>
            </w:r>
            <w:r w:rsidR="00045C1E">
              <w:rPr>
                <w:rFonts w:ascii="Arial" w:hAnsi="Arial" w:cs="Arial"/>
                <w:sz w:val="20"/>
                <w:szCs w:val="20"/>
                <w:lang w:val="en-US"/>
              </w:rPr>
              <w:t>.</w:t>
            </w:r>
            <w:r w:rsidR="006D25D8">
              <w:rPr>
                <w:rFonts w:ascii="Arial" w:hAnsi="Arial" w:cs="Arial"/>
                <w:sz w:val="20"/>
                <w:szCs w:val="20"/>
                <w:lang w:val="en-US"/>
              </w:rPr>
              <w:t xml:space="preserve"> </w:t>
            </w:r>
            <w:r w:rsidR="002B2960">
              <w:rPr>
                <w:rFonts w:ascii="Arial" w:hAnsi="Arial" w:cs="Arial"/>
                <w:sz w:val="20"/>
                <w:szCs w:val="20"/>
                <w:lang w:val="en-US"/>
              </w:rPr>
              <w:t>No field studies were undertaken to collect site-specific groundwater data.</w:t>
            </w:r>
          </w:p>
          <w:p w:rsidR="00512CB7" w:rsidRDefault="00CF260A" w:rsidP="009B560C">
            <w:pPr>
              <w:pStyle w:val="ListBullet"/>
              <w:spacing w:after="200" w:line="276" w:lineRule="auto"/>
              <w:rPr>
                <w:rFonts w:ascii="Arial" w:hAnsi="Arial" w:cs="Arial"/>
                <w:sz w:val="20"/>
                <w:szCs w:val="20"/>
                <w:lang w:val="en-US"/>
              </w:rPr>
            </w:pPr>
            <w:r>
              <w:rPr>
                <w:rFonts w:ascii="Arial" w:hAnsi="Arial" w:cs="Arial"/>
                <w:sz w:val="20"/>
                <w:szCs w:val="20"/>
                <w:lang w:val="en-US"/>
              </w:rPr>
              <w:t>The surface water</w:t>
            </w:r>
            <w:r w:rsidR="005D7507">
              <w:rPr>
                <w:rFonts w:ascii="Arial" w:hAnsi="Arial" w:cs="Arial"/>
                <w:sz w:val="20"/>
                <w:szCs w:val="20"/>
                <w:lang w:val="en-US"/>
              </w:rPr>
              <w:t xml:space="preserve"> and ecolog</w:t>
            </w:r>
            <w:r w:rsidR="00FF19DB">
              <w:rPr>
                <w:rFonts w:ascii="Arial" w:hAnsi="Arial" w:cs="Arial"/>
                <w:sz w:val="20"/>
                <w:szCs w:val="20"/>
                <w:lang w:val="en-US"/>
              </w:rPr>
              <w:t>ical</w:t>
            </w:r>
            <w:r w:rsidR="005D7507">
              <w:rPr>
                <w:rFonts w:ascii="Arial" w:hAnsi="Arial" w:cs="Arial"/>
                <w:sz w:val="20"/>
                <w:szCs w:val="20"/>
                <w:lang w:val="en-US"/>
              </w:rPr>
              <w:t xml:space="preserve"> surveys </w:t>
            </w:r>
            <w:r w:rsidR="0072406C">
              <w:rPr>
                <w:rFonts w:ascii="Arial" w:hAnsi="Arial" w:cs="Arial"/>
                <w:sz w:val="20"/>
                <w:szCs w:val="20"/>
                <w:lang w:val="en-US"/>
              </w:rPr>
              <w:t>conducted</w:t>
            </w:r>
            <w:r w:rsidR="0036089D">
              <w:rPr>
                <w:rFonts w:ascii="Arial" w:hAnsi="Arial" w:cs="Arial"/>
                <w:sz w:val="20"/>
                <w:szCs w:val="20"/>
                <w:lang w:val="en-US"/>
              </w:rPr>
              <w:t xml:space="preserve"> do not adequately address</w:t>
            </w:r>
            <w:r>
              <w:rPr>
                <w:rFonts w:ascii="Arial" w:hAnsi="Arial" w:cs="Arial"/>
                <w:sz w:val="20"/>
                <w:szCs w:val="20"/>
                <w:lang w:val="en-US"/>
              </w:rPr>
              <w:t xml:space="preserve"> seasonal and temporal </w:t>
            </w:r>
            <w:r w:rsidR="0036089D">
              <w:rPr>
                <w:rFonts w:ascii="Arial" w:hAnsi="Arial" w:cs="Arial"/>
                <w:sz w:val="20"/>
                <w:szCs w:val="20"/>
                <w:lang w:val="en-US"/>
              </w:rPr>
              <w:t>variability</w:t>
            </w:r>
            <w:r>
              <w:rPr>
                <w:rFonts w:ascii="Arial" w:hAnsi="Arial" w:cs="Arial"/>
                <w:sz w:val="20"/>
                <w:szCs w:val="20"/>
                <w:lang w:val="en-US"/>
              </w:rPr>
              <w:t>, and no field studies were undertaken to collect site-specific groundwater data.</w:t>
            </w:r>
            <w:r w:rsidR="00D071C7">
              <w:rPr>
                <w:rFonts w:ascii="Arial" w:hAnsi="Arial" w:cs="Arial"/>
                <w:sz w:val="20"/>
                <w:szCs w:val="20"/>
                <w:lang w:val="en-US"/>
              </w:rPr>
              <w:t xml:space="preserve"> Further assessment must</w:t>
            </w:r>
            <w:r w:rsidR="00AD5BA3">
              <w:rPr>
                <w:rFonts w:ascii="Arial" w:hAnsi="Arial" w:cs="Arial"/>
                <w:sz w:val="20"/>
                <w:szCs w:val="20"/>
                <w:lang w:val="en-US"/>
              </w:rPr>
              <w:t xml:space="preserve"> expand the field surveys to </w:t>
            </w:r>
            <w:r w:rsidR="002A1DE6">
              <w:rPr>
                <w:rFonts w:ascii="Arial" w:hAnsi="Arial" w:cs="Arial"/>
                <w:sz w:val="20"/>
                <w:szCs w:val="20"/>
                <w:lang w:val="en-US"/>
              </w:rPr>
              <w:t xml:space="preserve">allow for </w:t>
            </w:r>
            <w:r w:rsidR="006D5857">
              <w:rPr>
                <w:rFonts w:ascii="Arial" w:hAnsi="Arial" w:cs="Arial"/>
                <w:sz w:val="20"/>
                <w:szCs w:val="20"/>
                <w:lang w:val="en-US"/>
              </w:rPr>
              <w:t>thorough assess</w:t>
            </w:r>
            <w:r w:rsidR="002A1DE6">
              <w:rPr>
                <w:rFonts w:ascii="Arial" w:hAnsi="Arial" w:cs="Arial"/>
                <w:sz w:val="20"/>
                <w:szCs w:val="20"/>
                <w:lang w:val="en-US"/>
              </w:rPr>
              <w:t>ment of</w:t>
            </w:r>
            <w:r w:rsidR="00AD5BA3">
              <w:rPr>
                <w:rFonts w:ascii="Arial" w:hAnsi="Arial" w:cs="Arial"/>
                <w:sz w:val="20"/>
                <w:szCs w:val="20"/>
                <w:lang w:val="en-US"/>
              </w:rPr>
              <w:t xml:space="preserve"> </w:t>
            </w:r>
            <w:r w:rsidR="00D071C7" w:rsidRPr="00D071C7">
              <w:rPr>
                <w:rFonts w:ascii="Arial" w:hAnsi="Arial" w:cs="Arial"/>
                <w:sz w:val="20"/>
                <w:szCs w:val="20"/>
                <w:lang w:val="en-US"/>
              </w:rPr>
              <w:t xml:space="preserve">impacts to downstream </w:t>
            </w:r>
            <w:r w:rsidR="00FF19DB">
              <w:rPr>
                <w:rFonts w:ascii="Arial" w:hAnsi="Arial" w:cs="Arial"/>
                <w:sz w:val="20"/>
                <w:szCs w:val="20"/>
                <w:lang w:val="en-US"/>
              </w:rPr>
              <w:t xml:space="preserve">ecosystems and </w:t>
            </w:r>
            <w:r w:rsidR="00D071C7" w:rsidRPr="00D071C7">
              <w:rPr>
                <w:rFonts w:ascii="Arial" w:hAnsi="Arial" w:cs="Arial"/>
                <w:sz w:val="20"/>
                <w:szCs w:val="20"/>
                <w:lang w:val="en-US"/>
              </w:rPr>
              <w:t>ecological receptors, including Matters of National Environmental Significance</w:t>
            </w:r>
            <w:r w:rsidR="005E5EE3">
              <w:rPr>
                <w:rFonts w:ascii="Arial" w:hAnsi="Arial" w:cs="Arial"/>
                <w:sz w:val="20"/>
                <w:szCs w:val="20"/>
                <w:lang w:val="en-US"/>
              </w:rPr>
              <w:t xml:space="preserve"> (MNES)</w:t>
            </w:r>
            <w:r w:rsidR="006D5857">
              <w:rPr>
                <w:rFonts w:ascii="Arial" w:hAnsi="Arial" w:cs="Arial"/>
                <w:sz w:val="20"/>
                <w:szCs w:val="20"/>
                <w:lang w:val="en-US"/>
              </w:rPr>
              <w:t>.</w:t>
            </w:r>
          </w:p>
          <w:p w:rsidR="00CF260A" w:rsidRPr="00CA3117" w:rsidRDefault="00CF260A" w:rsidP="00A774CE">
            <w:pPr>
              <w:autoSpaceDE w:val="0"/>
              <w:autoSpaceDN w:val="0"/>
              <w:adjustRightInd w:val="0"/>
              <w:spacing w:after="120" w:line="276" w:lineRule="auto"/>
              <w:rPr>
                <w:rFonts w:ascii="Arial" w:hAnsi="Arial" w:cs="Arial"/>
                <w:i/>
                <w:sz w:val="20"/>
                <w:szCs w:val="20"/>
                <w:u w:val="single"/>
              </w:rPr>
            </w:pPr>
            <w:r w:rsidRPr="00CA3117">
              <w:rPr>
                <w:rFonts w:ascii="Arial" w:hAnsi="Arial" w:cs="Arial"/>
                <w:i/>
                <w:sz w:val="20"/>
                <w:szCs w:val="20"/>
                <w:u w:val="single"/>
              </w:rPr>
              <w:t>Appropriate methodologies which ha</w:t>
            </w:r>
            <w:r w:rsidR="00D00E32">
              <w:rPr>
                <w:rFonts w:ascii="Arial" w:hAnsi="Arial" w:cs="Arial"/>
                <w:i/>
                <w:sz w:val="20"/>
                <w:szCs w:val="20"/>
                <w:u w:val="single"/>
              </w:rPr>
              <w:t>ve</w:t>
            </w:r>
            <w:r w:rsidRPr="00CA3117">
              <w:rPr>
                <w:rFonts w:ascii="Arial" w:hAnsi="Arial" w:cs="Arial"/>
                <w:i/>
                <w:sz w:val="20"/>
                <w:szCs w:val="20"/>
                <w:u w:val="single"/>
              </w:rPr>
              <w:t xml:space="preserve"> been applied correctly: key conclusions</w:t>
            </w:r>
          </w:p>
          <w:p w:rsidR="00CE5252" w:rsidRDefault="008E41C0" w:rsidP="009B560C">
            <w:pPr>
              <w:pStyle w:val="ListBullet"/>
              <w:tabs>
                <w:tab w:val="left" w:pos="0"/>
              </w:tabs>
              <w:spacing w:after="200" w:line="276" w:lineRule="auto"/>
              <w:rPr>
                <w:rFonts w:ascii="Arial" w:hAnsi="Arial" w:cs="Arial"/>
                <w:bCs/>
                <w:sz w:val="20"/>
                <w:szCs w:val="20"/>
              </w:rPr>
            </w:pPr>
            <w:r>
              <w:rPr>
                <w:rFonts w:ascii="Arial" w:hAnsi="Arial" w:cs="Arial"/>
                <w:bCs/>
                <w:sz w:val="20"/>
                <w:szCs w:val="20"/>
              </w:rPr>
              <w:t>Use of a C</w:t>
            </w:r>
            <w:r w:rsidR="00D00E32">
              <w:rPr>
                <w:rFonts w:ascii="Arial" w:hAnsi="Arial" w:cs="Arial"/>
                <w:bCs/>
                <w:sz w:val="20"/>
                <w:szCs w:val="20"/>
              </w:rPr>
              <w:t>lass 1</w:t>
            </w:r>
            <w:r>
              <w:rPr>
                <w:rFonts w:ascii="Arial" w:hAnsi="Arial" w:cs="Arial"/>
                <w:bCs/>
                <w:sz w:val="20"/>
                <w:szCs w:val="20"/>
              </w:rPr>
              <w:t xml:space="preserve"> numerical </w:t>
            </w:r>
            <w:r w:rsidR="00CE5252">
              <w:rPr>
                <w:rFonts w:ascii="Arial" w:hAnsi="Arial" w:cs="Arial"/>
                <w:bCs/>
                <w:sz w:val="20"/>
                <w:szCs w:val="20"/>
              </w:rPr>
              <w:t xml:space="preserve">groundwater </w:t>
            </w:r>
            <w:r>
              <w:rPr>
                <w:rFonts w:ascii="Arial" w:hAnsi="Arial" w:cs="Arial"/>
                <w:bCs/>
                <w:sz w:val="20"/>
                <w:szCs w:val="20"/>
              </w:rPr>
              <w:t>model</w:t>
            </w:r>
            <w:r w:rsidR="00CC1C95">
              <w:rPr>
                <w:rFonts w:ascii="Arial" w:hAnsi="Arial" w:cs="Arial"/>
                <w:bCs/>
                <w:sz w:val="20"/>
                <w:szCs w:val="20"/>
              </w:rPr>
              <w:t>,</w:t>
            </w:r>
            <w:r>
              <w:rPr>
                <w:rFonts w:ascii="Arial" w:hAnsi="Arial" w:cs="Arial"/>
                <w:bCs/>
                <w:sz w:val="20"/>
                <w:szCs w:val="20"/>
              </w:rPr>
              <w:t xml:space="preserve"> </w:t>
            </w:r>
            <w:r w:rsidR="00CC1C95">
              <w:rPr>
                <w:rFonts w:ascii="Arial" w:hAnsi="Arial" w:cs="Arial"/>
                <w:bCs/>
                <w:sz w:val="20"/>
                <w:szCs w:val="20"/>
              </w:rPr>
              <w:t xml:space="preserve">at this stage of the proposal, </w:t>
            </w:r>
            <w:r>
              <w:rPr>
                <w:rFonts w:ascii="Arial" w:hAnsi="Arial" w:cs="Arial"/>
                <w:bCs/>
                <w:sz w:val="20"/>
                <w:szCs w:val="20"/>
              </w:rPr>
              <w:t>doe</w:t>
            </w:r>
            <w:r w:rsidR="00CC1C95">
              <w:rPr>
                <w:rFonts w:ascii="Arial" w:hAnsi="Arial" w:cs="Arial"/>
                <w:bCs/>
                <w:sz w:val="20"/>
                <w:szCs w:val="20"/>
              </w:rPr>
              <w:t>s no</w:t>
            </w:r>
            <w:r>
              <w:rPr>
                <w:rFonts w:ascii="Arial" w:hAnsi="Arial" w:cs="Arial"/>
                <w:bCs/>
                <w:sz w:val="20"/>
                <w:szCs w:val="20"/>
              </w:rPr>
              <w:t>t allow for a sufficient level of confidence for predicting impacts</w:t>
            </w:r>
            <w:r w:rsidR="00CC1C95">
              <w:rPr>
                <w:rFonts w:ascii="Arial" w:hAnsi="Arial" w:cs="Arial"/>
                <w:bCs/>
                <w:sz w:val="20"/>
                <w:szCs w:val="20"/>
              </w:rPr>
              <w:t>.</w:t>
            </w:r>
          </w:p>
          <w:p w:rsidR="00600AEA" w:rsidRPr="00CA3117" w:rsidRDefault="00CC1C95" w:rsidP="009B560C">
            <w:pPr>
              <w:pStyle w:val="ListBullet"/>
              <w:tabs>
                <w:tab w:val="left" w:pos="0"/>
              </w:tabs>
              <w:spacing w:after="200" w:line="276" w:lineRule="auto"/>
              <w:rPr>
                <w:rFonts w:ascii="Arial" w:hAnsi="Arial" w:cs="Arial"/>
                <w:sz w:val="20"/>
                <w:szCs w:val="20"/>
                <w:lang w:val="en-US"/>
              </w:rPr>
            </w:pPr>
            <w:r>
              <w:rPr>
                <w:rFonts w:ascii="Arial" w:hAnsi="Arial" w:cs="Arial"/>
                <w:bCs/>
                <w:sz w:val="20"/>
                <w:szCs w:val="20"/>
              </w:rPr>
              <w:t>A</w:t>
            </w:r>
            <w:r w:rsidR="00C26663">
              <w:rPr>
                <w:rFonts w:ascii="Arial" w:hAnsi="Arial" w:cs="Arial"/>
                <w:bCs/>
                <w:sz w:val="20"/>
                <w:szCs w:val="20"/>
              </w:rPr>
              <w:t xml:space="preserve">n adequately substantiated </w:t>
            </w:r>
            <w:r w:rsidR="008E41C0">
              <w:rPr>
                <w:rFonts w:ascii="Arial" w:hAnsi="Arial" w:cs="Arial"/>
                <w:bCs/>
                <w:sz w:val="20"/>
                <w:szCs w:val="20"/>
              </w:rPr>
              <w:t xml:space="preserve">Class 2 model would be more appropriate. </w:t>
            </w:r>
            <w:r w:rsidR="00600AEA" w:rsidRPr="00600AEA">
              <w:rPr>
                <w:rFonts w:ascii="Arial" w:hAnsi="Arial" w:cs="Arial"/>
                <w:bCs/>
                <w:sz w:val="20"/>
                <w:szCs w:val="20"/>
              </w:rPr>
              <w:t xml:space="preserve">The total predicted drawdown should be provided for each layer of the </w:t>
            </w:r>
            <w:r w:rsidR="00C26663">
              <w:rPr>
                <w:rFonts w:ascii="Arial" w:hAnsi="Arial" w:cs="Arial"/>
                <w:bCs/>
                <w:sz w:val="20"/>
                <w:szCs w:val="20"/>
              </w:rPr>
              <w:t xml:space="preserve">groundwater </w:t>
            </w:r>
            <w:r w:rsidR="00600AEA" w:rsidRPr="00600AEA">
              <w:rPr>
                <w:rFonts w:ascii="Arial" w:hAnsi="Arial" w:cs="Arial"/>
                <w:bCs/>
                <w:sz w:val="20"/>
                <w:szCs w:val="20"/>
              </w:rPr>
              <w:t xml:space="preserve">model and not limited to impacts which are greater than 5 m for consolidated aquifers, 2 m for unconsolidated aquifers, and 0.2 m for springs and spring-associated watercourses. </w:t>
            </w:r>
          </w:p>
          <w:p w:rsidR="00CF260A" w:rsidRPr="00CA3117" w:rsidRDefault="00CF260A" w:rsidP="00A774CE">
            <w:pPr>
              <w:pStyle w:val="ListBullet"/>
              <w:spacing w:after="120" w:line="276" w:lineRule="auto"/>
              <w:rPr>
                <w:rFonts w:ascii="Arial" w:hAnsi="Arial" w:cs="Arial"/>
                <w:sz w:val="20"/>
                <w:szCs w:val="20"/>
                <w:lang w:val="en-US"/>
              </w:rPr>
            </w:pPr>
            <w:r w:rsidRPr="00CA3117">
              <w:rPr>
                <w:rFonts w:ascii="Arial" w:hAnsi="Arial" w:cs="Arial"/>
                <w:sz w:val="20"/>
                <w:szCs w:val="20"/>
                <w:lang w:val="en-US"/>
              </w:rPr>
              <w:t xml:space="preserve">The proponent assumes that the Triassic </w:t>
            </w:r>
            <w:proofErr w:type="spellStart"/>
            <w:r w:rsidRPr="00CA3117">
              <w:rPr>
                <w:rFonts w:ascii="Arial" w:hAnsi="Arial" w:cs="Arial"/>
                <w:sz w:val="20"/>
                <w:szCs w:val="20"/>
                <w:lang w:val="en-US"/>
              </w:rPr>
              <w:t>Rewan</w:t>
            </w:r>
            <w:proofErr w:type="spellEnd"/>
            <w:r w:rsidRPr="00CA3117">
              <w:rPr>
                <w:rFonts w:ascii="Arial" w:hAnsi="Arial" w:cs="Arial"/>
                <w:sz w:val="20"/>
                <w:szCs w:val="20"/>
                <w:lang w:val="en-US"/>
              </w:rPr>
              <w:t xml:space="preserve"> Formation is a confining </w:t>
            </w:r>
            <w:proofErr w:type="spellStart"/>
            <w:r w:rsidRPr="00CA3117">
              <w:rPr>
                <w:rFonts w:ascii="Arial" w:hAnsi="Arial" w:cs="Arial"/>
                <w:sz w:val="20"/>
                <w:szCs w:val="20"/>
                <w:lang w:val="en-US"/>
              </w:rPr>
              <w:t>aqui</w:t>
            </w:r>
            <w:r w:rsidR="00954C86">
              <w:rPr>
                <w:rFonts w:ascii="Arial" w:hAnsi="Arial" w:cs="Arial"/>
                <w:sz w:val="20"/>
                <w:szCs w:val="20"/>
                <w:lang w:val="en-US"/>
              </w:rPr>
              <w:t>tard</w:t>
            </w:r>
            <w:proofErr w:type="spellEnd"/>
            <w:r w:rsidRPr="00CA3117">
              <w:rPr>
                <w:rFonts w:ascii="Arial" w:hAnsi="Arial" w:cs="Arial"/>
                <w:sz w:val="20"/>
                <w:szCs w:val="20"/>
                <w:lang w:val="en-US"/>
              </w:rPr>
              <w:t xml:space="preserve"> across the project area which will limit the potential for vertical aquifer interconnectivity between the Permian target coal measures and the shallower Tertiary and Quaternary aquifers. This conclusion is not congruent with the </w:t>
            </w:r>
            <w:r w:rsidR="00605D63">
              <w:rPr>
                <w:rFonts w:ascii="Arial" w:hAnsi="Arial" w:cs="Arial"/>
                <w:sz w:val="20"/>
                <w:szCs w:val="20"/>
                <w:lang w:val="en-US"/>
              </w:rPr>
              <w:t xml:space="preserve">proponent’s </w:t>
            </w:r>
            <w:r w:rsidRPr="00CA3117">
              <w:rPr>
                <w:rFonts w:ascii="Arial" w:hAnsi="Arial" w:cs="Arial"/>
                <w:sz w:val="20"/>
                <w:szCs w:val="20"/>
                <w:lang w:val="en-US"/>
              </w:rPr>
              <w:t xml:space="preserve">conceptual model, which shows coal measures in direct contact with alluvium in the western limb of the Bowen Basin.   </w:t>
            </w:r>
          </w:p>
          <w:p w:rsidR="00CF260A" w:rsidRDefault="00CF260A" w:rsidP="00A774CE">
            <w:pPr>
              <w:autoSpaceDE w:val="0"/>
              <w:autoSpaceDN w:val="0"/>
              <w:adjustRightInd w:val="0"/>
              <w:spacing w:after="120" w:line="276" w:lineRule="auto"/>
              <w:ind w:left="369" w:hanging="369"/>
              <w:rPr>
                <w:rFonts w:ascii="Arial" w:hAnsi="Arial" w:cs="Arial"/>
                <w:i/>
                <w:sz w:val="20"/>
                <w:szCs w:val="20"/>
                <w:u w:val="single"/>
              </w:rPr>
            </w:pPr>
            <w:r w:rsidRPr="00CA3117">
              <w:rPr>
                <w:rFonts w:ascii="Arial" w:hAnsi="Arial" w:cs="Arial"/>
                <w:i/>
                <w:sz w:val="20"/>
                <w:szCs w:val="20"/>
                <w:u w:val="single"/>
              </w:rPr>
              <w:t xml:space="preserve">Reasonable values and parameters in calculations </w:t>
            </w:r>
          </w:p>
          <w:p w:rsidR="00450E03" w:rsidRDefault="00CF260A" w:rsidP="00A774CE">
            <w:pPr>
              <w:pStyle w:val="ListBullet"/>
              <w:spacing w:line="276" w:lineRule="auto"/>
              <w:rPr>
                <w:rFonts w:ascii="Arial" w:hAnsi="Arial" w:cs="Arial"/>
                <w:sz w:val="20"/>
                <w:szCs w:val="20"/>
                <w:lang w:val="en-US"/>
              </w:rPr>
            </w:pPr>
            <w:r w:rsidRPr="00CA3117">
              <w:rPr>
                <w:rFonts w:ascii="Arial" w:hAnsi="Arial" w:cs="Arial"/>
                <w:sz w:val="20"/>
                <w:szCs w:val="20"/>
                <w:lang w:val="en-US"/>
              </w:rPr>
              <w:t xml:space="preserve">Parameters within the numerical groundwater model are based largely on literature values and </w:t>
            </w:r>
            <w:r w:rsidR="00547AC1">
              <w:rPr>
                <w:rFonts w:ascii="Arial" w:hAnsi="Arial" w:cs="Arial"/>
                <w:sz w:val="20"/>
                <w:szCs w:val="20"/>
                <w:lang w:val="en-US"/>
              </w:rPr>
              <w:t>engineering</w:t>
            </w:r>
            <w:r w:rsidR="00982733">
              <w:rPr>
                <w:rFonts w:ascii="Arial" w:hAnsi="Arial" w:cs="Arial"/>
                <w:sz w:val="20"/>
                <w:szCs w:val="20"/>
                <w:lang w:val="en-US"/>
              </w:rPr>
              <w:t xml:space="preserve"> data</w:t>
            </w:r>
            <w:r w:rsidRPr="00CA3117">
              <w:rPr>
                <w:rFonts w:ascii="Arial" w:hAnsi="Arial" w:cs="Arial"/>
                <w:sz w:val="20"/>
                <w:szCs w:val="20"/>
                <w:lang w:val="en-US"/>
              </w:rPr>
              <w:t xml:space="preserve">.  </w:t>
            </w:r>
            <w:r>
              <w:rPr>
                <w:rFonts w:ascii="Arial" w:hAnsi="Arial" w:cs="Arial"/>
                <w:sz w:val="20"/>
                <w:szCs w:val="20"/>
                <w:lang w:val="en-US"/>
              </w:rPr>
              <w:t>More detailed f</w:t>
            </w:r>
            <w:r w:rsidRPr="00CA3117">
              <w:rPr>
                <w:rFonts w:ascii="Arial" w:hAnsi="Arial" w:cs="Arial"/>
                <w:sz w:val="20"/>
                <w:szCs w:val="20"/>
                <w:lang w:val="en-US"/>
              </w:rPr>
              <w:t xml:space="preserve">ield validation of these parameters </w:t>
            </w:r>
            <w:r w:rsidR="00CC151E">
              <w:rPr>
                <w:rFonts w:ascii="Arial" w:hAnsi="Arial" w:cs="Arial"/>
                <w:sz w:val="20"/>
                <w:szCs w:val="20"/>
                <w:lang w:val="en-US"/>
              </w:rPr>
              <w:t xml:space="preserve">is needed, </w:t>
            </w:r>
            <w:r w:rsidR="00450E03">
              <w:rPr>
                <w:rFonts w:ascii="Arial" w:hAnsi="Arial" w:cs="Arial"/>
                <w:sz w:val="20"/>
                <w:szCs w:val="20"/>
                <w:lang w:val="en-US"/>
              </w:rPr>
              <w:t xml:space="preserve">including a thorough sensitivity analysis of </w:t>
            </w:r>
            <w:r w:rsidR="00450E03">
              <w:rPr>
                <w:rFonts w:ascii="Arial" w:hAnsi="Arial" w:cs="Arial"/>
                <w:sz w:val="20"/>
                <w:szCs w:val="20"/>
                <w:lang w:val="en-US"/>
              </w:rPr>
              <w:lastRenderedPageBreak/>
              <w:t>the role of faults based on field data.</w:t>
            </w:r>
          </w:p>
          <w:p w:rsidR="00CF260A" w:rsidRPr="00AC0A6D" w:rsidRDefault="00CF260A" w:rsidP="009B560C">
            <w:pPr>
              <w:autoSpaceDE w:val="0"/>
              <w:autoSpaceDN w:val="0"/>
              <w:adjustRightInd w:val="0"/>
              <w:spacing w:after="200" w:line="276" w:lineRule="auto"/>
              <w:rPr>
                <w:rFonts w:ascii="Arial" w:hAnsi="Arial" w:cs="Arial"/>
                <w:i/>
                <w:sz w:val="20"/>
                <w:szCs w:val="20"/>
              </w:rPr>
            </w:pPr>
            <w:r w:rsidRPr="00AC0A6D">
              <w:rPr>
                <w:rFonts w:ascii="Arial" w:hAnsi="Arial" w:cs="Arial"/>
                <w:i/>
                <w:sz w:val="20"/>
                <w:szCs w:val="20"/>
              </w:rPr>
              <w:t>Question 1:</w:t>
            </w:r>
            <w:r w:rsidRPr="00AC0A6D">
              <w:rPr>
                <w:rFonts w:ascii="Arial" w:hAnsi="Arial" w:cs="Arial"/>
                <w:sz w:val="20"/>
                <w:szCs w:val="20"/>
              </w:rPr>
              <w:t xml:space="preserve"> </w:t>
            </w:r>
            <w:r w:rsidRPr="0053638C">
              <w:rPr>
                <w:rFonts w:ascii="Arial" w:hAnsi="Arial" w:cs="Arial"/>
                <w:i/>
                <w:sz w:val="20"/>
                <w:szCs w:val="20"/>
              </w:rPr>
              <w:t>Groundwater -</w:t>
            </w:r>
            <w:r w:rsidRPr="00AC0A6D">
              <w:rPr>
                <w:rFonts w:ascii="Arial" w:hAnsi="Arial" w:cs="Arial"/>
                <w:sz w:val="20"/>
                <w:szCs w:val="20"/>
              </w:rPr>
              <w:t xml:space="preserve"> </w:t>
            </w:r>
            <w:r w:rsidRPr="00AC0A6D">
              <w:rPr>
                <w:rFonts w:ascii="Arial" w:hAnsi="Arial" w:cs="Arial"/>
                <w:i/>
                <w:sz w:val="20"/>
                <w:szCs w:val="20"/>
              </w:rPr>
              <w:t>Does the EIS sufficiently address the potential for hydraulic stimulation to enhance interconnection of groundwater aquifers and adequately address the implications of such interconnection on groundwater quality and level?</w:t>
            </w:r>
          </w:p>
          <w:p w:rsidR="00CF260A" w:rsidRDefault="00687B29" w:rsidP="009B560C">
            <w:pPr>
              <w:pStyle w:val="ListNumber"/>
              <w:spacing w:after="200" w:line="276" w:lineRule="auto"/>
              <w:rPr>
                <w:rFonts w:ascii="Arial" w:hAnsi="Arial" w:cs="Arial"/>
                <w:color w:val="000000"/>
                <w:sz w:val="20"/>
                <w:szCs w:val="20"/>
              </w:rPr>
            </w:pPr>
            <w:bookmarkStart w:id="2" w:name="_____replySeparator"/>
            <w:bookmarkEnd w:id="2"/>
            <w:r>
              <w:rPr>
                <w:rFonts w:ascii="Arial" w:hAnsi="Arial" w:cs="Arial"/>
                <w:color w:val="000000"/>
                <w:sz w:val="20"/>
                <w:szCs w:val="20"/>
              </w:rPr>
              <w:t xml:space="preserve">There is insufficient information on faulting and the location of </w:t>
            </w:r>
            <w:r w:rsidR="00F51AA9">
              <w:rPr>
                <w:rFonts w:ascii="Arial" w:hAnsi="Arial" w:cs="Arial"/>
                <w:color w:val="000000"/>
                <w:sz w:val="20"/>
                <w:szCs w:val="20"/>
              </w:rPr>
              <w:t xml:space="preserve">proposed </w:t>
            </w:r>
            <w:r>
              <w:rPr>
                <w:rFonts w:ascii="Arial" w:hAnsi="Arial" w:cs="Arial"/>
                <w:color w:val="000000"/>
                <w:sz w:val="20"/>
                <w:szCs w:val="20"/>
              </w:rPr>
              <w:t xml:space="preserve">wells to be hydraulically stimulated to determine potential interconnectivity and its implications. </w:t>
            </w:r>
            <w:r w:rsidR="00F51AA9">
              <w:rPr>
                <w:rFonts w:ascii="Arial" w:hAnsi="Arial" w:cs="Arial"/>
                <w:color w:val="000000"/>
                <w:sz w:val="20"/>
                <w:szCs w:val="20"/>
              </w:rPr>
              <w:t>T</w:t>
            </w:r>
            <w:r w:rsidR="00F05652" w:rsidRPr="00F05652">
              <w:rPr>
                <w:rFonts w:ascii="Arial" w:hAnsi="Arial" w:cs="Arial"/>
                <w:color w:val="000000"/>
                <w:sz w:val="20"/>
                <w:szCs w:val="20"/>
              </w:rPr>
              <w:t>he presence of many faults in the project area make</w:t>
            </w:r>
            <w:r w:rsidR="00171AE0">
              <w:rPr>
                <w:rFonts w:ascii="Arial" w:hAnsi="Arial" w:cs="Arial"/>
                <w:color w:val="000000"/>
                <w:sz w:val="20"/>
                <w:szCs w:val="20"/>
              </w:rPr>
              <w:t>s</w:t>
            </w:r>
            <w:r w:rsidR="00F05652" w:rsidRPr="00F05652">
              <w:rPr>
                <w:rFonts w:ascii="Arial" w:hAnsi="Arial" w:cs="Arial"/>
                <w:color w:val="000000"/>
                <w:sz w:val="20"/>
                <w:szCs w:val="20"/>
              </w:rPr>
              <w:t xml:space="preserve"> it difficult to determine the exact contribution of hydraulic stimulation to aquifer interconnection. </w:t>
            </w:r>
            <w:r w:rsidR="00F05652">
              <w:rPr>
                <w:rFonts w:ascii="Arial" w:hAnsi="Arial" w:cs="Arial"/>
                <w:color w:val="000000"/>
                <w:sz w:val="20"/>
                <w:szCs w:val="20"/>
              </w:rPr>
              <w:t>To increase confidence in the assessment</w:t>
            </w:r>
            <w:r w:rsidR="005B43E7">
              <w:rPr>
                <w:rFonts w:ascii="Arial" w:hAnsi="Arial" w:cs="Arial"/>
                <w:color w:val="000000"/>
                <w:sz w:val="20"/>
                <w:szCs w:val="20"/>
              </w:rPr>
              <w:t xml:space="preserve">, </w:t>
            </w:r>
            <w:r w:rsidR="00F05652" w:rsidRPr="00F05652">
              <w:rPr>
                <w:rFonts w:ascii="Arial" w:hAnsi="Arial" w:cs="Arial"/>
                <w:color w:val="000000"/>
                <w:sz w:val="20"/>
                <w:szCs w:val="20"/>
              </w:rPr>
              <w:t>the</w:t>
            </w:r>
            <w:r w:rsidR="00CF260A" w:rsidRPr="00F05652">
              <w:rPr>
                <w:rFonts w:ascii="Arial" w:hAnsi="Arial" w:cs="Arial"/>
                <w:color w:val="000000"/>
                <w:sz w:val="20"/>
                <w:szCs w:val="20"/>
              </w:rPr>
              <w:t xml:space="preserve"> </w:t>
            </w:r>
            <w:r w:rsidR="00211C8E">
              <w:rPr>
                <w:rFonts w:ascii="Arial" w:hAnsi="Arial" w:cs="Arial"/>
                <w:color w:val="000000"/>
                <w:sz w:val="20"/>
                <w:szCs w:val="20"/>
              </w:rPr>
              <w:t>matters</w:t>
            </w:r>
            <w:r w:rsidR="00211C8E" w:rsidRPr="00F05652">
              <w:rPr>
                <w:rFonts w:ascii="Arial" w:hAnsi="Arial" w:cs="Arial"/>
                <w:color w:val="000000"/>
                <w:sz w:val="20"/>
                <w:szCs w:val="20"/>
              </w:rPr>
              <w:t xml:space="preserve"> </w:t>
            </w:r>
            <w:r w:rsidR="00CF260A" w:rsidRPr="00F05652">
              <w:rPr>
                <w:rFonts w:ascii="Arial" w:hAnsi="Arial" w:cs="Arial"/>
                <w:color w:val="000000"/>
                <w:sz w:val="20"/>
                <w:szCs w:val="20"/>
              </w:rPr>
              <w:t>outlined below</w:t>
            </w:r>
            <w:r w:rsidR="006A00E0">
              <w:rPr>
                <w:rFonts w:ascii="Arial" w:hAnsi="Arial" w:cs="Arial"/>
                <w:color w:val="000000"/>
                <w:sz w:val="20"/>
                <w:szCs w:val="20"/>
              </w:rPr>
              <w:t xml:space="preserve"> will </w:t>
            </w:r>
            <w:r w:rsidR="005B43E7">
              <w:rPr>
                <w:rFonts w:ascii="Arial" w:hAnsi="Arial" w:cs="Arial"/>
                <w:color w:val="000000"/>
                <w:sz w:val="20"/>
                <w:szCs w:val="20"/>
              </w:rPr>
              <w:t>need to be considered</w:t>
            </w:r>
            <w:r w:rsidR="00033E58">
              <w:rPr>
                <w:rFonts w:ascii="Arial" w:hAnsi="Arial" w:cs="Arial"/>
                <w:color w:val="000000"/>
                <w:sz w:val="20"/>
                <w:szCs w:val="20"/>
              </w:rPr>
              <w:t>.</w:t>
            </w:r>
          </w:p>
          <w:p w:rsidR="00637B07" w:rsidRPr="00637B07" w:rsidRDefault="00B46E2F" w:rsidP="009B560C">
            <w:pPr>
              <w:pStyle w:val="ListNumber"/>
              <w:numPr>
                <w:ilvl w:val="0"/>
                <w:numId w:val="26"/>
              </w:numPr>
              <w:spacing w:after="200" w:line="276" w:lineRule="auto"/>
              <w:ind w:left="276" w:hanging="276"/>
              <w:rPr>
                <w:rFonts w:ascii="Arial" w:hAnsi="Arial" w:cs="Arial"/>
                <w:sz w:val="20"/>
                <w:szCs w:val="20"/>
                <w:lang w:val="en-US"/>
              </w:rPr>
            </w:pPr>
            <w:r w:rsidRPr="00637B07">
              <w:rPr>
                <w:rFonts w:ascii="Arial" w:hAnsi="Arial" w:cs="Arial"/>
                <w:i/>
                <w:color w:val="000000"/>
                <w:sz w:val="20"/>
                <w:szCs w:val="20"/>
              </w:rPr>
              <w:t>EIS at the concept stage</w:t>
            </w:r>
            <w:r w:rsidRPr="00637B07">
              <w:rPr>
                <w:rFonts w:ascii="Arial" w:hAnsi="Arial" w:cs="Arial"/>
                <w:color w:val="000000"/>
                <w:sz w:val="20"/>
                <w:szCs w:val="20"/>
              </w:rPr>
              <w:t>:</w:t>
            </w:r>
            <w:r w:rsidR="001F7E0C">
              <w:rPr>
                <w:rFonts w:ascii="Arial" w:hAnsi="Arial" w:cs="Arial"/>
                <w:sz w:val="20"/>
                <w:szCs w:val="20"/>
                <w:lang w:val="en-US"/>
              </w:rPr>
              <w:t xml:space="preserve"> Whilst the Com</w:t>
            </w:r>
            <w:r w:rsidR="0072406C">
              <w:rPr>
                <w:rFonts w:ascii="Arial" w:hAnsi="Arial" w:cs="Arial"/>
                <w:sz w:val="20"/>
                <w:szCs w:val="20"/>
                <w:lang w:val="en-US"/>
              </w:rPr>
              <w:t>mittee appreciates that the project’s assessment documentation</w:t>
            </w:r>
            <w:r w:rsidR="001F7E0C">
              <w:rPr>
                <w:rFonts w:ascii="Arial" w:hAnsi="Arial" w:cs="Arial"/>
                <w:sz w:val="20"/>
                <w:szCs w:val="20"/>
                <w:lang w:val="en-US"/>
              </w:rPr>
              <w:t xml:space="preserve"> is at a conceptual stage, there is insufficient information, particularly in regard</w:t>
            </w:r>
            <w:r w:rsidR="001F7E0C" w:rsidRPr="00637B07">
              <w:rPr>
                <w:rFonts w:ascii="Arial" w:hAnsi="Arial" w:cs="Arial"/>
                <w:sz w:val="20"/>
                <w:szCs w:val="20"/>
                <w:lang w:val="en-US"/>
              </w:rPr>
              <w:t xml:space="preserve"> to faulting</w:t>
            </w:r>
            <w:r w:rsidR="001F7E0C">
              <w:rPr>
                <w:rFonts w:ascii="Arial" w:hAnsi="Arial" w:cs="Arial"/>
                <w:sz w:val="20"/>
                <w:szCs w:val="20"/>
                <w:lang w:val="en-US"/>
              </w:rPr>
              <w:t>, to provide confidence in the assessment of the considerable</w:t>
            </w:r>
            <w:r w:rsidR="00CE5252">
              <w:rPr>
                <w:rFonts w:ascii="Arial" w:hAnsi="Arial" w:cs="Arial"/>
                <w:sz w:val="20"/>
                <w:szCs w:val="20"/>
                <w:lang w:val="en-US"/>
              </w:rPr>
              <w:t xml:space="preserve"> potential</w:t>
            </w:r>
            <w:r w:rsidR="001F7E0C">
              <w:rPr>
                <w:rFonts w:ascii="Arial" w:hAnsi="Arial" w:cs="Arial"/>
                <w:sz w:val="20"/>
                <w:szCs w:val="20"/>
                <w:lang w:val="en-US"/>
              </w:rPr>
              <w:t xml:space="preserve"> risks associated with this project.</w:t>
            </w:r>
            <w:r w:rsidRPr="00637B07">
              <w:rPr>
                <w:rFonts w:ascii="Arial" w:hAnsi="Arial" w:cs="Arial"/>
                <w:color w:val="000000"/>
                <w:sz w:val="20"/>
                <w:szCs w:val="20"/>
              </w:rPr>
              <w:t xml:space="preserve"> </w:t>
            </w:r>
            <w:r w:rsidR="00637B07" w:rsidRPr="00637B07">
              <w:rPr>
                <w:rFonts w:ascii="Arial" w:hAnsi="Arial" w:cs="Arial"/>
                <w:sz w:val="20"/>
                <w:szCs w:val="20"/>
                <w:lang w:val="en-US"/>
              </w:rPr>
              <w:t xml:space="preserve">It is imperative that additional substantiated information be understood and considered as part of the approval process, to enable </w:t>
            </w:r>
            <w:r w:rsidR="001F7E0C">
              <w:rPr>
                <w:rFonts w:ascii="Arial" w:hAnsi="Arial" w:cs="Arial"/>
                <w:sz w:val="20"/>
                <w:szCs w:val="20"/>
                <w:lang w:val="en-US"/>
              </w:rPr>
              <w:t xml:space="preserve">robust </w:t>
            </w:r>
            <w:r w:rsidR="00637B07" w:rsidRPr="00637B07">
              <w:rPr>
                <w:rFonts w:ascii="Arial" w:hAnsi="Arial" w:cs="Arial"/>
                <w:sz w:val="20"/>
                <w:szCs w:val="20"/>
                <w:lang w:val="en-US"/>
              </w:rPr>
              <w:t xml:space="preserve">scientific </w:t>
            </w:r>
            <w:r w:rsidR="001F7E0C">
              <w:rPr>
                <w:rFonts w:ascii="Arial" w:hAnsi="Arial" w:cs="Arial"/>
                <w:sz w:val="20"/>
                <w:szCs w:val="20"/>
                <w:lang w:val="en-US"/>
              </w:rPr>
              <w:t xml:space="preserve">advice to be provided and </w:t>
            </w:r>
            <w:r w:rsidR="00637B07" w:rsidRPr="00637B07">
              <w:rPr>
                <w:rFonts w:ascii="Arial" w:hAnsi="Arial" w:cs="Arial"/>
                <w:sz w:val="20"/>
                <w:szCs w:val="20"/>
                <w:lang w:val="en-US"/>
              </w:rPr>
              <w:t>conclusions to be drawn.</w:t>
            </w:r>
          </w:p>
          <w:p w:rsidR="00CF260A" w:rsidRPr="009C2F40" w:rsidRDefault="00A108C5" w:rsidP="009B560C">
            <w:pPr>
              <w:pStyle w:val="ListNumber"/>
              <w:numPr>
                <w:ilvl w:val="0"/>
                <w:numId w:val="26"/>
              </w:numPr>
              <w:spacing w:after="200" w:line="276" w:lineRule="auto"/>
              <w:ind w:left="276" w:hanging="276"/>
              <w:rPr>
                <w:rFonts w:ascii="Arial" w:hAnsi="Arial" w:cs="Arial"/>
                <w:color w:val="000000"/>
                <w:sz w:val="20"/>
                <w:szCs w:val="20"/>
              </w:rPr>
            </w:pPr>
            <w:r w:rsidRPr="00A108C5">
              <w:rPr>
                <w:rFonts w:ascii="Arial" w:hAnsi="Arial" w:cs="Arial"/>
                <w:i/>
                <w:color w:val="000000"/>
                <w:sz w:val="20"/>
                <w:szCs w:val="20"/>
              </w:rPr>
              <w:t>Hydraulic stimulation near fault</w:t>
            </w:r>
            <w:r w:rsidR="00D90B1B">
              <w:rPr>
                <w:rFonts w:ascii="Arial" w:hAnsi="Arial" w:cs="Arial"/>
                <w:i/>
                <w:color w:val="000000"/>
                <w:sz w:val="20"/>
                <w:szCs w:val="20"/>
              </w:rPr>
              <w:t>s</w:t>
            </w:r>
            <w:r w:rsidRPr="00A108C5">
              <w:rPr>
                <w:rFonts w:ascii="Arial" w:hAnsi="Arial" w:cs="Arial"/>
                <w:i/>
                <w:color w:val="000000"/>
                <w:sz w:val="20"/>
                <w:szCs w:val="20"/>
              </w:rPr>
              <w:t>:</w:t>
            </w:r>
            <w:r>
              <w:rPr>
                <w:rFonts w:ascii="Arial" w:hAnsi="Arial" w:cs="Arial"/>
                <w:color w:val="000000"/>
                <w:sz w:val="20"/>
                <w:szCs w:val="20"/>
              </w:rPr>
              <w:t xml:space="preserve"> </w:t>
            </w:r>
            <w:r w:rsidR="00CF260A" w:rsidRPr="009C2F40">
              <w:rPr>
                <w:rFonts w:ascii="Arial" w:hAnsi="Arial" w:cs="Arial"/>
                <w:color w:val="000000"/>
                <w:sz w:val="20"/>
                <w:szCs w:val="20"/>
              </w:rPr>
              <w:t xml:space="preserve">The potential for hydraulic stimulation to result in aquifer interconnection </w:t>
            </w:r>
            <w:r w:rsidR="0012671A" w:rsidRPr="009C2F40">
              <w:rPr>
                <w:rFonts w:ascii="Arial" w:hAnsi="Arial" w:cs="Arial"/>
                <w:color w:val="000000"/>
                <w:sz w:val="20"/>
                <w:szCs w:val="20"/>
              </w:rPr>
              <w:t xml:space="preserve">along faults </w:t>
            </w:r>
            <w:r w:rsidR="00CF260A" w:rsidRPr="009C2F40">
              <w:rPr>
                <w:rFonts w:ascii="Arial" w:hAnsi="Arial" w:cs="Arial"/>
                <w:color w:val="000000"/>
                <w:sz w:val="20"/>
                <w:szCs w:val="20"/>
              </w:rPr>
              <w:t xml:space="preserve">cannot be </w:t>
            </w:r>
            <w:r>
              <w:rPr>
                <w:rFonts w:ascii="Arial" w:hAnsi="Arial" w:cs="Arial"/>
                <w:color w:val="000000"/>
                <w:sz w:val="20"/>
                <w:szCs w:val="20"/>
              </w:rPr>
              <w:t>adequately</w:t>
            </w:r>
            <w:r w:rsidR="00CF260A" w:rsidRPr="009C2F40">
              <w:rPr>
                <w:rFonts w:ascii="Arial" w:hAnsi="Arial" w:cs="Arial"/>
                <w:color w:val="000000"/>
                <w:sz w:val="20"/>
                <w:szCs w:val="20"/>
              </w:rPr>
              <w:t xml:space="preserve"> assessed when the </w:t>
            </w:r>
            <w:r w:rsidR="0012671A" w:rsidRPr="009C2F40">
              <w:rPr>
                <w:rFonts w:ascii="Arial" w:hAnsi="Arial" w:cs="Arial"/>
                <w:color w:val="000000"/>
                <w:sz w:val="20"/>
                <w:szCs w:val="20"/>
              </w:rPr>
              <w:t>proximity</w:t>
            </w:r>
            <w:r w:rsidR="00CF260A" w:rsidRPr="009C2F40">
              <w:rPr>
                <w:rFonts w:ascii="Arial" w:hAnsi="Arial" w:cs="Arial"/>
                <w:color w:val="000000"/>
                <w:sz w:val="20"/>
                <w:szCs w:val="20"/>
              </w:rPr>
              <w:t xml:space="preserve"> of potentially s</w:t>
            </w:r>
            <w:r w:rsidR="00FE6C06">
              <w:rPr>
                <w:rFonts w:ascii="Arial" w:hAnsi="Arial" w:cs="Arial"/>
                <w:color w:val="000000"/>
                <w:sz w:val="20"/>
                <w:szCs w:val="20"/>
              </w:rPr>
              <w:t>timulated wells near faults</w:t>
            </w:r>
            <w:r w:rsidR="00CF260A" w:rsidRPr="009C2F40">
              <w:rPr>
                <w:rFonts w:ascii="Arial" w:hAnsi="Arial" w:cs="Arial"/>
                <w:color w:val="000000"/>
                <w:sz w:val="20"/>
                <w:szCs w:val="20"/>
              </w:rPr>
              <w:t xml:space="preserve"> is unknown</w:t>
            </w:r>
            <w:r w:rsidR="00547AC1">
              <w:rPr>
                <w:rFonts w:ascii="Arial" w:hAnsi="Arial" w:cs="Arial"/>
                <w:color w:val="000000"/>
                <w:sz w:val="20"/>
                <w:szCs w:val="20"/>
              </w:rPr>
              <w:t xml:space="preserve"> and has associated high risks</w:t>
            </w:r>
            <w:r w:rsidR="0072406C">
              <w:rPr>
                <w:rFonts w:ascii="Arial" w:hAnsi="Arial" w:cs="Arial"/>
                <w:color w:val="000000"/>
                <w:sz w:val="20"/>
                <w:szCs w:val="20"/>
              </w:rPr>
              <w:t>. The next version of the project’s assessment documentation</w:t>
            </w:r>
            <w:r w:rsidR="00CF260A" w:rsidRPr="009C2F40">
              <w:rPr>
                <w:rFonts w:ascii="Arial" w:hAnsi="Arial" w:cs="Arial"/>
                <w:color w:val="000000"/>
                <w:sz w:val="20"/>
                <w:szCs w:val="20"/>
              </w:rPr>
              <w:t xml:space="preserve"> </w:t>
            </w:r>
            <w:r w:rsidR="0072406C">
              <w:rPr>
                <w:rFonts w:ascii="Arial" w:hAnsi="Arial" w:cs="Arial"/>
                <w:color w:val="000000"/>
                <w:sz w:val="20"/>
                <w:szCs w:val="20"/>
              </w:rPr>
              <w:t>would be expected to</w:t>
            </w:r>
            <w:r w:rsidR="00CF260A" w:rsidRPr="009C2F40">
              <w:rPr>
                <w:rFonts w:ascii="Arial" w:hAnsi="Arial" w:cs="Arial"/>
                <w:color w:val="000000"/>
                <w:sz w:val="20"/>
                <w:szCs w:val="20"/>
              </w:rPr>
              <w:t xml:space="preserve"> contain an Execution Plan for hydraulic stimulation near known faults, detailing: well numbers, type and location; number of multi-seamed wells to be constructed; grid spacing; potential </w:t>
            </w:r>
            <w:r w:rsidR="005A2118">
              <w:rPr>
                <w:rFonts w:ascii="Arial" w:hAnsi="Arial" w:cs="Arial"/>
                <w:color w:val="000000"/>
                <w:sz w:val="20"/>
                <w:szCs w:val="20"/>
              </w:rPr>
              <w:t>for multiple stimulation events; and</w:t>
            </w:r>
            <w:r w:rsidR="00CF260A" w:rsidRPr="009C2F40">
              <w:rPr>
                <w:rFonts w:ascii="Arial" w:hAnsi="Arial" w:cs="Arial"/>
                <w:color w:val="000000"/>
                <w:sz w:val="20"/>
                <w:szCs w:val="20"/>
              </w:rPr>
              <w:t xml:space="preserve"> details of chemical mixing and storage facilities. </w:t>
            </w:r>
            <w:r w:rsidR="00CE5252">
              <w:rPr>
                <w:rFonts w:ascii="Arial" w:hAnsi="Arial" w:cs="Arial"/>
                <w:color w:val="000000"/>
                <w:sz w:val="20"/>
                <w:szCs w:val="20"/>
              </w:rPr>
              <w:t>This information is required t</w:t>
            </w:r>
            <w:r w:rsidR="00CF260A" w:rsidRPr="009C2F40">
              <w:rPr>
                <w:rFonts w:ascii="Arial" w:hAnsi="Arial" w:cs="Arial"/>
                <w:color w:val="000000"/>
                <w:sz w:val="20"/>
                <w:szCs w:val="20"/>
              </w:rPr>
              <w:t xml:space="preserve">o assess whether the risks of </w:t>
            </w:r>
            <w:r w:rsidR="00424093">
              <w:rPr>
                <w:rFonts w:ascii="Arial" w:hAnsi="Arial" w:cs="Arial"/>
                <w:color w:val="000000"/>
                <w:sz w:val="20"/>
                <w:szCs w:val="20"/>
              </w:rPr>
              <w:t>this activity are</w:t>
            </w:r>
            <w:r w:rsidR="00E60120">
              <w:rPr>
                <w:rFonts w:ascii="Arial" w:hAnsi="Arial" w:cs="Arial"/>
                <w:color w:val="000000"/>
                <w:sz w:val="20"/>
                <w:szCs w:val="20"/>
              </w:rPr>
              <w:t xml:space="preserve"> </w:t>
            </w:r>
            <w:r w:rsidR="00D0617A">
              <w:rPr>
                <w:rFonts w:ascii="Arial" w:hAnsi="Arial" w:cs="Arial"/>
                <w:color w:val="000000"/>
                <w:sz w:val="20"/>
                <w:szCs w:val="20"/>
              </w:rPr>
              <w:t>adequately</w:t>
            </w:r>
            <w:r w:rsidR="00CE5252">
              <w:rPr>
                <w:rFonts w:ascii="Arial" w:hAnsi="Arial" w:cs="Arial"/>
                <w:color w:val="000000"/>
                <w:sz w:val="20"/>
                <w:szCs w:val="20"/>
              </w:rPr>
              <w:t xml:space="preserve"> addressed and should also include</w:t>
            </w:r>
            <w:r w:rsidR="00424093">
              <w:rPr>
                <w:rFonts w:ascii="Arial" w:hAnsi="Arial" w:cs="Arial"/>
                <w:color w:val="000000"/>
                <w:sz w:val="20"/>
                <w:szCs w:val="20"/>
              </w:rPr>
              <w:t xml:space="preserve"> a</w:t>
            </w:r>
            <w:r w:rsidR="00CF260A" w:rsidRPr="009C2F40">
              <w:rPr>
                <w:rFonts w:ascii="Arial" w:hAnsi="Arial" w:cs="Arial"/>
                <w:color w:val="000000"/>
                <w:sz w:val="20"/>
                <w:szCs w:val="20"/>
              </w:rPr>
              <w:t xml:space="preserve"> pr</w:t>
            </w:r>
            <w:r w:rsidR="00CE5252">
              <w:rPr>
                <w:rFonts w:ascii="Arial" w:hAnsi="Arial" w:cs="Arial"/>
                <w:color w:val="000000"/>
                <w:sz w:val="20"/>
                <w:szCs w:val="20"/>
              </w:rPr>
              <w:t>oposed Monitoring Plan.</w:t>
            </w:r>
          </w:p>
          <w:p w:rsidR="00CF260A" w:rsidRDefault="00A108C5" w:rsidP="009B560C">
            <w:pPr>
              <w:pStyle w:val="ListNumber"/>
              <w:numPr>
                <w:ilvl w:val="0"/>
                <w:numId w:val="26"/>
              </w:numPr>
              <w:spacing w:after="200" w:line="276" w:lineRule="auto"/>
              <w:ind w:left="276" w:hanging="276"/>
              <w:rPr>
                <w:rFonts w:ascii="Arial" w:hAnsi="Arial" w:cs="Arial"/>
                <w:color w:val="000000"/>
                <w:sz w:val="20"/>
                <w:szCs w:val="20"/>
              </w:rPr>
            </w:pPr>
            <w:r w:rsidRPr="00A108C5">
              <w:rPr>
                <w:rFonts w:ascii="Arial" w:hAnsi="Arial" w:cs="Arial"/>
                <w:i/>
                <w:color w:val="000000"/>
                <w:sz w:val="20"/>
                <w:szCs w:val="20"/>
              </w:rPr>
              <w:t>Groundwater conceptualisation and field studies:</w:t>
            </w:r>
            <w:r>
              <w:rPr>
                <w:rFonts w:ascii="Arial" w:hAnsi="Arial" w:cs="Arial"/>
                <w:color w:val="000000"/>
                <w:sz w:val="20"/>
                <w:szCs w:val="20"/>
              </w:rPr>
              <w:t xml:space="preserve"> </w:t>
            </w:r>
            <w:r w:rsidR="000B49CD">
              <w:rPr>
                <w:rFonts w:ascii="Arial" w:hAnsi="Arial" w:cs="Arial"/>
                <w:color w:val="000000"/>
                <w:sz w:val="20"/>
                <w:szCs w:val="20"/>
              </w:rPr>
              <w:t>The project’s assessment documentation</w:t>
            </w:r>
            <w:r w:rsidR="009B560C">
              <w:rPr>
                <w:rFonts w:ascii="Arial" w:hAnsi="Arial" w:cs="Arial"/>
                <w:color w:val="000000"/>
                <w:sz w:val="20"/>
                <w:szCs w:val="20"/>
              </w:rPr>
              <w:t xml:space="preserve"> </w:t>
            </w:r>
            <w:r w:rsidR="009B560C" w:rsidRPr="00553661">
              <w:rPr>
                <w:rFonts w:ascii="Arial" w:hAnsi="Arial" w:cs="Arial"/>
                <w:color w:val="000000"/>
                <w:sz w:val="20"/>
                <w:szCs w:val="20"/>
              </w:rPr>
              <w:t>focus</w:t>
            </w:r>
            <w:r w:rsidR="000B49CD">
              <w:rPr>
                <w:rFonts w:ascii="Arial" w:hAnsi="Arial" w:cs="Arial"/>
                <w:color w:val="000000"/>
                <w:sz w:val="20"/>
                <w:szCs w:val="20"/>
              </w:rPr>
              <w:t>es</w:t>
            </w:r>
            <w:r w:rsidR="009B560C" w:rsidRPr="00553661">
              <w:rPr>
                <w:rFonts w:ascii="Arial" w:hAnsi="Arial" w:cs="Arial"/>
                <w:color w:val="000000"/>
                <w:sz w:val="20"/>
                <w:szCs w:val="20"/>
              </w:rPr>
              <w:t xml:space="preserve"> predominantly on identifying broader regional-scale environmental sensitivities and development constraints and as such does</w:t>
            </w:r>
            <w:r w:rsidR="00CF260A" w:rsidRPr="00553661">
              <w:rPr>
                <w:rFonts w:ascii="Arial" w:hAnsi="Arial" w:cs="Arial"/>
                <w:color w:val="000000"/>
                <w:sz w:val="20"/>
                <w:szCs w:val="20"/>
              </w:rPr>
              <w:t xml:space="preserve"> not sufficiently address </w:t>
            </w:r>
            <w:r w:rsidR="00CF260A">
              <w:rPr>
                <w:rFonts w:ascii="Arial" w:hAnsi="Arial" w:cs="Arial"/>
                <w:color w:val="000000"/>
                <w:sz w:val="20"/>
                <w:szCs w:val="20"/>
              </w:rPr>
              <w:t xml:space="preserve">the potential </w:t>
            </w:r>
            <w:r w:rsidR="005C2467">
              <w:rPr>
                <w:rFonts w:ascii="Arial" w:hAnsi="Arial" w:cs="Arial"/>
                <w:color w:val="000000"/>
                <w:sz w:val="20"/>
                <w:szCs w:val="20"/>
              </w:rPr>
              <w:t xml:space="preserve">groundwater </w:t>
            </w:r>
            <w:r w:rsidR="00CF260A">
              <w:rPr>
                <w:rFonts w:ascii="Arial" w:hAnsi="Arial" w:cs="Arial"/>
                <w:color w:val="000000"/>
                <w:sz w:val="20"/>
                <w:szCs w:val="20"/>
              </w:rPr>
              <w:t>impacts</w:t>
            </w:r>
            <w:r w:rsidR="005C2467">
              <w:rPr>
                <w:rFonts w:ascii="Arial" w:hAnsi="Arial" w:cs="Arial"/>
                <w:color w:val="000000"/>
                <w:sz w:val="20"/>
                <w:szCs w:val="20"/>
              </w:rPr>
              <w:t xml:space="preserve"> including localised aquifer interconnection</w:t>
            </w:r>
            <w:r w:rsidR="00CF260A">
              <w:rPr>
                <w:rFonts w:ascii="Arial" w:hAnsi="Arial" w:cs="Arial"/>
                <w:color w:val="000000"/>
                <w:sz w:val="20"/>
                <w:szCs w:val="20"/>
              </w:rPr>
              <w:t>,</w:t>
            </w:r>
            <w:r w:rsidR="00CF260A" w:rsidRPr="00553661">
              <w:rPr>
                <w:rFonts w:ascii="Arial" w:hAnsi="Arial" w:cs="Arial"/>
                <w:color w:val="000000"/>
                <w:sz w:val="20"/>
                <w:szCs w:val="20"/>
              </w:rPr>
              <w:t xml:space="preserve"> resulting from local-scale </w:t>
            </w:r>
            <w:proofErr w:type="spellStart"/>
            <w:r w:rsidR="00CF260A">
              <w:rPr>
                <w:rFonts w:ascii="Arial" w:hAnsi="Arial" w:cs="Arial"/>
                <w:color w:val="000000"/>
                <w:sz w:val="20"/>
                <w:szCs w:val="20"/>
              </w:rPr>
              <w:t>hydrogeological</w:t>
            </w:r>
            <w:proofErr w:type="spellEnd"/>
            <w:r w:rsidR="00CF260A">
              <w:rPr>
                <w:rFonts w:ascii="Arial" w:hAnsi="Arial" w:cs="Arial"/>
                <w:color w:val="000000"/>
                <w:sz w:val="20"/>
                <w:szCs w:val="20"/>
              </w:rPr>
              <w:t xml:space="preserve"> variations. </w:t>
            </w:r>
            <w:r w:rsidR="005F62D7">
              <w:rPr>
                <w:rFonts w:ascii="Arial" w:hAnsi="Arial" w:cs="Arial"/>
                <w:color w:val="000000"/>
                <w:sz w:val="20"/>
                <w:szCs w:val="20"/>
              </w:rPr>
              <w:t>The</w:t>
            </w:r>
            <w:r w:rsidR="00CF260A">
              <w:rPr>
                <w:rFonts w:ascii="Arial" w:hAnsi="Arial" w:cs="Arial"/>
                <w:color w:val="000000"/>
                <w:sz w:val="20"/>
                <w:szCs w:val="20"/>
              </w:rPr>
              <w:t xml:space="preserve"> following recommendations are made to address these limitations:   </w:t>
            </w:r>
          </w:p>
          <w:p w:rsidR="00CF260A" w:rsidRDefault="00CF260A" w:rsidP="009B560C">
            <w:pPr>
              <w:pStyle w:val="ListNumber"/>
              <w:numPr>
                <w:ilvl w:val="1"/>
                <w:numId w:val="27"/>
              </w:numPr>
              <w:spacing w:after="200" w:line="276" w:lineRule="auto"/>
              <w:rPr>
                <w:rFonts w:ascii="Arial" w:hAnsi="Arial" w:cs="Arial"/>
                <w:color w:val="000000"/>
                <w:sz w:val="20"/>
                <w:szCs w:val="20"/>
              </w:rPr>
            </w:pPr>
            <w:r>
              <w:rPr>
                <w:rFonts w:ascii="Arial" w:hAnsi="Arial" w:cs="Arial"/>
                <w:color w:val="000000"/>
                <w:sz w:val="20"/>
                <w:szCs w:val="20"/>
              </w:rPr>
              <w:t xml:space="preserve">Further conceptualisation of </w:t>
            </w:r>
            <w:r w:rsidR="00235E8F">
              <w:rPr>
                <w:rFonts w:ascii="Arial" w:hAnsi="Arial" w:cs="Arial"/>
                <w:color w:val="000000"/>
                <w:sz w:val="20"/>
                <w:szCs w:val="20"/>
              </w:rPr>
              <w:t xml:space="preserve">the </w:t>
            </w:r>
            <w:r>
              <w:rPr>
                <w:rFonts w:ascii="Arial" w:hAnsi="Arial" w:cs="Arial"/>
                <w:color w:val="000000"/>
                <w:sz w:val="20"/>
                <w:szCs w:val="20"/>
              </w:rPr>
              <w:t>groundwater</w:t>
            </w:r>
            <w:r w:rsidR="00254B26">
              <w:rPr>
                <w:rFonts w:ascii="Arial" w:hAnsi="Arial" w:cs="Arial"/>
                <w:color w:val="000000"/>
                <w:sz w:val="20"/>
                <w:szCs w:val="20"/>
              </w:rPr>
              <w:t xml:space="preserve"> processes </w:t>
            </w:r>
            <w:r w:rsidR="00235E8F">
              <w:rPr>
                <w:rFonts w:ascii="Arial" w:hAnsi="Arial" w:cs="Arial"/>
                <w:color w:val="000000"/>
                <w:sz w:val="20"/>
                <w:szCs w:val="20"/>
              </w:rPr>
              <w:t>is required to account for</w:t>
            </w:r>
            <w:r>
              <w:rPr>
                <w:rFonts w:ascii="Arial" w:hAnsi="Arial" w:cs="Arial"/>
                <w:color w:val="000000"/>
                <w:sz w:val="20"/>
                <w:szCs w:val="20"/>
              </w:rPr>
              <w:t xml:space="preserve"> </w:t>
            </w:r>
            <w:proofErr w:type="spellStart"/>
            <w:r>
              <w:rPr>
                <w:rFonts w:ascii="Arial" w:hAnsi="Arial" w:cs="Arial"/>
                <w:color w:val="000000"/>
                <w:sz w:val="20"/>
                <w:szCs w:val="20"/>
              </w:rPr>
              <w:t>hydrogeological</w:t>
            </w:r>
            <w:proofErr w:type="spellEnd"/>
            <w:r>
              <w:rPr>
                <w:rFonts w:ascii="Arial" w:hAnsi="Arial" w:cs="Arial"/>
                <w:color w:val="000000"/>
                <w:sz w:val="20"/>
                <w:szCs w:val="20"/>
              </w:rPr>
              <w:t xml:space="preserve"> variation across the northern Bowen Basin. A single conceptual groundwater model cannot adequately account for variation across an </w:t>
            </w:r>
            <w:r w:rsidRPr="00BE45A7">
              <w:rPr>
                <w:rFonts w:ascii="Arial" w:hAnsi="Arial" w:cs="Arial"/>
                <w:color w:val="000000"/>
                <w:sz w:val="20"/>
                <w:szCs w:val="20"/>
              </w:rPr>
              <w:t>8000km</w:t>
            </w:r>
            <w:r w:rsidRPr="00BE45A7">
              <w:rPr>
                <w:rFonts w:ascii="Arial" w:hAnsi="Arial" w:cs="Arial"/>
                <w:color w:val="000000"/>
                <w:sz w:val="20"/>
                <w:szCs w:val="20"/>
                <w:vertAlign w:val="superscript"/>
              </w:rPr>
              <w:t>2</w:t>
            </w:r>
            <w:r>
              <w:rPr>
                <w:rFonts w:ascii="Arial" w:hAnsi="Arial" w:cs="Arial"/>
                <w:color w:val="000000"/>
                <w:sz w:val="20"/>
                <w:szCs w:val="20"/>
                <w:vertAlign w:val="superscript"/>
              </w:rPr>
              <w:t xml:space="preserve"> </w:t>
            </w:r>
            <w:r w:rsidR="00D72F2A">
              <w:rPr>
                <w:rFonts w:ascii="Arial" w:hAnsi="Arial" w:cs="Arial"/>
                <w:color w:val="000000"/>
                <w:sz w:val="20"/>
                <w:szCs w:val="20"/>
              </w:rPr>
              <w:t>project area;</w:t>
            </w:r>
            <w:r w:rsidR="00BE1788">
              <w:rPr>
                <w:rFonts w:ascii="Arial" w:hAnsi="Arial" w:cs="Arial"/>
                <w:color w:val="000000"/>
                <w:sz w:val="20"/>
                <w:szCs w:val="20"/>
              </w:rPr>
              <w:t xml:space="preserve"> </w:t>
            </w:r>
          </w:p>
          <w:p w:rsidR="00CF260A" w:rsidRDefault="00CF260A" w:rsidP="009B560C">
            <w:pPr>
              <w:pStyle w:val="ListNumber"/>
              <w:numPr>
                <w:ilvl w:val="1"/>
                <w:numId w:val="27"/>
              </w:numPr>
              <w:spacing w:after="200" w:line="276" w:lineRule="auto"/>
              <w:rPr>
                <w:rFonts w:ascii="Arial" w:hAnsi="Arial" w:cs="Arial"/>
                <w:color w:val="000000"/>
                <w:sz w:val="20"/>
                <w:szCs w:val="20"/>
              </w:rPr>
            </w:pPr>
            <w:r>
              <w:rPr>
                <w:rFonts w:ascii="Arial" w:hAnsi="Arial" w:cs="Arial"/>
                <w:color w:val="000000"/>
                <w:sz w:val="20"/>
                <w:szCs w:val="20"/>
              </w:rPr>
              <w:t xml:space="preserve">Groundwater field studies are required to </w:t>
            </w:r>
            <w:r w:rsidRPr="00066B7A">
              <w:rPr>
                <w:rFonts w:ascii="Arial" w:hAnsi="Arial" w:cs="Arial"/>
                <w:color w:val="000000"/>
                <w:sz w:val="20"/>
                <w:szCs w:val="20"/>
              </w:rPr>
              <w:t>coll</w:t>
            </w:r>
            <w:r>
              <w:rPr>
                <w:rFonts w:ascii="Arial" w:hAnsi="Arial" w:cs="Arial"/>
                <w:color w:val="000000"/>
                <w:sz w:val="20"/>
                <w:szCs w:val="20"/>
              </w:rPr>
              <w:t>ect site-specific data</w:t>
            </w:r>
            <w:r w:rsidR="00DB6DF2">
              <w:rPr>
                <w:rFonts w:ascii="Arial" w:hAnsi="Arial" w:cs="Arial"/>
                <w:color w:val="000000"/>
                <w:sz w:val="20"/>
                <w:szCs w:val="20"/>
              </w:rPr>
              <w:t xml:space="preserve"> to substantiate the groundwater conceptualisation and inform the numerical model parameterisation</w:t>
            </w:r>
            <w:r>
              <w:rPr>
                <w:rFonts w:ascii="Arial" w:hAnsi="Arial" w:cs="Arial"/>
                <w:color w:val="000000"/>
                <w:sz w:val="20"/>
                <w:szCs w:val="20"/>
              </w:rPr>
              <w:t>. The</w:t>
            </w:r>
            <w:r w:rsidRPr="00066B7A">
              <w:rPr>
                <w:rFonts w:ascii="Arial" w:hAnsi="Arial" w:cs="Arial"/>
                <w:color w:val="000000"/>
                <w:sz w:val="20"/>
                <w:szCs w:val="20"/>
              </w:rPr>
              <w:t xml:space="preserve"> </w:t>
            </w:r>
            <w:r>
              <w:rPr>
                <w:rFonts w:ascii="Arial" w:hAnsi="Arial" w:cs="Arial"/>
                <w:color w:val="000000"/>
                <w:sz w:val="20"/>
                <w:szCs w:val="20"/>
              </w:rPr>
              <w:t xml:space="preserve">current assessment relies only on existing data and literature to </w:t>
            </w:r>
            <w:r w:rsidRPr="00066B7A">
              <w:rPr>
                <w:rFonts w:ascii="Arial" w:hAnsi="Arial" w:cs="Arial"/>
                <w:color w:val="000000"/>
                <w:sz w:val="20"/>
                <w:szCs w:val="20"/>
              </w:rPr>
              <w:t>quantify the potential impacts to groundwater</w:t>
            </w:r>
            <w:r>
              <w:rPr>
                <w:rFonts w:ascii="Arial" w:hAnsi="Arial" w:cs="Arial"/>
                <w:color w:val="000000"/>
                <w:sz w:val="20"/>
                <w:szCs w:val="20"/>
              </w:rPr>
              <w:t xml:space="preserve">, including aquifer interconnection. </w:t>
            </w:r>
            <w:r w:rsidRPr="00066B7A">
              <w:rPr>
                <w:rFonts w:ascii="Arial" w:hAnsi="Arial" w:cs="Arial"/>
                <w:color w:val="000000"/>
                <w:sz w:val="20"/>
                <w:szCs w:val="20"/>
              </w:rPr>
              <w:t xml:space="preserve">The Committee advises that </w:t>
            </w:r>
            <w:r>
              <w:rPr>
                <w:rFonts w:ascii="Arial" w:hAnsi="Arial" w:cs="Arial"/>
                <w:color w:val="000000"/>
                <w:sz w:val="20"/>
                <w:szCs w:val="20"/>
              </w:rPr>
              <w:t xml:space="preserve">these field </w:t>
            </w:r>
            <w:r w:rsidR="00CE5252">
              <w:rPr>
                <w:rFonts w:ascii="Arial" w:hAnsi="Arial" w:cs="Arial"/>
                <w:color w:val="000000"/>
                <w:sz w:val="20"/>
                <w:szCs w:val="20"/>
              </w:rPr>
              <w:t>studies are necessary</w:t>
            </w:r>
            <w:r w:rsidR="009D1E50">
              <w:rPr>
                <w:rFonts w:ascii="Arial" w:hAnsi="Arial" w:cs="Arial"/>
                <w:color w:val="000000"/>
                <w:sz w:val="20"/>
                <w:szCs w:val="20"/>
              </w:rPr>
              <w:t xml:space="preserve"> </w:t>
            </w:r>
            <w:r>
              <w:rPr>
                <w:rFonts w:ascii="Arial" w:hAnsi="Arial" w:cs="Arial"/>
                <w:color w:val="000000"/>
                <w:sz w:val="20"/>
                <w:szCs w:val="20"/>
              </w:rPr>
              <w:t xml:space="preserve">to </w:t>
            </w:r>
            <w:r w:rsidR="00DB6DF2">
              <w:rPr>
                <w:rFonts w:ascii="Arial" w:hAnsi="Arial" w:cs="Arial"/>
                <w:color w:val="000000"/>
                <w:sz w:val="20"/>
                <w:szCs w:val="20"/>
              </w:rPr>
              <w:t>characterise</w:t>
            </w:r>
            <w:r>
              <w:rPr>
                <w:rFonts w:ascii="Arial" w:hAnsi="Arial" w:cs="Arial"/>
                <w:color w:val="000000"/>
                <w:sz w:val="20"/>
                <w:szCs w:val="20"/>
              </w:rPr>
              <w:t xml:space="preserve"> </w:t>
            </w:r>
            <w:r w:rsidRPr="0098277A">
              <w:rPr>
                <w:rFonts w:ascii="Arial" w:hAnsi="Arial" w:cs="Arial"/>
                <w:color w:val="000000"/>
                <w:sz w:val="20"/>
                <w:szCs w:val="20"/>
              </w:rPr>
              <w:t xml:space="preserve">local scale impacts, verify </w:t>
            </w:r>
            <w:r w:rsidR="00DB6DF2">
              <w:rPr>
                <w:rFonts w:ascii="Arial" w:hAnsi="Arial" w:cs="Arial"/>
                <w:color w:val="000000"/>
                <w:sz w:val="20"/>
                <w:szCs w:val="20"/>
              </w:rPr>
              <w:t>the conceptualisation</w:t>
            </w:r>
            <w:r w:rsidRPr="0098277A">
              <w:rPr>
                <w:rFonts w:ascii="Arial" w:hAnsi="Arial" w:cs="Arial"/>
                <w:color w:val="000000"/>
                <w:sz w:val="20"/>
                <w:szCs w:val="20"/>
              </w:rPr>
              <w:t xml:space="preserve"> and establish a robust baseline</w:t>
            </w:r>
            <w:r>
              <w:rPr>
                <w:rFonts w:ascii="Arial" w:hAnsi="Arial" w:cs="Arial"/>
                <w:color w:val="000000"/>
                <w:sz w:val="20"/>
                <w:szCs w:val="20"/>
              </w:rPr>
              <w:t xml:space="preserve"> and should not be </w:t>
            </w:r>
            <w:r w:rsidRPr="0098277A">
              <w:rPr>
                <w:rFonts w:ascii="Arial" w:hAnsi="Arial" w:cs="Arial"/>
                <w:color w:val="000000"/>
                <w:sz w:val="20"/>
                <w:szCs w:val="20"/>
              </w:rPr>
              <w:t>deferred until post-approval monitoring and management</w:t>
            </w:r>
            <w:r>
              <w:rPr>
                <w:rFonts w:ascii="Arial" w:hAnsi="Arial" w:cs="Arial"/>
                <w:color w:val="000000"/>
                <w:sz w:val="20"/>
                <w:szCs w:val="20"/>
              </w:rPr>
              <w:t>.</w:t>
            </w:r>
            <w:r w:rsidRPr="0098277A">
              <w:rPr>
                <w:rFonts w:ascii="Arial" w:hAnsi="Arial" w:cs="Arial"/>
                <w:color w:val="000000"/>
                <w:sz w:val="20"/>
                <w:szCs w:val="20"/>
              </w:rPr>
              <w:t xml:space="preserve">  </w:t>
            </w:r>
            <w:r>
              <w:rPr>
                <w:rFonts w:ascii="Arial" w:hAnsi="Arial" w:cs="Arial"/>
                <w:color w:val="000000"/>
                <w:sz w:val="20"/>
                <w:szCs w:val="20"/>
              </w:rPr>
              <w:t xml:space="preserve"> </w:t>
            </w:r>
          </w:p>
          <w:p w:rsidR="00CF260A" w:rsidRPr="00C65AE5" w:rsidRDefault="00A108C5" w:rsidP="004E2C78">
            <w:pPr>
              <w:pStyle w:val="ListNumber"/>
              <w:numPr>
                <w:ilvl w:val="0"/>
                <w:numId w:val="26"/>
              </w:numPr>
              <w:spacing w:after="240" w:line="276" w:lineRule="auto"/>
              <w:ind w:left="276" w:hanging="276"/>
              <w:rPr>
                <w:rFonts w:ascii="Arial" w:hAnsi="Arial" w:cs="Arial"/>
                <w:sz w:val="20"/>
                <w:szCs w:val="20"/>
              </w:rPr>
            </w:pPr>
            <w:r w:rsidRPr="00A108C5">
              <w:rPr>
                <w:rFonts w:ascii="Arial" w:hAnsi="Arial" w:cs="Arial"/>
                <w:i/>
                <w:color w:val="000000"/>
                <w:sz w:val="20"/>
                <w:szCs w:val="20"/>
              </w:rPr>
              <w:t>Interconnectivity risks:</w:t>
            </w:r>
            <w:r>
              <w:rPr>
                <w:rFonts w:ascii="Arial" w:hAnsi="Arial" w:cs="Arial"/>
                <w:color w:val="000000"/>
                <w:sz w:val="20"/>
                <w:szCs w:val="20"/>
              </w:rPr>
              <w:t xml:space="preserve"> </w:t>
            </w:r>
            <w:r w:rsidR="00CF260A" w:rsidRPr="007D521C">
              <w:rPr>
                <w:rFonts w:ascii="Arial" w:hAnsi="Arial" w:cs="Arial"/>
                <w:color w:val="000000"/>
                <w:sz w:val="20"/>
                <w:szCs w:val="20"/>
              </w:rPr>
              <w:t>Detailed consideration should be given to the risks for aquifer interconnectivity in the areas where the Rewan Formation is not present</w:t>
            </w:r>
            <w:r w:rsidR="00CF260A">
              <w:rPr>
                <w:rFonts w:ascii="Arial" w:hAnsi="Arial" w:cs="Arial"/>
                <w:color w:val="000000"/>
                <w:sz w:val="20"/>
                <w:szCs w:val="20"/>
              </w:rPr>
              <w:t xml:space="preserve">, particularly where </w:t>
            </w:r>
            <w:r w:rsidR="00CF260A" w:rsidRPr="007D521C">
              <w:rPr>
                <w:rFonts w:ascii="Arial" w:hAnsi="Arial" w:cs="Arial"/>
                <w:color w:val="000000"/>
                <w:sz w:val="20"/>
                <w:szCs w:val="20"/>
              </w:rPr>
              <w:t xml:space="preserve">the Blackwater Group subcrops and outcrops.  The absence of the Rewan Formation may increase the risk of interconnectivity, drawdown and the mixing of groundwater especially where the target coal formations are in direct contact with alluvial aquifers.  </w:t>
            </w:r>
          </w:p>
          <w:p w:rsidR="00CF260A" w:rsidRPr="00AC0A6D" w:rsidRDefault="00CF260A" w:rsidP="00A774CE">
            <w:pPr>
              <w:pStyle w:val="Default"/>
              <w:spacing w:after="120" w:line="276" w:lineRule="auto"/>
              <w:rPr>
                <w:rFonts w:ascii="Arial" w:hAnsi="Arial" w:cs="Arial"/>
                <w:color w:val="auto"/>
                <w:sz w:val="20"/>
                <w:szCs w:val="20"/>
                <w:lang w:eastAsia="en-US"/>
              </w:rPr>
            </w:pPr>
            <w:r w:rsidRPr="00AC0A6D">
              <w:rPr>
                <w:rFonts w:ascii="Arial" w:hAnsi="Arial" w:cs="Arial"/>
                <w:i/>
                <w:sz w:val="20"/>
                <w:szCs w:val="20"/>
              </w:rPr>
              <w:t>Question 2:</w:t>
            </w:r>
            <w:r w:rsidRPr="00AC0A6D">
              <w:rPr>
                <w:rFonts w:ascii="Arial" w:hAnsi="Arial" w:cs="Arial"/>
                <w:color w:val="auto"/>
                <w:sz w:val="20"/>
                <w:szCs w:val="20"/>
                <w:lang w:eastAsia="en-US"/>
              </w:rPr>
              <w:t xml:space="preserve"> </w:t>
            </w:r>
            <w:r w:rsidRPr="00E55C1F">
              <w:rPr>
                <w:rFonts w:ascii="Arial" w:hAnsi="Arial" w:cs="Arial"/>
                <w:i/>
                <w:color w:val="auto"/>
                <w:sz w:val="20"/>
                <w:szCs w:val="20"/>
                <w:lang w:eastAsia="en-US"/>
              </w:rPr>
              <w:t xml:space="preserve">Groundwater - Does the EIS sufficiently address the potential for interconnection of aquifers and/or coal seam gas contamination in target and non-target aquifers particularly at fault lines, with or without </w:t>
            </w:r>
            <w:proofErr w:type="spellStart"/>
            <w:r w:rsidRPr="00E55C1F">
              <w:rPr>
                <w:rFonts w:ascii="Arial" w:hAnsi="Arial" w:cs="Arial"/>
                <w:i/>
                <w:color w:val="auto"/>
                <w:sz w:val="20"/>
                <w:szCs w:val="20"/>
                <w:lang w:eastAsia="en-US"/>
              </w:rPr>
              <w:t>fraccing</w:t>
            </w:r>
            <w:proofErr w:type="spellEnd"/>
            <w:r w:rsidRPr="00E55C1F">
              <w:rPr>
                <w:rFonts w:ascii="Arial" w:hAnsi="Arial" w:cs="Arial"/>
                <w:i/>
                <w:color w:val="auto"/>
                <w:sz w:val="20"/>
                <w:szCs w:val="20"/>
                <w:lang w:eastAsia="en-US"/>
              </w:rPr>
              <w:t>?</w:t>
            </w:r>
          </w:p>
          <w:p w:rsidR="00CF260A" w:rsidRPr="00633D1C" w:rsidRDefault="00CF260A" w:rsidP="00A774CE">
            <w:pPr>
              <w:pStyle w:val="ListNumber"/>
              <w:spacing w:line="276" w:lineRule="auto"/>
              <w:rPr>
                <w:rFonts w:ascii="Arial" w:hAnsi="Arial" w:cs="Arial"/>
                <w:sz w:val="20"/>
                <w:szCs w:val="20"/>
              </w:rPr>
            </w:pPr>
            <w:r w:rsidRPr="007F41C6">
              <w:rPr>
                <w:rFonts w:ascii="Arial" w:hAnsi="Arial" w:cs="Arial"/>
                <w:sz w:val="20"/>
                <w:szCs w:val="20"/>
              </w:rPr>
              <w:t xml:space="preserve">The potential for aquifer interconnection is partly addressed in </w:t>
            </w:r>
            <w:r>
              <w:rPr>
                <w:rFonts w:ascii="Arial" w:hAnsi="Arial" w:cs="Arial"/>
                <w:sz w:val="20"/>
                <w:szCs w:val="20"/>
              </w:rPr>
              <w:t xml:space="preserve">the response for </w:t>
            </w:r>
            <w:r w:rsidRPr="007F41C6">
              <w:rPr>
                <w:rFonts w:ascii="Arial" w:hAnsi="Arial" w:cs="Arial"/>
                <w:sz w:val="20"/>
                <w:szCs w:val="20"/>
              </w:rPr>
              <w:t>Question</w:t>
            </w:r>
            <w:r>
              <w:rPr>
                <w:rFonts w:ascii="Arial" w:hAnsi="Arial" w:cs="Arial"/>
                <w:sz w:val="20"/>
                <w:szCs w:val="20"/>
              </w:rPr>
              <w:t xml:space="preserve"> </w:t>
            </w:r>
            <w:r w:rsidRPr="007F41C6">
              <w:rPr>
                <w:rFonts w:ascii="Arial" w:hAnsi="Arial" w:cs="Arial"/>
                <w:sz w:val="20"/>
                <w:szCs w:val="20"/>
              </w:rPr>
              <w:t>1</w:t>
            </w:r>
            <w:r w:rsidR="000B49CD">
              <w:rPr>
                <w:rFonts w:ascii="Arial" w:hAnsi="Arial" w:cs="Arial"/>
                <w:sz w:val="20"/>
                <w:szCs w:val="20"/>
              </w:rPr>
              <w:t xml:space="preserve"> (above).  The project’s assessment documentation</w:t>
            </w:r>
            <w:r>
              <w:rPr>
                <w:rFonts w:ascii="Arial" w:hAnsi="Arial" w:cs="Arial"/>
                <w:sz w:val="20"/>
                <w:szCs w:val="20"/>
              </w:rPr>
              <w:t xml:space="preserve"> does </w:t>
            </w:r>
            <w:r w:rsidRPr="007F41C6">
              <w:rPr>
                <w:rFonts w:ascii="Arial" w:hAnsi="Arial" w:cs="Arial"/>
                <w:sz w:val="20"/>
                <w:szCs w:val="20"/>
              </w:rPr>
              <w:t>no</w:t>
            </w:r>
            <w:r w:rsidR="00FD79BE">
              <w:rPr>
                <w:rFonts w:ascii="Arial" w:hAnsi="Arial" w:cs="Arial"/>
                <w:sz w:val="20"/>
                <w:szCs w:val="20"/>
              </w:rPr>
              <w:t xml:space="preserve">t </w:t>
            </w:r>
            <w:r w:rsidR="00E60120">
              <w:rPr>
                <w:rFonts w:ascii="Arial" w:hAnsi="Arial" w:cs="Arial"/>
                <w:sz w:val="20"/>
                <w:szCs w:val="20"/>
              </w:rPr>
              <w:t xml:space="preserve">adequately </w:t>
            </w:r>
            <w:r w:rsidR="00FD79BE">
              <w:rPr>
                <w:rFonts w:ascii="Arial" w:hAnsi="Arial" w:cs="Arial"/>
                <w:sz w:val="20"/>
                <w:szCs w:val="20"/>
              </w:rPr>
              <w:t>address the role of fault</w:t>
            </w:r>
            <w:r w:rsidRPr="007F41C6">
              <w:rPr>
                <w:rFonts w:ascii="Arial" w:hAnsi="Arial" w:cs="Arial"/>
                <w:sz w:val="20"/>
                <w:szCs w:val="20"/>
              </w:rPr>
              <w:t xml:space="preserve">s on the interconnection of aquifers and on the potential for coal seam gas contamination. </w:t>
            </w:r>
            <w:r w:rsidR="00BC4393">
              <w:rPr>
                <w:rFonts w:ascii="Arial" w:hAnsi="Arial" w:cs="Arial"/>
                <w:sz w:val="20"/>
                <w:szCs w:val="20"/>
              </w:rPr>
              <w:t>T</w:t>
            </w:r>
            <w:r w:rsidR="00920FFB" w:rsidRPr="00920FFB">
              <w:rPr>
                <w:rFonts w:ascii="Arial" w:hAnsi="Arial" w:cs="Arial"/>
                <w:sz w:val="20"/>
                <w:szCs w:val="20"/>
              </w:rPr>
              <w:t xml:space="preserve">here is a </w:t>
            </w:r>
            <w:r w:rsidR="00920FFB">
              <w:rPr>
                <w:rFonts w:ascii="Arial" w:hAnsi="Arial" w:cs="Arial"/>
                <w:sz w:val="20"/>
                <w:szCs w:val="20"/>
              </w:rPr>
              <w:t xml:space="preserve">potential for </w:t>
            </w:r>
            <w:r w:rsidR="006F70D1">
              <w:rPr>
                <w:rFonts w:ascii="Arial" w:hAnsi="Arial" w:cs="Arial"/>
                <w:sz w:val="20"/>
                <w:szCs w:val="20"/>
              </w:rPr>
              <w:t>fault</w:t>
            </w:r>
            <w:r w:rsidR="00FD79BE">
              <w:rPr>
                <w:rFonts w:ascii="Arial" w:hAnsi="Arial" w:cs="Arial"/>
                <w:sz w:val="20"/>
                <w:szCs w:val="20"/>
              </w:rPr>
              <w:t>s</w:t>
            </w:r>
            <w:r w:rsidR="006F70D1">
              <w:rPr>
                <w:rFonts w:ascii="Arial" w:hAnsi="Arial" w:cs="Arial"/>
                <w:sz w:val="20"/>
                <w:szCs w:val="20"/>
              </w:rPr>
              <w:t xml:space="preserve"> to play a role in </w:t>
            </w:r>
            <w:r w:rsidR="00920FFB">
              <w:rPr>
                <w:rFonts w:ascii="Arial" w:hAnsi="Arial" w:cs="Arial"/>
                <w:sz w:val="20"/>
                <w:szCs w:val="20"/>
              </w:rPr>
              <w:t>aquifer interconn</w:t>
            </w:r>
            <w:r w:rsidR="00920FFB" w:rsidRPr="00920FFB">
              <w:rPr>
                <w:rFonts w:ascii="Arial" w:hAnsi="Arial" w:cs="Arial"/>
                <w:sz w:val="20"/>
                <w:szCs w:val="20"/>
              </w:rPr>
              <w:t>e</w:t>
            </w:r>
            <w:r w:rsidR="00920FFB">
              <w:rPr>
                <w:rFonts w:ascii="Arial" w:hAnsi="Arial" w:cs="Arial"/>
                <w:sz w:val="20"/>
                <w:szCs w:val="20"/>
              </w:rPr>
              <w:t>ction</w:t>
            </w:r>
            <w:r w:rsidR="00BC4393">
              <w:rPr>
                <w:rFonts w:ascii="Arial" w:hAnsi="Arial" w:cs="Arial"/>
                <w:sz w:val="20"/>
                <w:szCs w:val="20"/>
              </w:rPr>
              <w:t>.</w:t>
            </w:r>
            <w:r w:rsidR="00F04DDE">
              <w:rPr>
                <w:rFonts w:ascii="Arial" w:hAnsi="Arial" w:cs="Arial"/>
                <w:sz w:val="20"/>
                <w:szCs w:val="20"/>
              </w:rPr>
              <w:t xml:space="preserve"> The Committee is concerned about</w:t>
            </w:r>
            <w:r w:rsidR="00BC4393">
              <w:rPr>
                <w:rFonts w:ascii="Arial" w:hAnsi="Arial" w:cs="Arial"/>
                <w:sz w:val="20"/>
                <w:szCs w:val="20"/>
              </w:rPr>
              <w:t xml:space="preserve"> the lack of relevant data,</w:t>
            </w:r>
            <w:r w:rsidR="00476D9B">
              <w:rPr>
                <w:rFonts w:ascii="Arial" w:hAnsi="Arial" w:cs="Arial"/>
                <w:sz w:val="20"/>
                <w:szCs w:val="20"/>
              </w:rPr>
              <w:t xml:space="preserve"> risk assessment,</w:t>
            </w:r>
            <w:r w:rsidR="00BC4393">
              <w:rPr>
                <w:rFonts w:ascii="Arial" w:hAnsi="Arial" w:cs="Arial"/>
                <w:sz w:val="20"/>
                <w:szCs w:val="20"/>
              </w:rPr>
              <w:t xml:space="preserve"> field </w:t>
            </w:r>
            <w:r w:rsidR="00BC4393">
              <w:rPr>
                <w:rFonts w:ascii="Arial" w:hAnsi="Arial" w:cs="Arial"/>
                <w:sz w:val="20"/>
                <w:szCs w:val="20"/>
              </w:rPr>
              <w:lastRenderedPageBreak/>
              <w:t xml:space="preserve">investigation on faulting, and the restricted treatment of faults within the numerical modelling. The Committee considers that </w:t>
            </w:r>
            <w:r w:rsidRPr="004672C7">
              <w:rPr>
                <w:rFonts w:ascii="Arial" w:hAnsi="Arial" w:cs="Arial"/>
                <w:sz w:val="20"/>
                <w:szCs w:val="20"/>
              </w:rPr>
              <w:t xml:space="preserve">the </w:t>
            </w:r>
            <w:r w:rsidR="0099550D">
              <w:rPr>
                <w:rFonts w:ascii="Arial" w:hAnsi="Arial" w:cs="Arial"/>
                <w:sz w:val="20"/>
                <w:szCs w:val="20"/>
              </w:rPr>
              <w:t>matters</w:t>
            </w:r>
            <w:r w:rsidR="0099550D" w:rsidRPr="004672C7">
              <w:rPr>
                <w:rFonts w:ascii="Arial" w:hAnsi="Arial" w:cs="Arial"/>
                <w:sz w:val="20"/>
                <w:szCs w:val="20"/>
              </w:rPr>
              <w:t xml:space="preserve"> </w:t>
            </w:r>
            <w:r w:rsidRPr="004672C7">
              <w:rPr>
                <w:rFonts w:ascii="Arial" w:hAnsi="Arial" w:cs="Arial"/>
                <w:sz w:val="20"/>
                <w:szCs w:val="20"/>
              </w:rPr>
              <w:t>outlined below</w:t>
            </w:r>
            <w:r w:rsidR="00476D9B">
              <w:rPr>
                <w:rFonts w:ascii="Arial" w:hAnsi="Arial" w:cs="Arial"/>
                <w:sz w:val="20"/>
                <w:szCs w:val="20"/>
              </w:rPr>
              <w:t xml:space="preserve"> need to be addressed</w:t>
            </w:r>
            <w:r w:rsidRPr="004672C7">
              <w:rPr>
                <w:rFonts w:ascii="Arial" w:hAnsi="Arial" w:cs="Arial"/>
                <w:sz w:val="20"/>
                <w:szCs w:val="20"/>
              </w:rPr>
              <w:t>.</w:t>
            </w:r>
          </w:p>
          <w:p w:rsidR="00CF260A" w:rsidRPr="00C75868" w:rsidRDefault="0014623D" w:rsidP="009B560C">
            <w:pPr>
              <w:pStyle w:val="ListNumber"/>
              <w:numPr>
                <w:ilvl w:val="0"/>
                <w:numId w:val="26"/>
              </w:numPr>
              <w:spacing w:after="200" w:line="276" w:lineRule="auto"/>
              <w:ind w:left="276" w:hanging="276"/>
              <w:rPr>
                <w:rFonts w:ascii="Arial" w:hAnsi="Arial" w:cs="Arial"/>
                <w:sz w:val="20"/>
                <w:szCs w:val="20"/>
              </w:rPr>
            </w:pPr>
            <w:r w:rsidRPr="0014623D">
              <w:rPr>
                <w:rFonts w:ascii="Arial" w:hAnsi="Arial" w:cs="Arial"/>
                <w:i/>
                <w:sz w:val="20"/>
                <w:szCs w:val="20"/>
              </w:rPr>
              <w:t>Simplification of fault characteristics:</w:t>
            </w:r>
            <w:r>
              <w:rPr>
                <w:rFonts w:ascii="Arial" w:hAnsi="Arial" w:cs="Arial"/>
                <w:sz w:val="20"/>
                <w:szCs w:val="20"/>
              </w:rPr>
              <w:t xml:space="preserve"> </w:t>
            </w:r>
            <w:r w:rsidR="00CF260A" w:rsidRPr="00C75868">
              <w:rPr>
                <w:rFonts w:ascii="Arial" w:hAnsi="Arial" w:cs="Arial"/>
                <w:sz w:val="20"/>
                <w:szCs w:val="20"/>
              </w:rPr>
              <w:t xml:space="preserve">The </w:t>
            </w:r>
            <w:r w:rsidR="000B49CD">
              <w:rPr>
                <w:rFonts w:ascii="Arial" w:hAnsi="Arial" w:cs="Arial"/>
                <w:sz w:val="20"/>
                <w:szCs w:val="20"/>
              </w:rPr>
              <w:t>project’s assessment documentation</w:t>
            </w:r>
            <w:r w:rsidR="00CF260A" w:rsidRPr="00C75868">
              <w:rPr>
                <w:rFonts w:ascii="Arial" w:hAnsi="Arial" w:cs="Arial"/>
                <w:sz w:val="20"/>
                <w:szCs w:val="20"/>
              </w:rPr>
              <w:t xml:space="preserve"> has applied oversimplified assumptions when considering the potential for fault</w:t>
            </w:r>
            <w:r w:rsidR="00C964F8">
              <w:rPr>
                <w:rFonts w:ascii="Arial" w:hAnsi="Arial" w:cs="Arial"/>
                <w:sz w:val="20"/>
                <w:szCs w:val="20"/>
              </w:rPr>
              <w:t>s</w:t>
            </w:r>
            <w:r w:rsidR="00A12A4C">
              <w:rPr>
                <w:rFonts w:ascii="Arial" w:hAnsi="Arial" w:cs="Arial"/>
                <w:sz w:val="20"/>
                <w:szCs w:val="20"/>
              </w:rPr>
              <w:t xml:space="preserve"> to impact</w:t>
            </w:r>
            <w:r w:rsidR="00CF260A" w:rsidRPr="00C75868">
              <w:rPr>
                <w:rFonts w:ascii="Arial" w:hAnsi="Arial" w:cs="Arial"/>
                <w:sz w:val="20"/>
                <w:szCs w:val="20"/>
              </w:rPr>
              <w:t xml:space="preserve"> and their contribution to aquifer interconnection an</w:t>
            </w:r>
            <w:r w:rsidR="00CF260A">
              <w:rPr>
                <w:rFonts w:ascii="Arial" w:hAnsi="Arial" w:cs="Arial"/>
                <w:sz w:val="20"/>
                <w:szCs w:val="20"/>
              </w:rPr>
              <w:t xml:space="preserve">d coal seam gas migration. </w:t>
            </w:r>
            <w:r w:rsidR="00CF260A" w:rsidRPr="00C75868">
              <w:rPr>
                <w:rFonts w:ascii="Arial" w:hAnsi="Arial" w:cs="Arial"/>
                <w:sz w:val="20"/>
                <w:szCs w:val="20"/>
              </w:rPr>
              <w:t>The project area has a complex array of thrust faults bu</w:t>
            </w:r>
            <w:r w:rsidR="00A12A4C">
              <w:rPr>
                <w:rFonts w:ascii="Arial" w:hAnsi="Arial" w:cs="Arial"/>
                <w:sz w:val="20"/>
                <w:szCs w:val="20"/>
              </w:rPr>
              <w:t>t only major regional fault</w:t>
            </w:r>
            <w:r w:rsidR="00CF260A" w:rsidRPr="00C75868">
              <w:rPr>
                <w:rFonts w:ascii="Arial" w:hAnsi="Arial" w:cs="Arial"/>
                <w:sz w:val="20"/>
                <w:szCs w:val="20"/>
              </w:rPr>
              <w:t xml:space="preserve">s have been considered. A general assumption has been made that the faults are compressive and likely to result in compartmentalisation of groundwater. </w:t>
            </w:r>
            <w:r w:rsidR="007E4E94">
              <w:rPr>
                <w:rFonts w:ascii="Arial" w:hAnsi="Arial" w:cs="Arial"/>
                <w:sz w:val="20"/>
                <w:szCs w:val="20"/>
              </w:rPr>
              <w:t>M</w:t>
            </w:r>
            <w:r w:rsidR="006977C0">
              <w:rPr>
                <w:rFonts w:ascii="Arial" w:hAnsi="Arial" w:cs="Arial"/>
                <w:sz w:val="20"/>
                <w:szCs w:val="20"/>
              </w:rPr>
              <w:t xml:space="preserve">ore detailed consideration </w:t>
            </w:r>
            <w:r w:rsidR="007E4E94">
              <w:rPr>
                <w:rFonts w:ascii="Arial" w:hAnsi="Arial" w:cs="Arial"/>
                <w:sz w:val="20"/>
                <w:szCs w:val="20"/>
              </w:rPr>
              <w:t xml:space="preserve">is needed of </w:t>
            </w:r>
            <w:r w:rsidR="006977C0">
              <w:rPr>
                <w:rFonts w:ascii="Arial" w:hAnsi="Arial" w:cs="Arial"/>
                <w:sz w:val="20"/>
                <w:szCs w:val="20"/>
              </w:rPr>
              <w:t>the following</w:t>
            </w:r>
            <w:r w:rsidR="007E4E94">
              <w:rPr>
                <w:rFonts w:ascii="Arial" w:hAnsi="Arial" w:cs="Arial"/>
                <w:sz w:val="20"/>
                <w:szCs w:val="20"/>
              </w:rPr>
              <w:t xml:space="preserve"> issues</w:t>
            </w:r>
            <w:r w:rsidR="00CF260A" w:rsidRPr="00C75868">
              <w:rPr>
                <w:rFonts w:ascii="Arial" w:hAnsi="Arial" w:cs="Arial"/>
                <w:sz w:val="20"/>
                <w:szCs w:val="20"/>
              </w:rPr>
              <w:t xml:space="preserve">: </w:t>
            </w:r>
          </w:p>
          <w:p w:rsidR="00CF260A" w:rsidRPr="00C07686" w:rsidRDefault="00CF260A" w:rsidP="009B560C">
            <w:pPr>
              <w:pStyle w:val="ListNumber2"/>
              <w:numPr>
                <w:ilvl w:val="1"/>
                <w:numId w:val="27"/>
              </w:numPr>
              <w:spacing w:after="200" w:line="276" w:lineRule="auto"/>
              <w:rPr>
                <w:rFonts w:ascii="Arial" w:hAnsi="Arial" w:cs="Arial"/>
                <w:sz w:val="20"/>
                <w:szCs w:val="20"/>
              </w:rPr>
            </w:pPr>
            <w:r w:rsidRPr="00C07686">
              <w:rPr>
                <w:rFonts w:ascii="Arial" w:hAnsi="Arial" w:cs="Arial"/>
                <w:sz w:val="20"/>
                <w:szCs w:val="20"/>
              </w:rPr>
              <w:t>Sub-vertical faults and folds</w:t>
            </w:r>
            <w:r w:rsidR="007E4E94">
              <w:rPr>
                <w:rFonts w:ascii="Arial" w:hAnsi="Arial" w:cs="Arial"/>
                <w:sz w:val="20"/>
                <w:szCs w:val="20"/>
              </w:rPr>
              <w:t xml:space="preserve"> </w:t>
            </w:r>
            <w:r w:rsidRPr="00C07686">
              <w:rPr>
                <w:rFonts w:ascii="Arial" w:hAnsi="Arial" w:cs="Arial"/>
                <w:sz w:val="20"/>
                <w:szCs w:val="20"/>
              </w:rPr>
              <w:t>may provide preferential pathways for flow and allow grou</w:t>
            </w:r>
            <w:r w:rsidR="00D72F2A">
              <w:rPr>
                <w:rFonts w:ascii="Arial" w:hAnsi="Arial" w:cs="Arial"/>
                <w:sz w:val="20"/>
                <w:szCs w:val="20"/>
              </w:rPr>
              <w:t>ndwater aquifer interconnection;</w:t>
            </w:r>
          </w:p>
          <w:p w:rsidR="00CF260A" w:rsidRPr="00C07686" w:rsidRDefault="00CF260A" w:rsidP="009B560C">
            <w:pPr>
              <w:pStyle w:val="ListNumber2"/>
              <w:numPr>
                <w:ilvl w:val="1"/>
                <w:numId w:val="26"/>
              </w:numPr>
              <w:spacing w:after="200" w:line="276" w:lineRule="auto"/>
              <w:rPr>
                <w:rFonts w:ascii="Arial" w:hAnsi="Arial" w:cs="Arial"/>
                <w:sz w:val="20"/>
                <w:szCs w:val="20"/>
              </w:rPr>
            </w:pPr>
            <w:r w:rsidRPr="00C07686">
              <w:rPr>
                <w:rFonts w:ascii="Arial" w:hAnsi="Arial" w:cs="Arial"/>
                <w:sz w:val="20"/>
                <w:szCs w:val="20"/>
              </w:rPr>
              <w:t>Hydraulic stimulation</w:t>
            </w:r>
            <w:r>
              <w:rPr>
                <w:rFonts w:ascii="Arial" w:hAnsi="Arial" w:cs="Arial"/>
                <w:sz w:val="20"/>
                <w:szCs w:val="20"/>
              </w:rPr>
              <w:t>, if not conducted correctly</w:t>
            </w:r>
            <w:r w:rsidR="005A2118">
              <w:rPr>
                <w:rFonts w:ascii="Arial" w:hAnsi="Arial" w:cs="Arial"/>
                <w:sz w:val="20"/>
                <w:szCs w:val="20"/>
              </w:rPr>
              <w:t>,</w:t>
            </w:r>
            <w:r>
              <w:rPr>
                <w:rFonts w:ascii="Arial" w:hAnsi="Arial" w:cs="Arial"/>
                <w:sz w:val="20"/>
                <w:szCs w:val="20"/>
              </w:rPr>
              <w:t xml:space="preserve"> </w:t>
            </w:r>
            <w:r w:rsidR="007E4E94">
              <w:rPr>
                <w:rFonts w:ascii="Arial" w:hAnsi="Arial" w:cs="Arial"/>
                <w:sz w:val="20"/>
                <w:szCs w:val="20"/>
              </w:rPr>
              <w:t xml:space="preserve">that </w:t>
            </w:r>
            <w:r>
              <w:rPr>
                <w:rFonts w:ascii="Arial" w:hAnsi="Arial" w:cs="Arial"/>
                <w:sz w:val="20"/>
                <w:szCs w:val="20"/>
              </w:rPr>
              <w:t>may allow</w:t>
            </w:r>
            <w:r w:rsidRPr="00C07686">
              <w:rPr>
                <w:rFonts w:ascii="Arial" w:hAnsi="Arial" w:cs="Arial"/>
                <w:sz w:val="20"/>
                <w:szCs w:val="20"/>
              </w:rPr>
              <w:t xml:space="preserve"> fractures </w:t>
            </w:r>
            <w:r>
              <w:rPr>
                <w:rFonts w:ascii="Arial" w:hAnsi="Arial" w:cs="Arial"/>
                <w:sz w:val="20"/>
                <w:szCs w:val="20"/>
              </w:rPr>
              <w:t>to</w:t>
            </w:r>
            <w:r w:rsidRPr="00C07686">
              <w:rPr>
                <w:rFonts w:ascii="Arial" w:hAnsi="Arial" w:cs="Arial"/>
                <w:sz w:val="20"/>
                <w:szCs w:val="20"/>
              </w:rPr>
              <w:t xml:space="preserve"> propagate across, </w:t>
            </w:r>
            <w:r>
              <w:rPr>
                <w:rFonts w:ascii="Arial" w:hAnsi="Arial" w:cs="Arial"/>
                <w:sz w:val="20"/>
                <w:szCs w:val="20"/>
              </w:rPr>
              <w:t xml:space="preserve">or along, </w:t>
            </w:r>
            <w:r w:rsidRPr="00C07686">
              <w:rPr>
                <w:rFonts w:ascii="Arial" w:hAnsi="Arial" w:cs="Arial"/>
                <w:sz w:val="20"/>
                <w:szCs w:val="20"/>
              </w:rPr>
              <w:t>faults and may provide conduits for water and gas to move vertically or laterally across faults and possibly into/f</w:t>
            </w:r>
            <w:r w:rsidR="00D72F2A">
              <w:rPr>
                <w:rFonts w:ascii="Arial" w:hAnsi="Arial" w:cs="Arial"/>
                <w:sz w:val="20"/>
                <w:szCs w:val="20"/>
              </w:rPr>
              <w:t>rom other geological formations;</w:t>
            </w:r>
            <w:r w:rsidRPr="00C07686">
              <w:rPr>
                <w:rFonts w:ascii="Arial" w:hAnsi="Arial" w:cs="Arial"/>
                <w:sz w:val="20"/>
                <w:szCs w:val="20"/>
              </w:rPr>
              <w:t xml:space="preserve"> </w:t>
            </w:r>
          </w:p>
          <w:p w:rsidR="0014623D" w:rsidRPr="0014623D" w:rsidRDefault="00CF260A" w:rsidP="009B560C">
            <w:pPr>
              <w:pStyle w:val="ListNumber2"/>
              <w:numPr>
                <w:ilvl w:val="1"/>
                <w:numId w:val="26"/>
              </w:numPr>
              <w:spacing w:after="200" w:line="276" w:lineRule="auto"/>
              <w:rPr>
                <w:rFonts w:ascii="Arial" w:hAnsi="Arial" w:cs="Arial"/>
                <w:sz w:val="20"/>
                <w:szCs w:val="20"/>
              </w:rPr>
            </w:pPr>
            <w:r w:rsidRPr="00C07686">
              <w:rPr>
                <w:rFonts w:ascii="Arial" w:hAnsi="Arial" w:cs="Arial"/>
                <w:bCs/>
                <w:sz w:val="20"/>
                <w:szCs w:val="20"/>
              </w:rPr>
              <w:t>Evidence</w:t>
            </w:r>
            <w:r w:rsidR="00CE5252">
              <w:rPr>
                <w:rFonts w:ascii="Arial" w:hAnsi="Arial" w:cs="Arial"/>
                <w:bCs/>
                <w:sz w:val="20"/>
                <w:szCs w:val="20"/>
              </w:rPr>
              <w:t xml:space="preserve"> to support the assumptions</w:t>
            </w:r>
            <w:r w:rsidRPr="00C07686">
              <w:rPr>
                <w:rFonts w:ascii="Arial" w:hAnsi="Arial" w:cs="Arial"/>
                <w:bCs/>
                <w:sz w:val="20"/>
                <w:szCs w:val="20"/>
              </w:rPr>
              <w:t xml:space="preserve"> the faults will act </w:t>
            </w:r>
            <w:r w:rsidR="00D72F2A">
              <w:rPr>
                <w:rFonts w:ascii="Arial" w:hAnsi="Arial" w:cs="Arial"/>
                <w:bCs/>
                <w:sz w:val="20"/>
                <w:szCs w:val="20"/>
              </w:rPr>
              <w:t>as barriers to groundwater flow;</w:t>
            </w:r>
          </w:p>
          <w:p w:rsidR="0014623D" w:rsidRPr="0014623D" w:rsidRDefault="0014623D" w:rsidP="009B560C">
            <w:pPr>
              <w:pStyle w:val="ListNumber2"/>
              <w:numPr>
                <w:ilvl w:val="1"/>
                <w:numId w:val="26"/>
              </w:numPr>
              <w:spacing w:after="200" w:line="276" w:lineRule="auto"/>
              <w:rPr>
                <w:rFonts w:ascii="Arial" w:hAnsi="Arial" w:cs="Arial"/>
                <w:sz w:val="20"/>
                <w:szCs w:val="20"/>
              </w:rPr>
            </w:pPr>
            <w:r w:rsidRPr="0014623D">
              <w:rPr>
                <w:rFonts w:ascii="Arial" w:hAnsi="Arial" w:cs="Arial"/>
                <w:sz w:val="20"/>
                <w:szCs w:val="20"/>
              </w:rPr>
              <w:t>Faults that are seismically active should be avoided in all scenarios, rather than ‘where possible’ as s</w:t>
            </w:r>
            <w:r w:rsidR="005A2118">
              <w:rPr>
                <w:rFonts w:ascii="Arial" w:hAnsi="Arial" w:cs="Arial"/>
                <w:sz w:val="20"/>
                <w:szCs w:val="20"/>
              </w:rPr>
              <w:t>uggested</w:t>
            </w:r>
            <w:r w:rsidRPr="0014623D">
              <w:rPr>
                <w:rFonts w:ascii="Arial" w:hAnsi="Arial" w:cs="Arial"/>
                <w:sz w:val="20"/>
                <w:szCs w:val="20"/>
              </w:rPr>
              <w:t xml:space="preserve"> within the </w:t>
            </w:r>
            <w:r w:rsidR="000B49CD">
              <w:rPr>
                <w:rFonts w:ascii="Arial" w:hAnsi="Arial" w:cs="Arial"/>
                <w:sz w:val="20"/>
                <w:szCs w:val="20"/>
              </w:rPr>
              <w:t>project’s assessment docume</w:t>
            </w:r>
            <w:r w:rsidR="00A774CE">
              <w:rPr>
                <w:rFonts w:ascii="Arial" w:hAnsi="Arial" w:cs="Arial"/>
                <w:sz w:val="20"/>
                <w:szCs w:val="20"/>
              </w:rPr>
              <w:t>n</w:t>
            </w:r>
            <w:r w:rsidR="000B49CD">
              <w:rPr>
                <w:rFonts w:ascii="Arial" w:hAnsi="Arial" w:cs="Arial"/>
                <w:sz w:val="20"/>
                <w:szCs w:val="20"/>
              </w:rPr>
              <w:t>tation</w:t>
            </w:r>
            <w:r w:rsidRPr="0014623D">
              <w:rPr>
                <w:rFonts w:ascii="Arial" w:hAnsi="Arial" w:cs="Arial"/>
                <w:sz w:val="20"/>
                <w:szCs w:val="20"/>
              </w:rPr>
              <w:t xml:space="preserve">. </w:t>
            </w:r>
          </w:p>
          <w:p w:rsidR="0018799F" w:rsidRPr="0018799F" w:rsidRDefault="00BE7E46" w:rsidP="009B560C">
            <w:pPr>
              <w:pStyle w:val="ListNumber"/>
              <w:numPr>
                <w:ilvl w:val="0"/>
                <w:numId w:val="26"/>
              </w:numPr>
              <w:spacing w:after="200" w:line="276" w:lineRule="auto"/>
              <w:ind w:left="284" w:hanging="284"/>
              <w:rPr>
                <w:rFonts w:ascii="Arial" w:hAnsi="Arial" w:cs="Arial"/>
                <w:sz w:val="20"/>
                <w:szCs w:val="20"/>
              </w:rPr>
            </w:pPr>
            <w:r w:rsidRPr="00BE7E46">
              <w:rPr>
                <w:rFonts w:ascii="Arial" w:hAnsi="Arial" w:cs="Arial"/>
                <w:i/>
                <w:sz w:val="20"/>
                <w:szCs w:val="20"/>
              </w:rPr>
              <w:t>Field Investigation of fault</w:t>
            </w:r>
            <w:r w:rsidR="00DB6DF2">
              <w:rPr>
                <w:rFonts w:ascii="Arial" w:hAnsi="Arial" w:cs="Arial"/>
                <w:i/>
                <w:sz w:val="20"/>
                <w:szCs w:val="20"/>
              </w:rPr>
              <w:t>s</w:t>
            </w:r>
            <w:r w:rsidRPr="00BE7E46">
              <w:rPr>
                <w:rFonts w:ascii="Arial" w:hAnsi="Arial" w:cs="Arial"/>
                <w:i/>
                <w:sz w:val="20"/>
                <w:szCs w:val="20"/>
              </w:rPr>
              <w:t>:</w:t>
            </w:r>
            <w:r w:rsidRPr="00BE7E46">
              <w:rPr>
                <w:rFonts w:ascii="Arial" w:hAnsi="Arial" w:cs="Arial"/>
                <w:sz w:val="20"/>
                <w:szCs w:val="20"/>
              </w:rPr>
              <w:t xml:space="preserve"> </w:t>
            </w:r>
            <w:r w:rsidR="00E24FB3">
              <w:rPr>
                <w:rFonts w:ascii="Arial" w:hAnsi="Arial" w:cs="Arial"/>
                <w:sz w:val="20"/>
                <w:szCs w:val="20"/>
              </w:rPr>
              <w:t xml:space="preserve">A </w:t>
            </w:r>
            <w:r w:rsidR="007251B7">
              <w:rPr>
                <w:rFonts w:ascii="Arial" w:hAnsi="Arial" w:cs="Arial"/>
                <w:sz w:val="20"/>
                <w:szCs w:val="20"/>
              </w:rPr>
              <w:t>thorough site-</w:t>
            </w:r>
            <w:r w:rsidR="00CF260A" w:rsidRPr="00C75868">
              <w:rPr>
                <w:rFonts w:ascii="Arial" w:hAnsi="Arial" w:cs="Arial"/>
                <w:sz w:val="20"/>
                <w:szCs w:val="20"/>
              </w:rPr>
              <w:t>specific</w:t>
            </w:r>
            <w:r w:rsidR="007D27A5">
              <w:rPr>
                <w:rFonts w:ascii="Arial" w:hAnsi="Arial" w:cs="Arial"/>
                <w:sz w:val="20"/>
                <w:szCs w:val="20"/>
              </w:rPr>
              <w:t xml:space="preserve"> field investigation of</w:t>
            </w:r>
            <w:r w:rsidR="00CF260A" w:rsidRPr="00C75868">
              <w:rPr>
                <w:rFonts w:ascii="Arial" w:hAnsi="Arial" w:cs="Arial"/>
                <w:sz w:val="20"/>
                <w:szCs w:val="20"/>
              </w:rPr>
              <w:t xml:space="preserve"> fault zones, particularly those that are seismically active or have a high pressure differential</w:t>
            </w:r>
            <w:r w:rsidR="004E5AB8">
              <w:rPr>
                <w:rFonts w:ascii="Arial" w:hAnsi="Arial" w:cs="Arial"/>
                <w:sz w:val="20"/>
                <w:szCs w:val="20"/>
              </w:rPr>
              <w:t>,</w:t>
            </w:r>
            <w:r w:rsidR="00E24FB3">
              <w:rPr>
                <w:rFonts w:ascii="Arial" w:hAnsi="Arial" w:cs="Arial"/>
                <w:sz w:val="20"/>
                <w:szCs w:val="20"/>
              </w:rPr>
              <w:t xml:space="preserve"> needs to be undertaken</w:t>
            </w:r>
            <w:r w:rsidR="00CF260A" w:rsidRPr="00C75868">
              <w:rPr>
                <w:rFonts w:ascii="Arial" w:hAnsi="Arial" w:cs="Arial"/>
                <w:sz w:val="20"/>
                <w:szCs w:val="20"/>
              </w:rPr>
              <w:t xml:space="preserve">. The role of faulting and igneous intrusions (e.g. Tertiary basaltic dykes also have the potential to provide preferential pathways) and their influence on vertical conductivities and connectivity require more </w:t>
            </w:r>
            <w:r w:rsidR="00E24FB3">
              <w:rPr>
                <w:rFonts w:ascii="Arial" w:hAnsi="Arial" w:cs="Arial"/>
                <w:sz w:val="20"/>
                <w:szCs w:val="20"/>
              </w:rPr>
              <w:t>detail</w:t>
            </w:r>
            <w:r w:rsidR="00E24FB3" w:rsidRPr="00C75868">
              <w:rPr>
                <w:rFonts w:ascii="Arial" w:hAnsi="Arial" w:cs="Arial"/>
                <w:sz w:val="20"/>
                <w:szCs w:val="20"/>
              </w:rPr>
              <w:t xml:space="preserve"> </w:t>
            </w:r>
            <w:r w:rsidR="00CF260A" w:rsidRPr="00C75868">
              <w:rPr>
                <w:rFonts w:ascii="Arial" w:hAnsi="Arial" w:cs="Arial"/>
                <w:sz w:val="20"/>
                <w:szCs w:val="20"/>
              </w:rPr>
              <w:t xml:space="preserve">to understand the risks involved. There is a significant concern that such aquifer interconnection could result in the movement of water from the shallower quaternary alluvial and tertiary sedimentary aquifers towards depressurised coal seams. </w:t>
            </w:r>
            <w:r w:rsidR="0018799F" w:rsidRPr="0018799F">
              <w:rPr>
                <w:rFonts w:ascii="Arial" w:hAnsi="Arial" w:cs="Arial"/>
                <w:sz w:val="20"/>
                <w:szCs w:val="20"/>
              </w:rPr>
              <w:t>The Great Artesian Basin Water Resourc</w:t>
            </w:r>
            <w:r w:rsidR="008D4802">
              <w:rPr>
                <w:rFonts w:ascii="Arial" w:hAnsi="Arial" w:cs="Arial"/>
                <w:sz w:val="20"/>
                <w:szCs w:val="20"/>
              </w:rPr>
              <w:t xml:space="preserve">e Assessment provides </w:t>
            </w:r>
            <w:r w:rsidR="00854D98">
              <w:rPr>
                <w:rFonts w:ascii="Arial" w:hAnsi="Arial" w:cs="Arial"/>
                <w:sz w:val="20"/>
                <w:szCs w:val="20"/>
              </w:rPr>
              <w:t xml:space="preserve">examples </w:t>
            </w:r>
            <w:r w:rsidR="0018799F" w:rsidRPr="0018799F">
              <w:rPr>
                <w:rFonts w:ascii="Arial" w:hAnsi="Arial" w:cs="Arial"/>
                <w:sz w:val="20"/>
                <w:szCs w:val="20"/>
              </w:rPr>
              <w:t>that would assist with understanding the level of complexity involved in the consideration</w:t>
            </w:r>
            <w:r w:rsidR="0018799F" w:rsidRPr="0018799F">
              <w:rPr>
                <w:rFonts w:ascii="Arial" w:hAnsi="Arial" w:cs="Arial"/>
                <w:bCs/>
                <w:sz w:val="20"/>
                <w:szCs w:val="20"/>
              </w:rPr>
              <w:t xml:space="preserve"> of connectivity within faulted systems.</w:t>
            </w:r>
          </w:p>
          <w:p w:rsidR="00CF260A" w:rsidRDefault="00CF260A" w:rsidP="004E2C78">
            <w:pPr>
              <w:pStyle w:val="ListNumber"/>
              <w:numPr>
                <w:ilvl w:val="0"/>
                <w:numId w:val="26"/>
              </w:numPr>
              <w:spacing w:after="240" w:line="276" w:lineRule="auto"/>
              <w:ind w:left="284" w:hanging="284"/>
              <w:rPr>
                <w:rFonts w:ascii="Arial" w:hAnsi="Arial" w:cs="Arial"/>
                <w:sz w:val="20"/>
                <w:szCs w:val="20"/>
              </w:rPr>
            </w:pPr>
            <w:r w:rsidRPr="00D17DEE">
              <w:rPr>
                <w:rFonts w:ascii="Arial" w:hAnsi="Arial" w:cs="Arial"/>
                <w:i/>
                <w:sz w:val="20"/>
                <w:szCs w:val="20"/>
              </w:rPr>
              <w:t>Subsidence and induced seismicity</w:t>
            </w:r>
            <w:r w:rsidR="00D17DEE">
              <w:rPr>
                <w:rFonts w:ascii="Arial" w:hAnsi="Arial" w:cs="Arial"/>
                <w:i/>
                <w:sz w:val="20"/>
                <w:szCs w:val="20"/>
              </w:rPr>
              <w:t>:</w:t>
            </w:r>
            <w:r w:rsidRPr="00C75868">
              <w:rPr>
                <w:rFonts w:ascii="Arial" w:hAnsi="Arial" w:cs="Arial"/>
                <w:sz w:val="20"/>
                <w:szCs w:val="20"/>
              </w:rPr>
              <w:t xml:space="preserve">  </w:t>
            </w:r>
            <w:r w:rsidR="008D7B07">
              <w:rPr>
                <w:rFonts w:ascii="Arial" w:hAnsi="Arial" w:cs="Arial"/>
                <w:sz w:val="20"/>
                <w:szCs w:val="20"/>
              </w:rPr>
              <w:t xml:space="preserve">Quantification of groundwater movement as a result of subsidence and </w:t>
            </w:r>
            <w:r w:rsidR="008D7B07" w:rsidRPr="008D7B07">
              <w:rPr>
                <w:rFonts w:ascii="Arial" w:hAnsi="Arial" w:cs="Arial"/>
                <w:sz w:val="20"/>
                <w:szCs w:val="20"/>
              </w:rPr>
              <w:t xml:space="preserve">induced seismicity </w:t>
            </w:r>
            <w:r w:rsidR="008548BF">
              <w:rPr>
                <w:rFonts w:ascii="Arial" w:hAnsi="Arial" w:cs="Arial"/>
                <w:sz w:val="20"/>
                <w:szCs w:val="20"/>
              </w:rPr>
              <w:t>is required, as there is</w:t>
            </w:r>
            <w:r w:rsidR="005B7531">
              <w:rPr>
                <w:rFonts w:ascii="Arial" w:hAnsi="Arial" w:cs="Arial"/>
                <w:sz w:val="20"/>
                <w:szCs w:val="20"/>
              </w:rPr>
              <w:t xml:space="preserve"> p</w:t>
            </w:r>
            <w:r w:rsidRPr="00C75868">
              <w:rPr>
                <w:rFonts w:ascii="Arial" w:hAnsi="Arial" w:cs="Arial"/>
                <w:sz w:val="20"/>
                <w:szCs w:val="20"/>
              </w:rPr>
              <w:t>otential to open up preferential pathways for gas migration and interconnection of aquifers through increased geological fracturing and damage to infrastructure</w:t>
            </w:r>
            <w:r w:rsidR="008D7B07">
              <w:rPr>
                <w:rFonts w:ascii="Arial" w:hAnsi="Arial" w:cs="Arial"/>
                <w:sz w:val="20"/>
                <w:szCs w:val="20"/>
              </w:rPr>
              <w:t xml:space="preserve"> (</w:t>
            </w:r>
            <w:r w:rsidRPr="00C75868">
              <w:rPr>
                <w:rFonts w:ascii="Arial" w:hAnsi="Arial" w:cs="Arial"/>
                <w:sz w:val="20"/>
                <w:szCs w:val="20"/>
              </w:rPr>
              <w:t>e.g. production wells and monitoring wells</w:t>
            </w:r>
            <w:r w:rsidR="008D7B07">
              <w:rPr>
                <w:rFonts w:ascii="Arial" w:hAnsi="Arial" w:cs="Arial"/>
                <w:sz w:val="20"/>
                <w:szCs w:val="20"/>
              </w:rPr>
              <w:t>)</w:t>
            </w:r>
            <w:r w:rsidR="0091271C">
              <w:rPr>
                <w:rFonts w:ascii="Arial" w:hAnsi="Arial" w:cs="Arial"/>
                <w:sz w:val="20"/>
                <w:szCs w:val="20"/>
              </w:rPr>
              <w:t>.  P</w:t>
            </w:r>
            <w:r w:rsidRPr="00C75868">
              <w:rPr>
                <w:rFonts w:ascii="Arial" w:hAnsi="Arial" w:cs="Arial"/>
                <w:sz w:val="20"/>
                <w:szCs w:val="20"/>
              </w:rPr>
              <w:t>otential for subsidence</w:t>
            </w:r>
            <w:r w:rsidR="00596896">
              <w:rPr>
                <w:rFonts w:ascii="Arial" w:hAnsi="Arial" w:cs="Arial"/>
                <w:sz w:val="20"/>
                <w:szCs w:val="20"/>
              </w:rPr>
              <w:t xml:space="preserve"> exists</w:t>
            </w:r>
            <w:r w:rsidRPr="00C75868">
              <w:rPr>
                <w:rFonts w:ascii="Arial" w:hAnsi="Arial" w:cs="Arial"/>
                <w:sz w:val="20"/>
                <w:szCs w:val="20"/>
              </w:rPr>
              <w:t xml:space="preserve"> due </w:t>
            </w:r>
            <w:r>
              <w:rPr>
                <w:rFonts w:ascii="Arial" w:hAnsi="Arial" w:cs="Arial"/>
                <w:sz w:val="20"/>
                <w:szCs w:val="20"/>
              </w:rPr>
              <w:t xml:space="preserve">to </w:t>
            </w:r>
            <w:r w:rsidRPr="00C75868">
              <w:rPr>
                <w:rFonts w:ascii="Arial" w:hAnsi="Arial" w:cs="Arial"/>
                <w:sz w:val="20"/>
                <w:szCs w:val="20"/>
              </w:rPr>
              <w:t xml:space="preserve">the depressurisation associated with the estimated removal of approximately 264 billion litres of associated water from the target coal seam. The </w:t>
            </w:r>
            <w:r>
              <w:rPr>
                <w:rFonts w:ascii="Arial" w:hAnsi="Arial" w:cs="Arial"/>
                <w:sz w:val="20"/>
                <w:szCs w:val="20"/>
              </w:rPr>
              <w:t>EIS</w:t>
            </w:r>
            <w:r w:rsidRPr="00C75868">
              <w:rPr>
                <w:rFonts w:ascii="Arial" w:hAnsi="Arial" w:cs="Arial"/>
                <w:sz w:val="20"/>
                <w:szCs w:val="20"/>
              </w:rPr>
              <w:t xml:space="preserve"> provides a limited overview of the issues and therefore does not adequately</w:t>
            </w:r>
            <w:r>
              <w:rPr>
                <w:rFonts w:ascii="Arial" w:hAnsi="Arial" w:cs="Arial"/>
                <w:sz w:val="20"/>
                <w:szCs w:val="20"/>
              </w:rPr>
              <w:t xml:space="preserve"> assess the potential impacts.</w:t>
            </w:r>
          </w:p>
          <w:p w:rsidR="00CF260A" w:rsidRPr="00C75868" w:rsidRDefault="00CF260A" w:rsidP="009B560C">
            <w:pPr>
              <w:pStyle w:val="Default"/>
              <w:spacing w:after="200" w:line="276" w:lineRule="auto"/>
              <w:rPr>
                <w:rFonts w:ascii="Arial" w:hAnsi="Arial" w:cs="Arial"/>
                <w:b/>
                <w:color w:val="auto"/>
                <w:sz w:val="20"/>
                <w:szCs w:val="20"/>
                <w:lang w:eastAsia="en-US"/>
              </w:rPr>
            </w:pPr>
            <w:r w:rsidRPr="00AC0A6D">
              <w:rPr>
                <w:rFonts w:ascii="Arial" w:hAnsi="Arial" w:cs="Arial"/>
                <w:i/>
                <w:color w:val="auto"/>
                <w:sz w:val="20"/>
                <w:szCs w:val="20"/>
                <w:lang w:eastAsia="en-US"/>
              </w:rPr>
              <w:t>Question 3:</w:t>
            </w:r>
            <w:r w:rsidRPr="00AC0A6D">
              <w:rPr>
                <w:rFonts w:ascii="Arial" w:hAnsi="Arial" w:cs="Arial"/>
                <w:color w:val="auto"/>
                <w:sz w:val="20"/>
                <w:szCs w:val="20"/>
                <w:lang w:eastAsia="en-US"/>
              </w:rPr>
              <w:t xml:space="preserve"> Groundwater - </w:t>
            </w:r>
            <w:r w:rsidRPr="00AC0A6D">
              <w:rPr>
                <w:rFonts w:ascii="Arial" w:hAnsi="Arial" w:cs="Arial"/>
                <w:i/>
                <w:color w:val="auto"/>
                <w:sz w:val="20"/>
                <w:szCs w:val="20"/>
                <w:lang w:eastAsia="en-US"/>
              </w:rPr>
              <w:t>Does the EIS provide sufficient details on groundwater impacts due to the project taking account of cumulative impacts incorporating coal and gas projects already operating in the location</w:t>
            </w:r>
            <w:r w:rsidRPr="009977DC">
              <w:rPr>
                <w:rFonts w:ascii="Arial" w:hAnsi="Arial" w:cs="Arial"/>
                <w:i/>
                <w:color w:val="auto"/>
                <w:sz w:val="20"/>
                <w:szCs w:val="20"/>
                <w:lang w:eastAsia="en-US"/>
              </w:rPr>
              <w:t>?</w:t>
            </w:r>
          </w:p>
          <w:p w:rsidR="00CF260A" w:rsidRPr="004E150C" w:rsidRDefault="00CF260A" w:rsidP="009B560C">
            <w:pPr>
              <w:pStyle w:val="ListNumber"/>
              <w:spacing w:after="200" w:line="276" w:lineRule="auto"/>
              <w:rPr>
                <w:rFonts w:ascii="Arial" w:hAnsi="Arial" w:cs="Arial"/>
                <w:bCs/>
                <w:sz w:val="20"/>
                <w:szCs w:val="20"/>
              </w:rPr>
            </w:pPr>
            <w:r>
              <w:rPr>
                <w:rFonts w:ascii="Arial" w:hAnsi="Arial" w:cs="Arial"/>
                <w:bCs/>
                <w:sz w:val="20"/>
                <w:szCs w:val="20"/>
              </w:rPr>
              <w:t xml:space="preserve">The </w:t>
            </w:r>
            <w:r w:rsidRPr="004E150C">
              <w:rPr>
                <w:rFonts w:ascii="Arial" w:hAnsi="Arial" w:cs="Arial"/>
                <w:bCs/>
                <w:sz w:val="20"/>
                <w:szCs w:val="20"/>
              </w:rPr>
              <w:t>c</w:t>
            </w:r>
            <w:r w:rsidR="00CE5252">
              <w:rPr>
                <w:rFonts w:ascii="Arial" w:hAnsi="Arial" w:cs="Arial"/>
                <w:bCs/>
                <w:sz w:val="20"/>
                <w:szCs w:val="20"/>
              </w:rPr>
              <w:t>umulative groundwater impacts of</w:t>
            </w:r>
            <w:r w:rsidRPr="004E150C">
              <w:rPr>
                <w:rFonts w:ascii="Arial" w:hAnsi="Arial" w:cs="Arial"/>
                <w:bCs/>
                <w:sz w:val="20"/>
                <w:szCs w:val="20"/>
              </w:rPr>
              <w:t xml:space="preserve"> coal and gas projects operating within the northern Bowen Basin </w:t>
            </w:r>
            <w:r>
              <w:rPr>
                <w:rFonts w:ascii="Arial" w:hAnsi="Arial" w:cs="Arial"/>
                <w:bCs/>
                <w:sz w:val="20"/>
                <w:szCs w:val="20"/>
              </w:rPr>
              <w:t>are</w:t>
            </w:r>
            <w:r w:rsidRPr="004E150C">
              <w:rPr>
                <w:rFonts w:ascii="Arial" w:hAnsi="Arial" w:cs="Arial"/>
                <w:bCs/>
                <w:sz w:val="20"/>
                <w:szCs w:val="20"/>
              </w:rPr>
              <w:t xml:space="preserve"> </w:t>
            </w:r>
            <w:r>
              <w:rPr>
                <w:rFonts w:ascii="Arial" w:hAnsi="Arial" w:cs="Arial"/>
                <w:bCs/>
                <w:sz w:val="20"/>
                <w:szCs w:val="20"/>
              </w:rPr>
              <w:t xml:space="preserve">not </w:t>
            </w:r>
            <w:r w:rsidRPr="004E150C">
              <w:rPr>
                <w:rFonts w:ascii="Arial" w:hAnsi="Arial" w:cs="Arial"/>
                <w:bCs/>
                <w:sz w:val="20"/>
                <w:szCs w:val="20"/>
              </w:rPr>
              <w:t>sufficie</w:t>
            </w:r>
            <w:r w:rsidR="00322064">
              <w:rPr>
                <w:rFonts w:ascii="Arial" w:hAnsi="Arial" w:cs="Arial"/>
                <w:bCs/>
                <w:sz w:val="20"/>
                <w:szCs w:val="20"/>
              </w:rPr>
              <w:t xml:space="preserve">ntly addressed within the EIS. </w:t>
            </w:r>
            <w:r>
              <w:rPr>
                <w:rFonts w:ascii="Arial" w:hAnsi="Arial" w:cs="Arial"/>
                <w:bCs/>
                <w:sz w:val="20"/>
                <w:szCs w:val="20"/>
              </w:rPr>
              <w:t xml:space="preserve">The Committee has concerns regarding the limited inclusion of cumulative data within the numerical groundwater model and the </w:t>
            </w:r>
            <w:r w:rsidR="00B42F7F">
              <w:rPr>
                <w:rFonts w:ascii="Arial" w:hAnsi="Arial" w:cs="Arial"/>
                <w:bCs/>
                <w:sz w:val="20"/>
                <w:szCs w:val="20"/>
              </w:rPr>
              <w:t xml:space="preserve">resultant </w:t>
            </w:r>
            <w:r>
              <w:rPr>
                <w:rFonts w:ascii="Arial" w:hAnsi="Arial" w:cs="Arial"/>
                <w:bCs/>
                <w:sz w:val="20"/>
                <w:szCs w:val="20"/>
              </w:rPr>
              <w:t>uncertainty of th</w:t>
            </w:r>
            <w:r w:rsidR="008548BF">
              <w:rPr>
                <w:rFonts w:ascii="Arial" w:hAnsi="Arial" w:cs="Arial"/>
                <w:bCs/>
                <w:sz w:val="20"/>
                <w:szCs w:val="20"/>
              </w:rPr>
              <w:t>e</w:t>
            </w:r>
            <w:r>
              <w:rPr>
                <w:rFonts w:ascii="Arial" w:hAnsi="Arial" w:cs="Arial"/>
                <w:bCs/>
                <w:sz w:val="20"/>
                <w:szCs w:val="20"/>
              </w:rPr>
              <w:t xml:space="preserve"> model in predicting the drawdown from the development.  These concerns are discussed in the points below.   </w:t>
            </w:r>
            <w:r w:rsidRPr="004E150C">
              <w:rPr>
                <w:rFonts w:ascii="Arial" w:hAnsi="Arial" w:cs="Arial"/>
                <w:bCs/>
                <w:sz w:val="20"/>
                <w:szCs w:val="20"/>
              </w:rPr>
              <w:t xml:space="preserve"> </w:t>
            </w:r>
          </w:p>
          <w:p w:rsidR="00CF260A" w:rsidRPr="009923A4" w:rsidRDefault="00CF260A" w:rsidP="009B560C">
            <w:pPr>
              <w:pStyle w:val="ListNumber"/>
              <w:numPr>
                <w:ilvl w:val="0"/>
                <w:numId w:val="26"/>
              </w:numPr>
              <w:spacing w:after="200" w:line="276" w:lineRule="auto"/>
              <w:ind w:left="284" w:hanging="284"/>
              <w:rPr>
                <w:rFonts w:ascii="Arial" w:hAnsi="Arial" w:cs="Arial"/>
                <w:bCs/>
                <w:sz w:val="20"/>
                <w:szCs w:val="20"/>
              </w:rPr>
            </w:pPr>
            <w:r>
              <w:rPr>
                <w:rFonts w:ascii="Arial" w:hAnsi="Arial" w:cs="Arial"/>
                <w:bCs/>
                <w:sz w:val="20"/>
                <w:szCs w:val="20"/>
              </w:rPr>
              <w:t xml:space="preserve">The cumulative case scenario within the </w:t>
            </w:r>
            <w:r w:rsidRPr="00212174">
              <w:rPr>
                <w:rFonts w:ascii="Arial" w:hAnsi="Arial" w:cs="Arial"/>
                <w:bCs/>
                <w:sz w:val="20"/>
                <w:szCs w:val="20"/>
              </w:rPr>
              <w:t xml:space="preserve">groundwater numerical </w:t>
            </w:r>
            <w:r>
              <w:rPr>
                <w:rFonts w:ascii="Arial" w:hAnsi="Arial" w:cs="Arial"/>
                <w:bCs/>
                <w:sz w:val="20"/>
                <w:szCs w:val="20"/>
              </w:rPr>
              <w:t>model is limited to the data from the Arrow Moranbah Gas project and the Water Entitlements Registration Database and</w:t>
            </w:r>
            <w:r w:rsidRPr="0069203A">
              <w:rPr>
                <w:rFonts w:ascii="Arial" w:hAnsi="Arial" w:cs="Arial"/>
                <w:bCs/>
                <w:sz w:val="20"/>
                <w:szCs w:val="20"/>
              </w:rPr>
              <w:t xml:space="preserve"> does not in</w:t>
            </w:r>
            <w:r w:rsidR="00895DD3">
              <w:rPr>
                <w:rFonts w:ascii="Arial" w:hAnsi="Arial" w:cs="Arial"/>
                <w:bCs/>
                <w:sz w:val="20"/>
                <w:szCs w:val="20"/>
              </w:rPr>
              <w:t xml:space="preserve">clude consideration of the existence of more than </w:t>
            </w:r>
            <w:r w:rsidRPr="0069203A">
              <w:rPr>
                <w:rFonts w:ascii="Arial" w:hAnsi="Arial" w:cs="Arial"/>
                <w:bCs/>
                <w:sz w:val="20"/>
                <w:szCs w:val="20"/>
              </w:rPr>
              <w:t xml:space="preserve">40 mines within the region. </w:t>
            </w:r>
            <w:r w:rsidR="008548BF">
              <w:rPr>
                <w:rFonts w:ascii="Arial" w:hAnsi="Arial" w:cs="Arial"/>
                <w:bCs/>
                <w:sz w:val="20"/>
                <w:szCs w:val="20"/>
              </w:rPr>
              <w:t>T</w:t>
            </w:r>
            <w:r w:rsidRPr="004E150C">
              <w:rPr>
                <w:rFonts w:ascii="Arial" w:hAnsi="Arial" w:cs="Arial"/>
                <w:bCs/>
                <w:sz w:val="20"/>
                <w:szCs w:val="20"/>
              </w:rPr>
              <w:t>he long-term sustainability of groundwate</w:t>
            </w:r>
            <w:r w:rsidR="0090074C">
              <w:rPr>
                <w:rFonts w:ascii="Arial" w:hAnsi="Arial" w:cs="Arial"/>
                <w:bCs/>
                <w:sz w:val="20"/>
                <w:szCs w:val="20"/>
              </w:rPr>
              <w:t xml:space="preserve">r resources in the region requires </w:t>
            </w:r>
            <w:r w:rsidRPr="004E150C">
              <w:rPr>
                <w:rFonts w:ascii="Arial" w:hAnsi="Arial" w:cs="Arial"/>
                <w:bCs/>
                <w:sz w:val="20"/>
                <w:szCs w:val="20"/>
              </w:rPr>
              <w:t>careful consideration given the opera</w:t>
            </w:r>
            <w:r>
              <w:rPr>
                <w:rFonts w:ascii="Arial" w:hAnsi="Arial" w:cs="Arial"/>
                <w:bCs/>
                <w:sz w:val="20"/>
                <w:szCs w:val="20"/>
              </w:rPr>
              <w:t xml:space="preserve">tion of significant </w:t>
            </w:r>
            <w:r w:rsidR="00725535">
              <w:rPr>
                <w:rFonts w:ascii="Arial" w:hAnsi="Arial" w:cs="Arial"/>
                <w:bCs/>
                <w:sz w:val="20"/>
                <w:szCs w:val="20"/>
              </w:rPr>
              <w:t xml:space="preserve">large </w:t>
            </w:r>
            <w:r>
              <w:rPr>
                <w:rFonts w:ascii="Arial" w:hAnsi="Arial" w:cs="Arial"/>
                <w:bCs/>
                <w:sz w:val="20"/>
                <w:szCs w:val="20"/>
              </w:rPr>
              <w:t xml:space="preserve">coal mines </w:t>
            </w:r>
            <w:r w:rsidRPr="004E150C">
              <w:rPr>
                <w:rFonts w:ascii="Arial" w:hAnsi="Arial" w:cs="Arial"/>
                <w:bCs/>
                <w:sz w:val="20"/>
                <w:szCs w:val="20"/>
              </w:rPr>
              <w:t>and the relativ</w:t>
            </w:r>
            <w:r w:rsidR="00725535">
              <w:rPr>
                <w:rFonts w:ascii="Arial" w:hAnsi="Arial" w:cs="Arial"/>
                <w:bCs/>
                <w:sz w:val="20"/>
                <w:szCs w:val="20"/>
              </w:rPr>
              <w:t>ely scarce groundwater resource</w:t>
            </w:r>
            <w:r w:rsidRPr="004E150C">
              <w:rPr>
                <w:rFonts w:ascii="Arial" w:hAnsi="Arial" w:cs="Arial"/>
                <w:bCs/>
                <w:sz w:val="20"/>
                <w:szCs w:val="20"/>
              </w:rPr>
              <w:t>.</w:t>
            </w:r>
          </w:p>
          <w:p w:rsidR="00CF260A" w:rsidRPr="00C9586C" w:rsidRDefault="00CF260A" w:rsidP="009B560C">
            <w:pPr>
              <w:pStyle w:val="ListNumber"/>
              <w:numPr>
                <w:ilvl w:val="0"/>
                <w:numId w:val="26"/>
              </w:numPr>
              <w:spacing w:after="200" w:line="276" w:lineRule="auto"/>
              <w:ind w:left="284" w:hanging="284"/>
              <w:rPr>
                <w:rFonts w:ascii="Arial" w:hAnsi="Arial" w:cs="Arial"/>
                <w:bCs/>
                <w:sz w:val="20"/>
                <w:szCs w:val="20"/>
              </w:rPr>
            </w:pPr>
            <w:r w:rsidRPr="009923A4">
              <w:rPr>
                <w:rFonts w:ascii="Arial" w:hAnsi="Arial" w:cs="Arial"/>
                <w:bCs/>
                <w:sz w:val="20"/>
                <w:szCs w:val="20"/>
              </w:rPr>
              <w:t>Further refinement of the groundwater numerical model is required to better delineate potential impacts</w:t>
            </w:r>
            <w:r>
              <w:rPr>
                <w:rFonts w:ascii="Arial" w:hAnsi="Arial" w:cs="Arial"/>
                <w:bCs/>
                <w:sz w:val="20"/>
                <w:szCs w:val="20"/>
              </w:rPr>
              <w:t xml:space="preserve"> to regional groundwater</w:t>
            </w:r>
            <w:r w:rsidRPr="009923A4">
              <w:rPr>
                <w:rFonts w:ascii="Arial" w:hAnsi="Arial" w:cs="Arial"/>
                <w:bCs/>
                <w:sz w:val="20"/>
                <w:szCs w:val="20"/>
              </w:rPr>
              <w:t xml:space="preserve">. This includes, but is not limited to: </w:t>
            </w:r>
          </w:p>
          <w:p w:rsidR="00CF260A" w:rsidRDefault="008E5D47" w:rsidP="009B560C">
            <w:pPr>
              <w:pStyle w:val="ListParagraph"/>
              <w:numPr>
                <w:ilvl w:val="1"/>
                <w:numId w:val="28"/>
              </w:numPr>
              <w:spacing w:after="200" w:line="276" w:lineRule="auto"/>
              <w:ind w:left="851" w:hanging="425"/>
              <w:rPr>
                <w:rFonts w:ascii="Arial" w:hAnsi="Arial" w:cs="Arial"/>
                <w:bCs/>
                <w:sz w:val="20"/>
                <w:szCs w:val="20"/>
              </w:rPr>
            </w:pPr>
            <w:r>
              <w:rPr>
                <w:rFonts w:ascii="Arial" w:hAnsi="Arial" w:cs="Arial"/>
                <w:bCs/>
                <w:sz w:val="20"/>
                <w:szCs w:val="20"/>
              </w:rPr>
              <w:t>Use of a Class 1 numerical model does</w:t>
            </w:r>
            <w:r w:rsidR="00CE5252">
              <w:rPr>
                <w:rFonts w:ascii="Arial" w:hAnsi="Arial" w:cs="Arial"/>
                <w:bCs/>
                <w:sz w:val="20"/>
                <w:szCs w:val="20"/>
              </w:rPr>
              <w:t xml:space="preserve"> no</w:t>
            </w:r>
            <w:r>
              <w:rPr>
                <w:rFonts w:ascii="Arial" w:hAnsi="Arial" w:cs="Arial"/>
                <w:bCs/>
                <w:sz w:val="20"/>
                <w:szCs w:val="20"/>
              </w:rPr>
              <w:t xml:space="preserve">t allow for a sufficient level of confidence for predicting </w:t>
            </w:r>
            <w:r>
              <w:rPr>
                <w:rFonts w:ascii="Arial" w:hAnsi="Arial" w:cs="Arial"/>
                <w:bCs/>
                <w:sz w:val="20"/>
                <w:szCs w:val="20"/>
              </w:rPr>
              <w:lastRenderedPageBreak/>
              <w:t>imp</w:t>
            </w:r>
            <w:r w:rsidR="00CE5252">
              <w:rPr>
                <w:rFonts w:ascii="Arial" w:hAnsi="Arial" w:cs="Arial"/>
                <w:bCs/>
                <w:sz w:val="20"/>
                <w:szCs w:val="20"/>
              </w:rPr>
              <w:t>acts this stage of the proposal. A</w:t>
            </w:r>
            <w:r>
              <w:rPr>
                <w:rFonts w:ascii="Arial" w:hAnsi="Arial" w:cs="Arial"/>
                <w:bCs/>
                <w:sz w:val="20"/>
                <w:szCs w:val="20"/>
              </w:rPr>
              <w:t>n adequately substantiated Class 2 model would be more appropriate</w:t>
            </w:r>
            <w:r w:rsidR="00D72F2A">
              <w:rPr>
                <w:rFonts w:ascii="Arial" w:hAnsi="Arial" w:cs="Arial"/>
                <w:bCs/>
                <w:sz w:val="20"/>
                <w:szCs w:val="20"/>
              </w:rPr>
              <w:t>;</w:t>
            </w:r>
          </w:p>
          <w:p w:rsidR="00CF260A" w:rsidRPr="009923A4" w:rsidRDefault="00CF260A" w:rsidP="009B560C">
            <w:pPr>
              <w:pStyle w:val="ListParagraph"/>
              <w:numPr>
                <w:ilvl w:val="1"/>
                <w:numId w:val="28"/>
              </w:numPr>
              <w:spacing w:after="200" w:line="276" w:lineRule="auto"/>
              <w:ind w:left="851" w:hanging="425"/>
              <w:rPr>
                <w:rFonts w:ascii="Arial" w:hAnsi="Arial" w:cs="Arial"/>
                <w:bCs/>
                <w:sz w:val="20"/>
                <w:szCs w:val="20"/>
              </w:rPr>
            </w:pPr>
            <w:r>
              <w:rPr>
                <w:rFonts w:ascii="Arial" w:hAnsi="Arial" w:cs="Arial"/>
                <w:bCs/>
                <w:sz w:val="20"/>
                <w:szCs w:val="20"/>
              </w:rPr>
              <w:t>Th</w:t>
            </w:r>
            <w:r w:rsidRPr="00C9586C">
              <w:rPr>
                <w:rFonts w:ascii="Arial" w:hAnsi="Arial" w:cs="Arial"/>
                <w:bCs/>
                <w:sz w:val="20"/>
                <w:szCs w:val="20"/>
              </w:rPr>
              <w:t>e total predicted drawdown should be provided for each layer of the model and not limited to impacts which are greater than 5 m for consolidated aquifers, 2 m for unconsolidated aquifers, and    0.2 m for springs and spring-associated watercourses. Predictions of total drawdown are required to adequately assess potential impacts to water resources, particularly given the large number of</w:t>
            </w:r>
            <w:r w:rsidR="00D72F2A">
              <w:rPr>
                <w:rFonts w:ascii="Arial" w:hAnsi="Arial" w:cs="Arial"/>
                <w:bCs/>
                <w:sz w:val="20"/>
                <w:szCs w:val="20"/>
              </w:rPr>
              <w:t xml:space="preserve"> developments within the region;</w:t>
            </w:r>
          </w:p>
          <w:p w:rsidR="00CF260A" w:rsidRPr="00C9586C" w:rsidRDefault="00AA6244" w:rsidP="009B560C">
            <w:pPr>
              <w:pStyle w:val="ListParagraph"/>
              <w:numPr>
                <w:ilvl w:val="1"/>
                <w:numId w:val="28"/>
              </w:numPr>
              <w:spacing w:after="200" w:line="276" w:lineRule="auto"/>
              <w:ind w:left="851" w:hanging="425"/>
              <w:rPr>
                <w:rFonts w:ascii="Arial" w:hAnsi="Arial" w:cs="Arial"/>
                <w:bCs/>
                <w:sz w:val="20"/>
                <w:szCs w:val="20"/>
              </w:rPr>
            </w:pPr>
            <w:r>
              <w:rPr>
                <w:rFonts w:ascii="Arial" w:hAnsi="Arial" w:cs="Arial"/>
                <w:bCs/>
                <w:sz w:val="20"/>
                <w:szCs w:val="20"/>
              </w:rPr>
              <w:t xml:space="preserve">There is </w:t>
            </w:r>
            <w:r w:rsidR="00CF260A">
              <w:rPr>
                <w:rFonts w:ascii="Arial" w:hAnsi="Arial" w:cs="Arial"/>
                <w:bCs/>
                <w:sz w:val="20"/>
                <w:szCs w:val="20"/>
              </w:rPr>
              <w:t>potential for</w:t>
            </w:r>
            <w:r w:rsidR="00CF260A" w:rsidRPr="00C9586C">
              <w:rPr>
                <w:rFonts w:ascii="Arial" w:hAnsi="Arial" w:cs="Arial"/>
                <w:bCs/>
                <w:sz w:val="20"/>
                <w:szCs w:val="20"/>
              </w:rPr>
              <w:t xml:space="preserve"> single phase flow modelled hydrographs to significantly underestimate actual drawdown at a well.  Whilst a two phase flow numerical model </w:t>
            </w:r>
            <w:r w:rsidR="0073097E">
              <w:rPr>
                <w:rFonts w:ascii="Arial" w:hAnsi="Arial" w:cs="Arial"/>
                <w:bCs/>
                <w:sz w:val="20"/>
                <w:szCs w:val="20"/>
              </w:rPr>
              <w:t xml:space="preserve">(i.e. water and gas) </w:t>
            </w:r>
            <w:r w:rsidR="00CF260A" w:rsidRPr="00C9586C">
              <w:rPr>
                <w:rFonts w:ascii="Arial" w:hAnsi="Arial" w:cs="Arial"/>
                <w:bCs/>
                <w:sz w:val="20"/>
                <w:szCs w:val="20"/>
              </w:rPr>
              <w:t>is desir</w:t>
            </w:r>
            <w:r w:rsidR="000D0A23">
              <w:rPr>
                <w:rFonts w:ascii="Arial" w:hAnsi="Arial" w:cs="Arial"/>
                <w:bCs/>
                <w:sz w:val="20"/>
                <w:szCs w:val="20"/>
              </w:rPr>
              <w:t>able</w:t>
            </w:r>
            <w:r w:rsidR="00CF260A" w:rsidRPr="00C9586C">
              <w:rPr>
                <w:rFonts w:ascii="Arial" w:hAnsi="Arial" w:cs="Arial"/>
                <w:bCs/>
                <w:sz w:val="20"/>
                <w:szCs w:val="20"/>
              </w:rPr>
              <w:t xml:space="preserve">, the </w:t>
            </w:r>
            <w:r w:rsidR="000B49CD">
              <w:rPr>
                <w:rFonts w:ascii="Arial" w:hAnsi="Arial" w:cs="Arial"/>
                <w:bCs/>
                <w:sz w:val="20"/>
                <w:szCs w:val="20"/>
              </w:rPr>
              <w:t>project’s assessment documentation</w:t>
            </w:r>
            <w:r w:rsidR="00CF260A" w:rsidRPr="00C9586C">
              <w:rPr>
                <w:rFonts w:ascii="Arial" w:hAnsi="Arial" w:cs="Arial"/>
                <w:bCs/>
                <w:sz w:val="20"/>
                <w:szCs w:val="20"/>
              </w:rPr>
              <w:t xml:space="preserve"> should at a minimum verify the results of single p</w:t>
            </w:r>
            <w:r w:rsidR="00D72F2A">
              <w:rPr>
                <w:rFonts w:ascii="Arial" w:hAnsi="Arial" w:cs="Arial"/>
                <w:bCs/>
                <w:sz w:val="20"/>
                <w:szCs w:val="20"/>
              </w:rPr>
              <w:t>hase flow modelled hydrographs;</w:t>
            </w:r>
          </w:p>
          <w:p w:rsidR="00CF260A" w:rsidRPr="00C9586C" w:rsidRDefault="00FD4F4B" w:rsidP="009B560C">
            <w:pPr>
              <w:pStyle w:val="ListParagraph"/>
              <w:numPr>
                <w:ilvl w:val="1"/>
                <w:numId w:val="28"/>
              </w:numPr>
              <w:spacing w:after="200" w:line="276" w:lineRule="auto"/>
              <w:ind w:left="851" w:hanging="425"/>
              <w:rPr>
                <w:rFonts w:ascii="Arial" w:hAnsi="Arial" w:cs="Arial"/>
                <w:bCs/>
                <w:sz w:val="20"/>
                <w:szCs w:val="20"/>
              </w:rPr>
            </w:pPr>
            <w:r>
              <w:rPr>
                <w:rFonts w:ascii="Arial" w:hAnsi="Arial" w:cs="Arial"/>
                <w:bCs/>
                <w:sz w:val="20"/>
                <w:szCs w:val="20"/>
              </w:rPr>
              <w:t>The</w:t>
            </w:r>
            <w:r w:rsidR="000D0A23">
              <w:rPr>
                <w:rFonts w:ascii="Arial" w:hAnsi="Arial" w:cs="Arial"/>
                <w:bCs/>
                <w:sz w:val="20"/>
                <w:szCs w:val="20"/>
              </w:rPr>
              <w:t>re is a</w:t>
            </w:r>
            <w:r>
              <w:rPr>
                <w:rFonts w:ascii="Arial" w:hAnsi="Arial" w:cs="Arial"/>
                <w:bCs/>
                <w:sz w:val="20"/>
                <w:szCs w:val="20"/>
              </w:rPr>
              <w:t xml:space="preserve"> need to </w:t>
            </w:r>
            <w:r w:rsidR="00AA6244">
              <w:rPr>
                <w:rFonts w:ascii="Arial" w:hAnsi="Arial" w:cs="Arial"/>
                <w:bCs/>
                <w:sz w:val="20"/>
                <w:szCs w:val="20"/>
              </w:rPr>
              <w:t>accurately assess</w:t>
            </w:r>
            <w:r w:rsidR="00CF260A" w:rsidRPr="00C9586C">
              <w:rPr>
                <w:rFonts w:ascii="Arial" w:hAnsi="Arial" w:cs="Arial"/>
                <w:bCs/>
                <w:sz w:val="20"/>
                <w:szCs w:val="20"/>
              </w:rPr>
              <w:t xml:space="preserve"> the potential for the contribution of future developments to ongoing consumption of grou</w:t>
            </w:r>
            <w:r w:rsidR="00D72F2A">
              <w:rPr>
                <w:rFonts w:ascii="Arial" w:hAnsi="Arial" w:cs="Arial"/>
                <w:bCs/>
                <w:sz w:val="20"/>
                <w:szCs w:val="20"/>
              </w:rPr>
              <w:t>ndwater resources in the region;</w:t>
            </w:r>
          </w:p>
          <w:p w:rsidR="00CF260A" w:rsidRPr="001B478D" w:rsidRDefault="00FD4F4B" w:rsidP="009B560C">
            <w:pPr>
              <w:pStyle w:val="ListParagraph"/>
              <w:numPr>
                <w:ilvl w:val="1"/>
                <w:numId w:val="28"/>
              </w:numPr>
              <w:spacing w:after="200" w:line="276" w:lineRule="auto"/>
              <w:ind w:left="851" w:hanging="425"/>
              <w:rPr>
                <w:rFonts w:ascii="Arial" w:hAnsi="Arial" w:cs="Arial"/>
                <w:bCs/>
                <w:sz w:val="20"/>
                <w:szCs w:val="20"/>
              </w:rPr>
            </w:pPr>
            <w:r>
              <w:rPr>
                <w:rFonts w:ascii="Arial" w:hAnsi="Arial" w:cs="Arial"/>
                <w:bCs/>
                <w:sz w:val="20"/>
                <w:szCs w:val="20"/>
              </w:rPr>
              <w:t>F</w:t>
            </w:r>
            <w:r w:rsidR="00CF260A" w:rsidRPr="00C9586C">
              <w:rPr>
                <w:rFonts w:ascii="Arial" w:hAnsi="Arial" w:cs="Arial"/>
                <w:bCs/>
                <w:sz w:val="20"/>
                <w:szCs w:val="20"/>
              </w:rPr>
              <w:t xml:space="preserve">ield validation of the model parameters </w:t>
            </w:r>
            <w:r>
              <w:rPr>
                <w:rFonts w:ascii="Arial" w:hAnsi="Arial" w:cs="Arial"/>
                <w:bCs/>
                <w:sz w:val="20"/>
                <w:szCs w:val="20"/>
              </w:rPr>
              <w:t xml:space="preserve">is needed </w:t>
            </w:r>
            <w:r w:rsidR="00CF260A" w:rsidRPr="00C9586C">
              <w:rPr>
                <w:rFonts w:ascii="Arial" w:hAnsi="Arial" w:cs="Arial"/>
                <w:bCs/>
                <w:sz w:val="20"/>
                <w:szCs w:val="20"/>
              </w:rPr>
              <w:t xml:space="preserve">to verify assumptions and literature based values.  It is noted, given the limited data available, that values of specific storage were generalised across the project area. </w:t>
            </w:r>
            <w:r w:rsidR="00CF260A">
              <w:rPr>
                <w:rFonts w:ascii="Arial" w:hAnsi="Arial" w:cs="Arial"/>
                <w:bCs/>
                <w:sz w:val="20"/>
                <w:szCs w:val="20"/>
              </w:rPr>
              <w:t xml:space="preserve">                                                                                                                                 </w:t>
            </w:r>
          </w:p>
          <w:p w:rsidR="00E373F5" w:rsidRDefault="00E373F5" w:rsidP="009B560C">
            <w:pPr>
              <w:pStyle w:val="ListNumber"/>
              <w:numPr>
                <w:ilvl w:val="0"/>
                <w:numId w:val="40"/>
              </w:numPr>
              <w:spacing w:after="200" w:line="276" w:lineRule="auto"/>
              <w:ind w:left="284" w:hanging="284"/>
              <w:rPr>
                <w:rFonts w:ascii="Arial" w:hAnsi="Arial" w:cs="Arial"/>
                <w:sz w:val="20"/>
                <w:szCs w:val="20"/>
              </w:rPr>
            </w:pPr>
            <w:r w:rsidRPr="00A069C8">
              <w:rPr>
                <w:rFonts w:ascii="Arial" w:hAnsi="Arial" w:cs="Arial"/>
                <w:sz w:val="20"/>
                <w:szCs w:val="20"/>
              </w:rPr>
              <w:t>As</w:t>
            </w:r>
            <w:r w:rsidR="00F97490">
              <w:rPr>
                <w:rFonts w:ascii="Arial" w:hAnsi="Arial" w:cs="Arial"/>
                <w:sz w:val="20"/>
                <w:szCs w:val="20"/>
              </w:rPr>
              <w:t xml:space="preserve"> </w:t>
            </w:r>
            <w:r w:rsidR="000D0A23">
              <w:rPr>
                <w:rFonts w:ascii="Arial" w:hAnsi="Arial" w:cs="Arial"/>
                <w:sz w:val="20"/>
                <w:szCs w:val="20"/>
              </w:rPr>
              <w:t xml:space="preserve">indicated in </w:t>
            </w:r>
            <w:r w:rsidR="00F97490" w:rsidRPr="00F97490">
              <w:rPr>
                <w:rFonts w:ascii="Arial" w:hAnsi="Arial" w:cs="Arial"/>
                <w:sz w:val="20"/>
                <w:szCs w:val="20"/>
              </w:rPr>
              <w:t>the Arrow – Surat Gas project advice</w:t>
            </w:r>
            <w:r w:rsidR="00322064">
              <w:rPr>
                <w:rFonts w:ascii="Arial" w:hAnsi="Arial" w:cs="Arial"/>
                <w:sz w:val="20"/>
                <w:szCs w:val="20"/>
              </w:rPr>
              <w:t xml:space="preserve"> </w:t>
            </w:r>
            <w:r w:rsidR="00322064" w:rsidRPr="00322064">
              <w:rPr>
                <w:rFonts w:ascii="Arial" w:hAnsi="Arial" w:cs="Arial"/>
                <w:sz w:val="20"/>
                <w:szCs w:val="20"/>
              </w:rPr>
              <w:t>(2010/5344)</w:t>
            </w:r>
            <w:r w:rsidR="00F97490" w:rsidRPr="00F97490">
              <w:rPr>
                <w:rFonts w:ascii="Arial" w:hAnsi="Arial" w:cs="Arial"/>
                <w:sz w:val="20"/>
                <w:szCs w:val="20"/>
              </w:rPr>
              <w:t xml:space="preserve">, the Committee </w:t>
            </w:r>
            <w:r w:rsidR="00322064">
              <w:rPr>
                <w:rFonts w:ascii="Arial" w:hAnsi="Arial" w:cs="Arial"/>
                <w:sz w:val="20"/>
                <w:szCs w:val="20"/>
              </w:rPr>
              <w:t>advises</w:t>
            </w:r>
            <w:r w:rsidR="00F97490" w:rsidRPr="00F97490">
              <w:rPr>
                <w:rFonts w:ascii="Arial" w:hAnsi="Arial" w:cs="Arial"/>
                <w:sz w:val="20"/>
                <w:szCs w:val="20"/>
              </w:rPr>
              <w:t xml:space="preserve"> that the cumulative impact assessment needs to be based on an adequate information set, including sit</w:t>
            </w:r>
            <w:r w:rsidR="00322064">
              <w:rPr>
                <w:rFonts w:ascii="Arial" w:hAnsi="Arial" w:cs="Arial"/>
                <w:sz w:val="20"/>
                <w:szCs w:val="20"/>
              </w:rPr>
              <w:t xml:space="preserve">e and regional water balances. </w:t>
            </w:r>
            <w:r w:rsidR="00F97490" w:rsidRPr="00F97490">
              <w:rPr>
                <w:rFonts w:ascii="Arial" w:hAnsi="Arial" w:cs="Arial"/>
                <w:sz w:val="20"/>
                <w:szCs w:val="20"/>
              </w:rPr>
              <w:t xml:space="preserve">The Arrow Bowen Gas Project would </w:t>
            </w:r>
            <w:r w:rsidR="00CF0B8A">
              <w:rPr>
                <w:rFonts w:ascii="Arial" w:hAnsi="Arial" w:cs="Arial"/>
                <w:sz w:val="20"/>
                <w:szCs w:val="20"/>
              </w:rPr>
              <w:t>reasonably be expected to</w:t>
            </w:r>
            <w:r w:rsidR="00CF0B8A" w:rsidRPr="00F97490">
              <w:rPr>
                <w:rFonts w:ascii="Arial" w:hAnsi="Arial" w:cs="Arial"/>
                <w:sz w:val="20"/>
                <w:szCs w:val="20"/>
              </w:rPr>
              <w:t xml:space="preserve"> </w:t>
            </w:r>
            <w:r w:rsidR="00F97490" w:rsidRPr="00F97490">
              <w:rPr>
                <w:rFonts w:ascii="Arial" w:hAnsi="Arial" w:cs="Arial"/>
                <w:sz w:val="20"/>
                <w:szCs w:val="20"/>
              </w:rPr>
              <w:t>contribute to cumulative impacts.  There is limited information provided to determine the project’s contribution to cumulative impacts, including impacts to M</w:t>
            </w:r>
            <w:r w:rsidR="00704E64">
              <w:rPr>
                <w:rFonts w:ascii="Arial" w:hAnsi="Arial" w:cs="Arial"/>
                <w:sz w:val="20"/>
                <w:szCs w:val="20"/>
              </w:rPr>
              <w:t>NES</w:t>
            </w:r>
            <w:r w:rsidR="00F97490" w:rsidRPr="00F97490">
              <w:rPr>
                <w:rFonts w:ascii="Arial" w:hAnsi="Arial" w:cs="Arial"/>
                <w:sz w:val="20"/>
                <w:szCs w:val="20"/>
              </w:rPr>
              <w:t xml:space="preserve"> from changes to hydrology and water quality</w:t>
            </w:r>
            <w:r w:rsidRPr="00A069C8">
              <w:rPr>
                <w:rFonts w:ascii="Arial" w:hAnsi="Arial" w:cs="Arial"/>
                <w:sz w:val="20"/>
                <w:szCs w:val="20"/>
              </w:rPr>
              <w:t>.</w:t>
            </w:r>
          </w:p>
          <w:p w:rsidR="000B5FEA" w:rsidRPr="00894044" w:rsidRDefault="00F97490" w:rsidP="004E2C78">
            <w:pPr>
              <w:pStyle w:val="ListNumber"/>
              <w:numPr>
                <w:ilvl w:val="0"/>
                <w:numId w:val="40"/>
              </w:numPr>
              <w:spacing w:after="240" w:line="276" w:lineRule="auto"/>
              <w:ind w:left="284" w:hanging="284"/>
              <w:rPr>
                <w:rFonts w:ascii="Arial" w:hAnsi="Arial" w:cs="Arial"/>
                <w:sz w:val="20"/>
                <w:szCs w:val="20"/>
              </w:rPr>
            </w:pPr>
            <w:r w:rsidRPr="00894044">
              <w:rPr>
                <w:rFonts w:ascii="Arial" w:hAnsi="Arial" w:cs="Arial"/>
                <w:bCs/>
                <w:sz w:val="20"/>
                <w:szCs w:val="20"/>
                <w:lang w:val="en-US"/>
              </w:rPr>
              <w:t xml:space="preserve">Given the large number of developments across the region, a </w:t>
            </w:r>
            <w:r w:rsidRPr="00894044">
              <w:rPr>
                <w:rFonts w:ascii="Arial" w:hAnsi="Arial" w:cs="Arial"/>
                <w:bCs/>
                <w:sz w:val="20"/>
                <w:szCs w:val="20"/>
              </w:rPr>
              <w:t>cumulative impact assessment of well integrity is needed to enable adequate assessment of potential impacts at a regional scale and to determine appropriate mitigation measures. The Committee considers that well failure during construction, operation and decommissioning phases of the project has the potential to cause aquifer interconnectivity. With up to 6,625 wells being proposed</w:t>
            </w:r>
            <w:r w:rsidR="00CF0B8A" w:rsidRPr="00894044">
              <w:rPr>
                <w:rFonts w:ascii="Arial" w:hAnsi="Arial" w:cs="Arial"/>
                <w:bCs/>
                <w:sz w:val="20"/>
                <w:szCs w:val="20"/>
              </w:rPr>
              <w:t>,</w:t>
            </w:r>
            <w:r w:rsidRPr="00894044">
              <w:rPr>
                <w:rFonts w:ascii="Arial" w:hAnsi="Arial" w:cs="Arial"/>
                <w:bCs/>
                <w:sz w:val="20"/>
                <w:szCs w:val="20"/>
              </w:rPr>
              <w:t xml:space="preserve"> even a 1% failure rate has the potential to significantly impact on aquifer integrity in the region. The Committee considers that a risk assessment of well integrity is required to enable potential impacts at a regional scale to be adequately determined. This should consider mitigation measures, maintenance, </w:t>
            </w:r>
            <w:r w:rsidR="001E0165">
              <w:rPr>
                <w:rFonts w:ascii="Arial" w:hAnsi="Arial" w:cs="Arial"/>
                <w:bCs/>
                <w:sz w:val="20"/>
                <w:szCs w:val="20"/>
              </w:rPr>
              <w:t>and decommissioning, consistent with</w:t>
            </w:r>
            <w:r w:rsidRPr="00894044">
              <w:rPr>
                <w:rFonts w:ascii="Arial" w:hAnsi="Arial" w:cs="Arial"/>
                <w:bCs/>
                <w:sz w:val="20"/>
                <w:szCs w:val="20"/>
              </w:rPr>
              <w:t xml:space="preserve"> the Code of Practice for Constructing and Abandoning Coal Seam Gas Wells in Queensland.</w:t>
            </w:r>
            <w:r w:rsidR="00260B1B" w:rsidRPr="00894044">
              <w:rPr>
                <w:rFonts w:ascii="Arial" w:hAnsi="Arial" w:cs="Arial"/>
                <w:bCs/>
                <w:sz w:val="20"/>
                <w:szCs w:val="20"/>
              </w:rPr>
              <w:t xml:space="preserve"> </w:t>
            </w:r>
            <w:r w:rsidR="00CE5252">
              <w:rPr>
                <w:rFonts w:ascii="Arial" w:hAnsi="Arial" w:cs="Arial"/>
                <w:bCs/>
                <w:sz w:val="20"/>
                <w:szCs w:val="20"/>
              </w:rPr>
              <w:t>The R</w:t>
            </w:r>
            <w:r w:rsidR="00894044" w:rsidRPr="00894044">
              <w:rPr>
                <w:rFonts w:ascii="Arial" w:hAnsi="Arial" w:cs="Arial"/>
                <w:bCs/>
                <w:sz w:val="20"/>
                <w:szCs w:val="20"/>
              </w:rPr>
              <w:t>egulator may need to ensure that there are appropriate measures to deal with issues associated with legacy bores, a matter most relevant for CSG proposals given the quantum of well</w:t>
            </w:r>
            <w:r w:rsidR="009541CC">
              <w:rPr>
                <w:rFonts w:ascii="Arial" w:hAnsi="Arial" w:cs="Arial"/>
                <w:bCs/>
                <w:sz w:val="20"/>
                <w:szCs w:val="20"/>
              </w:rPr>
              <w:t>s</w:t>
            </w:r>
            <w:r w:rsidR="00CE5252">
              <w:rPr>
                <w:rFonts w:ascii="Arial" w:hAnsi="Arial" w:cs="Arial"/>
                <w:bCs/>
                <w:sz w:val="20"/>
                <w:szCs w:val="20"/>
              </w:rPr>
              <w:t xml:space="preserve"> being proposed by industry</w:t>
            </w:r>
            <w:r w:rsidR="00894044" w:rsidRPr="00894044">
              <w:rPr>
                <w:rFonts w:ascii="Arial" w:hAnsi="Arial" w:cs="Arial"/>
                <w:bCs/>
                <w:sz w:val="20"/>
                <w:szCs w:val="20"/>
              </w:rPr>
              <w:t xml:space="preserve">. </w:t>
            </w:r>
            <w:r w:rsidR="00DF15F8">
              <w:rPr>
                <w:rFonts w:ascii="Arial" w:hAnsi="Arial" w:cs="Arial"/>
                <w:bCs/>
                <w:sz w:val="20"/>
                <w:szCs w:val="20"/>
              </w:rPr>
              <w:t>This is compounded by the potential for a large number of coal exploration bores not being correctly plugged and abandoned, which could provide a conduit for gas migration.</w:t>
            </w:r>
          </w:p>
          <w:p w:rsidR="00CF260A" w:rsidRPr="00AC0A6D" w:rsidRDefault="00CF260A" w:rsidP="009B560C">
            <w:pPr>
              <w:pStyle w:val="Default"/>
              <w:spacing w:after="200" w:line="276" w:lineRule="auto"/>
              <w:rPr>
                <w:rFonts w:ascii="Arial" w:hAnsi="Arial" w:cs="Arial"/>
                <w:i/>
                <w:color w:val="auto"/>
                <w:sz w:val="20"/>
                <w:szCs w:val="20"/>
                <w:lang w:eastAsia="en-US"/>
              </w:rPr>
            </w:pPr>
            <w:r w:rsidRPr="00AC0A6D">
              <w:rPr>
                <w:rFonts w:ascii="Arial" w:hAnsi="Arial" w:cs="Arial"/>
                <w:i/>
                <w:color w:val="auto"/>
                <w:sz w:val="20"/>
                <w:szCs w:val="20"/>
                <w:lang w:eastAsia="en-US"/>
              </w:rPr>
              <w:t>Question 4: Surface Water - Are management of impacts on waterways and water quality sufficiently addressed in the EIS?</w:t>
            </w:r>
          </w:p>
          <w:p w:rsidR="00CF260A" w:rsidRPr="00516AA3" w:rsidRDefault="00CC40EB" w:rsidP="009B560C">
            <w:pPr>
              <w:pStyle w:val="ListNumber"/>
              <w:spacing w:after="200" w:line="276" w:lineRule="auto"/>
              <w:rPr>
                <w:rFonts w:ascii="Arial" w:hAnsi="Arial" w:cs="Arial"/>
                <w:bCs/>
                <w:color w:val="000000"/>
                <w:sz w:val="20"/>
                <w:szCs w:val="20"/>
              </w:rPr>
            </w:pPr>
            <w:r>
              <w:rPr>
                <w:rFonts w:ascii="Arial" w:hAnsi="Arial" w:cs="Arial"/>
                <w:bCs/>
                <w:color w:val="000000"/>
                <w:sz w:val="20"/>
                <w:szCs w:val="20"/>
              </w:rPr>
              <w:t xml:space="preserve">Whilst a methodical process was used to review the potential impacts to </w:t>
            </w:r>
            <w:r w:rsidR="000116A1">
              <w:rPr>
                <w:rFonts w:ascii="Arial" w:hAnsi="Arial" w:cs="Arial"/>
                <w:bCs/>
                <w:color w:val="000000"/>
                <w:sz w:val="20"/>
                <w:szCs w:val="20"/>
              </w:rPr>
              <w:t xml:space="preserve">terrestrial and aquatic ecosystems, the </w:t>
            </w:r>
            <w:r w:rsidR="00E01BE3">
              <w:rPr>
                <w:rFonts w:ascii="Arial" w:hAnsi="Arial" w:cs="Arial"/>
                <w:bCs/>
                <w:color w:val="000000"/>
                <w:sz w:val="20"/>
                <w:szCs w:val="20"/>
              </w:rPr>
              <w:t xml:space="preserve">assessment </w:t>
            </w:r>
            <w:r w:rsidR="00CF260A" w:rsidRPr="00516AA3">
              <w:rPr>
                <w:rFonts w:ascii="Arial" w:hAnsi="Arial" w:cs="Arial"/>
                <w:bCs/>
                <w:color w:val="000000"/>
                <w:sz w:val="20"/>
                <w:szCs w:val="20"/>
              </w:rPr>
              <w:t xml:space="preserve">of impacts </w:t>
            </w:r>
            <w:r w:rsidR="00411819">
              <w:rPr>
                <w:rFonts w:ascii="Arial" w:hAnsi="Arial" w:cs="Arial"/>
                <w:bCs/>
                <w:color w:val="000000"/>
                <w:sz w:val="20"/>
                <w:szCs w:val="20"/>
              </w:rPr>
              <w:t>to</w:t>
            </w:r>
            <w:r w:rsidR="00CF260A" w:rsidRPr="00516AA3">
              <w:rPr>
                <w:rFonts w:ascii="Arial" w:hAnsi="Arial" w:cs="Arial"/>
                <w:bCs/>
                <w:color w:val="000000"/>
                <w:sz w:val="20"/>
                <w:szCs w:val="20"/>
              </w:rPr>
              <w:t xml:space="preserve"> waterways is not sufficient to enable a thorough consideration of project-induced impacts to the receiving waters</w:t>
            </w:r>
            <w:r w:rsidR="000116A1">
              <w:rPr>
                <w:rFonts w:ascii="Arial" w:hAnsi="Arial" w:cs="Arial"/>
                <w:bCs/>
                <w:color w:val="000000"/>
                <w:sz w:val="20"/>
                <w:szCs w:val="20"/>
              </w:rPr>
              <w:t xml:space="preserve"> primarily due to limitations with the surface water and aquatic ecosystem surveys and the lack of water balance modelling.</w:t>
            </w:r>
            <w:r w:rsidR="00CF260A" w:rsidRPr="00516AA3">
              <w:rPr>
                <w:rFonts w:ascii="Arial" w:hAnsi="Arial" w:cs="Arial"/>
                <w:bCs/>
                <w:color w:val="000000"/>
                <w:sz w:val="20"/>
                <w:szCs w:val="20"/>
              </w:rPr>
              <w:t xml:space="preserve"> </w:t>
            </w:r>
            <w:r w:rsidR="00CF0B8A">
              <w:rPr>
                <w:rFonts w:ascii="Arial" w:hAnsi="Arial" w:cs="Arial"/>
                <w:bCs/>
                <w:color w:val="000000"/>
                <w:sz w:val="20"/>
                <w:szCs w:val="20"/>
              </w:rPr>
              <w:t>F</w:t>
            </w:r>
            <w:r w:rsidR="00411819">
              <w:rPr>
                <w:rFonts w:ascii="Arial" w:hAnsi="Arial" w:cs="Arial"/>
                <w:bCs/>
                <w:color w:val="000000"/>
                <w:sz w:val="20"/>
                <w:szCs w:val="20"/>
              </w:rPr>
              <w:t>urther i</w:t>
            </w:r>
            <w:r w:rsidR="00E01BE3">
              <w:rPr>
                <w:rFonts w:ascii="Arial" w:hAnsi="Arial" w:cs="Arial"/>
                <w:bCs/>
                <w:color w:val="000000"/>
                <w:sz w:val="20"/>
                <w:szCs w:val="20"/>
              </w:rPr>
              <w:t>nformation</w:t>
            </w:r>
            <w:r w:rsidR="00CF260A">
              <w:rPr>
                <w:rFonts w:ascii="Arial" w:hAnsi="Arial" w:cs="Arial"/>
                <w:bCs/>
                <w:color w:val="000000"/>
                <w:sz w:val="20"/>
                <w:szCs w:val="20"/>
              </w:rPr>
              <w:t xml:space="preserve"> </w:t>
            </w:r>
            <w:r w:rsidR="00CF0B8A">
              <w:rPr>
                <w:rFonts w:ascii="Arial" w:hAnsi="Arial" w:cs="Arial"/>
                <w:bCs/>
                <w:color w:val="000000"/>
                <w:sz w:val="20"/>
                <w:szCs w:val="20"/>
              </w:rPr>
              <w:t xml:space="preserve">is needed </w:t>
            </w:r>
            <w:r w:rsidR="00CF260A">
              <w:rPr>
                <w:rFonts w:ascii="Arial" w:hAnsi="Arial" w:cs="Arial"/>
                <w:bCs/>
                <w:color w:val="000000"/>
                <w:sz w:val="20"/>
                <w:szCs w:val="20"/>
              </w:rPr>
              <w:t>t</w:t>
            </w:r>
            <w:r w:rsidR="00411819">
              <w:rPr>
                <w:rFonts w:ascii="Arial" w:hAnsi="Arial" w:cs="Arial"/>
                <w:bCs/>
                <w:color w:val="000000"/>
                <w:sz w:val="20"/>
                <w:szCs w:val="20"/>
              </w:rPr>
              <w:t xml:space="preserve">o </w:t>
            </w:r>
            <w:r w:rsidR="00CF260A">
              <w:rPr>
                <w:rFonts w:ascii="Arial" w:hAnsi="Arial" w:cs="Arial"/>
                <w:bCs/>
                <w:color w:val="000000"/>
                <w:sz w:val="20"/>
                <w:szCs w:val="20"/>
              </w:rPr>
              <w:t>address the potential impacts to waterways a</w:t>
            </w:r>
            <w:r w:rsidR="00411819">
              <w:rPr>
                <w:rFonts w:ascii="Arial" w:hAnsi="Arial" w:cs="Arial"/>
                <w:bCs/>
                <w:color w:val="000000"/>
                <w:sz w:val="20"/>
                <w:szCs w:val="20"/>
              </w:rPr>
              <w:t xml:space="preserve">s discussed in </w:t>
            </w:r>
            <w:r w:rsidR="00CF260A">
              <w:rPr>
                <w:rFonts w:ascii="Arial" w:hAnsi="Arial" w:cs="Arial"/>
                <w:bCs/>
                <w:color w:val="000000"/>
                <w:sz w:val="20"/>
                <w:szCs w:val="20"/>
              </w:rPr>
              <w:t xml:space="preserve">the points below.  </w:t>
            </w:r>
          </w:p>
          <w:p w:rsidR="00E01BE3" w:rsidRPr="00E01BE3" w:rsidRDefault="00E01BE3" w:rsidP="009B560C">
            <w:pPr>
              <w:pStyle w:val="ListNumber"/>
              <w:numPr>
                <w:ilvl w:val="0"/>
                <w:numId w:val="26"/>
              </w:numPr>
              <w:spacing w:after="200" w:line="276" w:lineRule="auto"/>
              <w:ind w:left="284" w:hanging="284"/>
              <w:rPr>
                <w:rFonts w:ascii="Arial" w:hAnsi="Arial" w:cs="Arial"/>
                <w:bCs/>
                <w:color w:val="000000"/>
                <w:sz w:val="20"/>
                <w:szCs w:val="20"/>
              </w:rPr>
            </w:pPr>
            <w:r>
              <w:rPr>
                <w:rFonts w:ascii="Arial" w:hAnsi="Arial" w:cs="Arial"/>
                <w:bCs/>
                <w:color w:val="000000"/>
                <w:sz w:val="20"/>
                <w:szCs w:val="20"/>
              </w:rPr>
              <w:t>Both a site-specific and a regional water balance model are needed</w:t>
            </w:r>
            <w:r w:rsidRPr="00EE1000">
              <w:rPr>
                <w:rFonts w:ascii="Arial" w:hAnsi="Arial" w:cs="Arial"/>
                <w:bCs/>
                <w:color w:val="000000"/>
                <w:sz w:val="20"/>
                <w:szCs w:val="20"/>
              </w:rPr>
              <w:t xml:space="preserve"> </w:t>
            </w:r>
            <w:r>
              <w:rPr>
                <w:rFonts w:ascii="Arial" w:hAnsi="Arial" w:cs="Arial"/>
                <w:bCs/>
                <w:color w:val="000000"/>
                <w:sz w:val="20"/>
                <w:szCs w:val="20"/>
              </w:rPr>
              <w:t xml:space="preserve">to enable an assessment </w:t>
            </w:r>
            <w:r w:rsidR="008E46FC">
              <w:rPr>
                <w:rFonts w:ascii="Arial" w:hAnsi="Arial" w:cs="Arial"/>
                <w:bCs/>
                <w:color w:val="000000"/>
                <w:sz w:val="20"/>
                <w:szCs w:val="20"/>
              </w:rPr>
              <w:t xml:space="preserve">of changes to water resources. </w:t>
            </w:r>
            <w:r>
              <w:rPr>
                <w:rFonts w:ascii="Arial" w:hAnsi="Arial" w:cs="Arial"/>
                <w:bCs/>
                <w:color w:val="000000"/>
                <w:sz w:val="20"/>
                <w:szCs w:val="20"/>
              </w:rPr>
              <w:t xml:space="preserve">The </w:t>
            </w:r>
            <w:bookmarkStart w:id="3" w:name="_GoBack"/>
            <w:bookmarkEnd w:id="3"/>
            <w:r w:rsidR="00ED2D1E">
              <w:rPr>
                <w:rFonts w:ascii="Arial" w:hAnsi="Arial" w:cs="Arial"/>
                <w:bCs/>
                <w:color w:val="000000"/>
                <w:sz w:val="20"/>
                <w:szCs w:val="20"/>
              </w:rPr>
              <w:t xml:space="preserve">project’s assessment documentation </w:t>
            </w:r>
            <w:r>
              <w:rPr>
                <w:rFonts w:ascii="Arial" w:hAnsi="Arial" w:cs="Arial"/>
                <w:bCs/>
                <w:color w:val="000000"/>
                <w:sz w:val="20"/>
                <w:szCs w:val="20"/>
              </w:rPr>
              <w:t>commits to developing a water balance model in future phase</w:t>
            </w:r>
            <w:r w:rsidR="00275559">
              <w:rPr>
                <w:rFonts w:ascii="Arial" w:hAnsi="Arial" w:cs="Arial"/>
                <w:bCs/>
                <w:color w:val="000000"/>
                <w:sz w:val="20"/>
                <w:szCs w:val="20"/>
              </w:rPr>
              <w:t xml:space="preserve">s, but the Committee recommends </w:t>
            </w:r>
            <w:r>
              <w:rPr>
                <w:rFonts w:ascii="Arial" w:hAnsi="Arial" w:cs="Arial"/>
                <w:bCs/>
                <w:color w:val="000000"/>
                <w:sz w:val="20"/>
                <w:szCs w:val="20"/>
              </w:rPr>
              <w:t xml:space="preserve">that this </w:t>
            </w:r>
            <w:r w:rsidR="00275559">
              <w:rPr>
                <w:rFonts w:ascii="Arial" w:hAnsi="Arial" w:cs="Arial"/>
                <w:bCs/>
                <w:color w:val="000000"/>
                <w:sz w:val="20"/>
                <w:szCs w:val="20"/>
              </w:rPr>
              <w:t>is need</w:t>
            </w:r>
            <w:r w:rsidR="00725535">
              <w:rPr>
                <w:rFonts w:ascii="Arial" w:hAnsi="Arial" w:cs="Arial"/>
                <w:bCs/>
                <w:color w:val="000000"/>
                <w:sz w:val="20"/>
                <w:szCs w:val="20"/>
              </w:rPr>
              <w:t>ed</w:t>
            </w:r>
            <w:r w:rsidR="00275559">
              <w:rPr>
                <w:rFonts w:ascii="Arial" w:hAnsi="Arial" w:cs="Arial"/>
                <w:bCs/>
                <w:color w:val="000000"/>
                <w:sz w:val="20"/>
                <w:szCs w:val="20"/>
              </w:rPr>
              <w:t xml:space="preserve"> in the current phase</w:t>
            </w:r>
            <w:r w:rsidR="00DF15F8">
              <w:rPr>
                <w:rFonts w:ascii="Arial" w:hAnsi="Arial" w:cs="Arial"/>
                <w:bCs/>
                <w:color w:val="000000"/>
                <w:sz w:val="20"/>
                <w:szCs w:val="20"/>
              </w:rPr>
              <w:t xml:space="preserve"> as part of the project’s assessment</w:t>
            </w:r>
            <w:r w:rsidR="00260B1B">
              <w:rPr>
                <w:rFonts w:ascii="Arial" w:hAnsi="Arial" w:cs="Arial"/>
                <w:bCs/>
                <w:color w:val="000000"/>
                <w:sz w:val="20"/>
                <w:szCs w:val="20"/>
              </w:rPr>
              <w:t xml:space="preserve">. </w:t>
            </w:r>
            <w:r w:rsidR="00275559">
              <w:rPr>
                <w:rFonts w:ascii="Arial" w:hAnsi="Arial" w:cs="Arial"/>
                <w:bCs/>
                <w:color w:val="000000"/>
                <w:sz w:val="20"/>
                <w:szCs w:val="20"/>
              </w:rPr>
              <w:t xml:space="preserve"> </w:t>
            </w:r>
          </w:p>
          <w:p w:rsidR="00FB0DE2" w:rsidRPr="00FB0DE2" w:rsidRDefault="00CF260A" w:rsidP="009B560C">
            <w:pPr>
              <w:pStyle w:val="ListNumber"/>
              <w:numPr>
                <w:ilvl w:val="0"/>
                <w:numId w:val="26"/>
              </w:numPr>
              <w:spacing w:after="200" w:line="276" w:lineRule="auto"/>
              <w:ind w:left="284" w:hanging="284"/>
              <w:rPr>
                <w:rFonts w:ascii="Arial" w:hAnsi="Arial" w:cs="Arial"/>
                <w:bCs/>
                <w:i/>
                <w:color w:val="000000"/>
                <w:sz w:val="20"/>
                <w:szCs w:val="20"/>
              </w:rPr>
            </w:pPr>
            <w:r w:rsidRPr="00D05073">
              <w:rPr>
                <w:rFonts w:ascii="Arial" w:hAnsi="Arial" w:cs="Arial"/>
                <w:bCs/>
                <w:color w:val="000000"/>
                <w:sz w:val="20"/>
                <w:szCs w:val="20"/>
              </w:rPr>
              <w:t xml:space="preserve">Sampling locations were determined in the absence of the known location of infrastructure, as the project </w:t>
            </w:r>
            <w:r w:rsidRPr="00D05073">
              <w:rPr>
                <w:rFonts w:ascii="Arial" w:hAnsi="Arial" w:cs="Arial"/>
                <w:bCs/>
                <w:color w:val="000000"/>
                <w:sz w:val="20"/>
                <w:szCs w:val="20"/>
              </w:rPr>
              <w:lastRenderedPageBreak/>
              <w:t>is currently in the conceptual phase (a</w:t>
            </w:r>
            <w:r w:rsidR="00ED2D1E">
              <w:rPr>
                <w:rFonts w:ascii="Arial" w:hAnsi="Arial" w:cs="Arial"/>
                <w:bCs/>
                <w:color w:val="000000"/>
                <w:sz w:val="20"/>
                <w:szCs w:val="20"/>
              </w:rPr>
              <w:t>s discussed in Question 1). The project’s assessment documentation</w:t>
            </w:r>
            <w:r w:rsidR="00DF15F8">
              <w:rPr>
                <w:rFonts w:ascii="Arial" w:hAnsi="Arial" w:cs="Arial"/>
                <w:bCs/>
                <w:color w:val="000000"/>
                <w:sz w:val="20"/>
                <w:szCs w:val="20"/>
              </w:rPr>
              <w:t xml:space="preserve"> should be revised when </w:t>
            </w:r>
            <w:r w:rsidRPr="00D05073">
              <w:rPr>
                <w:rFonts w:ascii="Arial" w:hAnsi="Arial" w:cs="Arial"/>
                <w:bCs/>
                <w:color w:val="000000"/>
                <w:sz w:val="20"/>
                <w:szCs w:val="20"/>
              </w:rPr>
              <w:t>the location of infrastructure is known to determine whether the location</w:t>
            </w:r>
            <w:r w:rsidR="00D05073">
              <w:rPr>
                <w:rFonts w:ascii="Arial" w:hAnsi="Arial" w:cs="Arial"/>
                <w:bCs/>
                <w:color w:val="000000"/>
                <w:sz w:val="20"/>
                <w:szCs w:val="20"/>
              </w:rPr>
              <w:t>s</w:t>
            </w:r>
            <w:r w:rsidRPr="00D05073">
              <w:rPr>
                <w:rFonts w:ascii="Arial" w:hAnsi="Arial" w:cs="Arial"/>
                <w:bCs/>
                <w:color w:val="000000"/>
                <w:sz w:val="20"/>
                <w:szCs w:val="20"/>
              </w:rPr>
              <w:t xml:space="preserve"> of sampling points used for base-line characterisation adequately identify baseline environmental values. In addition, to ensure that </w:t>
            </w:r>
            <w:r w:rsidR="00D05073">
              <w:rPr>
                <w:rFonts w:ascii="Arial" w:hAnsi="Arial" w:cs="Arial"/>
                <w:bCs/>
                <w:color w:val="000000"/>
                <w:sz w:val="20"/>
                <w:szCs w:val="20"/>
              </w:rPr>
              <w:t xml:space="preserve">adequate </w:t>
            </w:r>
            <w:r w:rsidRPr="00D05073">
              <w:rPr>
                <w:rFonts w:ascii="Arial" w:hAnsi="Arial" w:cs="Arial"/>
                <w:bCs/>
                <w:color w:val="000000"/>
                <w:sz w:val="20"/>
                <w:szCs w:val="20"/>
              </w:rPr>
              <w:t xml:space="preserve">mitigation and management measures are developed, </w:t>
            </w:r>
            <w:r w:rsidR="00FF56C5">
              <w:rPr>
                <w:rFonts w:ascii="Arial" w:hAnsi="Arial" w:cs="Arial"/>
                <w:bCs/>
                <w:color w:val="000000"/>
                <w:sz w:val="20"/>
                <w:szCs w:val="20"/>
              </w:rPr>
              <w:t>it would be appropriate to consider</w:t>
            </w:r>
            <w:r w:rsidRPr="00D05073">
              <w:rPr>
                <w:rFonts w:ascii="Arial" w:hAnsi="Arial" w:cs="Arial"/>
                <w:bCs/>
                <w:color w:val="000000"/>
                <w:sz w:val="20"/>
                <w:szCs w:val="20"/>
              </w:rPr>
              <w:t>: location and sizing of water management infrastruc</w:t>
            </w:r>
            <w:r w:rsidR="00275559">
              <w:rPr>
                <w:rFonts w:ascii="Arial" w:hAnsi="Arial" w:cs="Arial"/>
                <w:bCs/>
                <w:color w:val="000000"/>
                <w:sz w:val="20"/>
                <w:szCs w:val="20"/>
              </w:rPr>
              <w:t>ture; discharge point locations; and</w:t>
            </w:r>
            <w:r w:rsidRPr="00D05073">
              <w:rPr>
                <w:rFonts w:ascii="Arial" w:hAnsi="Arial" w:cs="Arial"/>
                <w:bCs/>
                <w:color w:val="000000"/>
                <w:sz w:val="20"/>
                <w:szCs w:val="20"/>
              </w:rPr>
              <w:t xml:space="preserve"> discharge water qua</w:t>
            </w:r>
            <w:r w:rsidR="00203268">
              <w:rPr>
                <w:rFonts w:ascii="Arial" w:hAnsi="Arial" w:cs="Arial"/>
                <w:bCs/>
                <w:color w:val="000000"/>
                <w:sz w:val="20"/>
                <w:szCs w:val="20"/>
              </w:rPr>
              <w:t>lity,</w:t>
            </w:r>
            <w:r w:rsidRPr="00D05073">
              <w:rPr>
                <w:rFonts w:ascii="Arial" w:hAnsi="Arial" w:cs="Arial"/>
                <w:bCs/>
                <w:color w:val="000000"/>
                <w:sz w:val="20"/>
                <w:szCs w:val="20"/>
              </w:rPr>
              <w:t xml:space="preserve"> discharge scenarios, timings and volumes. </w:t>
            </w:r>
          </w:p>
          <w:p w:rsidR="00CF260A" w:rsidRPr="00D05073" w:rsidRDefault="008B04B2" w:rsidP="009B560C">
            <w:pPr>
              <w:pStyle w:val="ListNumber"/>
              <w:numPr>
                <w:ilvl w:val="0"/>
                <w:numId w:val="26"/>
              </w:numPr>
              <w:spacing w:after="200" w:line="276" w:lineRule="auto"/>
              <w:ind w:left="284" w:hanging="284"/>
              <w:rPr>
                <w:rFonts w:ascii="Arial" w:hAnsi="Arial" w:cs="Arial"/>
                <w:bCs/>
                <w:i/>
                <w:color w:val="000000"/>
                <w:sz w:val="20"/>
                <w:szCs w:val="20"/>
              </w:rPr>
            </w:pPr>
            <w:r>
              <w:rPr>
                <w:rFonts w:ascii="Arial" w:hAnsi="Arial" w:cs="Arial"/>
                <w:bCs/>
                <w:color w:val="000000"/>
                <w:sz w:val="20"/>
                <w:szCs w:val="20"/>
              </w:rPr>
              <w:t>T</w:t>
            </w:r>
            <w:r w:rsidRPr="008B04B2">
              <w:rPr>
                <w:rFonts w:ascii="Arial" w:hAnsi="Arial" w:cs="Arial"/>
                <w:bCs/>
                <w:color w:val="000000"/>
                <w:sz w:val="20"/>
                <w:szCs w:val="20"/>
              </w:rPr>
              <w:t>o provide</w:t>
            </w:r>
            <w:r>
              <w:rPr>
                <w:rFonts w:ascii="Arial" w:hAnsi="Arial" w:cs="Arial"/>
                <w:bCs/>
                <w:color w:val="000000"/>
                <w:sz w:val="20"/>
                <w:szCs w:val="20"/>
              </w:rPr>
              <w:t xml:space="preserve"> </w:t>
            </w:r>
            <w:r w:rsidRPr="008B04B2">
              <w:rPr>
                <w:rFonts w:ascii="Arial" w:hAnsi="Arial" w:cs="Arial"/>
                <w:bCs/>
                <w:color w:val="000000"/>
                <w:sz w:val="20"/>
                <w:szCs w:val="20"/>
              </w:rPr>
              <w:t>confidence that poten</w:t>
            </w:r>
            <w:r w:rsidR="00C301DF">
              <w:rPr>
                <w:rFonts w:ascii="Arial" w:hAnsi="Arial" w:cs="Arial"/>
                <w:bCs/>
                <w:color w:val="000000"/>
                <w:sz w:val="20"/>
                <w:szCs w:val="20"/>
              </w:rPr>
              <w:t>tial impacts will be</w:t>
            </w:r>
            <w:r w:rsidRPr="008B04B2">
              <w:rPr>
                <w:rFonts w:ascii="Arial" w:hAnsi="Arial" w:cs="Arial"/>
                <w:bCs/>
                <w:color w:val="000000"/>
                <w:sz w:val="20"/>
                <w:szCs w:val="20"/>
              </w:rPr>
              <w:t xml:space="preserve"> managed</w:t>
            </w:r>
            <w:r w:rsidR="00C301DF">
              <w:rPr>
                <w:rFonts w:ascii="Arial" w:hAnsi="Arial" w:cs="Arial"/>
                <w:bCs/>
                <w:color w:val="000000"/>
                <w:sz w:val="20"/>
                <w:szCs w:val="20"/>
              </w:rPr>
              <w:t xml:space="preserve"> effectively</w:t>
            </w:r>
            <w:r>
              <w:rPr>
                <w:rFonts w:ascii="Arial" w:hAnsi="Arial" w:cs="Arial"/>
                <w:bCs/>
                <w:color w:val="000000"/>
                <w:sz w:val="20"/>
                <w:szCs w:val="20"/>
              </w:rPr>
              <w:t xml:space="preserve">, the </w:t>
            </w:r>
            <w:r w:rsidR="0013748A">
              <w:rPr>
                <w:rFonts w:ascii="Arial" w:hAnsi="Arial" w:cs="Arial"/>
                <w:bCs/>
                <w:color w:val="000000"/>
                <w:sz w:val="20"/>
                <w:szCs w:val="20"/>
              </w:rPr>
              <w:t>initial field survey program</w:t>
            </w:r>
            <w:r w:rsidR="0013748A" w:rsidRPr="0013748A">
              <w:rPr>
                <w:rFonts w:ascii="Arial" w:hAnsi="Arial" w:cs="Arial"/>
                <w:bCs/>
                <w:color w:val="000000"/>
                <w:sz w:val="20"/>
                <w:szCs w:val="20"/>
              </w:rPr>
              <w:t xml:space="preserve"> </w:t>
            </w:r>
            <w:r w:rsidR="0013748A">
              <w:rPr>
                <w:rFonts w:ascii="Arial" w:hAnsi="Arial" w:cs="Arial"/>
                <w:bCs/>
                <w:color w:val="000000"/>
                <w:sz w:val="20"/>
                <w:szCs w:val="20"/>
              </w:rPr>
              <w:t xml:space="preserve">of </w:t>
            </w:r>
            <w:r w:rsidR="0013748A" w:rsidRPr="0013748A">
              <w:rPr>
                <w:rFonts w:ascii="Arial" w:hAnsi="Arial" w:cs="Arial"/>
                <w:bCs/>
                <w:color w:val="000000"/>
                <w:sz w:val="20"/>
                <w:szCs w:val="20"/>
              </w:rPr>
              <w:t>surface water, aquatic ecology</w:t>
            </w:r>
            <w:r w:rsidR="0013748A">
              <w:rPr>
                <w:rFonts w:ascii="Arial" w:hAnsi="Arial" w:cs="Arial"/>
                <w:bCs/>
                <w:color w:val="000000"/>
                <w:sz w:val="20"/>
                <w:szCs w:val="20"/>
              </w:rPr>
              <w:t xml:space="preserve"> and </w:t>
            </w:r>
            <w:r>
              <w:rPr>
                <w:rFonts w:ascii="Arial" w:hAnsi="Arial" w:cs="Arial"/>
                <w:bCs/>
                <w:color w:val="000000"/>
                <w:sz w:val="20"/>
                <w:szCs w:val="20"/>
              </w:rPr>
              <w:t xml:space="preserve">future </w:t>
            </w:r>
            <w:r w:rsidR="0013748A">
              <w:rPr>
                <w:rFonts w:ascii="Arial" w:hAnsi="Arial" w:cs="Arial"/>
                <w:bCs/>
                <w:color w:val="000000"/>
                <w:sz w:val="20"/>
                <w:szCs w:val="20"/>
              </w:rPr>
              <w:t>monitoring programs need</w:t>
            </w:r>
            <w:r w:rsidR="00DF15F8">
              <w:rPr>
                <w:rFonts w:ascii="Arial" w:hAnsi="Arial" w:cs="Arial"/>
                <w:bCs/>
                <w:color w:val="000000"/>
                <w:sz w:val="20"/>
                <w:szCs w:val="20"/>
              </w:rPr>
              <w:t>s to be</w:t>
            </w:r>
            <w:r w:rsidR="0013748A">
              <w:rPr>
                <w:rFonts w:ascii="Arial" w:hAnsi="Arial" w:cs="Arial"/>
                <w:bCs/>
                <w:color w:val="000000"/>
                <w:sz w:val="20"/>
                <w:szCs w:val="20"/>
              </w:rPr>
              <w:t xml:space="preserve"> </w:t>
            </w:r>
            <w:r w:rsidR="00095685">
              <w:rPr>
                <w:rFonts w:ascii="Arial" w:hAnsi="Arial" w:cs="Arial"/>
                <w:bCs/>
                <w:color w:val="000000"/>
                <w:sz w:val="20"/>
                <w:szCs w:val="20"/>
              </w:rPr>
              <w:t>supplement</w:t>
            </w:r>
            <w:r w:rsidR="00C301DF">
              <w:rPr>
                <w:rFonts w:ascii="Arial" w:hAnsi="Arial" w:cs="Arial"/>
                <w:bCs/>
                <w:color w:val="000000"/>
                <w:sz w:val="20"/>
                <w:szCs w:val="20"/>
              </w:rPr>
              <w:t>ed</w:t>
            </w:r>
            <w:r w:rsidR="00095685">
              <w:rPr>
                <w:rFonts w:ascii="Arial" w:hAnsi="Arial" w:cs="Arial"/>
                <w:bCs/>
                <w:color w:val="000000"/>
                <w:sz w:val="20"/>
                <w:szCs w:val="20"/>
              </w:rPr>
              <w:t xml:space="preserve"> with </w:t>
            </w:r>
            <w:r w:rsidR="0013748A">
              <w:rPr>
                <w:rFonts w:ascii="Arial" w:hAnsi="Arial" w:cs="Arial"/>
                <w:bCs/>
                <w:color w:val="000000"/>
                <w:sz w:val="20"/>
                <w:szCs w:val="20"/>
              </w:rPr>
              <w:t>further information</w:t>
            </w:r>
            <w:r>
              <w:rPr>
                <w:rFonts w:ascii="Arial" w:hAnsi="Arial" w:cs="Arial"/>
                <w:bCs/>
                <w:color w:val="000000"/>
                <w:sz w:val="20"/>
                <w:szCs w:val="20"/>
              </w:rPr>
              <w:t>, including:</w:t>
            </w:r>
          </w:p>
          <w:p w:rsidR="00CF260A" w:rsidRPr="00CF3AC9" w:rsidRDefault="00CF260A" w:rsidP="009B560C">
            <w:pPr>
              <w:pStyle w:val="ListBullet"/>
              <w:numPr>
                <w:ilvl w:val="0"/>
                <w:numId w:val="33"/>
              </w:numPr>
              <w:spacing w:after="200" w:line="276" w:lineRule="auto"/>
              <w:ind w:left="567" w:hanging="283"/>
              <w:rPr>
                <w:rFonts w:ascii="Arial" w:hAnsi="Arial" w:cs="Arial"/>
                <w:bCs/>
                <w:color w:val="000000"/>
                <w:sz w:val="20"/>
                <w:szCs w:val="20"/>
              </w:rPr>
            </w:pPr>
            <w:r w:rsidRPr="00CF3AC9">
              <w:rPr>
                <w:rFonts w:ascii="Arial" w:hAnsi="Arial" w:cs="Arial"/>
                <w:bCs/>
                <w:color w:val="000000"/>
                <w:sz w:val="20"/>
                <w:szCs w:val="20"/>
              </w:rPr>
              <w:t>Additional sampling of surface water and aquatic eco</w:t>
            </w:r>
            <w:r w:rsidR="00106BD0">
              <w:rPr>
                <w:rFonts w:ascii="Arial" w:hAnsi="Arial" w:cs="Arial"/>
                <w:bCs/>
                <w:color w:val="000000"/>
                <w:sz w:val="20"/>
                <w:szCs w:val="20"/>
              </w:rPr>
              <w:t>system</w:t>
            </w:r>
            <w:r w:rsidR="00DF15F8">
              <w:rPr>
                <w:rFonts w:ascii="Arial" w:hAnsi="Arial" w:cs="Arial"/>
                <w:bCs/>
                <w:color w:val="000000"/>
                <w:sz w:val="20"/>
                <w:szCs w:val="20"/>
              </w:rPr>
              <w:t>s</w:t>
            </w:r>
            <w:r w:rsidRPr="00CF3AC9">
              <w:rPr>
                <w:rFonts w:ascii="Arial" w:hAnsi="Arial" w:cs="Arial"/>
                <w:bCs/>
                <w:color w:val="000000"/>
                <w:sz w:val="20"/>
                <w:szCs w:val="20"/>
              </w:rPr>
              <w:t xml:space="preserve"> to increase </w:t>
            </w:r>
            <w:r w:rsidR="00CF0B8A">
              <w:rPr>
                <w:rFonts w:ascii="Arial" w:hAnsi="Arial" w:cs="Arial"/>
                <w:bCs/>
                <w:color w:val="000000"/>
                <w:sz w:val="20"/>
                <w:szCs w:val="20"/>
              </w:rPr>
              <w:t xml:space="preserve">understanding of </w:t>
            </w:r>
            <w:r w:rsidRPr="00CF3AC9">
              <w:rPr>
                <w:rFonts w:ascii="Arial" w:hAnsi="Arial" w:cs="Arial"/>
                <w:bCs/>
                <w:color w:val="000000"/>
                <w:sz w:val="20"/>
                <w:szCs w:val="20"/>
              </w:rPr>
              <w:t>the spatial, seasonal and</w:t>
            </w:r>
            <w:r>
              <w:rPr>
                <w:rFonts w:ascii="Arial" w:hAnsi="Arial" w:cs="Arial"/>
                <w:bCs/>
                <w:color w:val="000000"/>
                <w:sz w:val="20"/>
                <w:szCs w:val="20"/>
              </w:rPr>
              <w:t xml:space="preserve"> temporal varia</w:t>
            </w:r>
            <w:r w:rsidR="00CF0B8A">
              <w:rPr>
                <w:rFonts w:ascii="Arial" w:hAnsi="Arial" w:cs="Arial"/>
                <w:bCs/>
                <w:color w:val="000000"/>
                <w:sz w:val="20"/>
                <w:szCs w:val="20"/>
              </w:rPr>
              <w:t>bility</w:t>
            </w:r>
            <w:r>
              <w:rPr>
                <w:rFonts w:ascii="Arial" w:hAnsi="Arial" w:cs="Arial"/>
                <w:bCs/>
                <w:color w:val="000000"/>
                <w:sz w:val="20"/>
                <w:szCs w:val="20"/>
              </w:rPr>
              <w:t xml:space="preserve"> of the </w:t>
            </w:r>
            <w:r w:rsidR="005F62D7">
              <w:rPr>
                <w:rFonts w:ascii="Arial" w:hAnsi="Arial" w:cs="Arial"/>
                <w:bCs/>
                <w:color w:val="000000"/>
                <w:sz w:val="20"/>
                <w:szCs w:val="20"/>
              </w:rPr>
              <w:t>baseline</w:t>
            </w:r>
            <w:r w:rsidRPr="00CF3AC9">
              <w:rPr>
                <w:rFonts w:ascii="Arial" w:hAnsi="Arial" w:cs="Arial"/>
                <w:bCs/>
                <w:color w:val="000000"/>
                <w:sz w:val="20"/>
                <w:szCs w:val="20"/>
              </w:rPr>
              <w:t xml:space="preserve"> data. The current survey included only 22 surface water and 15 aquatic ecology field-sampling sites to represent a project area of 8000</w:t>
            </w:r>
            <w:r w:rsidR="00C5574A">
              <w:rPr>
                <w:rFonts w:ascii="Arial" w:hAnsi="Arial" w:cs="Arial"/>
                <w:bCs/>
                <w:color w:val="000000"/>
                <w:sz w:val="20"/>
                <w:szCs w:val="20"/>
              </w:rPr>
              <w:t xml:space="preserve"> </w:t>
            </w:r>
            <w:r w:rsidRPr="00CF3AC9">
              <w:rPr>
                <w:rFonts w:ascii="Arial" w:hAnsi="Arial" w:cs="Arial"/>
                <w:bCs/>
                <w:color w:val="000000"/>
                <w:sz w:val="20"/>
                <w:szCs w:val="20"/>
              </w:rPr>
              <w:t>km</w:t>
            </w:r>
            <w:r w:rsidRPr="00CF3AC9">
              <w:rPr>
                <w:rFonts w:ascii="Arial" w:hAnsi="Arial" w:cs="Arial"/>
                <w:bCs/>
                <w:color w:val="000000"/>
                <w:sz w:val="20"/>
                <w:szCs w:val="20"/>
                <w:vertAlign w:val="superscript"/>
              </w:rPr>
              <w:t>2</w:t>
            </w:r>
            <w:r w:rsidRPr="00CF3AC9">
              <w:rPr>
                <w:rFonts w:ascii="Arial" w:hAnsi="Arial" w:cs="Arial"/>
                <w:bCs/>
                <w:color w:val="000000"/>
                <w:sz w:val="20"/>
                <w:szCs w:val="20"/>
              </w:rPr>
              <w:t xml:space="preserve"> with at least four large sub-catchments. Although a number of sampling events occurred from October 2011 to May 2012, not all sites were s</w:t>
            </w:r>
            <w:r w:rsidR="001B164F">
              <w:rPr>
                <w:rFonts w:ascii="Arial" w:hAnsi="Arial" w:cs="Arial"/>
                <w:bCs/>
                <w:color w:val="000000"/>
                <w:sz w:val="20"/>
                <w:szCs w:val="20"/>
              </w:rPr>
              <w:t>ampled on each occasion and</w:t>
            </w:r>
            <w:r w:rsidR="00C5574A">
              <w:rPr>
                <w:rFonts w:ascii="Arial" w:hAnsi="Arial" w:cs="Arial"/>
                <w:bCs/>
                <w:color w:val="000000"/>
                <w:sz w:val="20"/>
                <w:szCs w:val="20"/>
              </w:rPr>
              <w:t xml:space="preserve"> this </w:t>
            </w:r>
            <w:r w:rsidRPr="00CF3AC9">
              <w:rPr>
                <w:rFonts w:ascii="Arial" w:hAnsi="Arial" w:cs="Arial"/>
                <w:bCs/>
                <w:color w:val="000000"/>
                <w:sz w:val="20"/>
                <w:szCs w:val="20"/>
              </w:rPr>
              <w:t>represents a relatively short period to assess seasonal and temporal variations</w:t>
            </w:r>
            <w:r w:rsidR="00D72F2A">
              <w:rPr>
                <w:rFonts w:ascii="Arial" w:hAnsi="Arial" w:cs="Arial"/>
                <w:bCs/>
                <w:color w:val="000000"/>
                <w:sz w:val="20"/>
                <w:szCs w:val="20"/>
              </w:rPr>
              <w:t>;</w:t>
            </w:r>
          </w:p>
          <w:p w:rsidR="00CF260A" w:rsidRPr="00FE2F6A" w:rsidRDefault="00CF260A" w:rsidP="009B560C">
            <w:pPr>
              <w:pStyle w:val="ListBullet"/>
              <w:numPr>
                <w:ilvl w:val="0"/>
                <w:numId w:val="33"/>
              </w:numPr>
              <w:spacing w:after="200" w:line="276" w:lineRule="auto"/>
              <w:ind w:left="567" w:hanging="283"/>
              <w:rPr>
                <w:rFonts w:ascii="Arial" w:hAnsi="Arial" w:cs="Arial"/>
                <w:bCs/>
                <w:color w:val="000000"/>
                <w:sz w:val="20"/>
                <w:szCs w:val="20"/>
              </w:rPr>
            </w:pPr>
            <w:r w:rsidRPr="00FE2F6A">
              <w:rPr>
                <w:rFonts w:ascii="Arial" w:hAnsi="Arial" w:cs="Arial"/>
                <w:bCs/>
                <w:color w:val="000000"/>
                <w:sz w:val="20"/>
                <w:szCs w:val="20"/>
              </w:rPr>
              <w:t xml:space="preserve">Additional sampling should ensure that waterways that are potentially affected by groundwater drawdown, subsidence and fugitive gas emissions are represented within </w:t>
            </w:r>
            <w:r w:rsidR="005F62D7" w:rsidRPr="00FE2F6A">
              <w:rPr>
                <w:rFonts w:ascii="Arial" w:hAnsi="Arial" w:cs="Arial"/>
                <w:bCs/>
                <w:color w:val="000000"/>
                <w:sz w:val="20"/>
                <w:szCs w:val="20"/>
              </w:rPr>
              <w:t>baseline</w:t>
            </w:r>
            <w:r w:rsidRPr="00FE2F6A">
              <w:rPr>
                <w:rFonts w:ascii="Arial" w:hAnsi="Arial" w:cs="Arial"/>
                <w:bCs/>
                <w:color w:val="000000"/>
                <w:sz w:val="20"/>
                <w:szCs w:val="20"/>
              </w:rPr>
              <w:t xml:space="preserve"> </w:t>
            </w:r>
            <w:r w:rsidR="003B2800">
              <w:rPr>
                <w:rFonts w:ascii="Arial" w:hAnsi="Arial" w:cs="Arial"/>
                <w:bCs/>
                <w:color w:val="000000"/>
                <w:sz w:val="20"/>
                <w:szCs w:val="20"/>
              </w:rPr>
              <w:t>surveys</w:t>
            </w:r>
            <w:r w:rsidR="00FE2F6A" w:rsidRPr="00FE2F6A">
              <w:rPr>
                <w:rFonts w:ascii="Arial" w:hAnsi="Arial" w:cs="Arial"/>
                <w:bCs/>
                <w:color w:val="000000"/>
                <w:sz w:val="20"/>
                <w:szCs w:val="20"/>
              </w:rPr>
              <w:t xml:space="preserve"> and that these waterways have </w:t>
            </w:r>
            <w:r w:rsidR="0099178C" w:rsidRPr="00FE2F6A">
              <w:rPr>
                <w:rFonts w:ascii="Arial" w:hAnsi="Arial" w:cs="Arial"/>
                <w:bCs/>
                <w:color w:val="000000"/>
                <w:sz w:val="20"/>
                <w:szCs w:val="20"/>
              </w:rPr>
              <w:t xml:space="preserve">water level and/or volume </w:t>
            </w:r>
            <w:r w:rsidR="00FE2F6A" w:rsidRPr="00FE2F6A">
              <w:rPr>
                <w:rFonts w:ascii="Arial" w:hAnsi="Arial" w:cs="Arial"/>
                <w:bCs/>
                <w:color w:val="000000"/>
                <w:sz w:val="20"/>
                <w:szCs w:val="20"/>
              </w:rPr>
              <w:t>monitored</w:t>
            </w:r>
            <w:r w:rsidR="0099178C" w:rsidRPr="00FE2F6A">
              <w:rPr>
                <w:rFonts w:ascii="Arial" w:hAnsi="Arial" w:cs="Arial"/>
                <w:bCs/>
                <w:color w:val="000000"/>
                <w:sz w:val="20"/>
                <w:szCs w:val="20"/>
              </w:rPr>
              <w:t>.</w:t>
            </w:r>
            <w:r w:rsidR="00FE2F6A" w:rsidRPr="00FE2F6A">
              <w:rPr>
                <w:rFonts w:ascii="Arial" w:hAnsi="Arial" w:cs="Arial"/>
                <w:bCs/>
                <w:color w:val="000000"/>
                <w:sz w:val="20"/>
                <w:szCs w:val="20"/>
              </w:rPr>
              <w:t xml:space="preserve"> Additional sampling to characterise the geology and fluvial geomorphology of waterways that are g</w:t>
            </w:r>
            <w:r w:rsidR="00D72F2A">
              <w:rPr>
                <w:rFonts w:ascii="Arial" w:hAnsi="Arial" w:cs="Arial"/>
                <w:bCs/>
                <w:color w:val="000000"/>
                <w:sz w:val="20"/>
                <w:szCs w:val="20"/>
              </w:rPr>
              <w:t>roundwater fed is also required;</w:t>
            </w:r>
            <w:r w:rsidR="00FE2F6A" w:rsidRPr="00FE2F6A">
              <w:rPr>
                <w:rFonts w:ascii="Arial" w:hAnsi="Arial" w:cs="Arial"/>
                <w:bCs/>
                <w:color w:val="000000"/>
                <w:sz w:val="20"/>
                <w:szCs w:val="20"/>
              </w:rPr>
              <w:t xml:space="preserve"> </w:t>
            </w:r>
          </w:p>
          <w:p w:rsidR="00CF260A" w:rsidRPr="00FE2F6A" w:rsidRDefault="000A1406" w:rsidP="009B560C">
            <w:pPr>
              <w:pStyle w:val="ListBullet"/>
              <w:numPr>
                <w:ilvl w:val="0"/>
                <w:numId w:val="33"/>
              </w:numPr>
              <w:spacing w:after="200" w:line="276" w:lineRule="auto"/>
              <w:ind w:left="567" w:hanging="283"/>
              <w:rPr>
                <w:rFonts w:ascii="Arial" w:hAnsi="Arial" w:cs="Arial"/>
                <w:bCs/>
                <w:color w:val="000000"/>
                <w:sz w:val="20"/>
                <w:szCs w:val="20"/>
              </w:rPr>
            </w:pPr>
            <w:r>
              <w:rPr>
                <w:rFonts w:ascii="Arial" w:hAnsi="Arial" w:cs="Arial"/>
                <w:bCs/>
                <w:color w:val="000000"/>
                <w:sz w:val="20"/>
                <w:szCs w:val="20"/>
              </w:rPr>
              <w:t>B</w:t>
            </w:r>
            <w:r w:rsidR="005F62D7" w:rsidRPr="00FE2F6A">
              <w:rPr>
                <w:rFonts w:ascii="Arial" w:hAnsi="Arial" w:cs="Arial"/>
                <w:bCs/>
                <w:color w:val="000000"/>
                <w:sz w:val="20"/>
                <w:szCs w:val="20"/>
              </w:rPr>
              <w:t>aseline</w:t>
            </w:r>
            <w:r w:rsidR="00CF260A" w:rsidRPr="00FE2F6A">
              <w:rPr>
                <w:rFonts w:ascii="Arial" w:hAnsi="Arial" w:cs="Arial"/>
                <w:bCs/>
                <w:color w:val="000000"/>
                <w:sz w:val="20"/>
                <w:szCs w:val="20"/>
              </w:rPr>
              <w:t xml:space="preserve"> sampling </w:t>
            </w:r>
            <w:r w:rsidR="009F4A3C">
              <w:rPr>
                <w:rFonts w:ascii="Arial" w:hAnsi="Arial" w:cs="Arial"/>
                <w:bCs/>
                <w:color w:val="000000"/>
                <w:sz w:val="20"/>
                <w:szCs w:val="20"/>
              </w:rPr>
              <w:t>of groundwater</w:t>
            </w:r>
            <w:r>
              <w:rPr>
                <w:rFonts w:ascii="Arial" w:hAnsi="Arial" w:cs="Arial"/>
                <w:bCs/>
                <w:color w:val="000000"/>
                <w:sz w:val="20"/>
                <w:szCs w:val="20"/>
              </w:rPr>
              <w:t xml:space="preserve"> and surface water</w:t>
            </w:r>
            <w:r w:rsidR="009F4A3C">
              <w:rPr>
                <w:rFonts w:ascii="Arial" w:hAnsi="Arial" w:cs="Arial"/>
                <w:bCs/>
                <w:color w:val="000000"/>
                <w:sz w:val="20"/>
                <w:szCs w:val="20"/>
              </w:rPr>
              <w:t>, prior to the hydraulic stimulation process,</w:t>
            </w:r>
            <w:r w:rsidR="009F4A3C" w:rsidRPr="00FE2F6A">
              <w:rPr>
                <w:rFonts w:ascii="Arial" w:hAnsi="Arial" w:cs="Arial"/>
                <w:bCs/>
                <w:color w:val="000000"/>
                <w:sz w:val="20"/>
                <w:szCs w:val="20"/>
              </w:rPr>
              <w:t xml:space="preserve"> </w:t>
            </w:r>
            <w:r w:rsidR="00CF260A" w:rsidRPr="00FE2F6A">
              <w:rPr>
                <w:rFonts w:ascii="Arial" w:hAnsi="Arial" w:cs="Arial"/>
                <w:bCs/>
                <w:color w:val="000000"/>
                <w:sz w:val="20"/>
                <w:szCs w:val="20"/>
              </w:rPr>
              <w:t xml:space="preserve">should include </w:t>
            </w:r>
            <w:r w:rsidR="009F4A3C">
              <w:rPr>
                <w:rFonts w:ascii="Arial" w:hAnsi="Arial" w:cs="Arial"/>
                <w:bCs/>
                <w:color w:val="000000"/>
                <w:sz w:val="20"/>
                <w:szCs w:val="20"/>
              </w:rPr>
              <w:t xml:space="preserve">an analysis of the </w:t>
            </w:r>
            <w:r w:rsidR="009F4A3C" w:rsidRPr="00FE2F6A">
              <w:rPr>
                <w:rFonts w:ascii="Arial" w:hAnsi="Arial" w:cs="Arial"/>
                <w:bCs/>
                <w:color w:val="000000"/>
                <w:sz w:val="20"/>
                <w:szCs w:val="20"/>
              </w:rPr>
              <w:t xml:space="preserve">hydraulic stimulation </w:t>
            </w:r>
            <w:r w:rsidR="00593622">
              <w:rPr>
                <w:rFonts w:ascii="Arial" w:hAnsi="Arial" w:cs="Arial"/>
                <w:bCs/>
                <w:color w:val="000000"/>
                <w:sz w:val="20"/>
                <w:szCs w:val="20"/>
              </w:rPr>
              <w:t xml:space="preserve">chemicals. This will enable an appropriate assessment of the contribution of chemical spill events to groundwater </w:t>
            </w:r>
            <w:r>
              <w:rPr>
                <w:rFonts w:ascii="Arial" w:hAnsi="Arial" w:cs="Arial"/>
                <w:bCs/>
                <w:color w:val="000000"/>
                <w:sz w:val="20"/>
                <w:szCs w:val="20"/>
              </w:rPr>
              <w:t xml:space="preserve">and surface water </w:t>
            </w:r>
            <w:r w:rsidR="00593622">
              <w:rPr>
                <w:rFonts w:ascii="Arial" w:hAnsi="Arial" w:cs="Arial"/>
                <w:bCs/>
                <w:color w:val="000000"/>
                <w:sz w:val="20"/>
                <w:szCs w:val="20"/>
              </w:rPr>
              <w:t xml:space="preserve">contamination. </w:t>
            </w:r>
          </w:p>
          <w:p w:rsidR="00CF260A" w:rsidRPr="00FE2F6A" w:rsidRDefault="00CF260A" w:rsidP="009B560C">
            <w:pPr>
              <w:pStyle w:val="ListBullet"/>
              <w:numPr>
                <w:ilvl w:val="0"/>
                <w:numId w:val="33"/>
              </w:numPr>
              <w:spacing w:after="200" w:line="276" w:lineRule="auto"/>
              <w:ind w:left="567" w:hanging="283"/>
              <w:rPr>
                <w:rFonts w:ascii="Arial" w:hAnsi="Arial" w:cs="Arial"/>
                <w:bCs/>
                <w:color w:val="000000"/>
                <w:sz w:val="20"/>
                <w:szCs w:val="20"/>
              </w:rPr>
            </w:pPr>
            <w:r w:rsidRPr="00FE2F6A">
              <w:rPr>
                <w:rFonts w:ascii="Arial" w:hAnsi="Arial" w:cs="Arial"/>
                <w:bCs/>
                <w:color w:val="000000"/>
                <w:sz w:val="20"/>
                <w:szCs w:val="20"/>
              </w:rPr>
              <w:t>Baseline sampling points should be located away from highly disturbed areas such as large bridge structures</w:t>
            </w:r>
            <w:r w:rsidR="001B164F" w:rsidRPr="00FE2F6A">
              <w:rPr>
                <w:rFonts w:ascii="Arial" w:hAnsi="Arial" w:cs="Arial"/>
                <w:bCs/>
                <w:color w:val="000000"/>
                <w:sz w:val="20"/>
                <w:szCs w:val="20"/>
              </w:rPr>
              <w:t>,</w:t>
            </w:r>
            <w:r w:rsidRPr="00FE2F6A">
              <w:rPr>
                <w:rFonts w:ascii="Arial" w:hAnsi="Arial" w:cs="Arial"/>
                <w:bCs/>
                <w:color w:val="000000"/>
                <w:sz w:val="20"/>
                <w:szCs w:val="20"/>
              </w:rPr>
              <w:t xml:space="preserve"> and the lengths of surveyed stretches of river need to be sufficient to gain an understanding of the downstream extent of changes that may take place </w:t>
            </w:r>
            <w:r w:rsidR="000A1406">
              <w:rPr>
                <w:rFonts w:ascii="Arial" w:hAnsi="Arial" w:cs="Arial"/>
                <w:bCs/>
                <w:color w:val="000000"/>
                <w:sz w:val="20"/>
                <w:szCs w:val="20"/>
              </w:rPr>
              <w:t>if the project was to become</w:t>
            </w:r>
            <w:r w:rsidRPr="00FE2F6A">
              <w:rPr>
                <w:rFonts w:ascii="Arial" w:hAnsi="Arial" w:cs="Arial"/>
                <w:bCs/>
                <w:color w:val="000000"/>
                <w:sz w:val="20"/>
                <w:szCs w:val="20"/>
              </w:rPr>
              <w:t xml:space="preserve"> operational.</w:t>
            </w:r>
            <w:r w:rsidR="00095685" w:rsidRPr="00FE2F6A">
              <w:rPr>
                <w:rFonts w:ascii="Arial" w:hAnsi="Arial" w:cs="Arial"/>
                <w:bCs/>
                <w:color w:val="000000"/>
                <w:sz w:val="20"/>
                <w:szCs w:val="20"/>
              </w:rPr>
              <w:t xml:space="preserve">  Where future monitoring site location</w:t>
            </w:r>
            <w:r w:rsidR="00BC3F67">
              <w:rPr>
                <w:rFonts w:ascii="Arial" w:hAnsi="Arial" w:cs="Arial"/>
                <w:bCs/>
                <w:color w:val="000000"/>
                <w:sz w:val="20"/>
                <w:szCs w:val="20"/>
              </w:rPr>
              <w:t>s differ</w:t>
            </w:r>
            <w:r w:rsidR="00095685" w:rsidRPr="00FE2F6A">
              <w:rPr>
                <w:rFonts w:ascii="Arial" w:hAnsi="Arial" w:cs="Arial"/>
                <w:bCs/>
                <w:color w:val="000000"/>
                <w:sz w:val="20"/>
                <w:szCs w:val="20"/>
              </w:rPr>
              <w:t xml:space="preserve"> from existing baseline sampling locations, monitoring should commence prior to the construction phase to enable characterisation of baseline conditions in these waterways.</w:t>
            </w:r>
            <w:r w:rsidR="00FE2F6A" w:rsidRPr="00FE2F6A">
              <w:rPr>
                <w:rFonts w:ascii="Arial" w:hAnsi="Arial" w:cs="Arial"/>
                <w:bCs/>
                <w:color w:val="000000"/>
                <w:sz w:val="20"/>
                <w:szCs w:val="20"/>
              </w:rPr>
              <w:t xml:space="preserve"> At a minimum, the parameters tested in the baseline characterisation programs for aquatic ecology, terrestrial ecology (wetlands) and surface water should be included in the monitoring programs, along with </w:t>
            </w:r>
            <w:r w:rsidR="00EE52DC">
              <w:rPr>
                <w:rFonts w:ascii="Arial" w:hAnsi="Arial" w:cs="Arial"/>
                <w:bCs/>
                <w:color w:val="000000"/>
                <w:sz w:val="20"/>
                <w:szCs w:val="20"/>
              </w:rPr>
              <w:t xml:space="preserve">testing for </w:t>
            </w:r>
            <w:r w:rsidR="00FE2F6A" w:rsidRPr="00FE2F6A">
              <w:rPr>
                <w:rFonts w:ascii="Arial" w:hAnsi="Arial" w:cs="Arial"/>
                <w:bCs/>
                <w:color w:val="000000"/>
                <w:sz w:val="20"/>
                <w:szCs w:val="20"/>
              </w:rPr>
              <w:t>chemicals used in th</w:t>
            </w:r>
            <w:r w:rsidR="00D72F2A">
              <w:rPr>
                <w:rFonts w:ascii="Arial" w:hAnsi="Arial" w:cs="Arial"/>
                <w:bCs/>
                <w:color w:val="000000"/>
                <w:sz w:val="20"/>
                <w:szCs w:val="20"/>
              </w:rPr>
              <w:t>e hydraulic stimulation process;</w:t>
            </w:r>
          </w:p>
          <w:p w:rsidR="00CF260A" w:rsidRPr="00095685" w:rsidRDefault="00CF260A" w:rsidP="009B560C">
            <w:pPr>
              <w:pStyle w:val="ListBullet"/>
              <w:numPr>
                <w:ilvl w:val="0"/>
                <w:numId w:val="33"/>
              </w:numPr>
              <w:spacing w:after="200" w:line="276" w:lineRule="auto"/>
              <w:ind w:left="567" w:hanging="283"/>
              <w:rPr>
                <w:rFonts w:cs="Arial"/>
                <w:bCs/>
                <w:i/>
              </w:rPr>
            </w:pPr>
            <w:r w:rsidRPr="00301944">
              <w:rPr>
                <w:rFonts w:ascii="Arial" w:hAnsi="Arial" w:cs="Arial"/>
                <w:bCs/>
                <w:color w:val="000000"/>
                <w:sz w:val="20"/>
                <w:szCs w:val="20"/>
              </w:rPr>
              <w:t xml:space="preserve">The definition of waterway type adopted (e.g. ephemeral) needs to be consistent with published literature </w:t>
            </w:r>
            <w:r w:rsidR="00C57099" w:rsidRPr="00301944">
              <w:rPr>
                <w:rFonts w:ascii="Arial" w:hAnsi="Arial" w:cs="Arial"/>
                <w:bCs/>
                <w:color w:val="000000"/>
                <w:sz w:val="20"/>
                <w:szCs w:val="20"/>
              </w:rPr>
              <w:t>(</w:t>
            </w:r>
            <w:r w:rsidR="004E31F5">
              <w:rPr>
                <w:rFonts w:ascii="Arial" w:hAnsi="Arial" w:cs="Arial"/>
                <w:bCs/>
                <w:color w:val="000000"/>
                <w:sz w:val="20"/>
                <w:szCs w:val="20"/>
              </w:rPr>
              <w:t>e</w:t>
            </w:r>
            <w:r w:rsidR="00C57099" w:rsidRPr="00301944">
              <w:rPr>
                <w:rFonts w:ascii="Arial" w:hAnsi="Arial" w:cs="Arial"/>
                <w:bCs/>
                <w:color w:val="000000"/>
                <w:sz w:val="20"/>
                <w:szCs w:val="20"/>
              </w:rPr>
              <w:t xml:space="preserve">.g. </w:t>
            </w:r>
            <w:r w:rsidR="001B667E">
              <w:rPr>
                <w:rFonts w:ascii="Arial" w:hAnsi="Arial" w:cs="Arial"/>
                <w:bCs/>
                <w:i/>
                <w:color w:val="000000"/>
                <w:sz w:val="20"/>
                <w:szCs w:val="20"/>
              </w:rPr>
              <w:t>Kennard et</w:t>
            </w:r>
            <w:r w:rsidR="00C57099" w:rsidRPr="00301944">
              <w:rPr>
                <w:rFonts w:ascii="Arial" w:hAnsi="Arial" w:cs="Arial"/>
                <w:bCs/>
                <w:i/>
                <w:color w:val="000000"/>
                <w:sz w:val="20"/>
                <w:szCs w:val="20"/>
              </w:rPr>
              <w:t xml:space="preserve"> al</w:t>
            </w:r>
            <w:r w:rsidR="00C57099" w:rsidRPr="00301944">
              <w:rPr>
                <w:rFonts w:ascii="Arial" w:hAnsi="Arial" w:cs="Arial"/>
                <w:bCs/>
                <w:color w:val="000000"/>
                <w:sz w:val="20"/>
                <w:szCs w:val="20"/>
              </w:rPr>
              <w:t>.</w:t>
            </w:r>
            <w:r w:rsidR="00610FE8" w:rsidRPr="00301944">
              <w:rPr>
                <w:rFonts w:ascii="Arial" w:hAnsi="Arial" w:cs="Arial"/>
                <w:bCs/>
                <w:i/>
                <w:color w:val="000000"/>
                <w:sz w:val="20"/>
                <w:szCs w:val="20"/>
              </w:rPr>
              <w:t xml:space="preserve"> 2010</w:t>
            </w:r>
            <w:r w:rsidR="00C57099" w:rsidRPr="00301944">
              <w:rPr>
                <w:rFonts w:ascii="Arial" w:hAnsi="Arial" w:cs="Arial"/>
                <w:bCs/>
                <w:color w:val="000000"/>
                <w:sz w:val="20"/>
                <w:szCs w:val="20"/>
              </w:rPr>
              <w:t xml:space="preserve">) </w:t>
            </w:r>
            <w:r w:rsidRPr="00301944">
              <w:rPr>
                <w:rFonts w:ascii="Arial" w:hAnsi="Arial" w:cs="Arial"/>
                <w:bCs/>
                <w:color w:val="000000"/>
                <w:sz w:val="20"/>
                <w:szCs w:val="20"/>
              </w:rPr>
              <w:t xml:space="preserve">and baseline gauge data </w:t>
            </w:r>
            <w:r w:rsidR="005B37F5" w:rsidRPr="00301944">
              <w:rPr>
                <w:rFonts w:ascii="Arial" w:hAnsi="Arial" w:cs="Arial"/>
                <w:bCs/>
                <w:color w:val="000000"/>
                <w:sz w:val="20"/>
                <w:szCs w:val="20"/>
              </w:rPr>
              <w:t xml:space="preserve">should be </w:t>
            </w:r>
            <w:r w:rsidRPr="00301944">
              <w:rPr>
                <w:rFonts w:ascii="Arial" w:hAnsi="Arial" w:cs="Arial"/>
                <w:bCs/>
                <w:color w:val="000000"/>
                <w:sz w:val="20"/>
                <w:szCs w:val="20"/>
              </w:rPr>
              <w:t>reviewed in this context.</w:t>
            </w:r>
            <w:r w:rsidR="00BF7D70" w:rsidRPr="00301944">
              <w:rPr>
                <w:rFonts w:ascii="Arial" w:hAnsi="Arial" w:cs="Arial"/>
                <w:bCs/>
                <w:color w:val="000000"/>
                <w:sz w:val="20"/>
                <w:szCs w:val="20"/>
              </w:rPr>
              <w:t xml:space="preserve"> </w:t>
            </w:r>
            <w:r w:rsidR="0019643C" w:rsidRPr="00301944">
              <w:rPr>
                <w:rFonts w:ascii="Arial" w:hAnsi="Arial" w:cs="Arial"/>
                <w:bCs/>
                <w:color w:val="000000"/>
                <w:sz w:val="20"/>
                <w:szCs w:val="20"/>
              </w:rPr>
              <w:t>T</w:t>
            </w:r>
            <w:r w:rsidR="00BC7121" w:rsidRPr="00301944">
              <w:rPr>
                <w:rFonts w:ascii="Arial" w:hAnsi="Arial" w:cs="Arial"/>
                <w:bCs/>
                <w:color w:val="000000"/>
                <w:sz w:val="20"/>
                <w:szCs w:val="20"/>
              </w:rPr>
              <w:t xml:space="preserve">he </w:t>
            </w:r>
            <w:r w:rsidR="008E46FC">
              <w:rPr>
                <w:rFonts w:ascii="Arial" w:hAnsi="Arial" w:cs="Arial"/>
                <w:bCs/>
                <w:color w:val="000000"/>
                <w:sz w:val="20"/>
                <w:szCs w:val="20"/>
              </w:rPr>
              <w:t xml:space="preserve">project’s assessment documentation </w:t>
            </w:r>
            <w:r w:rsidR="0019643C" w:rsidRPr="00301944">
              <w:rPr>
                <w:rFonts w:ascii="Arial" w:hAnsi="Arial" w:cs="Arial"/>
                <w:bCs/>
                <w:color w:val="000000"/>
                <w:sz w:val="20"/>
                <w:szCs w:val="20"/>
              </w:rPr>
              <w:t xml:space="preserve">uses inconsistent definitions </w:t>
            </w:r>
            <w:r w:rsidR="003B2800">
              <w:rPr>
                <w:rFonts w:ascii="Arial" w:hAnsi="Arial" w:cs="Arial"/>
                <w:bCs/>
                <w:color w:val="000000"/>
                <w:sz w:val="20"/>
                <w:szCs w:val="20"/>
              </w:rPr>
              <w:t>to</w:t>
            </w:r>
            <w:r w:rsidR="0019643C" w:rsidRPr="00301944">
              <w:rPr>
                <w:rFonts w:ascii="Arial" w:hAnsi="Arial" w:cs="Arial"/>
                <w:bCs/>
                <w:color w:val="000000"/>
                <w:sz w:val="20"/>
                <w:szCs w:val="20"/>
              </w:rPr>
              <w:t xml:space="preserve"> classif</w:t>
            </w:r>
            <w:r w:rsidR="003B2800">
              <w:rPr>
                <w:rFonts w:ascii="Arial" w:hAnsi="Arial" w:cs="Arial"/>
                <w:bCs/>
                <w:color w:val="000000"/>
                <w:sz w:val="20"/>
                <w:szCs w:val="20"/>
              </w:rPr>
              <w:t>y</w:t>
            </w:r>
            <w:r w:rsidR="0019643C" w:rsidRPr="00301944">
              <w:rPr>
                <w:rFonts w:ascii="Arial" w:hAnsi="Arial" w:cs="Arial"/>
                <w:bCs/>
                <w:color w:val="000000"/>
                <w:sz w:val="20"/>
                <w:szCs w:val="20"/>
              </w:rPr>
              <w:t xml:space="preserve"> waterways when allocating a sensitivity status</w:t>
            </w:r>
            <w:r w:rsidR="00BC7121" w:rsidRPr="00301944">
              <w:rPr>
                <w:rFonts w:ascii="Arial" w:hAnsi="Arial" w:cs="Arial"/>
                <w:bCs/>
                <w:color w:val="000000"/>
                <w:sz w:val="20"/>
                <w:szCs w:val="20"/>
              </w:rPr>
              <w:t xml:space="preserve">, with </w:t>
            </w:r>
            <w:r w:rsidR="0019643C" w:rsidRPr="00301944">
              <w:rPr>
                <w:rFonts w:ascii="Arial" w:hAnsi="Arial" w:cs="Arial"/>
                <w:bCs/>
                <w:color w:val="000000"/>
                <w:sz w:val="20"/>
                <w:szCs w:val="20"/>
              </w:rPr>
              <w:t xml:space="preserve">some </w:t>
            </w:r>
            <w:r w:rsidR="00BC7121" w:rsidRPr="00301944">
              <w:rPr>
                <w:rFonts w:ascii="Arial" w:hAnsi="Arial" w:cs="Arial"/>
                <w:bCs/>
                <w:color w:val="000000"/>
                <w:sz w:val="20"/>
                <w:szCs w:val="20"/>
              </w:rPr>
              <w:t>water</w:t>
            </w:r>
            <w:r w:rsidR="0019643C" w:rsidRPr="00301944">
              <w:rPr>
                <w:rFonts w:ascii="Arial" w:hAnsi="Arial" w:cs="Arial"/>
                <w:bCs/>
                <w:color w:val="000000"/>
                <w:sz w:val="20"/>
                <w:szCs w:val="20"/>
              </w:rPr>
              <w:t>ways being</w:t>
            </w:r>
            <w:r w:rsidR="00BC7121" w:rsidRPr="00301944">
              <w:rPr>
                <w:rFonts w:ascii="Arial" w:hAnsi="Arial" w:cs="Arial"/>
                <w:bCs/>
                <w:color w:val="000000"/>
                <w:sz w:val="20"/>
                <w:szCs w:val="20"/>
              </w:rPr>
              <w:t xml:space="preserve"> classified as “small permanent / semi permanent </w:t>
            </w:r>
            <w:proofErr w:type="spellStart"/>
            <w:r w:rsidR="00BC7121" w:rsidRPr="00301944">
              <w:rPr>
                <w:rFonts w:ascii="Arial" w:hAnsi="Arial" w:cs="Arial"/>
                <w:bCs/>
                <w:color w:val="000000"/>
                <w:sz w:val="20"/>
                <w:szCs w:val="20"/>
              </w:rPr>
              <w:t>waterbodies</w:t>
            </w:r>
            <w:proofErr w:type="spellEnd"/>
            <w:r w:rsidR="00BC7121" w:rsidRPr="00301944">
              <w:rPr>
                <w:rFonts w:ascii="Arial" w:hAnsi="Arial" w:cs="Arial"/>
                <w:bCs/>
                <w:color w:val="000000"/>
                <w:sz w:val="20"/>
                <w:szCs w:val="20"/>
              </w:rPr>
              <w:t xml:space="preserve">” </w:t>
            </w:r>
            <w:r w:rsidR="0019643C" w:rsidRPr="00301944">
              <w:rPr>
                <w:rFonts w:ascii="Arial" w:hAnsi="Arial" w:cs="Arial"/>
                <w:bCs/>
                <w:color w:val="000000"/>
                <w:sz w:val="20"/>
                <w:szCs w:val="20"/>
              </w:rPr>
              <w:t>in one section and then “ephemeral” in another section</w:t>
            </w:r>
            <w:r w:rsidR="00D72F2A">
              <w:rPr>
                <w:rFonts w:ascii="Arial" w:hAnsi="Arial" w:cs="Arial"/>
                <w:bCs/>
                <w:color w:val="000000"/>
                <w:sz w:val="20"/>
                <w:szCs w:val="20"/>
              </w:rPr>
              <w:t>;</w:t>
            </w:r>
          </w:p>
          <w:p w:rsidR="00CF260A" w:rsidRPr="0099178C" w:rsidRDefault="0099178C" w:rsidP="009B560C">
            <w:pPr>
              <w:pStyle w:val="ListBullet"/>
              <w:numPr>
                <w:ilvl w:val="0"/>
                <w:numId w:val="33"/>
              </w:numPr>
              <w:spacing w:after="200" w:line="276" w:lineRule="auto"/>
              <w:ind w:left="567" w:hanging="283"/>
              <w:rPr>
                <w:rFonts w:ascii="Arial" w:hAnsi="Arial" w:cs="Arial"/>
                <w:bCs/>
                <w:color w:val="000000"/>
                <w:sz w:val="20"/>
                <w:szCs w:val="20"/>
              </w:rPr>
            </w:pPr>
            <w:r w:rsidRPr="0099178C">
              <w:rPr>
                <w:rFonts w:ascii="Arial" w:hAnsi="Arial" w:cs="Arial"/>
                <w:bCs/>
                <w:color w:val="000000"/>
                <w:sz w:val="20"/>
                <w:szCs w:val="20"/>
              </w:rPr>
              <w:t xml:space="preserve">The monitoring program should be developed with reference to </w:t>
            </w:r>
            <w:proofErr w:type="spellStart"/>
            <w:r w:rsidRPr="0099178C">
              <w:rPr>
                <w:rFonts w:ascii="Arial" w:hAnsi="Arial" w:cs="Arial"/>
                <w:bCs/>
                <w:color w:val="000000"/>
                <w:sz w:val="20"/>
                <w:szCs w:val="20"/>
              </w:rPr>
              <w:t>AusRivAS</w:t>
            </w:r>
            <w:proofErr w:type="spellEnd"/>
            <w:r w:rsidRPr="0099178C">
              <w:rPr>
                <w:rFonts w:ascii="Arial" w:hAnsi="Arial" w:cs="Arial"/>
                <w:bCs/>
                <w:color w:val="000000"/>
                <w:sz w:val="20"/>
                <w:szCs w:val="20"/>
              </w:rPr>
              <w:t xml:space="preserve">, the Australian Guidelines for Water Quality Monitoring and Reporting and should provide details of other accepted methods/standard practices to be utilised.  It should continue throughout the </w:t>
            </w:r>
            <w:r w:rsidR="00CF260A" w:rsidRPr="0099178C">
              <w:rPr>
                <w:rFonts w:ascii="Arial" w:hAnsi="Arial" w:cs="Arial"/>
                <w:bCs/>
                <w:color w:val="000000"/>
                <w:sz w:val="20"/>
                <w:szCs w:val="20"/>
              </w:rPr>
              <w:t xml:space="preserve">project’s operational phase and should not be limited to periods of discharge. </w:t>
            </w:r>
            <w:r w:rsidR="00E8526B">
              <w:rPr>
                <w:rFonts w:ascii="Arial" w:hAnsi="Arial" w:cs="Arial"/>
                <w:bCs/>
                <w:color w:val="000000"/>
                <w:sz w:val="20"/>
                <w:szCs w:val="20"/>
              </w:rPr>
              <w:t>T</w:t>
            </w:r>
            <w:r w:rsidRPr="0099178C">
              <w:rPr>
                <w:rFonts w:ascii="Arial" w:hAnsi="Arial" w:cs="Arial"/>
                <w:bCs/>
                <w:color w:val="000000"/>
                <w:sz w:val="20"/>
                <w:szCs w:val="20"/>
              </w:rPr>
              <w:t xml:space="preserve">he </w:t>
            </w:r>
            <w:r w:rsidR="00CF260A" w:rsidRPr="0099178C">
              <w:rPr>
                <w:rFonts w:ascii="Arial" w:hAnsi="Arial" w:cs="Arial"/>
                <w:bCs/>
                <w:color w:val="000000"/>
                <w:sz w:val="20"/>
                <w:szCs w:val="20"/>
              </w:rPr>
              <w:t xml:space="preserve">placement of monitoring locations should inform both the point of discharge impact and the extent of the impact/mixing </w:t>
            </w:r>
            <w:r w:rsidR="00D72F2A">
              <w:rPr>
                <w:rFonts w:ascii="Arial" w:hAnsi="Arial" w:cs="Arial"/>
                <w:bCs/>
                <w:color w:val="000000"/>
                <w:sz w:val="20"/>
                <w:szCs w:val="20"/>
              </w:rPr>
              <w:t>zones for discharged substances;</w:t>
            </w:r>
          </w:p>
          <w:p w:rsidR="00CF260A" w:rsidRPr="00F3003F" w:rsidRDefault="00CF260A" w:rsidP="009B560C">
            <w:pPr>
              <w:pStyle w:val="ListBullet"/>
              <w:numPr>
                <w:ilvl w:val="0"/>
                <w:numId w:val="33"/>
              </w:numPr>
              <w:spacing w:after="200" w:line="276" w:lineRule="auto"/>
              <w:ind w:left="567" w:hanging="283"/>
              <w:rPr>
                <w:rFonts w:ascii="Arial" w:hAnsi="Arial" w:cs="Arial"/>
                <w:bCs/>
                <w:color w:val="000000"/>
                <w:sz w:val="20"/>
                <w:szCs w:val="20"/>
              </w:rPr>
            </w:pPr>
            <w:r w:rsidRPr="00FE2F6A">
              <w:rPr>
                <w:rFonts w:ascii="Arial" w:hAnsi="Arial" w:cs="Arial"/>
                <w:bCs/>
                <w:color w:val="000000"/>
                <w:sz w:val="20"/>
                <w:szCs w:val="20"/>
              </w:rPr>
              <w:t>Targets and</w:t>
            </w:r>
            <w:r w:rsidRPr="00910ECA">
              <w:rPr>
                <w:rFonts w:ascii="Arial" w:hAnsi="Arial" w:cs="Arial"/>
                <w:bCs/>
                <w:color w:val="000000"/>
                <w:sz w:val="20"/>
                <w:szCs w:val="20"/>
              </w:rPr>
              <w:t xml:space="preserve"> trigger values for intervention </w:t>
            </w:r>
            <w:r w:rsidR="005B37F5">
              <w:rPr>
                <w:rFonts w:ascii="Arial" w:hAnsi="Arial" w:cs="Arial"/>
                <w:bCs/>
                <w:color w:val="000000"/>
                <w:sz w:val="20"/>
                <w:szCs w:val="20"/>
              </w:rPr>
              <w:t>should be</w:t>
            </w:r>
            <w:r w:rsidRPr="00910ECA">
              <w:rPr>
                <w:rFonts w:ascii="Arial" w:hAnsi="Arial" w:cs="Arial"/>
                <w:bCs/>
                <w:color w:val="000000"/>
                <w:sz w:val="20"/>
                <w:szCs w:val="20"/>
              </w:rPr>
              <w:t xml:space="preserve"> identified and incorporated into the </w:t>
            </w:r>
            <w:r w:rsidR="00D544F5" w:rsidRPr="00910ECA">
              <w:rPr>
                <w:rFonts w:ascii="Arial" w:hAnsi="Arial" w:cs="Arial"/>
                <w:bCs/>
                <w:color w:val="000000"/>
                <w:sz w:val="20"/>
                <w:szCs w:val="20"/>
              </w:rPr>
              <w:t>E</w:t>
            </w:r>
            <w:r w:rsidR="00D544F5">
              <w:rPr>
                <w:rFonts w:ascii="Arial" w:hAnsi="Arial" w:cs="Arial"/>
                <w:bCs/>
                <w:color w:val="000000"/>
                <w:sz w:val="20"/>
                <w:szCs w:val="20"/>
              </w:rPr>
              <w:t>nvironmental</w:t>
            </w:r>
            <w:r>
              <w:rPr>
                <w:rFonts w:ascii="Arial" w:hAnsi="Arial" w:cs="Arial"/>
                <w:bCs/>
                <w:color w:val="000000"/>
                <w:sz w:val="20"/>
                <w:szCs w:val="20"/>
              </w:rPr>
              <w:t xml:space="preserve"> Management </w:t>
            </w:r>
            <w:r w:rsidRPr="00910ECA">
              <w:rPr>
                <w:rFonts w:ascii="Arial" w:hAnsi="Arial" w:cs="Arial"/>
                <w:bCs/>
                <w:color w:val="000000"/>
                <w:sz w:val="20"/>
                <w:szCs w:val="20"/>
              </w:rPr>
              <w:t>P</w:t>
            </w:r>
            <w:r>
              <w:rPr>
                <w:rFonts w:ascii="Arial" w:hAnsi="Arial" w:cs="Arial"/>
                <w:bCs/>
                <w:color w:val="000000"/>
                <w:sz w:val="20"/>
                <w:szCs w:val="20"/>
              </w:rPr>
              <w:t>lan</w:t>
            </w:r>
            <w:r w:rsidRPr="00910ECA">
              <w:rPr>
                <w:rFonts w:ascii="Arial" w:hAnsi="Arial" w:cs="Arial"/>
                <w:bCs/>
                <w:color w:val="000000"/>
                <w:sz w:val="20"/>
                <w:szCs w:val="20"/>
              </w:rPr>
              <w:t xml:space="preserve">. </w:t>
            </w:r>
            <w:r>
              <w:rPr>
                <w:rFonts w:ascii="Arial" w:hAnsi="Arial" w:cs="Arial"/>
                <w:bCs/>
                <w:color w:val="000000"/>
                <w:sz w:val="20"/>
                <w:szCs w:val="20"/>
              </w:rPr>
              <w:t xml:space="preserve">The Committee </w:t>
            </w:r>
            <w:r w:rsidRPr="00910ECA">
              <w:rPr>
                <w:rFonts w:ascii="Arial" w:hAnsi="Arial" w:cs="Arial"/>
                <w:bCs/>
                <w:color w:val="000000"/>
                <w:sz w:val="20"/>
                <w:szCs w:val="20"/>
              </w:rPr>
              <w:t>recommend</w:t>
            </w:r>
            <w:r>
              <w:rPr>
                <w:rFonts w:ascii="Arial" w:hAnsi="Arial" w:cs="Arial"/>
                <w:bCs/>
                <w:color w:val="000000"/>
                <w:sz w:val="20"/>
                <w:szCs w:val="20"/>
              </w:rPr>
              <w:t>s</w:t>
            </w:r>
            <w:r w:rsidRPr="00910ECA">
              <w:rPr>
                <w:rFonts w:ascii="Arial" w:hAnsi="Arial" w:cs="Arial"/>
                <w:bCs/>
                <w:color w:val="000000"/>
                <w:sz w:val="20"/>
                <w:szCs w:val="20"/>
              </w:rPr>
              <w:t xml:space="preserve"> that the setting of trigger values </w:t>
            </w:r>
            <w:r w:rsidR="005B37F5">
              <w:rPr>
                <w:rFonts w:ascii="Arial" w:hAnsi="Arial" w:cs="Arial"/>
                <w:bCs/>
                <w:color w:val="000000"/>
                <w:sz w:val="20"/>
                <w:szCs w:val="20"/>
              </w:rPr>
              <w:t>should</w:t>
            </w:r>
            <w:r w:rsidRPr="00910ECA">
              <w:rPr>
                <w:rFonts w:ascii="Arial" w:hAnsi="Arial" w:cs="Arial"/>
                <w:bCs/>
                <w:color w:val="000000"/>
                <w:sz w:val="20"/>
                <w:szCs w:val="20"/>
              </w:rPr>
              <w:t xml:space="preserve"> </w:t>
            </w:r>
            <w:r w:rsidR="00063430">
              <w:rPr>
                <w:rFonts w:ascii="Arial" w:hAnsi="Arial" w:cs="Arial"/>
                <w:bCs/>
                <w:color w:val="000000"/>
                <w:sz w:val="20"/>
                <w:szCs w:val="20"/>
              </w:rPr>
              <w:t>be provided within th</w:t>
            </w:r>
            <w:r w:rsidR="000A6826">
              <w:rPr>
                <w:rFonts w:ascii="Arial" w:hAnsi="Arial" w:cs="Arial"/>
                <w:bCs/>
                <w:color w:val="000000"/>
                <w:sz w:val="20"/>
                <w:szCs w:val="20"/>
              </w:rPr>
              <w:t>e EIS as a preventative measure, r</w:t>
            </w:r>
            <w:r w:rsidR="00063430">
              <w:rPr>
                <w:rFonts w:ascii="Arial" w:hAnsi="Arial" w:cs="Arial"/>
                <w:bCs/>
                <w:color w:val="000000"/>
                <w:sz w:val="20"/>
                <w:szCs w:val="20"/>
              </w:rPr>
              <w:t xml:space="preserve">ather than relying on reactive measures based on </w:t>
            </w:r>
            <w:r w:rsidRPr="00910ECA">
              <w:rPr>
                <w:rFonts w:ascii="Arial" w:hAnsi="Arial" w:cs="Arial"/>
                <w:bCs/>
                <w:color w:val="000000"/>
                <w:sz w:val="20"/>
                <w:szCs w:val="20"/>
              </w:rPr>
              <w:t>breaches of water quality or other environmental performance objectives.</w:t>
            </w:r>
          </w:p>
          <w:p w:rsidR="00CF260A" w:rsidRPr="00FE01CB" w:rsidRDefault="008E46FC" w:rsidP="009B560C">
            <w:pPr>
              <w:pStyle w:val="ListNumber"/>
              <w:numPr>
                <w:ilvl w:val="0"/>
                <w:numId w:val="26"/>
              </w:numPr>
              <w:spacing w:after="200" w:line="276" w:lineRule="auto"/>
              <w:ind w:left="284" w:hanging="284"/>
              <w:rPr>
                <w:rFonts w:ascii="Arial" w:hAnsi="Arial" w:cs="Arial"/>
                <w:bCs/>
                <w:color w:val="000000"/>
                <w:sz w:val="20"/>
                <w:szCs w:val="20"/>
              </w:rPr>
            </w:pPr>
            <w:r>
              <w:rPr>
                <w:rFonts w:ascii="Arial" w:hAnsi="Arial" w:cs="Arial"/>
                <w:bCs/>
                <w:color w:val="000000"/>
                <w:sz w:val="20"/>
                <w:szCs w:val="20"/>
              </w:rPr>
              <w:t xml:space="preserve">The project’s assessment </w:t>
            </w:r>
            <w:r w:rsidR="00450D35">
              <w:rPr>
                <w:rFonts w:ascii="Arial" w:hAnsi="Arial" w:cs="Arial"/>
                <w:bCs/>
                <w:color w:val="000000"/>
                <w:sz w:val="20"/>
                <w:szCs w:val="20"/>
              </w:rPr>
              <w:t>documentation</w:t>
            </w:r>
            <w:r w:rsidR="00CF260A" w:rsidRPr="00FE01CB">
              <w:rPr>
                <w:rFonts w:ascii="Arial" w:hAnsi="Arial" w:cs="Arial"/>
                <w:bCs/>
                <w:color w:val="000000"/>
                <w:sz w:val="20"/>
                <w:szCs w:val="20"/>
              </w:rPr>
              <w:t xml:space="preserve"> should provide additional assurance </w:t>
            </w:r>
            <w:r w:rsidR="00CF260A">
              <w:rPr>
                <w:rFonts w:ascii="Arial" w:hAnsi="Arial" w:cs="Arial"/>
                <w:bCs/>
                <w:color w:val="000000"/>
                <w:sz w:val="20"/>
                <w:szCs w:val="20"/>
              </w:rPr>
              <w:t xml:space="preserve">that </w:t>
            </w:r>
            <w:r w:rsidR="00CF260A" w:rsidRPr="00FE01CB">
              <w:rPr>
                <w:rFonts w:ascii="Arial" w:hAnsi="Arial" w:cs="Arial"/>
                <w:bCs/>
                <w:color w:val="000000"/>
                <w:sz w:val="20"/>
                <w:szCs w:val="20"/>
              </w:rPr>
              <w:t xml:space="preserve">impacts on surface waters arising from uncontrolled release of contaminants </w:t>
            </w:r>
            <w:r w:rsidR="00CF260A">
              <w:rPr>
                <w:rFonts w:ascii="Arial" w:hAnsi="Arial" w:cs="Arial"/>
                <w:bCs/>
                <w:color w:val="000000"/>
                <w:sz w:val="20"/>
                <w:szCs w:val="20"/>
              </w:rPr>
              <w:t xml:space="preserve">will be avoided, </w:t>
            </w:r>
            <w:r w:rsidR="00CF260A" w:rsidRPr="00FE01CB">
              <w:rPr>
                <w:rFonts w:ascii="Arial" w:hAnsi="Arial" w:cs="Arial"/>
                <w:bCs/>
                <w:color w:val="000000"/>
                <w:sz w:val="20"/>
                <w:szCs w:val="20"/>
              </w:rPr>
              <w:t xml:space="preserve">through: </w:t>
            </w:r>
          </w:p>
          <w:p w:rsidR="00CF260A" w:rsidRPr="00FE01CB" w:rsidRDefault="00CF260A" w:rsidP="009B560C">
            <w:pPr>
              <w:pStyle w:val="ListBullet"/>
              <w:numPr>
                <w:ilvl w:val="0"/>
                <w:numId w:val="32"/>
              </w:numPr>
              <w:spacing w:after="200" w:line="276" w:lineRule="auto"/>
              <w:ind w:left="709" w:hanging="425"/>
              <w:rPr>
                <w:rFonts w:ascii="Arial" w:hAnsi="Arial" w:cs="Arial"/>
                <w:bCs/>
                <w:color w:val="000000"/>
                <w:sz w:val="20"/>
                <w:szCs w:val="20"/>
              </w:rPr>
            </w:pPr>
            <w:r w:rsidRPr="00FE01CB">
              <w:rPr>
                <w:rFonts w:ascii="Arial" w:hAnsi="Arial" w:cs="Arial"/>
                <w:bCs/>
                <w:color w:val="000000"/>
                <w:sz w:val="20"/>
                <w:szCs w:val="20"/>
              </w:rPr>
              <w:lastRenderedPageBreak/>
              <w:t xml:space="preserve">All </w:t>
            </w:r>
            <w:r>
              <w:rPr>
                <w:rFonts w:ascii="Arial" w:hAnsi="Arial" w:cs="Arial"/>
                <w:bCs/>
                <w:color w:val="000000"/>
                <w:sz w:val="20"/>
                <w:szCs w:val="20"/>
              </w:rPr>
              <w:t>coal seam gas water</w:t>
            </w:r>
            <w:r w:rsidR="00153AAC">
              <w:rPr>
                <w:rFonts w:ascii="Arial" w:hAnsi="Arial" w:cs="Arial"/>
                <w:bCs/>
                <w:color w:val="000000"/>
                <w:sz w:val="20"/>
                <w:szCs w:val="20"/>
              </w:rPr>
              <w:t>,</w:t>
            </w:r>
            <w:r>
              <w:rPr>
                <w:rFonts w:ascii="Arial" w:hAnsi="Arial" w:cs="Arial"/>
                <w:bCs/>
                <w:color w:val="000000"/>
                <w:sz w:val="20"/>
                <w:szCs w:val="20"/>
              </w:rPr>
              <w:t xml:space="preserve"> </w:t>
            </w:r>
            <w:r w:rsidRPr="00FE01CB">
              <w:rPr>
                <w:rFonts w:ascii="Arial" w:hAnsi="Arial" w:cs="Arial"/>
                <w:bCs/>
                <w:color w:val="000000"/>
                <w:sz w:val="20"/>
                <w:szCs w:val="20"/>
              </w:rPr>
              <w:t xml:space="preserve">and treatment facilities, and fuel and chemical storage and handling facilities being </w:t>
            </w:r>
            <w:proofErr w:type="spellStart"/>
            <w:r w:rsidRPr="00FE01CB">
              <w:rPr>
                <w:rFonts w:ascii="Arial" w:hAnsi="Arial" w:cs="Arial"/>
                <w:bCs/>
                <w:color w:val="000000"/>
                <w:sz w:val="20"/>
                <w:szCs w:val="20"/>
              </w:rPr>
              <w:t>sited</w:t>
            </w:r>
            <w:proofErr w:type="spellEnd"/>
            <w:r w:rsidRPr="00FE01CB">
              <w:rPr>
                <w:rFonts w:ascii="Arial" w:hAnsi="Arial" w:cs="Arial"/>
                <w:bCs/>
                <w:color w:val="000000"/>
                <w:sz w:val="20"/>
                <w:szCs w:val="20"/>
              </w:rPr>
              <w:t xml:space="preserve"> above </w:t>
            </w:r>
            <w:r w:rsidR="00D72F2A">
              <w:rPr>
                <w:rFonts w:ascii="Arial" w:hAnsi="Arial" w:cs="Arial"/>
                <w:bCs/>
                <w:color w:val="000000"/>
                <w:sz w:val="20"/>
                <w:szCs w:val="20"/>
              </w:rPr>
              <w:t xml:space="preserve">the 1:1000 year </w:t>
            </w:r>
            <w:r w:rsidR="00B5299D">
              <w:rPr>
                <w:rFonts w:ascii="Arial" w:hAnsi="Arial" w:cs="Arial"/>
                <w:bCs/>
                <w:color w:val="000000"/>
                <w:sz w:val="20"/>
                <w:szCs w:val="20"/>
              </w:rPr>
              <w:t>average recurrence interval</w:t>
            </w:r>
            <w:r w:rsidR="00D72F2A">
              <w:rPr>
                <w:rFonts w:ascii="Arial" w:hAnsi="Arial" w:cs="Arial"/>
                <w:bCs/>
                <w:color w:val="000000"/>
                <w:sz w:val="20"/>
                <w:szCs w:val="20"/>
              </w:rPr>
              <w:t xml:space="preserve"> water level;</w:t>
            </w:r>
            <w:r w:rsidRPr="00FE01CB">
              <w:rPr>
                <w:rFonts w:ascii="Arial" w:hAnsi="Arial" w:cs="Arial"/>
                <w:bCs/>
                <w:color w:val="000000"/>
                <w:sz w:val="20"/>
                <w:szCs w:val="20"/>
              </w:rPr>
              <w:t xml:space="preserve"> </w:t>
            </w:r>
          </w:p>
          <w:p w:rsidR="00CF260A" w:rsidRPr="00FE01CB" w:rsidRDefault="00CF260A" w:rsidP="00C43A42">
            <w:pPr>
              <w:pStyle w:val="ListBullet"/>
              <w:numPr>
                <w:ilvl w:val="0"/>
                <w:numId w:val="32"/>
              </w:numPr>
              <w:spacing w:after="120" w:line="276" w:lineRule="auto"/>
              <w:ind w:left="709" w:hanging="425"/>
              <w:rPr>
                <w:rFonts w:ascii="Arial" w:hAnsi="Arial" w:cs="Arial"/>
                <w:bCs/>
                <w:color w:val="000000"/>
                <w:sz w:val="20"/>
                <w:szCs w:val="20"/>
              </w:rPr>
            </w:pPr>
            <w:r w:rsidRPr="00FE01CB">
              <w:rPr>
                <w:rFonts w:ascii="Arial" w:hAnsi="Arial" w:cs="Arial"/>
                <w:bCs/>
                <w:color w:val="000000"/>
                <w:sz w:val="20"/>
                <w:szCs w:val="20"/>
              </w:rPr>
              <w:t xml:space="preserve">All drilling sumps </w:t>
            </w:r>
            <w:r w:rsidR="00153AAC">
              <w:rPr>
                <w:rFonts w:ascii="Arial" w:hAnsi="Arial" w:cs="Arial"/>
                <w:bCs/>
                <w:color w:val="000000"/>
                <w:sz w:val="20"/>
                <w:szCs w:val="20"/>
              </w:rPr>
              <w:t>being</w:t>
            </w:r>
            <w:r w:rsidRPr="00FE01CB">
              <w:rPr>
                <w:rFonts w:ascii="Arial" w:hAnsi="Arial" w:cs="Arial"/>
                <w:bCs/>
                <w:color w:val="000000"/>
                <w:sz w:val="20"/>
                <w:szCs w:val="20"/>
              </w:rPr>
              <w:t xml:space="preserve"> lined and managed to</w:t>
            </w:r>
            <w:r w:rsidR="00D72F2A">
              <w:rPr>
                <w:rFonts w:ascii="Arial" w:hAnsi="Arial" w:cs="Arial"/>
                <w:bCs/>
                <w:color w:val="000000"/>
                <w:sz w:val="20"/>
                <w:szCs w:val="20"/>
              </w:rPr>
              <w:t xml:space="preserve"> prevent overflow;</w:t>
            </w:r>
            <w:r w:rsidRPr="00FE01CB">
              <w:rPr>
                <w:rFonts w:ascii="Arial" w:hAnsi="Arial" w:cs="Arial"/>
                <w:bCs/>
                <w:color w:val="000000"/>
                <w:sz w:val="20"/>
                <w:szCs w:val="20"/>
              </w:rPr>
              <w:t xml:space="preserve"> </w:t>
            </w:r>
          </w:p>
          <w:p w:rsidR="00A71A71" w:rsidRPr="007F4DD7" w:rsidRDefault="00CF260A" w:rsidP="004527B2">
            <w:pPr>
              <w:pStyle w:val="ListBullet"/>
              <w:numPr>
                <w:ilvl w:val="0"/>
                <w:numId w:val="32"/>
              </w:numPr>
              <w:spacing w:after="200" w:line="276" w:lineRule="auto"/>
              <w:ind w:left="709" w:hanging="425"/>
              <w:rPr>
                <w:rFonts w:ascii="Arial" w:hAnsi="Arial" w:cs="Arial"/>
                <w:sz w:val="20"/>
                <w:szCs w:val="20"/>
              </w:rPr>
            </w:pPr>
            <w:r w:rsidRPr="00FE01CB">
              <w:rPr>
                <w:rFonts w:ascii="Arial" w:hAnsi="Arial" w:cs="Arial"/>
                <w:bCs/>
                <w:color w:val="000000"/>
                <w:sz w:val="20"/>
                <w:szCs w:val="20"/>
              </w:rPr>
              <w:t>Stormwater runoff from disturbed areas, chemical storage, and vehicle wash down, refue</w:t>
            </w:r>
            <w:r w:rsidR="00153AAC">
              <w:rPr>
                <w:rFonts w:ascii="Arial" w:hAnsi="Arial" w:cs="Arial"/>
                <w:bCs/>
                <w:color w:val="000000"/>
                <w:sz w:val="20"/>
                <w:szCs w:val="20"/>
              </w:rPr>
              <w:t xml:space="preserve">lling, and maintenance areas </w:t>
            </w:r>
            <w:r w:rsidRPr="00FE01CB">
              <w:rPr>
                <w:rFonts w:ascii="Arial" w:hAnsi="Arial" w:cs="Arial"/>
                <w:bCs/>
                <w:color w:val="000000"/>
                <w:sz w:val="20"/>
                <w:szCs w:val="20"/>
              </w:rPr>
              <w:t xml:space="preserve">not </w:t>
            </w:r>
            <w:r w:rsidR="00153AAC">
              <w:rPr>
                <w:rFonts w:ascii="Arial" w:hAnsi="Arial" w:cs="Arial"/>
                <w:bCs/>
                <w:color w:val="000000"/>
                <w:sz w:val="20"/>
                <w:szCs w:val="20"/>
              </w:rPr>
              <w:t xml:space="preserve">being </w:t>
            </w:r>
            <w:r w:rsidRPr="00FE01CB">
              <w:rPr>
                <w:rFonts w:ascii="Arial" w:hAnsi="Arial" w:cs="Arial"/>
                <w:bCs/>
                <w:color w:val="000000"/>
                <w:sz w:val="20"/>
                <w:szCs w:val="20"/>
              </w:rPr>
              <w:t>allowed to discharge to receiving waterways without treatment to remove sediment, hydrocarbons and/or other contaminants.</w:t>
            </w:r>
          </w:p>
          <w:p w:rsidR="00CF260A" w:rsidRPr="00AC0A6D" w:rsidRDefault="00CF260A" w:rsidP="00C43A42">
            <w:pPr>
              <w:pStyle w:val="ListNumber"/>
              <w:spacing w:after="180" w:line="276" w:lineRule="auto"/>
              <w:rPr>
                <w:rFonts w:ascii="Arial" w:hAnsi="Arial" w:cs="Arial"/>
                <w:i/>
                <w:sz w:val="20"/>
                <w:szCs w:val="20"/>
              </w:rPr>
            </w:pPr>
            <w:r w:rsidRPr="00AC0A6D">
              <w:rPr>
                <w:rFonts w:ascii="Arial" w:hAnsi="Arial" w:cs="Arial"/>
                <w:i/>
                <w:sz w:val="20"/>
                <w:szCs w:val="20"/>
              </w:rPr>
              <w:t>Question 5: Surface Water - Does the EIS sufficiently address the management of saline groundwater extracted from the gas wells?</w:t>
            </w:r>
          </w:p>
          <w:p w:rsidR="00CF260A" w:rsidRPr="00FF73E1" w:rsidRDefault="00CF260A" w:rsidP="00C43A42">
            <w:pPr>
              <w:pStyle w:val="ListNumber"/>
              <w:spacing w:after="180" w:line="276" w:lineRule="auto"/>
              <w:outlineLvl w:val="3"/>
              <w:rPr>
                <w:rFonts w:ascii="Arial" w:hAnsi="Arial" w:cs="Arial"/>
                <w:bCs/>
                <w:sz w:val="20"/>
                <w:szCs w:val="20"/>
              </w:rPr>
            </w:pPr>
            <w:r w:rsidRPr="00824146">
              <w:rPr>
                <w:rFonts w:ascii="Arial" w:hAnsi="Arial" w:cs="Arial"/>
                <w:bCs/>
                <w:sz w:val="20"/>
                <w:szCs w:val="20"/>
              </w:rPr>
              <w:t xml:space="preserve">The management of </w:t>
            </w:r>
            <w:r>
              <w:rPr>
                <w:rFonts w:ascii="Arial" w:hAnsi="Arial" w:cs="Arial"/>
                <w:bCs/>
                <w:sz w:val="20"/>
                <w:szCs w:val="20"/>
              </w:rPr>
              <w:t>saline groundwater (</w:t>
            </w:r>
            <w:r w:rsidRPr="00824146">
              <w:rPr>
                <w:rFonts w:ascii="Arial" w:hAnsi="Arial" w:cs="Arial"/>
                <w:bCs/>
                <w:sz w:val="20"/>
                <w:szCs w:val="20"/>
              </w:rPr>
              <w:t>co-produced water</w:t>
            </w:r>
            <w:r>
              <w:rPr>
                <w:rFonts w:ascii="Arial" w:hAnsi="Arial" w:cs="Arial"/>
                <w:bCs/>
                <w:sz w:val="20"/>
                <w:szCs w:val="20"/>
              </w:rPr>
              <w:t>)</w:t>
            </w:r>
            <w:r w:rsidRPr="00824146">
              <w:rPr>
                <w:rFonts w:ascii="Arial" w:hAnsi="Arial" w:cs="Arial"/>
                <w:bCs/>
                <w:sz w:val="20"/>
                <w:szCs w:val="20"/>
              </w:rPr>
              <w:t xml:space="preserve"> </w:t>
            </w:r>
            <w:r>
              <w:rPr>
                <w:rFonts w:ascii="Arial" w:hAnsi="Arial" w:cs="Arial"/>
                <w:bCs/>
                <w:sz w:val="20"/>
                <w:szCs w:val="20"/>
              </w:rPr>
              <w:t>is not</w:t>
            </w:r>
            <w:r w:rsidRPr="00824146">
              <w:rPr>
                <w:rFonts w:ascii="Arial" w:hAnsi="Arial" w:cs="Arial"/>
                <w:bCs/>
                <w:sz w:val="20"/>
                <w:szCs w:val="20"/>
              </w:rPr>
              <w:t xml:space="preserve"> sufficiently addressed </w:t>
            </w:r>
            <w:r>
              <w:rPr>
                <w:rFonts w:ascii="Arial" w:hAnsi="Arial" w:cs="Arial"/>
                <w:bCs/>
                <w:sz w:val="20"/>
                <w:szCs w:val="20"/>
              </w:rPr>
              <w:t xml:space="preserve">within the </w:t>
            </w:r>
            <w:r w:rsidR="008E46FC">
              <w:rPr>
                <w:rFonts w:ascii="Arial" w:hAnsi="Arial" w:cs="Arial"/>
                <w:bCs/>
                <w:sz w:val="20"/>
                <w:szCs w:val="20"/>
              </w:rPr>
              <w:t>project’s assessment documentation</w:t>
            </w:r>
            <w:r>
              <w:rPr>
                <w:rFonts w:ascii="Arial" w:hAnsi="Arial" w:cs="Arial"/>
                <w:bCs/>
                <w:sz w:val="20"/>
                <w:szCs w:val="20"/>
              </w:rPr>
              <w:t xml:space="preserve">, largely as the management plan is </w:t>
            </w:r>
            <w:r w:rsidRPr="00824146">
              <w:rPr>
                <w:rFonts w:ascii="Arial" w:hAnsi="Arial" w:cs="Arial"/>
                <w:bCs/>
                <w:sz w:val="20"/>
                <w:szCs w:val="20"/>
              </w:rPr>
              <w:t>based on a con</w:t>
            </w:r>
            <w:r>
              <w:rPr>
                <w:rFonts w:ascii="Arial" w:hAnsi="Arial" w:cs="Arial"/>
                <w:bCs/>
                <w:sz w:val="20"/>
                <w:szCs w:val="20"/>
              </w:rPr>
              <w:t>ceptual layout</w:t>
            </w:r>
            <w:r w:rsidR="00CF0B8A">
              <w:rPr>
                <w:rFonts w:ascii="Arial" w:hAnsi="Arial" w:cs="Arial"/>
                <w:bCs/>
                <w:sz w:val="20"/>
                <w:szCs w:val="20"/>
              </w:rPr>
              <w:t xml:space="preserve"> and hypothetical treatment strategies</w:t>
            </w:r>
            <w:r>
              <w:rPr>
                <w:rFonts w:ascii="Arial" w:hAnsi="Arial" w:cs="Arial"/>
                <w:bCs/>
                <w:sz w:val="20"/>
                <w:szCs w:val="20"/>
              </w:rPr>
              <w:t xml:space="preserve">.  A broad concept is presented which </w:t>
            </w:r>
            <w:r w:rsidRPr="00FF73E1">
              <w:rPr>
                <w:rFonts w:ascii="Arial" w:hAnsi="Arial" w:cs="Arial"/>
                <w:bCs/>
                <w:sz w:val="20"/>
                <w:szCs w:val="20"/>
              </w:rPr>
              <w:t>propose</w:t>
            </w:r>
            <w:r>
              <w:rPr>
                <w:rFonts w:ascii="Arial" w:hAnsi="Arial" w:cs="Arial"/>
                <w:bCs/>
                <w:sz w:val="20"/>
                <w:szCs w:val="20"/>
              </w:rPr>
              <w:t xml:space="preserve">s </w:t>
            </w:r>
            <w:r w:rsidRPr="00FF73E1">
              <w:rPr>
                <w:rFonts w:ascii="Arial" w:hAnsi="Arial" w:cs="Arial"/>
                <w:bCs/>
                <w:sz w:val="20"/>
                <w:szCs w:val="20"/>
              </w:rPr>
              <w:t xml:space="preserve">a system of pipelines, aggregation dams, water treatment, permeate storage and disposal, and brine management. The specific location of </w:t>
            </w:r>
            <w:r w:rsidRPr="00CD1C29">
              <w:rPr>
                <w:rFonts w:ascii="Arial" w:hAnsi="Arial" w:cs="Arial"/>
                <w:bCs/>
                <w:sz w:val="20"/>
                <w:szCs w:val="20"/>
              </w:rPr>
              <w:t>these facilities is unknown,</w:t>
            </w:r>
            <w:r w:rsidRPr="00FF73E1">
              <w:rPr>
                <w:rFonts w:ascii="Arial" w:hAnsi="Arial" w:cs="Arial"/>
                <w:bCs/>
                <w:sz w:val="20"/>
                <w:szCs w:val="20"/>
              </w:rPr>
              <w:t xml:space="preserve"> </w:t>
            </w:r>
            <w:r>
              <w:rPr>
                <w:rFonts w:ascii="Arial" w:hAnsi="Arial" w:cs="Arial"/>
                <w:bCs/>
                <w:sz w:val="20"/>
                <w:szCs w:val="20"/>
              </w:rPr>
              <w:t>with only a tentative indication of the a</w:t>
            </w:r>
            <w:r w:rsidRPr="00FF73E1">
              <w:rPr>
                <w:rFonts w:ascii="Arial" w:hAnsi="Arial" w:cs="Arial"/>
                <w:bCs/>
                <w:sz w:val="20"/>
                <w:szCs w:val="20"/>
              </w:rPr>
              <w:t xml:space="preserve">rea </w:t>
            </w:r>
            <w:r>
              <w:rPr>
                <w:rFonts w:ascii="Arial" w:hAnsi="Arial" w:cs="Arial"/>
                <w:bCs/>
                <w:sz w:val="20"/>
                <w:szCs w:val="20"/>
              </w:rPr>
              <w:t xml:space="preserve">where </w:t>
            </w:r>
            <w:r w:rsidRPr="00FF73E1">
              <w:rPr>
                <w:rFonts w:ascii="Arial" w:hAnsi="Arial" w:cs="Arial"/>
                <w:bCs/>
                <w:sz w:val="20"/>
                <w:szCs w:val="20"/>
              </w:rPr>
              <w:t>each</w:t>
            </w:r>
            <w:r>
              <w:rPr>
                <w:rFonts w:ascii="Arial" w:hAnsi="Arial" w:cs="Arial"/>
                <w:bCs/>
                <w:sz w:val="20"/>
                <w:szCs w:val="20"/>
              </w:rPr>
              <w:t xml:space="preserve"> grouping of facilities </w:t>
            </w:r>
            <w:r w:rsidR="008E46FC">
              <w:rPr>
                <w:rFonts w:ascii="Arial" w:hAnsi="Arial" w:cs="Arial"/>
                <w:bCs/>
                <w:sz w:val="20"/>
                <w:szCs w:val="20"/>
              </w:rPr>
              <w:t>will be sited.</w:t>
            </w:r>
            <w:r>
              <w:rPr>
                <w:rFonts w:ascii="Arial" w:hAnsi="Arial" w:cs="Arial"/>
                <w:bCs/>
                <w:sz w:val="20"/>
                <w:szCs w:val="20"/>
              </w:rPr>
              <w:t xml:space="preserve"> Recommendations to address the lack of detail are provided in the points below. </w:t>
            </w:r>
          </w:p>
          <w:p w:rsidR="00CF260A" w:rsidRPr="009A5A1E" w:rsidRDefault="00CF260A" w:rsidP="009B560C">
            <w:pPr>
              <w:pStyle w:val="ListNumber"/>
              <w:numPr>
                <w:ilvl w:val="0"/>
                <w:numId w:val="26"/>
              </w:numPr>
              <w:spacing w:after="200" w:line="276" w:lineRule="auto"/>
              <w:ind w:left="284" w:hanging="284"/>
              <w:rPr>
                <w:rFonts w:ascii="Arial" w:hAnsi="Arial" w:cs="Arial"/>
                <w:bCs/>
                <w:sz w:val="20"/>
                <w:szCs w:val="20"/>
              </w:rPr>
            </w:pPr>
            <w:r w:rsidRPr="00FB4DFF">
              <w:rPr>
                <w:rFonts w:ascii="Arial" w:hAnsi="Arial" w:cs="Arial"/>
                <w:bCs/>
                <w:sz w:val="20"/>
                <w:szCs w:val="20"/>
              </w:rPr>
              <w:t xml:space="preserve">The proposed project </w:t>
            </w:r>
            <w:r>
              <w:rPr>
                <w:rFonts w:ascii="Arial" w:hAnsi="Arial" w:cs="Arial"/>
                <w:bCs/>
                <w:sz w:val="20"/>
                <w:szCs w:val="20"/>
              </w:rPr>
              <w:t xml:space="preserve">will produce an </w:t>
            </w:r>
            <w:r w:rsidRPr="00FB4DFF">
              <w:rPr>
                <w:rFonts w:ascii="Arial" w:hAnsi="Arial" w:cs="Arial"/>
                <w:bCs/>
                <w:sz w:val="20"/>
                <w:szCs w:val="20"/>
              </w:rPr>
              <w:t xml:space="preserve">estimated 264 billion litres of </w:t>
            </w:r>
            <w:r>
              <w:rPr>
                <w:rFonts w:ascii="Arial" w:hAnsi="Arial" w:cs="Arial"/>
                <w:bCs/>
                <w:sz w:val="20"/>
                <w:szCs w:val="20"/>
              </w:rPr>
              <w:t xml:space="preserve">co-produced </w:t>
            </w:r>
            <w:r w:rsidRPr="00FB4DFF">
              <w:rPr>
                <w:rFonts w:ascii="Arial" w:hAnsi="Arial" w:cs="Arial"/>
                <w:bCs/>
                <w:sz w:val="20"/>
                <w:szCs w:val="20"/>
              </w:rPr>
              <w:t>water</w:t>
            </w:r>
            <w:r w:rsidR="00526D5A">
              <w:rPr>
                <w:rFonts w:ascii="Arial" w:hAnsi="Arial" w:cs="Arial"/>
                <w:bCs/>
                <w:sz w:val="20"/>
                <w:szCs w:val="20"/>
              </w:rPr>
              <w:t xml:space="preserve"> with a predicted    4.5 tonnes o</w:t>
            </w:r>
            <w:r w:rsidR="003C4095">
              <w:rPr>
                <w:rFonts w:ascii="Arial" w:hAnsi="Arial" w:cs="Arial"/>
                <w:bCs/>
                <w:sz w:val="20"/>
                <w:szCs w:val="20"/>
              </w:rPr>
              <w:t>f salt per million litres of</w:t>
            </w:r>
            <w:r w:rsidR="00526D5A">
              <w:rPr>
                <w:rFonts w:ascii="Arial" w:hAnsi="Arial" w:cs="Arial"/>
                <w:bCs/>
                <w:sz w:val="20"/>
                <w:szCs w:val="20"/>
              </w:rPr>
              <w:t xml:space="preserve"> water</w:t>
            </w:r>
            <w:r>
              <w:rPr>
                <w:rFonts w:ascii="Arial" w:hAnsi="Arial" w:cs="Arial"/>
                <w:bCs/>
                <w:sz w:val="20"/>
                <w:szCs w:val="20"/>
              </w:rPr>
              <w:t>.</w:t>
            </w:r>
            <w:r w:rsidR="00CA505F">
              <w:rPr>
                <w:rFonts w:ascii="Arial" w:hAnsi="Arial" w:cs="Arial"/>
                <w:bCs/>
                <w:sz w:val="20"/>
                <w:szCs w:val="20"/>
              </w:rPr>
              <w:t xml:space="preserve"> This equates to approximately 1.2 million tonnes of salt over the project life. </w:t>
            </w:r>
            <w:r w:rsidRPr="00FB4DFF">
              <w:rPr>
                <w:rFonts w:ascii="Arial" w:hAnsi="Arial" w:cs="Arial"/>
                <w:bCs/>
                <w:sz w:val="20"/>
                <w:szCs w:val="20"/>
              </w:rPr>
              <w:t>Given th</w:t>
            </w:r>
            <w:r w:rsidR="00526D5A">
              <w:rPr>
                <w:rFonts w:ascii="Arial" w:hAnsi="Arial" w:cs="Arial"/>
                <w:bCs/>
                <w:sz w:val="20"/>
                <w:szCs w:val="20"/>
              </w:rPr>
              <w:t>ese</w:t>
            </w:r>
            <w:r w:rsidRPr="00FB4DFF">
              <w:rPr>
                <w:rFonts w:ascii="Arial" w:hAnsi="Arial" w:cs="Arial"/>
                <w:bCs/>
                <w:sz w:val="20"/>
                <w:szCs w:val="20"/>
              </w:rPr>
              <w:t xml:space="preserve"> significant volume</w:t>
            </w:r>
            <w:r w:rsidR="00526D5A">
              <w:rPr>
                <w:rFonts w:ascii="Arial" w:hAnsi="Arial" w:cs="Arial"/>
                <w:bCs/>
                <w:sz w:val="20"/>
                <w:szCs w:val="20"/>
              </w:rPr>
              <w:t>s</w:t>
            </w:r>
            <w:r>
              <w:rPr>
                <w:rFonts w:ascii="Arial" w:hAnsi="Arial" w:cs="Arial"/>
                <w:bCs/>
                <w:sz w:val="20"/>
                <w:szCs w:val="20"/>
              </w:rPr>
              <w:t>,</w:t>
            </w:r>
            <w:r w:rsidRPr="00FB4DFF">
              <w:rPr>
                <w:rFonts w:ascii="Arial" w:hAnsi="Arial" w:cs="Arial"/>
                <w:bCs/>
                <w:sz w:val="20"/>
                <w:szCs w:val="20"/>
              </w:rPr>
              <w:t xml:space="preserve"> the Committee is concerned that the management </w:t>
            </w:r>
            <w:r w:rsidR="007218F9">
              <w:rPr>
                <w:rFonts w:ascii="Arial" w:hAnsi="Arial" w:cs="Arial"/>
                <w:bCs/>
                <w:sz w:val="20"/>
                <w:szCs w:val="20"/>
              </w:rPr>
              <w:t xml:space="preserve">of this water </w:t>
            </w:r>
            <w:r w:rsidR="00526D5A">
              <w:rPr>
                <w:rFonts w:ascii="Arial" w:hAnsi="Arial" w:cs="Arial"/>
                <w:bCs/>
                <w:sz w:val="20"/>
                <w:szCs w:val="20"/>
              </w:rPr>
              <w:t xml:space="preserve">and </w:t>
            </w:r>
            <w:r w:rsidR="00C96A06">
              <w:rPr>
                <w:rFonts w:ascii="Arial" w:hAnsi="Arial" w:cs="Arial"/>
                <w:bCs/>
                <w:sz w:val="20"/>
                <w:szCs w:val="20"/>
              </w:rPr>
              <w:t>the residual brine/</w:t>
            </w:r>
            <w:r w:rsidR="00526D5A">
              <w:rPr>
                <w:rFonts w:ascii="Arial" w:hAnsi="Arial" w:cs="Arial"/>
                <w:bCs/>
                <w:sz w:val="20"/>
                <w:szCs w:val="20"/>
              </w:rPr>
              <w:t>salt</w:t>
            </w:r>
            <w:r w:rsidR="00C96A06">
              <w:rPr>
                <w:rFonts w:ascii="Arial" w:hAnsi="Arial" w:cs="Arial"/>
                <w:bCs/>
                <w:sz w:val="20"/>
                <w:szCs w:val="20"/>
              </w:rPr>
              <w:t xml:space="preserve"> </w:t>
            </w:r>
            <w:proofErr w:type="gramStart"/>
            <w:r w:rsidR="00C96A06">
              <w:rPr>
                <w:rFonts w:ascii="Arial" w:hAnsi="Arial" w:cs="Arial"/>
                <w:bCs/>
                <w:sz w:val="20"/>
                <w:szCs w:val="20"/>
              </w:rPr>
              <w:t>products,</w:t>
            </w:r>
            <w:proofErr w:type="gramEnd"/>
            <w:r w:rsidR="00C96A06">
              <w:rPr>
                <w:rFonts w:ascii="Arial" w:hAnsi="Arial" w:cs="Arial"/>
                <w:bCs/>
                <w:sz w:val="20"/>
                <w:szCs w:val="20"/>
              </w:rPr>
              <w:t xml:space="preserve"> are</w:t>
            </w:r>
            <w:r w:rsidRPr="00FB4DFF">
              <w:rPr>
                <w:rFonts w:ascii="Arial" w:hAnsi="Arial" w:cs="Arial"/>
                <w:bCs/>
                <w:sz w:val="20"/>
                <w:szCs w:val="20"/>
              </w:rPr>
              <w:t xml:space="preserve"> addressed </w:t>
            </w:r>
            <w:r w:rsidR="00FA17B5">
              <w:rPr>
                <w:rFonts w:ascii="Arial" w:hAnsi="Arial" w:cs="Arial"/>
                <w:bCs/>
                <w:sz w:val="20"/>
                <w:szCs w:val="20"/>
              </w:rPr>
              <w:t xml:space="preserve">only </w:t>
            </w:r>
            <w:r w:rsidRPr="00FB4DFF">
              <w:rPr>
                <w:rFonts w:ascii="Arial" w:hAnsi="Arial" w:cs="Arial"/>
                <w:bCs/>
                <w:sz w:val="20"/>
                <w:szCs w:val="20"/>
              </w:rPr>
              <w:t>at the c</w:t>
            </w:r>
            <w:r>
              <w:rPr>
                <w:rFonts w:ascii="Arial" w:hAnsi="Arial" w:cs="Arial"/>
                <w:bCs/>
                <w:sz w:val="20"/>
                <w:szCs w:val="20"/>
              </w:rPr>
              <w:t>onceptual level.  Further detail is required to ensure that risks are adequately characterised and mitigated</w:t>
            </w:r>
            <w:r w:rsidR="00FA17B5">
              <w:rPr>
                <w:rFonts w:ascii="Arial" w:hAnsi="Arial" w:cs="Arial"/>
                <w:bCs/>
                <w:sz w:val="20"/>
                <w:szCs w:val="20"/>
              </w:rPr>
              <w:t xml:space="preserve"> and are</w:t>
            </w:r>
            <w:r>
              <w:rPr>
                <w:rFonts w:ascii="Arial" w:hAnsi="Arial" w:cs="Arial"/>
                <w:bCs/>
                <w:sz w:val="20"/>
                <w:szCs w:val="20"/>
              </w:rPr>
              <w:t xml:space="preserve"> not deferred until later phases</w:t>
            </w:r>
            <w:r w:rsidR="00526D5A">
              <w:rPr>
                <w:rFonts w:ascii="Arial" w:hAnsi="Arial" w:cs="Arial"/>
                <w:bCs/>
                <w:sz w:val="20"/>
                <w:szCs w:val="20"/>
              </w:rPr>
              <w:t>, including:</w:t>
            </w:r>
          </w:p>
          <w:p w:rsidR="00CF260A" w:rsidRPr="00226D29" w:rsidRDefault="00CF260A" w:rsidP="00C43A42">
            <w:pPr>
              <w:pStyle w:val="ListBullet"/>
              <w:numPr>
                <w:ilvl w:val="0"/>
                <w:numId w:val="37"/>
              </w:numPr>
              <w:spacing w:after="180" w:line="276" w:lineRule="auto"/>
              <w:ind w:left="567" w:hanging="283"/>
              <w:rPr>
                <w:rFonts w:ascii="Arial" w:hAnsi="Arial" w:cs="Arial"/>
                <w:bCs/>
                <w:sz w:val="20"/>
                <w:szCs w:val="20"/>
              </w:rPr>
            </w:pPr>
            <w:r>
              <w:rPr>
                <w:rFonts w:ascii="Arial" w:hAnsi="Arial" w:cs="Arial"/>
                <w:bCs/>
                <w:sz w:val="20"/>
                <w:szCs w:val="20"/>
              </w:rPr>
              <w:t>A</w:t>
            </w:r>
            <w:r w:rsidRPr="00226D29">
              <w:rPr>
                <w:rFonts w:ascii="Arial" w:hAnsi="Arial" w:cs="Arial"/>
                <w:bCs/>
                <w:sz w:val="20"/>
                <w:szCs w:val="20"/>
              </w:rPr>
              <w:t xml:space="preserve"> detailed plan for the ma</w:t>
            </w:r>
            <w:r>
              <w:rPr>
                <w:rFonts w:ascii="Arial" w:hAnsi="Arial" w:cs="Arial"/>
                <w:bCs/>
                <w:sz w:val="20"/>
                <w:szCs w:val="20"/>
              </w:rPr>
              <w:t>nagement of co-produced water</w:t>
            </w:r>
            <w:r w:rsidRPr="00226D29">
              <w:rPr>
                <w:rFonts w:ascii="Arial" w:hAnsi="Arial" w:cs="Arial"/>
                <w:bCs/>
                <w:sz w:val="20"/>
                <w:szCs w:val="20"/>
              </w:rPr>
              <w:t xml:space="preserve"> </w:t>
            </w:r>
            <w:r w:rsidR="00A04397">
              <w:rPr>
                <w:rFonts w:ascii="Arial" w:hAnsi="Arial" w:cs="Arial"/>
                <w:bCs/>
                <w:sz w:val="20"/>
                <w:szCs w:val="20"/>
              </w:rPr>
              <w:t xml:space="preserve">which incorporates the proposed </w:t>
            </w:r>
            <w:r w:rsidRPr="00226D29">
              <w:rPr>
                <w:rFonts w:ascii="Arial" w:hAnsi="Arial" w:cs="Arial"/>
                <w:bCs/>
                <w:sz w:val="20"/>
                <w:szCs w:val="20"/>
              </w:rPr>
              <w:t xml:space="preserve">location of water treatment infrastructure. The </w:t>
            </w:r>
            <w:r w:rsidR="008E46FC">
              <w:rPr>
                <w:rFonts w:ascii="Arial" w:hAnsi="Arial" w:cs="Arial"/>
                <w:bCs/>
                <w:sz w:val="20"/>
                <w:szCs w:val="20"/>
              </w:rPr>
              <w:t>project’s assessment documentation</w:t>
            </w:r>
            <w:r w:rsidRPr="00226D29">
              <w:rPr>
                <w:rFonts w:ascii="Arial" w:hAnsi="Arial" w:cs="Arial"/>
                <w:bCs/>
                <w:sz w:val="20"/>
                <w:szCs w:val="20"/>
              </w:rPr>
              <w:t xml:space="preserve"> provides a range of options for the management of the treated water and residual brine/salt products that range from beneficial reuse, aquifer injection trials to potential discharge</w:t>
            </w:r>
            <w:r w:rsidR="00FA17B5">
              <w:rPr>
                <w:rFonts w:ascii="Arial" w:hAnsi="Arial" w:cs="Arial"/>
                <w:bCs/>
                <w:sz w:val="20"/>
                <w:szCs w:val="20"/>
              </w:rPr>
              <w:t xml:space="preserve"> to waterways</w:t>
            </w:r>
            <w:r w:rsidRPr="00226D29">
              <w:rPr>
                <w:rFonts w:ascii="Arial" w:hAnsi="Arial" w:cs="Arial"/>
                <w:bCs/>
                <w:sz w:val="20"/>
                <w:szCs w:val="20"/>
              </w:rPr>
              <w:t xml:space="preserve">. Each of these options requires additional work to determine feasibility or </w:t>
            </w:r>
            <w:r>
              <w:rPr>
                <w:rFonts w:ascii="Arial" w:hAnsi="Arial" w:cs="Arial"/>
                <w:bCs/>
                <w:sz w:val="20"/>
                <w:szCs w:val="20"/>
              </w:rPr>
              <w:t>identify commercial arrangements</w:t>
            </w:r>
            <w:r w:rsidR="00B46673">
              <w:rPr>
                <w:rFonts w:ascii="Arial" w:hAnsi="Arial" w:cs="Arial"/>
                <w:bCs/>
                <w:sz w:val="20"/>
                <w:szCs w:val="20"/>
              </w:rPr>
              <w:t>;</w:t>
            </w:r>
          </w:p>
          <w:p w:rsidR="00CF260A" w:rsidRPr="005E612E" w:rsidRDefault="00CF260A" w:rsidP="00C43A42">
            <w:pPr>
              <w:pStyle w:val="ListBullet"/>
              <w:numPr>
                <w:ilvl w:val="0"/>
                <w:numId w:val="37"/>
              </w:numPr>
              <w:spacing w:after="180" w:line="276" w:lineRule="auto"/>
              <w:ind w:left="567" w:hanging="283"/>
              <w:rPr>
                <w:rFonts w:ascii="Arial" w:hAnsi="Arial" w:cs="Arial"/>
                <w:bCs/>
                <w:sz w:val="20"/>
                <w:szCs w:val="20"/>
              </w:rPr>
            </w:pPr>
            <w:r w:rsidRPr="005E612E">
              <w:rPr>
                <w:rFonts w:ascii="Arial" w:hAnsi="Arial" w:cs="Arial"/>
                <w:bCs/>
                <w:sz w:val="20"/>
                <w:szCs w:val="20"/>
              </w:rPr>
              <w:t xml:space="preserve">Design details for the water storage and brine dams </w:t>
            </w:r>
            <w:r>
              <w:rPr>
                <w:rFonts w:ascii="Arial" w:hAnsi="Arial" w:cs="Arial"/>
                <w:bCs/>
                <w:sz w:val="20"/>
                <w:szCs w:val="20"/>
              </w:rPr>
              <w:t xml:space="preserve">are </w:t>
            </w:r>
            <w:r w:rsidRPr="005E612E">
              <w:rPr>
                <w:rFonts w:ascii="Arial" w:hAnsi="Arial" w:cs="Arial"/>
                <w:bCs/>
                <w:sz w:val="20"/>
                <w:szCs w:val="20"/>
              </w:rPr>
              <w:t xml:space="preserve">not provided and are required to assess capacity, the risk of leakage, breakage and overtopping, and the consequences to downstream </w:t>
            </w:r>
            <w:r w:rsidR="00FA17B5">
              <w:rPr>
                <w:rFonts w:ascii="Arial" w:hAnsi="Arial" w:cs="Arial"/>
                <w:bCs/>
                <w:sz w:val="20"/>
                <w:szCs w:val="20"/>
              </w:rPr>
              <w:t xml:space="preserve">aquatic ecosystems and </w:t>
            </w:r>
            <w:r w:rsidRPr="005E612E">
              <w:rPr>
                <w:rFonts w:ascii="Arial" w:hAnsi="Arial" w:cs="Arial"/>
                <w:bCs/>
                <w:sz w:val="20"/>
                <w:szCs w:val="20"/>
              </w:rPr>
              <w:t xml:space="preserve">receptors. </w:t>
            </w:r>
            <w:r>
              <w:rPr>
                <w:rFonts w:ascii="Arial" w:hAnsi="Arial" w:cs="Arial"/>
                <w:bCs/>
                <w:sz w:val="20"/>
                <w:szCs w:val="20"/>
              </w:rPr>
              <w:t xml:space="preserve">In addition, </w:t>
            </w:r>
            <w:r w:rsidRPr="005E612E">
              <w:rPr>
                <w:rFonts w:ascii="Arial" w:hAnsi="Arial" w:cs="Arial"/>
                <w:bCs/>
                <w:sz w:val="20"/>
                <w:szCs w:val="20"/>
              </w:rPr>
              <w:t xml:space="preserve">a more </w:t>
            </w:r>
            <w:r>
              <w:rPr>
                <w:rFonts w:ascii="Arial" w:hAnsi="Arial" w:cs="Arial"/>
                <w:bCs/>
                <w:sz w:val="20"/>
                <w:szCs w:val="20"/>
              </w:rPr>
              <w:t>ac</w:t>
            </w:r>
            <w:r w:rsidRPr="005E612E">
              <w:rPr>
                <w:rFonts w:ascii="Arial" w:hAnsi="Arial" w:cs="Arial"/>
                <w:bCs/>
                <w:sz w:val="20"/>
                <w:szCs w:val="20"/>
              </w:rPr>
              <w:t xml:space="preserve">curate estimate of </w:t>
            </w:r>
            <w:r>
              <w:rPr>
                <w:rFonts w:ascii="Arial" w:hAnsi="Arial" w:cs="Arial"/>
                <w:bCs/>
                <w:sz w:val="20"/>
                <w:szCs w:val="20"/>
              </w:rPr>
              <w:t>co-produced water prod</w:t>
            </w:r>
            <w:r w:rsidRPr="005E612E">
              <w:rPr>
                <w:rFonts w:ascii="Arial" w:hAnsi="Arial" w:cs="Arial"/>
                <w:bCs/>
                <w:sz w:val="20"/>
                <w:szCs w:val="20"/>
              </w:rPr>
              <w:t xml:space="preserve">uction rates at each of the aggregation points </w:t>
            </w:r>
            <w:r>
              <w:rPr>
                <w:rFonts w:ascii="Arial" w:hAnsi="Arial" w:cs="Arial"/>
                <w:bCs/>
                <w:sz w:val="20"/>
                <w:szCs w:val="20"/>
              </w:rPr>
              <w:t xml:space="preserve">is required </w:t>
            </w:r>
            <w:r w:rsidRPr="005E612E">
              <w:rPr>
                <w:rFonts w:ascii="Arial" w:hAnsi="Arial" w:cs="Arial"/>
                <w:bCs/>
                <w:sz w:val="20"/>
                <w:szCs w:val="20"/>
              </w:rPr>
              <w:t xml:space="preserve">to inform the development of design criteria for dam sizing. These criteria should include consideration of rainfall and flood events, contingency storage requirements and </w:t>
            </w:r>
            <w:r w:rsidR="00FA17B5">
              <w:rPr>
                <w:rFonts w:ascii="Arial" w:hAnsi="Arial" w:cs="Arial"/>
                <w:bCs/>
                <w:sz w:val="20"/>
                <w:szCs w:val="20"/>
              </w:rPr>
              <w:t xml:space="preserve">potential </w:t>
            </w:r>
            <w:r w:rsidR="00B46673">
              <w:rPr>
                <w:rFonts w:ascii="Arial" w:hAnsi="Arial" w:cs="Arial"/>
                <w:bCs/>
                <w:sz w:val="20"/>
                <w:szCs w:val="20"/>
              </w:rPr>
              <w:t>discharge scenarios;</w:t>
            </w:r>
            <w:r w:rsidRPr="005E612E">
              <w:rPr>
                <w:rFonts w:ascii="Arial" w:hAnsi="Arial" w:cs="Arial"/>
                <w:bCs/>
                <w:sz w:val="20"/>
                <w:szCs w:val="20"/>
              </w:rPr>
              <w:t xml:space="preserve"> </w:t>
            </w:r>
          </w:p>
          <w:p w:rsidR="00CF260A" w:rsidRPr="008C1111" w:rsidRDefault="00CF260A" w:rsidP="00C43A42">
            <w:pPr>
              <w:pStyle w:val="ListBullet"/>
              <w:numPr>
                <w:ilvl w:val="0"/>
                <w:numId w:val="37"/>
              </w:numPr>
              <w:spacing w:after="180" w:line="276" w:lineRule="auto"/>
              <w:ind w:left="567" w:hanging="283"/>
              <w:rPr>
                <w:rFonts w:ascii="Arial" w:hAnsi="Arial" w:cs="Arial"/>
                <w:bCs/>
                <w:sz w:val="20"/>
                <w:szCs w:val="20"/>
              </w:rPr>
            </w:pPr>
            <w:r>
              <w:rPr>
                <w:rFonts w:ascii="Arial" w:hAnsi="Arial" w:cs="Arial"/>
                <w:bCs/>
                <w:sz w:val="20"/>
                <w:szCs w:val="20"/>
              </w:rPr>
              <w:t>Reverse Osmosis (RO) is outlined as the preferred treatment</w:t>
            </w:r>
            <w:r w:rsidR="004B6575">
              <w:rPr>
                <w:rFonts w:ascii="Arial" w:hAnsi="Arial" w:cs="Arial"/>
                <w:bCs/>
                <w:sz w:val="20"/>
                <w:szCs w:val="20"/>
              </w:rPr>
              <w:t xml:space="preserve"> technology but further information is required on</w:t>
            </w:r>
            <w:r w:rsidRPr="00646160">
              <w:rPr>
                <w:rFonts w:ascii="Arial" w:hAnsi="Arial" w:cs="Arial"/>
                <w:bCs/>
                <w:sz w:val="20"/>
                <w:szCs w:val="20"/>
              </w:rPr>
              <w:t xml:space="preserve"> the anticipated efficiency rate, </w:t>
            </w:r>
            <w:r>
              <w:rPr>
                <w:rFonts w:ascii="Arial" w:hAnsi="Arial" w:cs="Arial"/>
                <w:bCs/>
                <w:sz w:val="20"/>
                <w:szCs w:val="20"/>
              </w:rPr>
              <w:t>RO</w:t>
            </w:r>
            <w:r w:rsidRPr="00646160">
              <w:rPr>
                <w:rFonts w:ascii="Arial" w:hAnsi="Arial" w:cs="Arial"/>
                <w:bCs/>
                <w:sz w:val="20"/>
                <w:szCs w:val="20"/>
              </w:rPr>
              <w:t xml:space="preserve"> </w:t>
            </w:r>
            <w:r w:rsidRPr="008C1111">
              <w:rPr>
                <w:rFonts w:ascii="Arial" w:hAnsi="Arial" w:cs="Arial"/>
                <w:bCs/>
                <w:sz w:val="20"/>
                <w:szCs w:val="20"/>
              </w:rPr>
              <w:t>plant breakdown contingency plans, any pre-</w:t>
            </w:r>
            <w:r>
              <w:rPr>
                <w:rFonts w:ascii="Arial" w:hAnsi="Arial" w:cs="Arial"/>
                <w:bCs/>
                <w:sz w:val="20"/>
                <w:szCs w:val="20"/>
              </w:rPr>
              <w:t>RO treatment required</w:t>
            </w:r>
            <w:r w:rsidRPr="008C1111">
              <w:rPr>
                <w:rFonts w:ascii="Arial" w:hAnsi="Arial" w:cs="Arial"/>
                <w:bCs/>
                <w:sz w:val="20"/>
                <w:szCs w:val="20"/>
              </w:rPr>
              <w:t xml:space="preserve">, and the quality of </w:t>
            </w:r>
            <w:r>
              <w:rPr>
                <w:rFonts w:ascii="Arial" w:hAnsi="Arial" w:cs="Arial"/>
                <w:bCs/>
                <w:sz w:val="20"/>
                <w:szCs w:val="20"/>
              </w:rPr>
              <w:t>co-produced water</w:t>
            </w:r>
            <w:r w:rsidRPr="008C1111">
              <w:rPr>
                <w:rFonts w:ascii="Arial" w:hAnsi="Arial" w:cs="Arial"/>
                <w:bCs/>
                <w:sz w:val="20"/>
                <w:szCs w:val="20"/>
              </w:rPr>
              <w:t xml:space="preserve"> and any treatment required prior to discharge to receiving waters.</w:t>
            </w:r>
            <w:r w:rsidR="00B12522">
              <w:rPr>
                <w:rFonts w:ascii="Arial" w:hAnsi="Arial" w:cs="Arial"/>
                <w:bCs/>
                <w:sz w:val="20"/>
                <w:szCs w:val="20"/>
              </w:rPr>
              <w:t xml:space="preserve"> T</w:t>
            </w:r>
            <w:r>
              <w:rPr>
                <w:rFonts w:ascii="Arial" w:hAnsi="Arial" w:cs="Arial"/>
                <w:bCs/>
                <w:sz w:val="20"/>
                <w:szCs w:val="20"/>
              </w:rPr>
              <w:t xml:space="preserve">he </w:t>
            </w:r>
            <w:r w:rsidR="00483771">
              <w:rPr>
                <w:rFonts w:ascii="Arial" w:hAnsi="Arial" w:cs="Arial"/>
                <w:bCs/>
                <w:sz w:val="20"/>
                <w:szCs w:val="20"/>
              </w:rPr>
              <w:t>impacts</w:t>
            </w:r>
            <w:r>
              <w:rPr>
                <w:rFonts w:ascii="Arial" w:hAnsi="Arial" w:cs="Arial"/>
                <w:bCs/>
                <w:sz w:val="20"/>
                <w:szCs w:val="20"/>
              </w:rPr>
              <w:t xml:space="preserve"> discharging water that is better quality than the receiving </w:t>
            </w:r>
            <w:r w:rsidR="00E8526B">
              <w:rPr>
                <w:rFonts w:ascii="Arial" w:hAnsi="Arial" w:cs="Arial"/>
                <w:bCs/>
                <w:sz w:val="20"/>
                <w:szCs w:val="20"/>
              </w:rPr>
              <w:t>water</w:t>
            </w:r>
            <w:r w:rsidR="00483771">
              <w:rPr>
                <w:rFonts w:ascii="Arial" w:hAnsi="Arial" w:cs="Arial"/>
                <w:bCs/>
                <w:sz w:val="20"/>
                <w:szCs w:val="20"/>
              </w:rPr>
              <w:t xml:space="preserve"> also needs to be considered</w:t>
            </w:r>
            <w:r w:rsidR="00B46673">
              <w:rPr>
                <w:rFonts w:ascii="Arial" w:hAnsi="Arial" w:cs="Arial"/>
                <w:bCs/>
                <w:sz w:val="20"/>
                <w:szCs w:val="20"/>
              </w:rPr>
              <w:t>;</w:t>
            </w:r>
          </w:p>
          <w:p w:rsidR="00CF260A" w:rsidRPr="00AE5233" w:rsidRDefault="00D757B3" w:rsidP="00C43A42">
            <w:pPr>
              <w:pStyle w:val="ListBullet"/>
              <w:numPr>
                <w:ilvl w:val="0"/>
                <w:numId w:val="37"/>
              </w:numPr>
              <w:spacing w:after="180" w:line="276" w:lineRule="auto"/>
              <w:ind w:left="567" w:hanging="283"/>
              <w:rPr>
                <w:rFonts w:ascii="Arial" w:hAnsi="Arial" w:cs="Arial"/>
                <w:bCs/>
                <w:sz w:val="20"/>
                <w:szCs w:val="20"/>
              </w:rPr>
            </w:pPr>
            <w:r>
              <w:rPr>
                <w:rFonts w:ascii="Arial" w:hAnsi="Arial" w:cs="Arial"/>
                <w:bCs/>
                <w:sz w:val="20"/>
                <w:szCs w:val="20"/>
              </w:rPr>
              <w:t>T</w:t>
            </w:r>
            <w:r w:rsidR="00CF260A" w:rsidRPr="00646160">
              <w:rPr>
                <w:rFonts w:ascii="Arial" w:hAnsi="Arial" w:cs="Arial"/>
                <w:bCs/>
                <w:sz w:val="20"/>
                <w:szCs w:val="20"/>
              </w:rPr>
              <w:t>he specific in-built safety or monitoring systems within gathering lines to prevent and detect leaks and spills</w:t>
            </w:r>
            <w:r>
              <w:rPr>
                <w:rFonts w:ascii="Arial" w:hAnsi="Arial" w:cs="Arial"/>
                <w:bCs/>
                <w:sz w:val="20"/>
                <w:szCs w:val="20"/>
              </w:rPr>
              <w:t xml:space="preserve"> need to be outlined</w:t>
            </w:r>
            <w:r w:rsidR="00CF260A" w:rsidRPr="00646160">
              <w:rPr>
                <w:rFonts w:ascii="Arial" w:hAnsi="Arial" w:cs="Arial"/>
                <w:bCs/>
                <w:sz w:val="20"/>
                <w:szCs w:val="20"/>
              </w:rPr>
              <w:t xml:space="preserve">. Consideration should be given to gathering lines being remotely monitored for leaks and spills so that affected pipelines can be remotely shut off to minimise the amount of </w:t>
            </w:r>
            <w:r w:rsidR="00CF260A">
              <w:rPr>
                <w:rFonts w:ascii="Arial" w:hAnsi="Arial" w:cs="Arial"/>
                <w:bCs/>
                <w:sz w:val="20"/>
                <w:szCs w:val="20"/>
              </w:rPr>
              <w:t xml:space="preserve">co-produced water </w:t>
            </w:r>
            <w:r w:rsidR="00CF260A" w:rsidRPr="00646160">
              <w:rPr>
                <w:rFonts w:ascii="Arial" w:hAnsi="Arial" w:cs="Arial"/>
                <w:bCs/>
                <w:sz w:val="20"/>
                <w:szCs w:val="20"/>
              </w:rPr>
              <w:t xml:space="preserve">lost in each event. </w:t>
            </w:r>
            <w:r w:rsidR="00CF260A">
              <w:rPr>
                <w:rFonts w:ascii="Arial" w:hAnsi="Arial" w:cs="Arial"/>
                <w:bCs/>
                <w:sz w:val="20"/>
                <w:szCs w:val="20"/>
              </w:rPr>
              <w:t xml:space="preserve">The </w:t>
            </w:r>
            <w:r w:rsidR="008E46FC">
              <w:rPr>
                <w:rFonts w:ascii="Arial" w:hAnsi="Arial" w:cs="Arial"/>
                <w:bCs/>
                <w:sz w:val="20"/>
                <w:szCs w:val="20"/>
              </w:rPr>
              <w:t>project’s assessment documentation</w:t>
            </w:r>
            <w:r w:rsidR="00CF260A">
              <w:rPr>
                <w:rFonts w:ascii="Arial" w:hAnsi="Arial" w:cs="Arial"/>
                <w:bCs/>
                <w:sz w:val="20"/>
                <w:szCs w:val="20"/>
              </w:rPr>
              <w:t xml:space="preserve"> outlines </w:t>
            </w:r>
            <w:r w:rsidR="00CF260A" w:rsidRPr="00646160">
              <w:rPr>
                <w:rFonts w:ascii="Arial" w:hAnsi="Arial" w:cs="Arial"/>
                <w:bCs/>
                <w:sz w:val="20"/>
                <w:szCs w:val="20"/>
              </w:rPr>
              <w:t>that an emergency response plan will be prepared</w:t>
            </w:r>
            <w:r w:rsidR="00483771">
              <w:rPr>
                <w:rFonts w:ascii="Arial" w:hAnsi="Arial" w:cs="Arial"/>
                <w:bCs/>
                <w:sz w:val="20"/>
                <w:szCs w:val="20"/>
              </w:rPr>
              <w:t xml:space="preserve"> and the Committee</w:t>
            </w:r>
            <w:r w:rsidR="00CF260A" w:rsidRPr="00646160">
              <w:rPr>
                <w:rFonts w:ascii="Arial" w:hAnsi="Arial" w:cs="Arial"/>
                <w:bCs/>
                <w:sz w:val="20"/>
                <w:szCs w:val="20"/>
              </w:rPr>
              <w:t xml:space="preserve"> suggests that this plan be developed and endo</w:t>
            </w:r>
            <w:r w:rsidR="00B46673">
              <w:rPr>
                <w:rFonts w:ascii="Arial" w:hAnsi="Arial" w:cs="Arial"/>
                <w:bCs/>
                <w:sz w:val="20"/>
                <w:szCs w:val="20"/>
              </w:rPr>
              <w:t xml:space="preserve">rsed prior to </w:t>
            </w:r>
            <w:r w:rsidR="00A04397">
              <w:rPr>
                <w:rFonts w:ascii="Arial" w:hAnsi="Arial" w:cs="Arial"/>
                <w:bCs/>
                <w:sz w:val="20"/>
                <w:szCs w:val="20"/>
              </w:rPr>
              <w:t>a determination on the project;</w:t>
            </w:r>
          </w:p>
          <w:p w:rsidR="00CF260A" w:rsidRPr="00824146" w:rsidRDefault="00CF260A" w:rsidP="00C43A42">
            <w:pPr>
              <w:pStyle w:val="ListBullet"/>
              <w:numPr>
                <w:ilvl w:val="0"/>
                <w:numId w:val="37"/>
              </w:numPr>
              <w:spacing w:after="180" w:line="276" w:lineRule="auto"/>
              <w:ind w:left="567" w:hanging="283"/>
              <w:rPr>
                <w:rFonts w:ascii="Arial" w:hAnsi="Arial" w:cs="Arial"/>
                <w:bCs/>
                <w:sz w:val="20"/>
                <w:szCs w:val="20"/>
              </w:rPr>
            </w:pPr>
            <w:r w:rsidRPr="00646160">
              <w:rPr>
                <w:rFonts w:ascii="Arial" w:hAnsi="Arial" w:cs="Arial"/>
                <w:bCs/>
                <w:sz w:val="20"/>
                <w:szCs w:val="20"/>
              </w:rPr>
              <w:t xml:space="preserve">A program of water quality sampling of </w:t>
            </w:r>
            <w:r>
              <w:rPr>
                <w:rFonts w:ascii="Arial" w:hAnsi="Arial" w:cs="Arial"/>
                <w:bCs/>
                <w:sz w:val="20"/>
                <w:szCs w:val="20"/>
              </w:rPr>
              <w:t>co-produced</w:t>
            </w:r>
            <w:r w:rsidRPr="00646160">
              <w:rPr>
                <w:rFonts w:ascii="Arial" w:hAnsi="Arial" w:cs="Arial"/>
                <w:bCs/>
                <w:sz w:val="20"/>
                <w:szCs w:val="20"/>
              </w:rPr>
              <w:t xml:space="preserve"> water is undertaken in locations representative of those that will feed into each Integrated Processing Facility to ensure that the quality of CSG water does not differ significantly from estimated values. This information should then influence the design of each </w:t>
            </w:r>
            <w:r>
              <w:rPr>
                <w:rFonts w:ascii="Arial" w:hAnsi="Arial" w:cs="Arial"/>
                <w:bCs/>
                <w:sz w:val="20"/>
                <w:szCs w:val="20"/>
              </w:rPr>
              <w:t>water treatment facility</w:t>
            </w:r>
            <w:r w:rsidRPr="00646160">
              <w:rPr>
                <w:rFonts w:ascii="Arial" w:hAnsi="Arial" w:cs="Arial"/>
                <w:bCs/>
                <w:sz w:val="20"/>
                <w:szCs w:val="20"/>
              </w:rPr>
              <w:t xml:space="preserve"> to ensure appropriate storage capacity is available for treated </w:t>
            </w:r>
            <w:r>
              <w:rPr>
                <w:rFonts w:ascii="Arial" w:hAnsi="Arial" w:cs="Arial"/>
                <w:bCs/>
                <w:sz w:val="20"/>
                <w:szCs w:val="20"/>
              </w:rPr>
              <w:t xml:space="preserve">co-produced </w:t>
            </w:r>
            <w:r w:rsidRPr="00646160">
              <w:rPr>
                <w:rFonts w:ascii="Arial" w:hAnsi="Arial" w:cs="Arial"/>
                <w:bCs/>
                <w:sz w:val="20"/>
                <w:szCs w:val="20"/>
              </w:rPr>
              <w:lastRenderedPageBreak/>
              <w:t>water products</w:t>
            </w:r>
            <w:r>
              <w:rPr>
                <w:rFonts w:ascii="Arial" w:hAnsi="Arial" w:cs="Arial"/>
                <w:bCs/>
                <w:sz w:val="20"/>
                <w:szCs w:val="20"/>
              </w:rPr>
              <w:t xml:space="preserve">. </w:t>
            </w:r>
          </w:p>
          <w:p w:rsidR="00CF260A" w:rsidRDefault="00CF260A" w:rsidP="00C43A42">
            <w:pPr>
              <w:pStyle w:val="ListNumber"/>
              <w:numPr>
                <w:ilvl w:val="0"/>
                <w:numId w:val="26"/>
              </w:numPr>
              <w:spacing w:after="200" w:line="276" w:lineRule="auto"/>
              <w:ind w:left="284" w:hanging="284"/>
              <w:rPr>
                <w:rFonts w:ascii="Arial" w:hAnsi="Arial" w:cs="Arial"/>
                <w:bCs/>
                <w:sz w:val="20"/>
                <w:szCs w:val="20"/>
              </w:rPr>
            </w:pPr>
            <w:r w:rsidRPr="008856C5">
              <w:rPr>
                <w:rFonts w:ascii="Arial" w:hAnsi="Arial" w:cs="Arial"/>
                <w:bCs/>
                <w:sz w:val="20"/>
                <w:szCs w:val="20"/>
              </w:rPr>
              <w:t xml:space="preserve">The management options for co-produced water include discharge to the environment and the EIS states that an environmental </w:t>
            </w:r>
            <w:r w:rsidR="00FA17B5">
              <w:rPr>
                <w:rFonts w:ascii="Arial" w:hAnsi="Arial" w:cs="Arial"/>
                <w:bCs/>
                <w:sz w:val="20"/>
                <w:szCs w:val="20"/>
              </w:rPr>
              <w:t xml:space="preserve">impact </w:t>
            </w:r>
            <w:r w:rsidRPr="008856C5">
              <w:rPr>
                <w:rFonts w:ascii="Arial" w:hAnsi="Arial" w:cs="Arial"/>
                <w:bCs/>
                <w:sz w:val="20"/>
                <w:szCs w:val="20"/>
              </w:rPr>
              <w:t xml:space="preserve">assessment for this activity will be undertaken at a later </w:t>
            </w:r>
            <w:r w:rsidR="00061553">
              <w:rPr>
                <w:rFonts w:ascii="Arial" w:hAnsi="Arial" w:cs="Arial"/>
                <w:bCs/>
                <w:sz w:val="20"/>
                <w:szCs w:val="20"/>
              </w:rPr>
              <w:t>phase</w:t>
            </w:r>
            <w:r w:rsidRPr="008856C5">
              <w:rPr>
                <w:rFonts w:ascii="Arial" w:hAnsi="Arial" w:cs="Arial"/>
                <w:bCs/>
                <w:sz w:val="20"/>
                <w:szCs w:val="20"/>
              </w:rPr>
              <w:t xml:space="preserve"> of project development. The Committee recommends that</w:t>
            </w:r>
            <w:r>
              <w:rPr>
                <w:rFonts w:ascii="Arial" w:hAnsi="Arial" w:cs="Arial"/>
                <w:bCs/>
                <w:sz w:val="20"/>
                <w:szCs w:val="20"/>
              </w:rPr>
              <w:t xml:space="preserve">: </w:t>
            </w:r>
          </w:p>
          <w:p w:rsidR="00CF260A" w:rsidRDefault="00CF260A" w:rsidP="009B560C">
            <w:pPr>
              <w:pStyle w:val="ListBullet"/>
              <w:numPr>
                <w:ilvl w:val="0"/>
                <w:numId w:val="38"/>
              </w:numPr>
              <w:spacing w:after="200" w:line="276" w:lineRule="auto"/>
              <w:ind w:left="567" w:hanging="283"/>
              <w:rPr>
                <w:rFonts w:ascii="Arial" w:hAnsi="Arial" w:cs="Arial"/>
                <w:bCs/>
                <w:sz w:val="20"/>
                <w:szCs w:val="20"/>
              </w:rPr>
            </w:pPr>
            <w:r>
              <w:rPr>
                <w:rFonts w:ascii="Arial" w:hAnsi="Arial" w:cs="Arial"/>
                <w:bCs/>
                <w:sz w:val="20"/>
                <w:szCs w:val="20"/>
              </w:rPr>
              <w:t>T</w:t>
            </w:r>
            <w:r w:rsidRPr="008856C5">
              <w:rPr>
                <w:rFonts w:ascii="Arial" w:hAnsi="Arial" w:cs="Arial"/>
                <w:bCs/>
                <w:sz w:val="20"/>
                <w:szCs w:val="20"/>
              </w:rPr>
              <w:t xml:space="preserve">his assessment is not delayed </w:t>
            </w:r>
            <w:r w:rsidR="00A04397">
              <w:rPr>
                <w:rFonts w:ascii="Arial" w:hAnsi="Arial" w:cs="Arial"/>
                <w:bCs/>
                <w:sz w:val="20"/>
                <w:szCs w:val="20"/>
              </w:rPr>
              <w:t>and is necessary information for project assessment and provision at a later stage m</w:t>
            </w:r>
            <w:r w:rsidRPr="008856C5">
              <w:rPr>
                <w:rFonts w:ascii="Arial" w:hAnsi="Arial" w:cs="Arial"/>
                <w:bCs/>
                <w:sz w:val="20"/>
                <w:szCs w:val="20"/>
              </w:rPr>
              <w:t xml:space="preserve">ay lead to sub-optimal </w:t>
            </w:r>
            <w:proofErr w:type="spellStart"/>
            <w:r w:rsidRPr="008856C5">
              <w:rPr>
                <w:rFonts w:ascii="Arial" w:hAnsi="Arial" w:cs="Arial"/>
                <w:bCs/>
                <w:sz w:val="20"/>
                <w:szCs w:val="20"/>
              </w:rPr>
              <w:t>siting</w:t>
            </w:r>
            <w:proofErr w:type="spellEnd"/>
            <w:r w:rsidRPr="008856C5">
              <w:rPr>
                <w:rFonts w:ascii="Arial" w:hAnsi="Arial" w:cs="Arial"/>
                <w:bCs/>
                <w:sz w:val="20"/>
                <w:szCs w:val="20"/>
              </w:rPr>
              <w:t xml:space="preserve"> of discharge points and may reduce or preclude options for minimising or mitigat</w:t>
            </w:r>
            <w:r w:rsidR="00866BB3">
              <w:rPr>
                <w:rFonts w:ascii="Arial" w:hAnsi="Arial" w:cs="Arial"/>
                <w:bCs/>
                <w:sz w:val="20"/>
                <w:szCs w:val="20"/>
              </w:rPr>
              <w:t>ing impacts on receiving waters;</w:t>
            </w:r>
          </w:p>
          <w:p w:rsidR="00CF260A" w:rsidRDefault="00CF260A" w:rsidP="009B560C">
            <w:pPr>
              <w:pStyle w:val="ListBullet"/>
              <w:numPr>
                <w:ilvl w:val="0"/>
                <w:numId w:val="38"/>
              </w:numPr>
              <w:spacing w:after="200" w:line="276" w:lineRule="auto"/>
              <w:ind w:left="567" w:hanging="283"/>
              <w:rPr>
                <w:rFonts w:ascii="Arial" w:hAnsi="Arial" w:cs="Arial"/>
                <w:bCs/>
                <w:sz w:val="20"/>
                <w:szCs w:val="20"/>
              </w:rPr>
            </w:pPr>
            <w:r>
              <w:rPr>
                <w:rFonts w:ascii="Arial" w:hAnsi="Arial" w:cs="Arial"/>
                <w:bCs/>
                <w:sz w:val="20"/>
                <w:szCs w:val="20"/>
              </w:rPr>
              <w:t xml:space="preserve"> A</w:t>
            </w:r>
            <w:r w:rsidRPr="001B527D">
              <w:rPr>
                <w:rFonts w:ascii="Arial" w:hAnsi="Arial" w:cs="Arial"/>
                <w:bCs/>
                <w:sz w:val="20"/>
                <w:szCs w:val="20"/>
              </w:rPr>
              <w:t xml:space="preserve">s no beneficial use for </w:t>
            </w:r>
            <w:r w:rsidR="00630B39">
              <w:rPr>
                <w:rFonts w:ascii="Arial" w:hAnsi="Arial" w:cs="Arial"/>
                <w:bCs/>
                <w:sz w:val="20"/>
                <w:szCs w:val="20"/>
              </w:rPr>
              <w:t>treated water or residual brine</w:t>
            </w:r>
            <w:r w:rsidRPr="001B527D">
              <w:rPr>
                <w:rFonts w:ascii="Arial" w:hAnsi="Arial" w:cs="Arial"/>
                <w:bCs/>
                <w:sz w:val="20"/>
                <w:szCs w:val="20"/>
              </w:rPr>
              <w:t xml:space="preserve"> has been confirmed, the </w:t>
            </w:r>
            <w:r>
              <w:rPr>
                <w:rFonts w:ascii="Arial" w:hAnsi="Arial" w:cs="Arial"/>
                <w:bCs/>
                <w:sz w:val="20"/>
                <w:szCs w:val="20"/>
              </w:rPr>
              <w:t xml:space="preserve">Committee </w:t>
            </w:r>
            <w:r w:rsidRPr="001B527D">
              <w:rPr>
                <w:rFonts w:ascii="Arial" w:hAnsi="Arial" w:cs="Arial"/>
                <w:bCs/>
                <w:sz w:val="20"/>
                <w:szCs w:val="20"/>
              </w:rPr>
              <w:t>considers that a precautionary approach to discharge</w:t>
            </w:r>
            <w:r w:rsidR="00630B39">
              <w:rPr>
                <w:rFonts w:ascii="Arial" w:hAnsi="Arial" w:cs="Arial"/>
                <w:bCs/>
                <w:sz w:val="20"/>
                <w:szCs w:val="20"/>
              </w:rPr>
              <w:t xml:space="preserve"> should be adopted and that </w:t>
            </w:r>
            <w:r w:rsidRPr="001B527D">
              <w:rPr>
                <w:rFonts w:ascii="Arial" w:hAnsi="Arial" w:cs="Arial"/>
                <w:bCs/>
                <w:sz w:val="20"/>
                <w:szCs w:val="20"/>
              </w:rPr>
              <w:t>a range of discharge scenarios should be incorpora</w:t>
            </w:r>
            <w:r w:rsidR="00A04397">
              <w:rPr>
                <w:rFonts w:ascii="Arial" w:hAnsi="Arial" w:cs="Arial"/>
                <w:bCs/>
                <w:sz w:val="20"/>
                <w:szCs w:val="20"/>
              </w:rPr>
              <w:t>ted into the next version of the project’s assessment documentation</w:t>
            </w:r>
            <w:r w:rsidR="00866BB3">
              <w:rPr>
                <w:rFonts w:ascii="Arial" w:hAnsi="Arial" w:cs="Arial"/>
                <w:bCs/>
                <w:sz w:val="20"/>
                <w:szCs w:val="20"/>
              </w:rPr>
              <w:t>;</w:t>
            </w:r>
          </w:p>
          <w:p w:rsidR="00CF260A" w:rsidRPr="00824146" w:rsidRDefault="00CF260A" w:rsidP="00A04397">
            <w:pPr>
              <w:pStyle w:val="ListBullet"/>
              <w:numPr>
                <w:ilvl w:val="0"/>
                <w:numId w:val="38"/>
              </w:numPr>
              <w:spacing w:after="200" w:line="276" w:lineRule="auto"/>
              <w:ind w:left="567" w:hanging="283"/>
              <w:rPr>
                <w:rFonts w:ascii="Arial" w:hAnsi="Arial" w:cs="Arial"/>
                <w:bCs/>
                <w:sz w:val="20"/>
                <w:szCs w:val="20"/>
              </w:rPr>
            </w:pPr>
            <w:r w:rsidRPr="001B527D">
              <w:rPr>
                <w:rFonts w:ascii="Arial" w:hAnsi="Arial" w:cs="Arial"/>
                <w:bCs/>
                <w:sz w:val="20"/>
                <w:szCs w:val="20"/>
              </w:rPr>
              <w:t xml:space="preserve">Suitable mitigation and management measures should also be developed and incorporated into the </w:t>
            </w:r>
            <w:r w:rsidR="00A04397">
              <w:rPr>
                <w:rFonts w:ascii="Arial" w:hAnsi="Arial" w:cs="Arial"/>
                <w:bCs/>
                <w:sz w:val="20"/>
                <w:szCs w:val="20"/>
              </w:rPr>
              <w:t>next version of the project’s assessment documentation</w:t>
            </w:r>
            <w:r w:rsidR="00A04397" w:rsidRPr="001B527D">
              <w:rPr>
                <w:rFonts w:ascii="Arial" w:hAnsi="Arial" w:cs="Arial"/>
                <w:bCs/>
                <w:sz w:val="20"/>
                <w:szCs w:val="20"/>
              </w:rPr>
              <w:t xml:space="preserve"> </w:t>
            </w:r>
            <w:r w:rsidRPr="001B527D">
              <w:rPr>
                <w:rFonts w:ascii="Arial" w:hAnsi="Arial" w:cs="Arial"/>
                <w:bCs/>
                <w:sz w:val="20"/>
                <w:szCs w:val="20"/>
              </w:rPr>
              <w:t xml:space="preserve">according to the location, timing and volume of discharge. </w:t>
            </w:r>
          </w:p>
        </w:tc>
      </w:tr>
      <w:tr w:rsidR="00CF260A" w:rsidRPr="00B451D3" w:rsidTr="005A0077">
        <w:trPr>
          <w:trHeight w:val="19"/>
        </w:trPr>
        <w:tc>
          <w:tcPr>
            <w:tcW w:w="1809" w:type="dxa"/>
          </w:tcPr>
          <w:p w:rsidR="00CF260A" w:rsidRDefault="00CF260A" w:rsidP="00062A46">
            <w:pPr>
              <w:pStyle w:val="tablelabel"/>
              <w:spacing w:line="276" w:lineRule="auto"/>
              <w:rPr>
                <w:rFonts w:cs="Arial"/>
                <w:sz w:val="20"/>
              </w:rPr>
            </w:pPr>
            <w:r>
              <w:rPr>
                <w:rFonts w:cs="Arial"/>
                <w:sz w:val="20"/>
              </w:rPr>
              <w:lastRenderedPageBreak/>
              <w:t>Date of advice</w:t>
            </w:r>
          </w:p>
        </w:tc>
        <w:tc>
          <w:tcPr>
            <w:tcW w:w="8159" w:type="dxa"/>
          </w:tcPr>
          <w:p w:rsidR="00CF260A" w:rsidRPr="00B451D3" w:rsidRDefault="004529D8" w:rsidP="00155547">
            <w:pPr>
              <w:spacing w:line="276" w:lineRule="auto"/>
              <w:rPr>
                <w:rFonts w:ascii="Arial" w:hAnsi="Arial" w:cs="Arial"/>
                <w:sz w:val="20"/>
                <w:szCs w:val="20"/>
              </w:rPr>
            </w:pPr>
            <w:r>
              <w:rPr>
                <w:rFonts w:ascii="Arial" w:hAnsi="Arial" w:cs="Arial"/>
                <w:sz w:val="20"/>
                <w:szCs w:val="20"/>
              </w:rPr>
              <w:t>2</w:t>
            </w:r>
            <w:r w:rsidR="00155547">
              <w:rPr>
                <w:rFonts w:ascii="Arial" w:hAnsi="Arial" w:cs="Arial"/>
                <w:sz w:val="20"/>
                <w:szCs w:val="20"/>
              </w:rPr>
              <w:t>4</w:t>
            </w:r>
            <w:r w:rsidR="00CF260A">
              <w:rPr>
                <w:rFonts w:ascii="Arial" w:hAnsi="Arial" w:cs="Arial"/>
                <w:sz w:val="20"/>
                <w:szCs w:val="20"/>
              </w:rPr>
              <w:t xml:space="preserve"> </w:t>
            </w:r>
            <w:r w:rsidR="004E2C78">
              <w:rPr>
                <w:rFonts w:ascii="Arial" w:hAnsi="Arial" w:cs="Arial"/>
                <w:sz w:val="20"/>
                <w:szCs w:val="20"/>
              </w:rPr>
              <w:t>May</w:t>
            </w:r>
            <w:r w:rsidR="00CF260A">
              <w:rPr>
                <w:rFonts w:ascii="Arial" w:hAnsi="Arial" w:cs="Arial"/>
                <w:sz w:val="20"/>
                <w:szCs w:val="20"/>
              </w:rPr>
              <w:t xml:space="preserve"> 2013</w:t>
            </w:r>
          </w:p>
        </w:tc>
      </w:tr>
      <w:tr w:rsidR="00CF260A" w:rsidRPr="00B451D3" w:rsidTr="005A0077">
        <w:trPr>
          <w:trHeight w:val="19"/>
        </w:trPr>
        <w:tc>
          <w:tcPr>
            <w:tcW w:w="1809" w:type="dxa"/>
          </w:tcPr>
          <w:p w:rsidR="00CF260A" w:rsidRDefault="00CF260A"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Pr>
          <w:p w:rsidR="00CF260A" w:rsidRDefault="00CF260A" w:rsidP="00564AB3">
            <w:pPr>
              <w:pStyle w:val="ListNumber"/>
              <w:spacing w:after="120" w:line="276" w:lineRule="auto"/>
              <w:outlineLvl w:val="3"/>
              <w:rPr>
                <w:rFonts w:ascii="Arial" w:hAnsi="Arial" w:cs="Arial"/>
                <w:sz w:val="20"/>
                <w:szCs w:val="20"/>
              </w:rPr>
            </w:pPr>
            <w:r w:rsidRPr="008C1111">
              <w:rPr>
                <w:rFonts w:ascii="Arial" w:hAnsi="Arial" w:cs="Arial"/>
                <w:sz w:val="20"/>
                <w:szCs w:val="20"/>
              </w:rPr>
              <w:t xml:space="preserve">Arrow Energy Pty Ltd, 2013, </w:t>
            </w:r>
            <w:r>
              <w:rPr>
                <w:rFonts w:ascii="Arial" w:hAnsi="Arial" w:cs="Arial"/>
                <w:sz w:val="20"/>
                <w:szCs w:val="20"/>
              </w:rPr>
              <w:t xml:space="preserve">The Bowen Gas project </w:t>
            </w:r>
            <w:r w:rsidRPr="008C1111">
              <w:rPr>
                <w:rFonts w:ascii="Arial" w:hAnsi="Arial" w:cs="Arial"/>
                <w:sz w:val="20"/>
                <w:szCs w:val="20"/>
              </w:rPr>
              <w:t>Environmental Impact Statement</w:t>
            </w:r>
            <w:r>
              <w:rPr>
                <w:rFonts w:ascii="Arial" w:hAnsi="Arial" w:cs="Arial"/>
                <w:sz w:val="20"/>
                <w:szCs w:val="20"/>
              </w:rPr>
              <w:t>.</w:t>
            </w:r>
          </w:p>
        </w:tc>
      </w:tr>
      <w:tr w:rsidR="00CF260A" w:rsidRPr="00B451D3" w:rsidTr="005A0077">
        <w:trPr>
          <w:trHeight w:val="19"/>
        </w:trPr>
        <w:tc>
          <w:tcPr>
            <w:tcW w:w="1809" w:type="dxa"/>
          </w:tcPr>
          <w:p w:rsidR="00CF260A" w:rsidRDefault="00CF260A" w:rsidP="00DC325B">
            <w:pPr>
              <w:pStyle w:val="tablelabel"/>
              <w:spacing w:line="276" w:lineRule="auto"/>
              <w:rPr>
                <w:rFonts w:cs="Arial"/>
                <w:sz w:val="20"/>
              </w:rPr>
            </w:pPr>
            <w:r>
              <w:rPr>
                <w:rFonts w:cs="Arial"/>
                <w:sz w:val="20"/>
              </w:rPr>
              <w:t>References cited within the Committee’s advice</w:t>
            </w:r>
          </w:p>
        </w:tc>
        <w:tc>
          <w:tcPr>
            <w:tcW w:w="8159" w:type="dxa"/>
          </w:tcPr>
          <w:p w:rsidR="00CF260A" w:rsidRDefault="00CF260A" w:rsidP="00875B2B">
            <w:pPr>
              <w:pStyle w:val="ListBullet"/>
              <w:spacing w:after="200" w:line="276" w:lineRule="auto"/>
            </w:pPr>
            <w:r w:rsidRPr="00AB6F45">
              <w:rPr>
                <w:rFonts w:ascii="Arial" w:hAnsi="Arial" w:cs="Arial"/>
                <w:sz w:val="20"/>
                <w:szCs w:val="22"/>
                <w:vertAlign w:val="superscript"/>
              </w:rPr>
              <w:t>1</w:t>
            </w:r>
            <w:r w:rsidRPr="00AB6F45">
              <w:rPr>
                <w:rFonts w:ascii="Arial" w:hAnsi="Arial" w:cs="Arial"/>
                <w:sz w:val="20"/>
                <w:szCs w:val="22"/>
              </w:rPr>
              <w:t xml:space="preserve">Information Guidelines for Proposals Relating to the Development of Coal Seam Gas and Large Coal Mines where there is a Significant Impact on Water Resources available at: </w:t>
            </w:r>
            <w:hyperlink r:id="rId9" w:history="1">
              <w:r w:rsidRPr="00B9262F">
                <w:rPr>
                  <w:rStyle w:val="Hyperlink"/>
                  <w:rFonts w:ascii="Arial" w:hAnsi="Arial" w:cs="Arial"/>
                  <w:sz w:val="20"/>
                  <w:szCs w:val="22"/>
                </w:rPr>
                <w:t>http://www.environment.gov.au.au/coal-seam-gas-mining/project-advice/pubs/iesc-information-guidelines.pdf</w:t>
              </w:r>
            </w:hyperlink>
          </w:p>
          <w:p w:rsidR="00564AB3" w:rsidRDefault="00564AB3" w:rsidP="00564AB3">
            <w:pPr>
              <w:pStyle w:val="ListNumber"/>
              <w:spacing w:after="120" w:line="276" w:lineRule="auto"/>
              <w:outlineLvl w:val="3"/>
              <w:rPr>
                <w:rFonts w:ascii="Arial" w:hAnsi="Arial" w:cs="Arial"/>
                <w:sz w:val="20"/>
                <w:szCs w:val="20"/>
              </w:rPr>
            </w:pPr>
            <w:r w:rsidRPr="00371C02">
              <w:rPr>
                <w:rFonts w:ascii="Arial" w:hAnsi="Arial" w:cs="Arial"/>
                <w:sz w:val="20"/>
                <w:szCs w:val="20"/>
              </w:rPr>
              <w:t>Kennard</w:t>
            </w:r>
            <w:r w:rsidR="00371C02" w:rsidRPr="00371C02">
              <w:rPr>
                <w:rFonts w:ascii="Arial" w:hAnsi="Arial" w:cs="Arial"/>
                <w:sz w:val="20"/>
                <w:szCs w:val="20"/>
              </w:rPr>
              <w:t>,</w:t>
            </w:r>
            <w:r w:rsidRPr="00371C02">
              <w:rPr>
                <w:rFonts w:ascii="Arial" w:hAnsi="Arial" w:cs="Arial"/>
                <w:sz w:val="20"/>
                <w:szCs w:val="20"/>
              </w:rPr>
              <w:t xml:space="preserve"> </w:t>
            </w:r>
            <w:r w:rsidR="00371C02" w:rsidRPr="00371C02">
              <w:rPr>
                <w:rFonts w:ascii="Arial" w:hAnsi="Arial" w:cs="Arial"/>
                <w:sz w:val="20"/>
                <w:szCs w:val="20"/>
              </w:rPr>
              <w:t xml:space="preserve">M.J. </w:t>
            </w:r>
            <w:proofErr w:type="gramStart"/>
            <w:r w:rsidRPr="00371C02">
              <w:rPr>
                <w:rFonts w:ascii="Arial" w:hAnsi="Arial" w:cs="Arial"/>
                <w:i/>
                <w:sz w:val="20"/>
                <w:szCs w:val="20"/>
              </w:rPr>
              <w:t>et</w:t>
            </w:r>
            <w:proofErr w:type="gramEnd"/>
            <w:r w:rsidRPr="00371C02">
              <w:rPr>
                <w:rFonts w:ascii="Arial" w:hAnsi="Arial" w:cs="Arial"/>
                <w:i/>
                <w:sz w:val="20"/>
                <w:szCs w:val="20"/>
              </w:rPr>
              <w:t>. al</w:t>
            </w:r>
            <w:r w:rsidRPr="00371C02">
              <w:rPr>
                <w:rFonts w:ascii="Arial" w:hAnsi="Arial" w:cs="Arial"/>
                <w:sz w:val="20"/>
                <w:szCs w:val="20"/>
              </w:rPr>
              <w:t xml:space="preserve">, </w:t>
            </w:r>
            <w:r w:rsidR="00371C02" w:rsidRPr="00371C02">
              <w:rPr>
                <w:rFonts w:ascii="Arial" w:hAnsi="Arial" w:cs="Arial"/>
                <w:sz w:val="20"/>
                <w:szCs w:val="20"/>
              </w:rPr>
              <w:t xml:space="preserve">2010, Classification of Natural Flow Regimes in Australia to Support Environmental Flow Management </w:t>
            </w:r>
          </w:p>
          <w:p w:rsidR="00CF260A" w:rsidRPr="00155547" w:rsidRDefault="004529D8" w:rsidP="00155547">
            <w:pPr>
              <w:pStyle w:val="ListNumber"/>
              <w:spacing w:after="120" w:line="276" w:lineRule="auto"/>
              <w:outlineLvl w:val="3"/>
              <w:rPr>
                <w:rFonts w:ascii="Arial" w:hAnsi="Arial" w:cs="Arial"/>
                <w:sz w:val="20"/>
                <w:szCs w:val="20"/>
              </w:rPr>
            </w:pPr>
            <w:r w:rsidRPr="008D1735">
              <w:rPr>
                <w:rFonts w:ascii="Arial" w:hAnsi="Arial" w:cs="Arial"/>
                <w:sz w:val="20"/>
                <w:szCs w:val="22"/>
              </w:rPr>
              <w:t>CSIRO</w:t>
            </w:r>
            <w:r>
              <w:rPr>
                <w:rFonts w:ascii="Arial" w:hAnsi="Arial" w:cs="Arial"/>
                <w:sz w:val="20"/>
                <w:szCs w:val="22"/>
              </w:rPr>
              <w:t xml:space="preserve">, 2013. Great Artesian Basin Water Resource Assessment available at: </w:t>
            </w:r>
            <w:hyperlink r:id="rId10" w:history="1">
              <w:r w:rsidRPr="0079135B">
                <w:rPr>
                  <w:rStyle w:val="Hyperlink"/>
                  <w:rFonts w:ascii="Arial" w:hAnsi="Arial" w:cs="Arial"/>
                  <w:sz w:val="20"/>
                  <w:szCs w:val="22"/>
                </w:rPr>
                <w:t>http://www.csiro.au/Organisation-Structure/Flagships/Water-for-a-Heathly-Country-Flagship/Sustainable-Yeilds-Projects/Great-Artesian-Basin-Assessment.aspx</w:t>
              </w:r>
            </w:hyperlink>
          </w:p>
        </w:tc>
      </w:tr>
    </w:tbl>
    <w:p w:rsidR="00CF260A" w:rsidRPr="00062A46" w:rsidRDefault="00CF260A" w:rsidP="00DC325B"/>
    <w:sectPr w:rsidR="00CF260A" w:rsidRPr="00062A46" w:rsidSect="00155547">
      <w:head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1E" w:rsidRDefault="00ED2D1E" w:rsidP="00A60185">
      <w:r>
        <w:separator/>
      </w:r>
    </w:p>
  </w:endnote>
  <w:endnote w:type="continuationSeparator" w:id="0">
    <w:p w:rsidR="00ED2D1E" w:rsidRDefault="00ED2D1E" w:rsidP="00A6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47" w:rsidRPr="00D15280" w:rsidRDefault="00155547" w:rsidP="00155547">
    <w:pPr>
      <w:pStyle w:val="Footer"/>
      <w:tabs>
        <w:tab w:val="clear" w:pos="4513"/>
        <w:tab w:val="clear" w:pos="9026"/>
        <w:tab w:val="right" w:pos="9212"/>
      </w:tabs>
      <w:rPr>
        <w:rFonts w:ascii="Arial" w:hAnsi="Arial" w:cs="Arial"/>
        <w:sz w:val="20"/>
        <w:szCs w:val="20"/>
      </w:rPr>
    </w:pPr>
    <w:r>
      <w:rPr>
        <w:rFonts w:ascii="Arial" w:hAnsi="Arial" w:cs="Arial"/>
        <w:sz w:val="20"/>
        <w:szCs w:val="20"/>
      </w:rPr>
      <w:t>Final Advice</w:t>
    </w:r>
    <w:r w:rsidRPr="00062A46">
      <w:rPr>
        <w:rFonts w:ascii="Arial" w:hAnsi="Arial" w:cs="Arial"/>
        <w:b/>
        <w:color w:val="FF0000"/>
        <w:sz w:val="20"/>
        <w:szCs w:val="20"/>
      </w:rPr>
      <w:tab/>
    </w:r>
    <w:r>
      <w:rPr>
        <w:rFonts w:ascii="Arial" w:hAnsi="Arial" w:cs="Arial"/>
        <w:sz w:val="20"/>
        <w:szCs w:val="20"/>
      </w:rPr>
      <w:t>24</w:t>
    </w:r>
    <w:r w:rsidRPr="009B560C">
      <w:rPr>
        <w:rFonts w:ascii="Arial" w:hAnsi="Arial" w:cs="Arial"/>
        <w:sz w:val="20"/>
        <w:szCs w:val="20"/>
      </w:rPr>
      <w:t xml:space="preserve"> May 2013</w:t>
    </w:r>
  </w:p>
  <w:p w:rsidR="00ED2D1E" w:rsidRPr="00185039" w:rsidRDefault="009C3D50">
    <w:pPr>
      <w:pStyle w:val="Footer"/>
      <w:jc w:val="center"/>
      <w:rPr>
        <w:rFonts w:ascii="Arial" w:hAnsi="Arial" w:cs="Arial"/>
        <w:sz w:val="20"/>
        <w:szCs w:val="20"/>
      </w:rPr>
    </w:pPr>
    <w:r w:rsidRPr="00185039">
      <w:rPr>
        <w:rFonts w:ascii="Arial" w:hAnsi="Arial" w:cs="Arial"/>
        <w:sz w:val="20"/>
        <w:szCs w:val="20"/>
      </w:rPr>
      <w:fldChar w:fldCharType="begin"/>
    </w:r>
    <w:r w:rsidR="00ED2D1E"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D74DEE">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1E" w:rsidRPr="00D15280" w:rsidRDefault="00ED2D1E" w:rsidP="00B9262F">
    <w:pPr>
      <w:pStyle w:val="Footer"/>
      <w:tabs>
        <w:tab w:val="clear" w:pos="4513"/>
        <w:tab w:val="clear" w:pos="9026"/>
        <w:tab w:val="right" w:pos="9212"/>
      </w:tabs>
      <w:rPr>
        <w:rFonts w:ascii="Arial" w:hAnsi="Arial" w:cs="Arial"/>
        <w:sz w:val="20"/>
        <w:szCs w:val="20"/>
      </w:rPr>
    </w:pPr>
    <w:r>
      <w:rPr>
        <w:rFonts w:ascii="Arial" w:hAnsi="Arial" w:cs="Arial"/>
        <w:sz w:val="20"/>
        <w:szCs w:val="20"/>
      </w:rPr>
      <w:t>Final Advice</w:t>
    </w:r>
    <w:r w:rsidRPr="00062A46">
      <w:rPr>
        <w:rFonts w:ascii="Arial" w:hAnsi="Arial" w:cs="Arial"/>
        <w:b/>
        <w:color w:val="FF0000"/>
        <w:sz w:val="20"/>
        <w:szCs w:val="20"/>
      </w:rPr>
      <w:tab/>
    </w:r>
    <w:r w:rsidR="00D16ACA">
      <w:rPr>
        <w:rFonts w:ascii="Arial" w:hAnsi="Arial" w:cs="Arial"/>
        <w:sz w:val="20"/>
        <w:szCs w:val="20"/>
      </w:rPr>
      <w:t>24</w:t>
    </w:r>
    <w:r w:rsidRPr="009B560C">
      <w:rPr>
        <w:rFonts w:ascii="Arial" w:hAnsi="Arial" w:cs="Arial"/>
        <w:sz w:val="20"/>
        <w:szCs w:val="20"/>
      </w:rPr>
      <w:t xml:space="preserve"> May 2013</w:t>
    </w:r>
  </w:p>
  <w:p w:rsidR="00ED2D1E" w:rsidRPr="00062A46" w:rsidRDefault="009C3D50" w:rsidP="00062A46">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ED2D1E"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155547">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1E" w:rsidRDefault="00ED2D1E" w:rsidP="00A60185">
      <w:r>
        <w:separator/>
      </w:r>
    </w:p>
  </w:footnote>
  <w:footnote w:type="continuationSeparator" w:id="0">
    <w:p w:rsidR="00ED2D1E" w:rsidRDefault="00ED2D1E"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1E" w:rsidRDefault="00ED2D1E"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1E" w:rsidRDefault="00ED2D1E"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60E6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C085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8EB2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DE1C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986AE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2247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AAFD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5A99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B853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5C175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0DC56549"/>
    <w:multiLevelType w:val="hybridMultilevel"/>
    <w:tmpl w:val="95E059BE"/>
    <w:lvl w:ilvl="0" w:tplc="5D969F96">
      <w:start w:val="1"/>
      <w:numFmt w:val="lowerLetter"/>
      <w:lvlText w:val="%1."/>
      <w:lvlJc w:val="left"/>
      <w:pPr>
        <w:ind w:left="1440" w:hanging="360"/>
      </w:pPr>
      <w:rPr>
        <w:rFonts w:ascii="Arial" w:hAnsi="Arial" w:cs="Arial" w:hint="default"/>
        <w:i w:val="0"/>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3654F2A"/>
    <w:multiLevelType w:val="hybridMultilevel"/>
    <w:tmpl w:val="8124DAEC"/>
    <w:lvl w:ilvl="0" w:tplc="04090019">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CA05C9E"/>
    <w:multiLevelType w:val="hybridMultilevel"/>
    <w:tmpl w:val="1DEA02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C7966AB"/>
    <w:multiLevelType w:val="hybridMultilevel"/>
    <w:tmpl w:val="023AA94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B1E318C"/>
    <w:multiLevelType w:val="hybridMultilevel"/>
    <w:tmpl w:val="27C291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B40FA1"/>
    <w:multiLevelType w:val="hybridMultilevel"/>
    <w:tmpl w:val="831AF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C4168E"/>
    <w:multiLevelType w:val="hybridMultilevel"/>
    <w:tmpl w:val="023AA94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416F11DF"/>
    <w:multiLevelType w:val="hybridMultilevel"/>
    <w:tmpl w:val="8124DAEC"/>
    <w:lvl w:ilvl="0" w:tplc="04090019">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55A01409"/>
    <w:multiLevelType w:val="hybridMultilevel"/>
    <w:tmpl w:val="AC00004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A814F61"/>
    <w:multiLevelType w:val="hybridMultilevel"/>
    <w:tmpl w:val="8124DAEC"/>
    <w:lvl w:ilvl="0" w:tplc="04090019">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B9C2CBC"/>
    <w:multiLevelType w:val="hybridMultilevel"/>
    <w:tmpl w:val="B24E04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65456429"/>
    <w:multiLevelType w:val="multilevel"/>
    <w:tmpl w:val="44524E14"/>
    <w:lvl w:ilvl="0">
      <w:start w:val="1"/>
      <w:numFmt w:val="decimal"/>
      <w:lvlText w:val="%1."/>
      <w:lvlJc w:val="left"/>
      <w:pPr>
        <w:ind w:left="1079" w:hanging="369"/>
      </w:pPr>
      <w:rPr>
        <w:rFonts w:ascii="Arial" w:hAnsi="Arial" w:cs="Times New Roman" w:hint="default"/>
        <w:b w:val="0"/>
        <w:i w:val="0"/>
        <w:sz w:val="20"/>
        <w:szCs w:val="20"/>
      </w:rPr>
    </w:lvl>
    <w:lvl w:ilvl="1">
      <w:start w:val="1"/>
      <w:numFmt w:val="lowerLetter"/>
      <w:lvlText w:val="%2."/>
      <w:lvlJc w:val="left"/>
      <w:pPr>
        <w:ind w:left="738" w:hanging="369"/>
      </w:pPr>
      <w:rPr>
        <w:rFonts w:cs="Times New Roman" w:hint="default"/>
        <w:sz w:val="20"/>
        <w:szCs w:val="20"/>
      </w:rPr>
    </w:lvl>
    <w:lvl w:ilvl="2">
      <w:start w:val="1"/>
      <w:numFmt w:val="lowerRoman"/>
      <w:lvlText w:val="%3."/>
      <w:lvlJc w:val="left"/>
      <w:pPr>
        <w:ind w:left="1107" w:hanging="369"/>
      </w:pPr>
      <w:rPr>
        <w:rFonts w:cs="Times New Roman" w:hint="default"/>
        <w:sz w:val="20"/>
        <w:szCs w:val="20"/>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5">
    <w:nsid w:val="6B9A47D0"/>
    <w:multiLevelType w:val="hybridMultilevel"/>
    <w:tmpl w:val="8124DAEC"/>
    <w:lvl w:ilvl="0" w:tplc="04090019">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C9C6864"/>
    <w:multiLevelType w:val="hybridMultilevel"/>
    <w:tmpl w:val="A6FA48DA"/>
    <w:lvl w:ilvl="0" w:tplc="04090019">
      <w:start w:val="1"/>
      <w:numFmt w:val="lowerLetter"/>
      <w:lvlText w:val="%1."/>
      <w:lvlJc w:val="left"/>
      <w:pPr>
        <w:tabs>
          <w:tab w:val="num" w:pos="1440"/>
        </w:tabs>
        <w:ind w:left="1440" w:hanging="360"/>
      </w:pPr>
      <w:rPr>
        <w:rFonts w:cs="Times New Roman"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880"/>
        </w:tabs>
        <w:ind w:left="2880" w:hanging="360"/>
      </w:pPr>
      <w:rPr>
        <w:rFonts w:cs="Times New Roman"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nsid w:val="6D3F609F"/>
    <w:multiLevelType w:val="hybridMultilevel"/>
    <w:tmpl w:val="0C289BB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0"/>
  </w:num>
  <w:num w:numId="23">
    <w:abstractNumId w:val="16"/>
  </w:num>
  <w:num w:numId="24">
    <w:abstractNumId w:val="15"/>
  </w:num>
  <w:num w:numId="25">
    <w:abstractNumId w:val="27"/>
  </w:num>
  <w:num w:numId="26">
    <w:abstractNumId w:val="24"/>
    <w:lvlOverride w:ilvl="0">
      <w:lvl w:ilvl="0">
        <w:start w:val="1"/>
        <w:numFmt w:val="decimal"/>
        <w:lvlText w:val="%1."/>
        <w:lvlJc w:val="left"/>
        <w:pPr>
          <w:ind w:left="1079" w:hanging="369"/>
        </w:pPr>
        <w:rPr>
          <w:rFonts w:ascii="Arial" w:hAnsi="Arial" w:cs="Times New Roman" w:hint="default"/>
          <w:b w:val="0"/>
          <w:i w:val="0"/>
          <w:sz w:val="20"/>
        </w:rPr>
      </w:lvl>
    </w:lvlOverride>
    <w:lvlOverride w:ilvl="1">
      <w:lvl w:ilvl="1">
        <w:start w:val="1"/>
        <w:numFmt w:val="lowerLetter"/>
        <w:lvlText w:val="%2."/>
        <w:lvlJc w:val="left"/>
        <w:pPr>
          <w:ind w:left="738" w:hanging="369"/>
        </w:pPr>
        <w:rPr>
          <w:rFonts w:cs="Times New Roman" w:hint="default"/>
        </w:rPr>
      </w:lvl>
    </w:lvlOverride>
    <w:lvlOverride w:ilvl="2">
      <w:lvl w:ilvl="2">
        <w:start w:val="1"/>
        <w:numFmt w:val="lowerRoman"/>
        <w:lvlText w:val="%3."/>
        <w:lvlJc w:val="left"/>
        <w:pPr>
          <w:ind w:left="1107" w:hanging="369"/>
        </w:pPr>
        <w:rPr>
          <w:rFonts w:cs="Times New Roman" w:hint="default"/>
        </w:rPr>
      </w:lvl>
    </w:lvlOverride>
    <w:lvlOverride w:ilvl="3">
      <w:lvl w:ilvl="3">
        <w:start w:val="1"/>
        <w:numFmt w:val="none"/>
        <w:lvlText w:val="%4"/>
        <w:lvlJc w:val="left"/>
        <w:pPr>
          <w:ind w:left="1476" w:hanging="369"/>
        </w:pPr>
        <w:rPr>
          <w:rFonts w:cs="Times New Roman" w:hint="default"/>
        </w:rPr>
      </w:lvl>
    </w:lvlOverride>
    <w:lvlOverride w:ilvl="4">
      <w:lvl w:ilvl="4">
        <w:start w:val="1"/>
        <w:numFmt w:val="none"/>
        <w:lvlText w:val=""/>
        <w:lvlJc w:val="left"/>
        <w:pPr>
          <w:ind w:left="1845" w:hanging="369"/>
        </w:pPr>
        <w:rPr>
          <w:rFonts w:cs="Times New Roman" w:hint="default"/>
        </w:rPr>
      </w:lvl>
    </w:lvlOverride>
    <w:lvlOverride w:ilvl="5">
      <w:lvl w:ilvl="5">
        <w:start w:val="1"/>
        <w:numFmt w:val="none"/>
        <w:lvlText w:val=""/>
        <w:lvlJc w:val="left"/>
        <w:pPr>
          <w:ind w:left="2214" w:hanging="369"/>
        </w:pPr>
        <w:rPr>
          <w:rFonts w:cs="Times New Roman" w:hint="default"/>
        </w:rPr>
      </w:lvl>
    </w:lvlOverride>
    <w:lvlOverride w:ilvl="6">
      <w:lvl w:ilvl="6">
        <w:start w:val="1"/>
        <w:numFmt w:val="none"/>
        <w:lvlText w:val=""/>
        <w:lvlJc w:val="left"/>
        <w:pPr>
          <w:ind w:left="2583" w:hanging="369"/>
        </w:pPr>
        <w:rPr>
          <w:rFonts w:cs="Times New Roman" w:hint="default"/>
        </w:rPr>
      </w:lvl>
    </w:lvlOverride>
    <w:lvlOverride w:ilvl="7">
      <w:lvl w:ilvl="7">
        <w:start w:val="1"/>
        <w:numFmt w:val="none"/>
        <w:lvlText w:val=""/>
        <w:lvlJc w:val="left"/>
        <w:pPr>
          <w:ind w:left="2952" w:hanging="369"/>
        </w:pPr>
        <w:rPr>
          <w:rFonts w:cs="Times New Roman" w:hint="default"/>
        </w:rPr>
      </w:lvl>
    </w:lvlOverride>
    <w:lvlOverride w:ilvl="8">
      <w:lvl w:ilvl="8">
        <w:start w:val="1"/>
        <w:numFmt w:val="none"/>
        <w:lvlText w:val=""/>
        <w:lvlJc w:val="left"/>
        <w:pPr>
          <w:ind w:left="3321" w:hanging="369"/>
        </w:pPr>
        <w:rPr>
          <w:rFonts w:cs="Times New Roman" w:hint="default"/>
        </w:rPr>
      </w:lvl>
    </w:lvlOverride>
  </w:num>
  <w:num w:numId="27">
    <w:abstractNumId w:val="24"/>
    <w:lvlOverride w:ilvl="0">
      <w:startOverride w:val="1"/>
      <w:lvl w:ilvl="0">
        <w:start w:val="1"/>
        <w:numFmt w:val="decimal"/>
        <w:lvlText w:val="%1."/>
        <w:lvlJc w:val="left"/>
        <w:pPr>
          <w:ind w:left="1079" w:hanging="369"/>
        </w:pPr>
        <w:rPr>
          <w:rFonts w:ascii="Arial" w:hAnsi="Arial" w:cs="Times New Roman" w:hint="default"/>
          <w:sz w:val="22"/>
        </w:rPr>
      </w:lvl>
    </w:lvlOverride>
    <w:lvlOverride w:ilvl="1">
      <w:startOverride w:val="1"/>
      <w:lvl w:ilvl="1">
        <w:start w:val="1"/>
        <w:numFmt w:val="lowerLetter"/>
        <w:lvlText w:val="%2."/>
        <w:lvlJc w:val="left"/>
        <w:pPr>
          <w:ind w:left="738" w:hanging="369"/>
        </w:pPr>
        <w:rPr>
          <w:rFonts w:cs="Times New Roman" w:hint="default"/>
        </w:rPr>
      </w:lvl>
    </w:lvlOverride>
    <w:lvlOverride w:ilvl="2">
      <w:startOverride w:val="1"/>
      <w:lvl w:ilvl="2">
        <w:start w:val="1"/>
        <w:numFmt w:val="lowerRoman"/>
        <w:lvlText w:val="%3."/>
        <w:lvlJc w:val="left"/>
        <w:pPr>
          <w:ind w:left="1107" w:hanging="369"/>
        </w:pPr>
        <w:rPr>
          <w:rFonts w:cs="Times New Roman" w:hint="default"/>
        </w:rPr>
      </w:lvl>
    </w:lvlOverride>
    <w:lvlOverride w:ilvl="3">
      <w:startOverride w:val="1"/>
      <w:lvl w:ilvl="3">
        <w:start w:val="1"/>
        <w:numFmt w:val="none"/>
        <w:lvlText w:val="%4"/>
        <w:lvlJc w:val="left"/>
        <w:pPr>
          <w:ind w:left="1476" w:hanging="369"/>
        </w:pPr>
        <w:rPr>
          <w:rFonts w:cs="Times New Roman" w:hint="default"/>
        </w:rPr>
      </w:lvl>
    </w:lvlOverride>
    <w:lvlOverride w:ilvl="4">
      <w:startOverride w:val="1"/>
      <w:lvl w:ilvl="4">
        <w:start w:val="1"/>
        <w:numFmt w:val="none"/>
        <w:lvlText w:val=""/>
        <w:lvlJc w:val="left"/>
        <w:pPr>
          <w:ind w:left="1845" w:hanging="369"/>
        </w:pPr>
        <w:rPr>
          <w:rFonts w:cs="Times New Roman" w:hint="default"/>
        </w:rPr>
      </w:lvl>
    </w:lvlOverride>
    <w:lvlOverride w:ilvl="5">
      <w:startOverride w:val="1"/>
      <w:lvl w:ilvl="5">
        <w:start w:val="1"/>
        <w:numFmt w:val="none"/>
        <w:lvlText w:val=""/>
        <w:lvlJc w:val="left"/>
        <w:pPr>
          <w:ind w:left="2214" w:hanging="369"/>
        </w:pPr>
        <w:rPr>
          <w:rFonts w:cs="Times New Roman" w:hint="default"/>
        </w:rPr>
      </w:lvl>
    </w:lvlOverride>
    <w:lvlOverride w:ilvl="6">
      <w:startOverride w:val="1"/>
      <w:lvl w:ilvl="6">
        <w:start w:val="1"/>
        <w:numFmt w:val="none"/>
        <w:lvlText w:val=""/>
        <w:lvlJc w:val="left"/>
        <w:pPr>
          <w:ind w:left="2583" w:hanging="369"/>
        </w:pPr>
        <w:rPr>
          <w:rFonts w:cs="Times New Roman" w:hint="default"/>
        </w:rPr>
      </w:lvl>
    </w:lvlOverride>
    <w:lvlOverride w:ilvl="7">
      <w:startOverride w:val="1"/>
      <w:lvl w:ilvl="7">
        <w:start w:val="1"/>
        <w:numFmt w:val="none"/>
        <w:lvlText w:val=""/>
        <w:lvlJc w:val="left"/>
        <w:pPr>
          <w:ind w:left="2952" w:hanging="369"/>
        </w:pPr>
        <w:rPr>
          <w:rFonts w:cs="Times New Roman" w:hint="default"/>
        </w:rPr>
      </w:lvl>
    </w:lvlOverride>
    <w:lvlOverride w:ilvl="8">
      <w:startOverride w:val="1"/>
      <w:lvl w:ilvl="8">
        <w:start w:val="1"/>
        <w:numFmt w:val="none"/>
        <w:lvlText w:val=""/>
        <w:lvlJc w:val="left"/>
        <w:pPr>
          <w:ind w:left="3321" w:hanging="369"/>
        </w:pPr>
        <w:rPr>
          <w:rFonts w:cs="Times New Roman" w:hint="default"/>
        </w:rPr>
      </w:lvl>
    </w:lvlOverride>
  </w:num>
  <w:num w:numId="28">
    <w:abstractNumId w:val="17"/>
  </w:num>
  <w:num w:numId="29">
    <w:abstractNumId w:val="26"/>
  </w:num>
  <w:num w:numId="30">
    <w:abstractNumId w:val="13"/>
  </w:num>
  <w:num w:numId="31">
    <w:abstractNumId w:val="22"/>
  </w:num>
  <w:num w:numId="32">
    <w:abstractNumId w:val="25"/>
  </w:num>
  <w:num w:numId="33">
    <w:abstractNumId w:val="11"/>
  </w:num>
  <w:num w:numId="34">
    <w:abstractNumId w:val="19"/>
  </w:num>
  <w:num w:numId="35">
    <w:abstractNumId w:val="21"/>
  </w:num>
  <w:num w:numId="36">
    <w:abstractNumId w:val="14"/>
  </w:num>
  <w:num w:numId="37">
    <w:abstractNumId w:val="20"/>
  </w:num>
  <w:num w:numId="38">
    <w:abstractNumId w:val="12"/>
  </w:num>
  <w:num w:numId="39">
    <w:abstractNumId w:val="23"/>
  </w:num>
  <w:num w:numId="40">
    <w:abstractNumId w:val="24"/>
  </w:num>
  <w:num w:numId="41">
    <w:abstractNumId w:val="15"/>
  </w:num>
  <w:num w:numId="42">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1275D"/>
    <w:rsid w:val="00002681"/>
    <w:rsid w:val="00004AEE"/>
    <w:rsid w:val="00005CAA"/>
    <w:rsid w:val="00010210"/>
    <w:rsid w:val="000116A1"/>
    <w:rsid w:val="00012D66"/>
    <w:rsid w:val="0001544C"/>
    <w:rsid w:val="00015ADA"/>
    <w:rsid w:val="00020182"/>
    <w:rsid w:val="00020C99"/>
    <w:rsid w:val="000241D4"/>
    <w:rsid w:val="000251CE"/>
    <w:rsid w:val="0002707B"/>
    <w:rsid w:val="00030024"/>
    <w:rsid w:val="00031B32"/>
    <w:rsid w:val="00033E58"/>
    <w:rsid w:val="000340AD"/>
    <w:rsid w:val="0004275E"/>
    <w:rsid w:val="000431C3"/>
    <w:rsid w:val="000432E3"/>
    <w:rsid w:val="00045C1E"/>
    <w:rsid w:val="0005148E"/>
    <w:rsid w:val="000547F0"/>
    <w:rsid w:val="00061553"/>
    <w:rsid w:val="00062A46"/>
    <w:rsid w:val="00062CA2"/>
    <w:rsid w:val="00063430"/>
    <w:rsid w:val="0006558B"/>
    <w:rsid w:val="00066B7A"/>
    <w:rsid w:val="000704C9"/>
    <w:rsid w:val="000759E5"/>
    <w:rsid w:val="0007601C"/>
    <w:rsid w:val="00076C4F"/>
    <w:rsid w:val="00081F7B"/>
    <w:rsid w:val="000829C6"/>
    <w:rsid w:val="00084AC6"/>
    <w:rsid w:val="0008733A"/>
    <w:rsid w:val="00091608"/>
    <w:rsid w:val="0009196E"/>
    <w:rsid w:val="0009200C"/>
    <w:rsid w:val="00092F92"/>
    <w:rsid w:val="0009333C"/>
    <w:rsid w:val="000951D0"/>
    <w:rsid w:val="00095685"/>
    <w:rsid w:val="0009704F"/>
    <w:rsid w:val="00097237"/>
    <w:rsid w:val="000A0F11"/>
    <w:rsid w:val="000A125A"/>
    <w:rsid w:val="000A1406"/>
    <w:rsid w:val="000A228F"/>
    <w:rsid w:val="000A57CD"/>
    <w:rsid w:val="000A6826"/>
    <w:rsid w:val="000B3758"/>
    <w:rsid w:val="000B49CD"/>
    <w:rsid w:val="000B5FEA"/>
    <w:rsid w:val="000B7681"/>
    <w:rsid w:val="000B7B42"/>
    <w:rsid w:val="000C02B7"/>
    <w:rsid w:val="000C2814"/>
    <w:rsid w:val="000C451B"/>
    <w:rsid w:val="000C5342"/>
    <w:rsid w:val="000C706A"/>
    <w:rsid w:val="000C76EE"/>
    <w:rsid w:val="000D0A23"/>
    <w:rsid w:val="000D2887"/>
    <w:rsid w:val="000D6388"/>
    <w:rsid w:val="000D6400"/>
    <w:rsid w:val="000D6D63"/>
    <w:rsid w:val="000D706B"/>
    <w:rsid w:val="000D7810"/>
    <w:rsid w:val="000E0081"/>
    <w:rsid w:val="000E07CF"/>
    <w:rsid w:val="000E4452"/>
    <w:rsid w:val="000F2E61"/>
    <w:rsid w:val="000F4914"/>
    <w:rsid w:val="000F6C22"/>
    <w:rsid w:val="00100BEF"/>
    <w:rsid w:val="00102B2B"/>
    <w:rsid w:val="00102E17"/>
    <w:rsid w:val="00106BD0"/>
    <w:rsid w:val="001110F0"/>
    <w:rsid w:val="0011498E"/>
    <w:rsid w:val="00117A45"/>
    <w:rsid w:val="001224AE"/>
    <w:rsid w:val="00123035"/>
    <w:rsid w:val="0012671A"/>
    <w:rsid w:val="001337D4"/>
    <w:rsid w:val="001340EA"/>
    <w:rsid w:val="0013748A"/>
    <w:rsid w:val="00142E66"/>
    <w:rsid w:val="0014623D"/>
    <w:rsid w:val="00147C12"/>
    <w:rsid w:val="001527A1"/>
    <w:rsid w:val="001530DC"/>
    <w:rsid w:val="00153AAC"/>
    <w:rsid w:val="00154989"/>
    <w:rsid w:val="00155547"/>
    <w:rsid w:val="00155A9F"/>
    <w:rsid w:val="0015684F"/>
    <w:rsid w:val="00157BA2"/>
    <w:rsid w:val="00160262"/>
    <w:rsid w:val="0016186F"/>
    <w:rsid w:val="0016281C"/>
    <w:rsid w:val="00162AA0"/>
    <w:rsid w:val="0016422D"/>
    <w:rsid w:val="0016433A"/>
    <w:rsid w:val="0016780A"/>
    <w:rsid w:val="001713FA"/>
    <w:rsid w:val="00171AE0"/>
    <w:rsid w:val="00173EBF"/>
    <w:rsid w:val="00175025"/>
    <w:rsid w:val="001765DA"/>
    <w:rsid w:val="0018133A"/>
    <w:rsid w:val="001842A2"/>
    <w:rsid w:val="00185039"/>
    <w:rsid w:val="0018799F"/>
    <w:rsid w:val="00187B48"/>
    <w:rsid w:val="00187FA8"/>
    <w:rsid w:val="00191238"/>
    <w:rsid w:val="001922D0"/>
    <w:rsid w:val="00192F5E"/>
    <w:rsid w:val="001931DC"/>
    <w:rsid w:val="0019643C"/>
    <w:rsid w:val="00197772"/>
    <w:rsid w:val="001A51C8"/>
    <w:rsid w:val="001B164F"/>
    <w:rsid w:val="001B472B"/>
    <w:rsid w:val="001B478D"/>
    <w:rsid w:val="001B4CA8"/>
    <w:rsid w:val="001B527D"/>
    <w:rsid w:val="001B5809"/>
    <w:rsid w:val="001B667E"/>
    <w:rsid w:val="001C4F3D"/>
    <w:rsid w:val="001D0CDC"/>
    <w:rsid w:val="001D1D82"/>
    <w:rsid w:val="001D6988"/>
    <w:rsid w:val="001E0165"/>
    <w:rsid w:val="001E1182"/>
    <w:rsid w:val="001E2E09"/>
    <w:rsid w:val="001E4EA9"/>
    <w:rsid w:val="001F0E8B"/>
    <w:rsid w:val="001F0ED9"/>
    <w:rsid w:val="001F21D1"/>
    <w:rsid w:val="001F668A"/>
    <w:rsid w:val="001F7E0C"/>
    <w:rsid w:val="001F7E73"/>
    <w:rsid w:val="00200944"/>
    <w:rsid w:val="00202C90"/>
    <w:rsid w:val="00203268"/>
    <w:rsid w:val="002070B4"/>
    <w:rsid w:val="00211C8E"/>
    <w:rsid w:val="00212174"/>
    <w:rsid w:val="00213DE8"/>
    <w:rsid w:val="002155FA"/>
    <w:rsid w:val="00216118"/>
    <w:rsid w:val="002209AB"/>
    <w:rsid w:val="00221103"/>
    <w:rsid w:val="002251E3"/>
    <w:rsid w:val="00226806"/>
    <w:rsid w:val="00226D29"/>
    <w:rsid w:val="00227A95"/>
    <w:rsid w:val="002316BD"/>
    <w:rsid w:val="002336F3"/>
    <w:rsid w:val="00235E8F"/>
    <w:rsid w:val="002473FC"/>
    <w:rsid w:val="00247D6F"/>
    <w:rsid w:val="00250317"/>
    <w:rsid w:val="002528E3"/>
    <w:rsid w:val="00252E3C"/>
    <w:rsid w:val="00254B26"/>
    <w:rsid w:val="00260B1B"/>
    <w:rsid w:val="00262198"/>
    <w:rsid w:val="00262277"/>
    <w:rsid w:val="002641AB"/>
    <w:rsid w:val="0026618B"/>
    <w:rsid w:val="00275559"/>
    <w:rsid w:val="00282915"/>
    <w:rsid w:val="00285F1B"/>
    <w:rsid w:val="00292B81"/>
    <w:rsid w:val="0029322E"/>
    <w:rsid w:val="002954EF"/>
    <w:rsid w:val="00296477"/>
    <w:rsid w:val="002974BC"/>
    <w:rsid w:val="00297DF7"/>
    <w:rsid w:val="002A1DE6"/>
    <w:rsid w:val="002A5826"/>
    <w:rsid w:val="002A583E"/>
    <w:rsid w:val="002A5EC3"/>
    <w:rsid w:val="002A7E1B"/>
    <w:rsid w:val="002B18AE"/>
    <w:rsid w:val="002B2960"/>
    <w:rsid w:val="002B4D6E"/>
    <w:rsid w:val="002B67D3"/>
    <w:rsid w:val="002C019A"/>
    <w:rsid w:val="002C1C93"/>
    <w:rsid w:val="002C2E1A"/>
    <w:rsid w:val="002C5066"/>
    <w:rsid w:val="002D2C66"/>
    <w:rsid w:val="002D4AAC"/>
    <w:rsid w:val="002D6C33"/>
    <w:rsid w:val="002E0E49"/>
    <w:rsid w:val="002E53A3"/>
    <w:rsid w:val="002F045A"/>
    <w:rsid w:val="0030039D"/>
    <w:rsid w:val="00300715"/>
    <w:rsid w:val="00301944"/>
    <w:rsid w:val="0030326F"/>
    <w:rsid w:val="00310701"/>
    <w:rsid w:val="00311510"/>
    <w:rsid w:val="00315980"/>
    <w:rsid w:val="00316F7F"/>
    <w:rsid w:val="00320162"/>
    <w:rsid w:val="0032087E"/>
    <w:rsid w:val="003218E8"/>
    <w:rsid w:val="00322064"/>
    <w:rsid w:val="003232C2"/>
    <w:rsid w:val="00330DCE"/>
    <w:rsid w:val="00331E11"/>
    <w:rsid w:val="00331EDF"/>
    <w:rsid w:val="00334761"/>
    <w:rsid w:val="00337EBC"/>
    <w:rsid w:val="00341DCD"/>
    <w:rsid w:val="00344C95"/>
    <w:rsid w:val="0034504D"/>
    <w:rsid w:val="0034563E"/>
    <w:rsid w:val="003504CC"/>
    <w:rsid w:val="003518D6"/>
    <w:rsid w:val="0035460C"/>
    <w:rsid w:val="003556BD"/>
    <w:rsid w:val="0036089D"/>
    <w:rsid w:val="00365147"/>
    <w:rsid w:val="0037016E"/>
    <w:rsid w:val="00370E55"/>
    <w:rsid w:val="00371C02"/>
    <w:rsid w:val="00372641"/>
    <w:rsid w:val="00372908"/>
    <w:rsid w:val="00376457"/>
    <w:rsid w:val="003778E0"/>
    <w:rsid w:val="00381917"/>
    <w:rsid w:val="00383020"/>
    <w:rsid w:val="003975FD"/>
    <w:rsid w:val="003A0593"/>
    <w:rsid w:val="003B2800"/>
    <w:rsid w:val="003B60CC"/>
    <w:rsid w:val="003C1B25"/>
    <w:rsid w:val="003C2443"/>
    <w:rsid w:val="003C31E0"/>
    <w:rsid w:val="003C4095"/>
    <w:rsid w:val="003C5DA3"/>
    <w:rsid w:val="003D0572"/>
    <w:rsid w:val="003D4BCD"/>
    <w:rsid w:val="003D6DFB"/>
    <w:rsid w:val="003D7834"/>
    <w:rsid w:val="003E01D8"/>
    <w:rsid w:val="003E12C5"/>
    <w:rsid w:val="003E2100"/>
    <w:rsid w:val="003E53CA"/>
    <w:rsid w:val="003F0CB7"/>
    <w:rsid w:val="003F6F5B"/>
    <w:rsid w:val="00402BE6"/>
    <w:rsid w:val="0040342D"/>
    <w:rsid w:val="00403FB9"/>
    <w:rsid w:val="00407B1A"/>
    <w:rsid w:val="00411819"/>
    <w:rsid w:val="0041192D"/>
    <w:rsid w:val="0041275D"/>
    <w:rsid w:val="00413EE1"/>
    <w:rsid w:val="00414BBC"/>
    <w:rsid w:val="00416430"/>
    <w:rsid w:val="0042128E"/>
    <w:rsid w:val="0042141B"/>
    <w:rsid w:val="00424093"/>
    <w:rsid w:val="0042465A"/>
    <w:rsid w:val="00432B60"/>
    <w:rsid w:val="00440698"/>
    <w:rsid w:val="00440E7D"/>
    <w:rsid w:val="00450D35"/>
    <w:rsid w:val="00450E03"/>
    <w:rsid w:val="004527B2"/>
    <w:rsid w:val="004529D8"/>
    <w:rsid w:val="00453840"/>
    <w:rsid w:val="004540E2"/>
    <w:rsid w:val="00454454"/>
    <w:rsid w:val="00455AC6"/>
    <w:rsid w:val="00462D08"/>
    <w:rsid w:val="004672C7"/>
    <w:rsid w:val="00467924"/>
    <w:rsid w:val="0047053A"/>
    <w:rsid w:val="0047115B"/>
    <w:rsid w:val="004712A5"/>
    <w:rsid w:val="0047266F"/>
    <w:rsid w:val="00475999"/>
    <w:rsid w:val="00476D6B"/>
    <w:rsid w:val="00476D9B"/>
    <w:rsid w:val="00483771"/>
    <w:rsid w:val="0048695C"/>
    <w:rsid w:val="0049013A"/>
    <w:rsid w:val="00492C16"/>
    <w:rsid w:val="004A0678"/>
    <w:rsid w:val="004A48A3"/>
    <w:rsid w:val="004A56BA"/>
    <w:rsid w:val="004B0D92"/>
    <w:rsid w:val="004B0EC0"/>
    <w:rsid w:val="004B6575"/>
    <w:rsid w:val="004B66F1"/>
    <w:rsid w:val="004C00DF"/>
    <w:rsid w:val="004C135F"/>
    <w:rsid w:val="004C2EC9"/>
    <w:rsid w:val="004C3B7B"/>
    <w:rsid w:val="004C3EA0"/>
    <w:rsid w:val="004C3EC8"/>
    <w:rsid w:val="004E150C"/>
    <w:rsid w:val="004E2C78"/>
    <w:rsid w:val="004E31F5"/>
    <w:rsid w:val="004E5AB8"/>
    <w:rsid w:val="004E6912"/>
    <w:rsid w:val="004E7DDB"/>
    <w:rsid w:val="004F3C96"/>
    <w:rsid w:val="004F7169"/>
    <w:rsid w:val="00500D66"/>
    <w:rsid w:val="005036A6"/>
    <w:rsid w:val="00504898"/>
    <w:rsid w:val="00512CB7"/>
    <w:rsid w:val="00514C8E"/>
    <w:rsid w:val="00514C91"/>
    <w:rsid w:val="00516AA3"/>
    <w:rsid w:val="00517F35"/>
    <w:rsid w:val="00523A57"/>
    <w:rsid w:val="00523ED3"/>
    <w:rsid w:val="00524B85"/>
    <w:rsid w:val="00526D5A"/>
    <w:rsid w:val="00531DBF"/>
    <w:rsid w:val="005337FC"/>
    <w:rsid w:val="0053638C"/>
    <w:rsid w:val="00545759"/>
    <w:rsid w:val="00545BE0"/>
    <w:rsid w:val="00547AC1"/>
    <w:rsid w:val="00553661"/>
    <w:rsid w:val="00554C6A"/>
    <w:rsid w:val="0055582C"/>
    <w:rsid w:val="00562E85"/>
    <w:rsid w:val="0056332F"/>
    <w:rsid w:val="00564AB3"/>
    <w:rsid w:val="0057053B"/>
    <w:rsid w:val="0058060F"/>
    <w:rsid w:val="005806A9"/>
    <w:rsid w:val="005813A7"/>
    <w:rsid w:val="00581C39"/>
    <w:rsid w:val="00584F6B"/>
    <w:rsid w:val="005903B6"/>
    <w:rsid w:val="00592B20"/>
    <w:rsid w:val="00593622"/>
    <w:rsid w:val="005950AE"/>
    <w:rsid w:val="0059631A"/>
    <w:rsid w:val="00596896"/>
    <w:rsid w:val="005A006F"/>
    <w:rsid w:val="005A0077"/>
    <w:rsid w:val="005A0247"/>
    <w:rsid w:val="005A126E"/>
    <w:rsid w:val="005A2118"/>
    <w:rsid w:val="005A452F"/>
    <w:rsid w:val="005A703F"/>
    <w:rsid w:val="005B140D"/>
    <w:rsid w:val="005B2664"/>
    <w:rsid w:val="005B37F5"/>
    <w:rsid w:val="005B43E7"/>
    <w:rsid w:val="005B7531"/>
    <w:rsid w:val="005C1FEA"/>
    <w:rsid w:val="005C2467"/>
    <w:rsid w:val="005C3495"/>
    <w:rsid w:val="005D4C7D"/>
    <w:rsid w:val="005D7507"/>
    <w:rsid w:val="005E13EA"/>
    <w:rsid w:val="005E1A26"/>
    <w:rsid w:val="005E3889"/>
    <w:rsid w:val="005E3DFC"/>
    <w:rsid w:val="005E57AC"/>
    <w:rsid w:val="005E5EE3"/>
    <w:rsid w:val="005E60AF"/>
    <w:rsid w:val="005E612E"/>
    <w:rsid w:val="005E7B4E"/>
    <w:rsid w:val="005F1DEA"/>
    <w:rsid w:val="005F62D7"/>
    <w:rsid w:val="005F7B10"/>
    <w:rsid w:val="00600AEA"/>
    <w:rsid w:val="00600D4C"/>
    <w:rsid w:val="00602686"/>
    <w:rsid w:val="00602FCB"/>
    <w:rsid w:val="006044E3"/>
    <w:rsid w:val="00605D63"/>
    <w:rsid w:val="00607FC9"/>
    <w:rsid w:val="00610955"/>
    <w:rsid w:val="00610FE8"/>
    <w:rsid w:val="00612F09"/>
    <w:rsid w:val="0061490C"/>
    <w:rsid w:val="006156B1"/>
    <w:rsid w:val="00622FE1"/>
    <w:rsid w:val="006246C8"/>
    <w:rsid w:val="0062521C"/>
    <w:rsid w:val="006264B4"/>
    <w:rsid w:val="0063046F"/>
    <w:rsid w:val="00630A2B"/>
    <w:rsid w:val="00630B39"/>
    <w:rsid w:val="0063283F"/>
    <w:rsid w:val="00632DC7"/>
    <w:rsid w:val="00633896"/>
    <w:rsid w:val="00633D1C"/>
    <w:rsid w:val="006357FB"/>
    <w:rsid w:val="00637B07"/>
    <w:rsid w:val="006406FC"/>
    <w:rsid w:val="00641B03"/>
    <w:rsid w:val="0064407B"/>
    <w:rsid w:val="00645895"/>
    <w:rsid w:val="00646122"/>
    <w:rsid w:val="00646160"/>
    <w:rsid w:val="00652EA9"/>
    <w:rsid w:val="00653E16"/>
    <w:rsid w:val="00655EA3"/>
    <w:rsid w:val="00657220"/>
    <w:rsid w:val="0066104B"/>
    <w:rsid w:val="00661419"/>
    <w:rsid w:val="00663983"/>
    <w:rsid w:val="006645C6"/>
    <w:rsid w:val="006655EE"/>
    <w:rsid w:val="0066783E"/>
    <w:rsid w:val="00667C10"/>
    <w:rsid w:val="00667EF4"/>
    <w:rsid w:val="00672B85"/>
    <w:rsid w:val="00674E59"/>
    <w:rsid w:val="00676FCA"/>
    <w:rsid w:val="00677177"/>
    <w:rsid w:val="0068612E"/>
    <w:rsid w:val="00687858"/>
    <w:rsid w:val="00687B29"/>
    <w:rsid w:val="00687C92"/>
    <w:rsid w:val="00690034"/>
    <w:rsid w:val="006903B7"/>
    <w:rsid w:val="0069203A"/>
    <w:rsid w:val="0069534E"/>
    <w:rsid w:val="00696365"/>
    <w:rsid w:val="0069669C"/>
    <w:rsid w:val="006977C0"/>
    <w:rsid w:val="006A00E0"/>
    <w:rsid w:val="006A1200"/>
    <w:rsid w:val="006A2C5A"/>
    <w:rsid w:val="006A4F4E"/>
    <w:rsid w:val="006B1360"/>
    <w:rsid w:val="006B14DB"/>
    <w:rsid w:val="006B21C4"/>
    <w:rsid w:val="006C4A1A"/>
    <w:rsid w:val="006C5C59"/>
    <w:rsid w:val="006C7DAD"/>
    <w:rsid w:val="006D0393"/>
    <w:rsid w:val="006D1A83"/>
    <w:rsid w:val="006D25D8"/>
    <w:rsid w:val="006D2BBA"/>
    <w:rsid w:val="006D5857"/>
    <w:rsid w:val="006D5D1E"/>
    <w:rsid w:val="006E1CFE"/>
    <w:rsid w:val="006E31A2"/>
    <w:rsid w:val="006F10C4"/>
    <w:rsid w:val="006F40E9"/>
    <w:rsid w:val="006F44F8"/>
    <w:rsid w:val="006F5603"/>
    <w:rsid w:val="006F70D1"/>
    <w:rsid w:val="00701400"/>
    <w:rsid w:val="007021A8"/>
    <w:rsid w:val="007037CF"/>
    <w:rsid w:val="00703BB8"/>
    <w:rsid w:val="00704E64"/>
    <w:rsid w:val="00713873"/>
    <w:rsid w:val="00716583"/>
    <w:rsid w:val="007167C0"/>
    <w:rsid w:val="00717389"/>
    <w:rsid w:val="00720481"/>
    <w:rsid w:val="007218F9"/>
    <w:rsid w:val="0072406C"/>
    <w:rsid w:val="007251B7"/>
    <w:rsid w:val="00725535"/>
    <w:rsid w:val="00727C18"/>
    <w:rsid w:val="00727E2F"/>
    <w:rsid w:val="0073097E"/>
    <w:rsid w:val="00733193"/>
    <w:rsid w:val="00735619"/>
    <w:rsid w:val="00737CBA"/>
    <w:rsid w:val="0074111C"/>
    <w:rsid w:val="00752FF8"/>
    <w:rsid w:val="00754C17"/>
    <w:rsid w:val="0075732A"/>
    <w:rsid w:val="00757832"/>
    <w:rsid w:val="00760262"/>
    <w:rsid w:val="0076310C"/>
    <w:rsid w:val="00766AAD"/>
    <w:rsid w:val="0076744F"/>
    <w:rsid w:val="00767BCE"/>
    <w:rsid w:val="00767EFC"/>
    <w:rsid w:val="007707DE"/>
    <w:rsid w:val="00770B5D"/>
    <w:rsid w:val="007752F1"/>
    <w:rsid w:val="00776768"/>
    <w:rsid w:val="00782D61"/>
    <w:rsid w:val="00791024"/>
    <w:rsid w:val="007921C6"/>
    <w:rsid w:val="00792F48"/>
    <w:rsid w:val="00794818"/>
    <w:rsid w:val="007A203D"/>
    <w:rsid w:val="007A2573"/>
    <w:rsid w:val="007A3B9C"/>
    <w:rsid w:val="007B106C"/>
    <w:rsid w:val="007B1A4E"/>
    <w:rsid w:val="007B3D05"/>
    <w:rsid w:val="007B46C4"/>
    <w:rsid w:val="007B5503"/>
    <w:rsid w:val="007B6416"/>
    <w:rsid w:val="007C6BB3"/>
    <w:rsid w:val="007D14B4"/>
    <w:rsid w:val="007D21D8"/>
    <w:rsid w:val="007D27A5"/>
    <w:rsid w:val="007D3AD7"/>
    <w:rsid w:val="007D521C"/>
    <w:rsid w:val="007D7AA1"/>
    <w:rsid w:val="007E04BC"/>
    <w:rsid w:val="007E24F6"/>
    <w:rsid w:val="007E4B61"/>
    <w:rsid w:val="007E4E94"/>
    <w:rsid w:val="007F3956"/>
    <w:rsid w:val="007F41C6"/>
    <w:rsid w:val="007F47D3"/>
    <w:rsid w:val="007F4DD7"/>
    <w:rsid w:val="00800F64"/>
    <w:rsid w:val="00801A9A"/>
    <w:rsid w:val="00802F0B"/>
    <w:rsid w:val="00804761"/>
    <w:rsid w:val="00805E55"/>
    <w:rsid w:val="0080782E"/>
    <w:rsid w:val="008106F7"/>
    <w:rsid w:val="00810A67"/>
    <w:rsid w:val="00810D77"/>
    <w:rsid w:val="00814434"/>
    <w:rsid w:val="00824146"/>
    <w:rsid w:val="00833CF7"/>
    <w:rsid w:val="00833E8F"/>
    <w:rsid w:val="008346D8"/>
    <w:rsid w:val="00844994"/>
    <w:rsid w:val="00845601"/>
    <w:rsid w:val="008524B9"/>
    <w:rsid w:val="008548BF"/>
    <w:rsid w:val="00854D98"/>
    <w:rsid w:val="00855C5C"/>
    <w:rsid w:val="0086233C"/>
    <w:rsid w:val="00865CFA"/>
    <w:rsid w:val="00866BB3"/>
    <w:rsid w:val="00875B2B"/>
    <w:rsid w:val="00883CE7"/>
    <w:rsid w:val="00885473"/>
    <w:rsid w:val="008856C5"/>
    <w:rsid w:val="00894044"/>
    <w:rsid w:val="00895DD3"/>
    <w:rsid w:val="008A187F"/>
    <w:rsid w:val="008A3C96"/>
    <w:rsid w:val="008B04B2"/>
    <w:rsid w:val="008B0BBA"/>
    <w:rsid w:val="008B1627"/>
    <w:rsid w:val="008B4019"/>
    <w:rsid w:val="008B505F"/>
    <w:rsid w:val="008B6181"/>
    <w:rsid w:val="008B65C9"/>
    <w:rsid w:val="008B7157"/>
    <w:rsid w:val="008C1111"/>
    <w:rsid w:val="008C2D4A"/>
    <w:rsid w:val="008C6A05"/>
    <w:rsid w:val="008C7DBB"/>
    <w:rsid w:val="008D0019"/>
    <w:rsid w:val="008D04DF"/>
    <w:rsid w:val="008D3900"/>
    <w:rsid w:val="008D4802"/>
    <w:rsid w:val="008D6E1D"/>
    <w:rsid w:val="008D6EDB"/>
    <w:rsid w:val="008D7B07"/>
    <w:rsid w:val="008E2D08"/>
    <w:rsid w:val="008E33E3"/>
    <w:rsid w:val="008E36FE"/>
    <w:rsid w:val="008E41C0"/>
    <w:rsid w:val="008E46FC"/>
    <w:rsid w:val="008E5D47"/>
    <w:rsid w:val="008E7E32"/>
    <w:rsid w:val="008F39B4"/>
    <w:rsid w:val="008F4162"/>
    <w:rsid w:val="0090074C"/>
    <w:rsid w:val="00903E02"/>
    <w:rsid w:val="00904029"/>
    <w:rsid w:val="00910ECA"/>
    <w:rsid w:val="0091271C"/>
    <w:rsid w:val="00913175"/>
    <w:rsid w:val="00913371"/>
    <w:rsid w:val="00916EDB"/>
    <w:rsid w:val="00920861"/>
    <w:rsid w:val="00920FFB"/>
    <w:rsid w:val="00922B13"/>
    <w:rsid w:val="009239D1"/>
    <w:rsid w:val="009242EF"/>
    <w:rsid w:val="00932291"/>
    <w:rsid w:val="0093408E"/>
    <w:rsid w:val="009347B9"/>
    <w:rsid w:val="009410A4"/>
    <w:rsid w:val="009414D0"/>
    <w:rsid w:val="00943EDB"/>
    <w:rsid w:val="00944CA8"/>
    <w:rsid w:val="00945A1A"/>
    <w:rsid w:val="00947507"/>
    <w:rsid w:val="00952DDF"/>
    <w:rsid w:val="00952EC4"/>
    <w:rsid w:val="00953862"/>
    <w:rsid w:val="009541CC"/>
    <w:rsid w:val="00954A04"/>
    <w:rsid w:val="00954C86"/>
    <w:rsid w:val="00957762"/>
    <w:rsid w:val="009607F0"/>
    <w:rsid w:val="009629E7"/>
    <w:rsid w:val="00966D4D"/>
    <w:rsid w:val="00973503"/>
    <w:rsid w:val="009812D4"/>
    <w:rsid w:val="00982653"/>
    <w:rsid w:val="00982733"/>
    <w:rsid w:val="0098277A"/>
    <w:rsid w:val="00985EAD"/>
    <w:rsid w:val="009873F4"/>
    <w:rsid w:val="0099178C"/>
    <w:rsid w:val="009920D8"/>
    <w:rsid w:val="009923A4"/>
    <w:rsid w:val="0099550D"/>
    <w:rsid w:val="00996BE6"/>
    <w:rsid w:val="009977DC"/>
    <w:rsid w:val="009A371F"/>
    <w:rsid w:val="009A39E7"/>
    <w:rsid w:val="009A5A1E"/>
    <w:rsid w:val="009B0857"/>
    <w:rsid w:val="009B14E4"/>
    <w:rsid w:val="009B1ACE"/>
    <w:rsid w:val="009B38BE"/>
    <w:rsid w:val="009B4556"/>
    <w:rsid w:val="009B560C"/>
    <w:rsid w:val="009B682F"/>
    <w:rsid w:val="009C1998"/>
    <w:rsid w:val="009C2F40"/>
    <w:rsid w:val="009C3D0F"/>
    <w:rsid w:val="009C3D50"/>
    <w:rsid w:val="009C611C"/>
    <w:rsid w:val="009D1E50"/>
    <w:rsid w:val="009D563A"/>
    <w:rsid w:val="009D6232"/>
    <w:rsid w:val="009D6243"/>
    <w:rsid w:val="009E1B19"/>
    <w:rsid w:val="009E4CDC"/>
    <w:rsid w:val="009F35E2"/>
    <w:rsid w:val="009F4A3C"/>
    <w:rsid w:val="009F65F9"/>
    <w:rsid w:val="009F68BA"/>
    <w:rsid w:val="00A04397"/>
    <w:rsid w:val="00A05668"/>
    <w:rsid w:val="00A06277"/>
    <w:rsid w:val="00A069C8"/>
    <w:rsid w:val="00A079DC"/>
    <w:rsid w:val="00A108C5"/>
    <w:rsid w:val="00A10BAB"/>
    <w:rsid w:val="00A111C2"/>
    <w:rsid w:val="00A12A4C"/>
    <w:rsid w:val="00A17C39"/>
    <w:rsid w:val="00A22E17"/>
    <w:rsid w:val="00A238AA"/>
    <w:rsid w:val="00A2757B"/>
    <w:rsid w:val="00A3120E"/>
    <w:rsid w:val="00A338E7"/>
    <w:rsid w:val="00A35CAA"/>
    <w:rsid w:val="00A35E16"/>
    <w:rsid w:val="00A36AA6"/>
    <w:rsid w:val="00A36E7F"/>
    <w:rsid w:val="00A37A70"/>
    <w:rsid w:val="00A41E65"/>
    <w:rsid w:val="00A43E0A"/>
    <w:rsid w:val="00A46247"/>
    <w:rsid w:val="00A51AC7"/>
    <w:rsid w:val="00A51FA6"/>
    <w:rsid w:val="00A530C7"/>
    <w:rsid w:val="00A547BD"/>
    <w:rsid w:val="00A55F5B"/>
    <w:rsid w:val="00A60185"/>
    <w:rsid w:val="00A661EA"/>
    <w:rsid w:val="00A67CE3"/>
    <w:rsid w:val="00A70A6C"/>
    <w:rsid w:val="00A71A71"/>
    <w:rsid w:val="00A774CE"/>
    <w:rsid w:val="00A830E5"/>
    <w:rsid w:val="00A83A62"/>
    <w:rsid w:val="00A87135"/>
    <w:rsid w:val="00A93280"/>
    <w:rsid w:val="00A951EA"/>
    <w:rsid w:val="00A961A6"/>
    <w:rsid w:val="00A973E1"/>
    <w:rsid w:val="00AA1B3E"/>
    <w:rsid w:val="00AA1C65"/>
    <w:rsid w:val="00AA2548"/>
    <w:rsid w:val="00AA3B6E"/>
    <w:rsid w:val="00AA40B7"/>
    <w:rsid w:val="00AA58C4"/>
    <w:rsid w:val="00AA6244"/>
    <w:rsid w:val="00AB11C8"/>
    <w:rsid w:val="00AB4523"/>
    <w:rsid w:val="00AB6E24"/>
    <w:rsid w:val="00AB6F45"/>
    <w:rsid w:val="00AC08A8"/>
    <w:rsid w:val="00AC0A6D"/>
    <w:rsid w:val="00AC174A"/>
    <w:rsid w:val="00AC5403"/>
    <w:rsid w:val="00AD452D"/>
    <w:rsid w:val="00AD50D9"/>
    <w:rsid w:val="00AD56C8"/>
    <w:rsid w:val="00AD58F2"/>
    <w:rsid w:val="00AD5BA3"/>
    <w:rsid w:val="00AE0364"/>
    <w:rsid w:val="00AE1EC4"/>
    <w:rsid w:val="00AE2ED4"/>
    <w:rsid w:val="00AE30B5"/>
    <w:rsid w:val="00AE5233"/>
    <w:rsid w:val="00AF2E54"/>
    <w:rsid w:val="00AF5EA3"/>
    <w:rsid w:val="00AF6573"/>
    <w:rsid w:val="00AF7690"/>
    <w:rsid w:val="00B047F9"/>
    <w:rsid w:val="00B0512A"/>
    <w:rsid w:val="00B0529F"/>
    <w:rsid w:val="00B05D52"/>
    <w:rsid w:val="00B07A18"/>
    <w:rsid w:val="00B12522"/>
    <w:rsid w:val="00B1418B"/>
    <w:rsid w:val="00B151A0"/>
    <w:rsid w:val="00B1560E"/>
    <w:rsid w:val="00B15654"/>
    <w:rsid w:val="00B21195"/>
    <w:rsid w:val="00B22B3D"/>
    <w:rsid w:val="00B24B22"/>
    <w:rsid w:val="00B25310"/>
    <w:rsid w:val="00B27481"/>
    <w:rsid w:val="00B32F8F"/>
    <w:rsid w:val="00B37A1F"/>
    <w:rsid w:val="00B42F7F"/>
    <w:rsid w:val="00B451D3"/>
    <w:rsid w:val="00B46673"/>
    <w:rsid w:val="00B46E2F"/>
    <w:rsid w:val="00B47C42"/>
    <w:rsid w:val="00B510B1"/>
    <w:rsid w:val="00B5299D"/>
    <w:rsid w:val="00B54DE9"/>
    <w:rsid w:val="00B553EC"/>
    <w:rsid w:val="00B55870"/>
    <w:rsid w:val="00B718F9"/>
    <w:rsid w:val="00B73750"/>
    <w:rsid w:val="00B75082"/>
    <w:rsid w:val="00B77732"/>
    <w:rsid w:val="00B80D6D"/>
    <w:rsid w:val="00B831AD"/>
    <w:rsid w:val="00B83C35"/>
    <w:rsid w:val="00B85903"/>
    <w:rsid w:val="00B8757F"/>
    <w:rsid w:val="00B9154F"/>
    <w:rsid w:val="00B9221F"/>
    <w:rsid w:val="00B9262F"/>
    <w:rsid w:val="00B93DD0"/>
    <w:rsid w:val="00B97277"/>
    <w:rsid w:val="00B97732"/>
    <w:rsid w:val="00BA65A8"/>
    <w:rsid w:val="00BA6D19"/>
    <w:rsid w:val="00BA7461"/>
    <w:rsid w:val="00BA7DA9"/>
    <w:rsid w:val="00BB0CC1"/>
    <w:rsid w:val="00BB160C"/>
    <w:rsid w:val="00BC2F40"/>
    <w:rsid w:val="00BC3F67"/>
    <w:rsid w:val="00BC4215"/>
    <w:rsid w:val="00BC4393"/>
    <w:rsid w:val="00BC6999"/>
    <w:rsid w:val="00BC7121"/>
    <w:rsid w:val="00BD0396"/>
    <w:rsid w:val="00BD1A6F"/>
    <w:rsid w:val="00BD5B71"/>
    <w:rsid w:val="00BE1788"/>
    <w:rsid w:val="00BE3C7A"/>
    <w:rsid w:val="00BE45A7"/>
    <w:rsid w:val="00BE6D3C"/>
    <w:rsid w:val="00BE7852"/>
    <w:rsid w:val="00BE7E46"/>
    <w:rsid w:val="00BF67BC"/>
    <w:rsid w:val="00BF7CEE"/>
    <w:rsid w:val="00BF7D70"/>
    <w:rsid w:val="00C03880"/>
    <w:rsid w:val="00C07686"/>
    <w:rsid w:val="00C135CF"/>
    <w:rsid w:val="00C20E44"/>
    <w:rsid w:val="00C26663"/>
    <w:rsid w:val="00C2683F"/>
    <w:rsid w:val="00C26A41"/>
    <w:rsid w:val="00C27CC2"/>
    <w:rsid w:val="00C301DF"/>
    <w:rsid w:val="00C3184D"/>
    <w:rsid w:val="00C329EA"/>
    <w:rsid w:val="00C344D3"/>
    <w:rsid w:val="00C34850"/>
    <w:rsid w:val="00C370FC"/>
    <w:rsid w:val="00C42A32"/>
    <w:rsid w:val="00C43A42"/>
    <w:rsid w:val="00C4541E"/>
    <w:rsid w:val="00C4714E"/>
    <w:rsid w:val="00C4777B"/>
    <w:rsid w:val="00C50941"/>
    <w:rsid w:val="00C5504F"/>
    <w:rsid w:val="00C5574A"/>
    <w:rsid w:val="00C55991"/>
    <w:rsid w:val="00C57099"/>
    <w:rsid w:val="00C571C2"/>
    <w:rsid w:val="00C57C1C"/>
    <w:rsid w:val="00C63376"/>
    <w:rsid w:val="00C65AE5"/>
    <w:rsid w:val="00C66CB4"/>
    <w:rsid w:val="00C74F97"/>
    <w:rsid w:val="00C75868"/>
    <w:rsid w:val="00C7681E"/>
    <w:rsid w:val="00C76A08"/>
    <w:rsid w:val="00C803D7"/>
    <w:rsid w:val="00C8276E"/>
    <w:rsid w:val="00C83AD1"/>
    <w:rsid w:val="00C842AC"/>
    <w:rsid w:val="00C90342"/>
    <w:rsid w:val="00C92AD5"/>
    <w:rsid w:val="00C93FD9"/>
    <w:rsid w:val="00C9586C"/>
    <w:rsid w:val="00C964F8"/>
    <w:rsid w:val="00C96688"/>
    <w:rsid w:val="00C96A06"/>
    <w:rsid w:val="00CA0723"/>
    <w:rsid w:val="00CA3117"/>
    <w:rsid w:val="00CA4542"/>
    <w:rsid w:val="00CA505F"/>
    <w:rsid w:val="00CA6394"/>
    <w:rsid w:val="00CA7EB9"/>
    <w:rsid w:val="00CB1690"/>
    <w:rsid w:val="00CC151E"/>
    <w:rsid w:val="00CC1C95"/>
    <w:rsid w:val="00CC40EB"/>
    <w:rsid w:val="00CC4365"/>
    <w:rsid w:val="00CD11B0"/>
    <w:rsid w:val="00CD174B"/>
    <w:rsid w:val="00CD1C29"/>
    <w:rsid w:val="00CD5E0E"/>
    <w:rsid w:val="00CE5252"/>
    <w:rsid w:val="00CE71C2"/>
    <w:rsid w:val="00CF0B8A"/>
    <w:rsid w:val="00CF260A"/>
    <w:rsid w:val="00CF3AC9"/>
    <w:rsid w:val="00CF42D5"/>
    <w:rsid w:val="00CF4EDA"/>
    <w:rsid w:val="00CF6892"/>
    <w:rsid w:val="00CF7CC8"/>
    <w:rsid w:val="00D00E32"/>
    <w:rsid w:val="00D01E11"/>
    <w:rsid w:val="00D021CB"/>
    <w:rsid w:val="00D05073"/>
    <w:rsid w:val="00D0617A"/>
    <w:rsid w:val="00D06C10"/>
    <w:rsid w:val="00D071C7"/>
    <w:rsid w:val="00D10F1A"/>
    <w:rsid w:val="00D116F8"/>
    <w:rsid w:val="00D15280"/>
    <w:rsid w:val="00D16ACA"/>
    <w:rsid w:val="00D17596"/>
    <w:rsid w:val="00D17DEE"/>
    <w:rsid w:val="00D22640"/>
    <w:rsid w:val="00D26D3A"/>
    <w:rsid w:val="00D44CAC"/>
    <w:rsid w:val="00D45C91"/>
    <w:rsid w:val="00D45EE3"/>
    <w:rsid w:val="00D50618"/>
    <w:rsid w:val="00D509E9"/>
    <w:rsid w:val="00D53B1C"/>
    <w:rsid w:val="00D544F5"/>
    <w:rsid w:val="00D57A58"/>
    <w:rsid w:val="00D652C8"/>
    <w:rsid w:val="00D656FF"/>
    <w:rsid w:val="00D72F2A"/>
    <w:rsid w:val="00D74DEE"/>
    <w:rsid w:val="00D7535E"/>
    <w:rsid w:val="00D757B3"/>
    <w:rsid w:val="00D82448"/>
    <w:rsid w:val="00D83615"/>
    <w:rsid w:val="00D90B1B"/>
    <w:rsid w:val="00D97037"/>
    <w:rsid w:val="00DA1B12"/>
    <w:rsid w:val="00DA3BA9"/>
    <w:rsid w:val="00DA4CD7"/>
    <w:rsid w:val="00DA4F90"/>
    <w:rsid w:val="00DA54C9"/>
    <w:rsid w:val="00DA5631"/>
    <w:rsid w:val="00DA6739"/>
    <w:rsid w:val="00DA6CAE"/>
    <w:rsid w:val="00DB1A9E"/>
    <w:rsid w:val="00DB31D6"/>
    <w:rsid w:val="00DB3296"/>
    <w:rsid w:val="00DB3670"/>
    <w:rsid w:val="00DB4005"/>
    <w:rsid w:val="00DB4EBD"/>
    <w:rsid w:val="00DB61F1"/>
    <w:rsid w:val="00DB6DEC"/>
    <w:rsid w:val="00DB6DF2"/>
    <w:rsid w:val="00DC2C5E"/>
    <w:rsid w:val="00DC325B"/>
    <w:rsid w:val="00DC34EB"/>
    <w:rsid w:val="00DC45B0"/>
    <w:rsid w:val="00DC78C0"/>
    <w:rsid w:val="00DC7E05"/>
    <w:rsid w:val="00DD03B5"/>
    <w:rsid w:val="00DE2C10"/>
    <w:rsid w:val="00DE44FC"/>
    <w:rsid w:val="00DF14C9"/>
    <w:rsid w:val="00DF15F8"/>
    <w:rsid w:val="00DF1E5B"/>
    <w:rsid w:val="00DF2275"/>
    <w:rsid w:val="00DF3F5E"/>
    <w:rsid w:val="00DF4D9B"/>
    <w:rsid w:val="00DF5653"/>
    <w:rsid w:val="00DF68B0"/>
    <w:rsid w:val="00DF6E3F"/>
    <w:rsid w:val="00E01BE3"/>
    <w:rsid w:val="00E0596E"/>
    <w:rsid w:val="00E06F66"/>
    <w:rsid w:val="00E07591"/>
    <w:rsid w:val="00E112D4"/>
    <w:rsid w:val="00E12361"/>
    <w:rsid w:val="00E2111A"/>
    <w:rsid w:val="00E21678"/>
    <w:rsid w:val="00E24FB3"/>
    <w:rsid w:val="00E356E5"/>
    <w:rsid w:val="00E36F81"/>
    <w:rsid w:val="00E373F5"/>
    <w:rsid w:val="00E378A8"/>
    <w:rsid w:val="00E40B9B"/>
    <w:rsid w:val="00E43606"/>
    <w:rsid w:val="00E45765"/>
    <w:rsid w:val="00E46EE8"/>
    <w:rsid w:val="00E5098C"/>
    <w:rsid w:val="00E55C1F"/>
    <w:rsid w:val="00E57E07"/>
    <w:rsid w:val="00E60120"/>
    <w:rsid w:val="00E60213"/>
    <w:rsid w:val="00E6222C"/>
    <w:rsid w:val="00E661B2"/>
    <w:rsid w:val="00E74D29"/>
    <w:rsid w:val="00E806FF"/>
    <w:rsid w:val="00E83C74"/>
    <w:rsid w:val="00E83CEE"/>
    <w:rsid w:val="00E8526B"/>
    <w:rsid w:val="00E91F18"/>
    <w:rsid w:val="00E9226D"/>
    <w:rsid w:val="00EA416C"/>
    <w:rsid w:val="00EA5941"/>
    <w:rsid w:val="00EA635B"/>
    <w:rsid w:val="00EB60CE"/>
    <w:rsid w:val="00EB7D53"/>
    <w:rsid w:val="00EC1EC9"/>
    <w:rsid w:val="00EC596B"/>
    <w:rsid w:val="00ED007C"/>
    <w:rsid w:val="00ED2D1E"/>
    <w:rsid w:val="00ED6B97"/>
    <w:rsid w:val="00EE1000"/>
    <w:rsid w:val="00EE13C5"/>
    <w:rsid w:val="00EE3146"/>
    <w:rsid w:val="00EE3A8B"/>
    <w:rsid w:val="00EE48C5"/>
    <w:rsid w:val="00EE52DC"/>
    <w:rsid w:val="00EF0D55"/>
    <w:rsid w:val="00EF50BB"/>
    <w:rsid w:val="00EF71E4"/>
    <w:rsid w:val="00F00192"/>
    <w:rsid w:val="00F01DF6"/>
    <w:rsid w:val="00F027B8"/>
    <w:rsid w:val="00F0340D"/>
    <w:rsid w:val="00F04DDE"/>
    <w:rsid w:val="00F05652"/>
    <w:rsid w:val="00F059A6"/>
    <w:rsid w:val="00F07012"/>
    <w:rsid w:val="00F23756"/>
    <w:rsid w:val="00F250ED"/>
    <w:rsid w:val="00F2523A"/>
    <w:rsid w:val="00F25FFA"/>
    <w:rsid w:val="00F3003F"/>
    <w:rsid w:val="00F310D2"/>
    <w:rsid w:val="00F346E2"/>
    <w:rsid w:val="00F36F3D"/>
    <w:rsid w:val="00F37C48"/>
    <w:rsid w:val="00F44900"/>
    <w:rsid w:val="00F463CB"/>
    <w:rsid w:val="00F46F30"/>
    <w:rsid w:val="00F474E2"/>
    <w:rsid w:val="00F477BD"/>
    <w:rsid w:val="00F50333"/>
    <w:rsid w:val="00F51AA9"/>
    <w:rsid w:val="00F53491"/>
    <w:rsid w:val="00F54656"/>
    <w:rsid w:val="00F55386"/>
    <w:rsid w:val="00F56411"/>
    <w:rsid w:val="00F60181"/>
    <w:rsid w:val="00F64A1A"/>
    <w:rsid w:val="00F65A1C"/>
    <w:rsid w:val="00F66F50"/>
    <w:rsid w:val="00F70642"/>
    <w:rsid w:val="00F7291E"/>
    <w:rsid w:val="00F7451E"/>
    <w:rsid w:val="00F751A2"/>
    <w:rsid w:val="00F7553D"/>
    <w:rsid w:val="00F77432"/>
    <w:rsid w:val="00F81162"/>
    <w:rsid w:val="00F82FF8"/>
    <w:rsid w:val="00F8330D"/>
    <w:rsid w:val="00F84305"/>
    <w:rsid w:val="00F843B0"/>
    <w:rsid w:val="00F8485C"/>
    <w:rsid w:val="00F87149"/>
    <w:rsid w:val="00F87FFE"/>
    <w:rsid w:val="00F954C9"/>
    <w:rsid w:val="00F97490"/>
    <w:rsid w:val="00FA17B5"/>
    <w:rsid w:val="00FA4CF0"/>
    <w:rsid w:val="00FA5804"/>
    <w:rsid w:val="00FA61AA"/>
    <w:rsid w:val="00FA69A4"/>
    <w:rsid w:val="00FA6C3F"/>
    <w:rsid w:val="00FB0DE2"/>
    <w:rsid w:val="00FB1279"/>
    <w:rsid w:val="00FB1495"/>
    <w:rsid w:val="00FB4DFF"/>
    <w:rsid w:val="00FC12BB"/>
    <w:rsid w:val="00FC20F8"/>
    <w:rsid w:val="00FD0CA0"/>
    <w:rsid w:val="00FD151E"/>
    <w:rsid w:val="00FD1694"/>
    <w:rsid w:val="00FD4F4B"/>
    <w:rsid w:val="00FD7636"/>
    <w:rsid w:val="00FD79BE"/>
    <w:rsid w:val="00FE01CB"/>
    <w:rsid w:val="00FE2F6A"/>
    <w:rsid w:val="00FE3229"/>
    <w:rsid w:val="00FE6C06"/>
    <w:rsid w:val="00FE74C3"/>
    <w:rsid w:val="00FE7A6D"/>
    <w:rsid w:val="00FF19DB"/>
    <w:rsid w:val="00FF215C"/>
    <w:rsid w:val="00FF49E8"/>
    <w:rsid w:val="00FF56C5"/>
    <w:rsid w:val="00FF5D41"/>
    <w:rsid w:val="00FF672F"/>
    <w:rsid w:val="00FF7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lsdException w:name="List Number 4" w:locked="1"/>
    <w:lsdException w:name="List Number 5" w:lock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24"/>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style>
  <w:style w:type="paragraph" w:styleId="ListNumber2">
    <w:name w:val="List Number 2"/>
    <w:basedOn w:val="Normal"/>
    <w:uiPriority w:val="99"/>
    <w:rsid w:val="00005CAA"/>
  </w:style>
  <w:style w:type="paragraph" w:styleId="ListNumber3">
    <w:name w:val="List Number 3"/>
    <w:basedOn w:val="Normal"/>
    <w:uiPriority w:val="99"/>
    <w:rsid w:val="00005CAA"/>
  </w:style>
  <w:style w:type="paragraph" w:styleId="ListNumber4">
    <w:name w:val="List Number 4"/>
    <w:basedOn w:val="Normal"/>
    <w:uiPriority w:val="99"/>
    <w:rsid w:val="00005CAA"/>
  </w:style>
  <w:style w:type="paragraph" w:styleId="ListNumber5">
    <w:name w:val="List Number 5"/>
    <w:basedOn w:val="Normal"/>
    <w:uiPriority w:val="99"/>
    <w:rsid w:val="00005CAA"/>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CommentText">
    <w:name w:val="annotation text"/>
    <w:basedOn w:val="Normal"/>
    <w:link w:val="CommentTextChar"/>
    <w:uiPriority w:val="99"/>
    <w:semiHidden/>
    <w:rsid w:val="005A0077"/>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locked/>
    <w:rsid w:val="005A0077"/>
    <w:rPr>
      <w:rFonts w:cs="Times New Roman"/>
      <w:lang w:eastAsia="en-US"/>
    </w:rPr>
  </w:style>
  <w:style w:type="character" w:styleId="CommentReference">
    <w:name w:val="annotation reference"/>
    <w:basedOn w:val="DefaultParagraphFont"/>
    <w:uiPriority w:val="99"/>
    <w:semiHidden/>
    <w:rsid w:val="00E07591"/>
    <w:rPr>
      <w:rFonts w:cs="Times New Roman"/>
      <w:sz w:val="16"/>
      <w:szCs w:val="16"/>
    </w:rPr>
  </w:style>
  <w:style w:type="paragraph" w:styleId="CommentSubject">
    <w:name w:val="annotation subject"/>
    <w:basedOn w:val="CommentText"/>
    <w:next w:val="CommentText"/>
    <w:link w:val="CommentSubjectChar"/>
    <w:uiPriority w:val="99"/>
    <w:semiHidden/>
    <w:rsid w:val="00E0759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84A92"/>
    <w:rPr>
      <w:rFonts w:ascii="Times New Roman" w:eastAsia="Times New Roman" w:hAnsi="Times New Roman" w:cs="Times New Roman"/>
      <w:b/>
      <w:bCs/>
      <w:sz w:val="20"/>
      <w:szCs w:val="20"/>
      <w:lang w:eastAsia="en-US"/>
    </w:rPr>
  </w:style>
  <w:style w:type="numbering" w:customStyle="1" w:styleId="BulletList">
    <w:name w:val="Bullet List"/>
    <w:rsid w:val="00F84A92"/>
    <w:pPr>
      <w:numPr>
        <w:numId w:val="22"/>
      </w:numPr>
    </w:pPr>
  </w:style>
  <w:style w:type="numbering" w:customStyle="1" w:styleId="Attach">
    <w:name w:val="Attach"/>
    <w:rsid w:val="00F84A92"/>
    <w:pPr>
      <w:numPr>
        <w:numId w:val="23"/>
      </w:numPr>
    </w:pPr>
  </w:style>
  <w:style w:type="numbering" w:customStyle="1" w:styleId="KeyPoints">
    <w:name w:val="Key Points"/>
    <w:rsid w:val="00F84A92"/>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lsdException w:name="List Number 4" w:locked="1"/>
    <w:lsdException w:name="List Number 5" w:lock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24"/>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style>
  <w:style w:type="paragraph" w:styleId="ListNumber2">
    <w:name w:val="List Number 2"/>
    <w:basedOn w:val="Normal"/>
    <w:uiPriority w:val="99"/>
    <w:rsid w:val="00005CAA"/>
  </w:style>
  <w:style w:type="paragraph" w:styleId="ListNumber3">
    <w:name w:val="List Number 3"/>
    <w:basedOn w:val="Normal"/>
    <w:uiPriority w:val="99"/>
    <w:rsid w:val="00005CAA"/>
  </w:style>
  <w:style w:type="paragraph" w:styleId="ListNumber4">
    <w:name w:val="List Number 4"/>
    <w:basedOn w:val="Normal"/>
    <w:uiPriority w:val="99"/>
    <w:rsid w:val="00005CAA"/>
  </w:style>
  <w:style w:type="paragraph" w:styleId="ListNumber5">
    <w:name w:val="List Number 5"/>
    <w:basedOn w:val="Normal"/>
    <w:uiPriority w:val="99"/>
    <w:rsid w:val="00005CAA"/>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CommentText">
    <w:name w:val="annotation text"/>
    <w:basedOn w:val="Normal"/>
    <w:link w:val="CommentTextChar"/>
    <w:uiPriority w:val="99"/>
    <w:semiHidden/>
    <w:rsid w:val="005A0077"/>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locked/>
    <w:rsid w:val="005A0077"/>
    <w:rPr>
      <w:rFonts w:cs="Times New Roman"/>
      <w:lang w:eastAsia="en-US"/>
    </w:rPr>
  </w:style>
  <w:style w:type="character" w:styleId="CommentReference">
    <w:name w:val="annotation reference"/>
    <w:basedOn w:val="DefaultParagraphFont"/>
    <w:uiPriority w:val="99"/>
    <w:semiHidden/>
    <w:rsid w:val="00E07591"/>
    <w:rPr>
      <w:rFonts w:cs="Times New Roman"/>
      <w:sz w:val="16"/>
      <w:szCs w:val="16"/>
    </w:rPr>
  </w:style>
  <w:style w:type="paragraph" w:styleId="CommentSubject">
    <w:name w:val="annotation subject"/>
    <w:basedOn w:val="CommentText"/>
    <w:next w:val="CommentText"/>
    <w:link w:val="CommentSubjectChar"/>
    <w:uiPriority w:val="99"/>
    <w:semiHidden/>
    <w:rsid w:val="00E07591"/>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F84A92"/>
    <w:rPr>
      <w:rFonts w:ascii="Times New Roman" w:eastAsia="Times New Roman" w:hAnsi="Times New Roman" w:cs="Times New Roman"/>
      <w:b/>
      <w:bCs/>
      <w:sz w:val="20"/>
      <w:szCs w:val="20"/>
      <w:lang w:eastAsia="en-US"/>
    </w:rPr>
  </w:style>
  <w:style w:type="numbering" w:customStyle="1" w:styleId="BulletList">
    <w:name w:val="Bullet List"/>
    <w:rsid w:val="00F84A92"/>
    <w:pPr>
      <w:numPr>
        <w:numId w:val="22"/>
      </w:numPr>
    </w:pPr>
  </w:style>
  <w:style w:type="numbering" w:customStyle="1" w:styleId="Attach">
    <w:name w:val="Attach"/>
    <w:rsid w:val="00F84A92"/>
    <w:pPr>
      <w:numPr>
        <w:numId w:val="23"/>
      </w:numPr>
    </w:pPr>
  </w:style>
  <w:style w:type="numbering" w:customStyle="1" w:styleId="KeyPoints">
    <w:name w:val="Key Points"/>
    <w:rsid w:val="00F84A92"/>
    <w:pPr>
      <w:numPr>
        <w:numId w:val="21"/>
      </w:numPr>
    </w:pPr>
  </w:style>
</w:styles>
</file>

<file path=word/webSettings.xml><?xml version="1.0" encoding="utf-8"?>
<w:webSettings xmlns:r="http://schemas.openxmlformats.org/officeDocument/2006/relationships" xmlns:w="http://schemas.openxmlformats.org/wordprocessingml/2006/main">
  <w:divs>
    <w:div w:id="748816761">
      <w:bodyDiv w:val="1"/>
      <w:marLeft w:val="0"/>
      <w:marRight w:val="0"/>
      <w:marTop w:val="0"/>
      <w:marBottom w:val="0"/>
      <w:divBdr>
        <w:top w:val="none" w:sz="0" w:space="0" w:color="auto"/>
        <w:left w:val="none" w:sz="0" w:space="0" w:color="auto"/>
        <w:bottom w:val="none" w:sz="0" w:space="0" w:color="auto"/>
        <w:right w:val="none" w:sz="0" w:space="0" w:color="auto"/>
      </w:divBdr>
    </w:div>
    <w:div w:id="1104954442">
      <w:bodyDiv w:val="1"/>
      <w:marLeft w:val="0"/>
      <w:marRight w:val="0"/>
      <w:marTop w:val="0"/>
      <w:marBottom w:val="0"/>
      <w:divBdr>
        <w:top w:val="none" w:sz="0" w:space="0" w:color="auto"/>
        <w:left w:val="none" w:sz="0" w:space="0" w:color="auto"/>
        <w:bottom w:val="none" w:sz="0" w:space="0" w:color="auto"/>
        <w:right w:val="none" w:sz="0" w:space="0" w:color="auto"/>
      </w:divBdr>
    </w:div>
    <w:div w:id="1727340150">
      <w:marLeft w:val="0"/>
      <w:marRight w:val="0"/>
      <w:marTop w:val="0"/>
      <w:marBottom w:val="0"/>
      <w:divBdr>
        <w:top w:val="none" w:sz="0" w:space="0" w:color="auto"/>
        <w:left w:val="none" w:sz="0" w:space="0" w:color="auto"/>
        <w:bottom w:val="none" w:sz="0" w:space="0" w:color="auto"/>
        <w:right w:val="none" w:sz="0" w:space="0" w:color="auto"/>
      </w:divBdr>
    </w:div>
    <w:div w:id="1727340151">
      <w:marLeft w:val="0"/>
      <w:marRight w:val="0"/>
      <w:marTop w:val="0"/>
      <w:marBottom w:val="0"/>
      <w:divBdr>
        <w:top w:val="none" w:sz="0" w:space="0" w:color="auto"/>
        <w:left w:val="none" w:sz="0" w:space="0" w:color="auto"/>
        <w:bottom w:val="none" w:sz="0" w:space="0" w:color="auto"/>
        <w:right w:val="none" w:sz="0" w:space="0" w:color="auto"/>
      </w:divBdr>
    </w:div>
    <w:div w:id="1727340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iro.au/Organisation-Structure/Flagships/Water-for-a-Heathly-Country-Flagship/Sustainable-Yeilds-Projects/Great-Artesian-Basin-Assessment.aspx" TargetMode="External"/><Relationship Id="rId4" Type="http://schemas.openxmlformats.org/officeDocument/2006/relationships/settings" Target="settings.xml"/><Relationship Id="rId9" Type="http://schemas.openxmlformats.org/officeDocument/2006/relationships/hyperlink" Target="http://www.environment.gov.au.au/coal-seam-gas-mining/project-advice/pubs/iesc-information-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2C218-812A-41D0-AE11-A20BBB76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4159</Words>
  <Characters>25022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development</dc:title>
  <dc:creator/>
  <cp:lastModifiedBy/>
  <cp:revision>1</cp:revision>
  <dcterms:created xsi:type="dcterms:W3CDTF">2014-10-29T23:13:00Z</dcterms:created>
  <dcterms:modified xsi:type="dcterms:W3CDTF">2014-10-29T23:13:00Z</dcterms:modified>
</cp:coreProperties>
</file>