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FD4" w:rsidRDefault="00F82709" w:rsidP="00F027B8">
      <w:pPr>
        <w:pStyle w:val="Header"/>
        <w:keepLines/>
        <w:tabs>
          <w:tab w:val="left" w:pos="2835"/>
        </w:tabs>
        <w:spacing w:after="200" w:line="276" w:lineRule="auto"/>
        <w:ind w:left="-1134" w:right="-1136"/>
        <w:rPr>
          <w:rFonts w:ascii="Arial" w:hAnsi="Arial" w:cs="Arial"/>
          <w:b/>
        </w:rPr>
      </w:pPr>
      <w:r>
        <w:rPr>
          <w:noProof/>
          <w:lang w:eastAsia="en-AU"/>
        </w:rPr>
        <w:drawing>
          <wp:anchor distT="0" distB="0" distL="114300" distR="114300" simplePos="0" relativeHeight="251658240" behindDoc="0" locked="0" layoutInCell="1" allowOverlap="1">
            <wp:simplePos x="0" y="0"/>
            <wp:positionH relativeFrom="column">
              <wp:posOffset>-907415</wp:posOffset>
            </wp:positionH>
            <wp:positionV relativeFrom="paragraph">
              <wp:posOffset>-883285</wp:posOffset>
            </wp:positionV>
            <wp:extent cx="7572375" cy="2357120"/>
            <wp:effectExtent l="19050" t="0" r="9525"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572375" cy="2357120"/>
                    </a:xfrm>
                    <a:prstGeom prst="rect">
                      <a:avLst/>
                    </a:prstGeom>
                    <a:noFill/>
                  </pic:spPr>
                </pic:pic>
              </a:graphicData>
            </a:graphic>
          </wp:anchor>
        </w:drawing>
      </w:r>
      <w:proofErr w:type="spellStart"/>
      <w:r w:rsidR="00FC3FD4" w:rsidRPr="002A5EC3">
        <w:rPr>
          <w:rFonts w:ascii="Arial" w:hAnsi="Arial" w:cs="Arial"/>
          <w:b/>
        </w:rPr>
        <w:t>Advi</w:t>
      </w:r>
      <w:proofErr w:type="spellEnd"/>
    </w:p>
    <w:p w:rsidR="00FC3FD4" w:rsidRDefault="00FC3FD4" w:rsidP="0032087E">
      <w:pPr>
        <w:pStyle w:val="Header"/>
        <w:keepLines/>
        <w:tabs>
          <w:tab w:val="left" w:pos="2835"/>
        </w:tabs>
        <w:spacing w:after="200" w:line="276" w:lineRule="auto"/>
        <w:ind w:left="-360" w:right="-289"/>
        <w:jc w:val="center"/>
        <w:rPr>
          <w:rFonts w:ascii="Arial" w:hAnsi="Arial" w:cs="Arial"/>
          <w:b/>
        </w:rPr>
      </w:pPr>
    </w:p>
    <w:p w:rsidR="00FC3FD4" w:rsidRDefault="00FC3FD4" w:rsidP="0032087E">
      <w:pPr>
        <w:pStyle w:val="Header"/>
        <w:keepLines/>
        <w:tabs>
          <w:tab w:val="left" w:pos="2835"/>
        </w:tabs>
        <w:spacing w:after="200" w:line="276" w:lineRule="auto"/>
        <w:ind w:left="-360" w:right="-289"/>
        <w:jc w:val="center"/>
        <w:rPr>
          <w:rFonts w:ascii="Arial" w:hAnsi="Arial" w:cs="Arial"/>
          <w:b/>
        </w:rPr>
      </w:pPr>
    </w:p>
    <w:p w:rsidR="00FC3FD4" w:rsidRDefault="00FC3FD4" w:rsidP="0032087E">
      <w:pPr>
        <w:pStyle w:val="Header"/>
        <w:keepLines/>
        <w:tabs>
          <w:tab w:val="left" w:pos="2835"/>
        </w:tabs>
        <w:spacing w:after="200" w:line="276" w:lineRule="auto"/>
        <w:ind w:left="-360" w:right="-289"/>
        <w:jc w:val="center"/>
        <w:rPr>
          <w:rFonts w:ascii="Arial" w:hAnsi="Arial" w:cs="Arial"/>
          <w:b/>
        </w:rPr>
      </w:pPr>
    </w:p>
    <w:p w:rsidR="00FC3FD4" w:rsidRDefault="00FC3FD4" w:rsidP="0032087E">
      <w:pPr>
        <w:pStyle w:val="Header"/>
        <w:keepLines/>
        <w:tabs>
          <w:tab w:val="left" w:pos="2835"/>
        </w:tabs>
        <w:spacing w:after="200" w:line="276" w:lineRule="auto"/>
        <w:ind w:left="-360" w:right="-289"/>
        <w:jc w:val="center"/>
        <w:rPr>
          <w:rFonts w:ascii="Arial" w:hAnsi="Arial" w:cs="Arial"/>
          <w:b/>
        </w:rPr>
      </w:pPr>
    </w:p>
    <w:p w:rsidR="00FC3FD4" w:rsidRPr="002A5EC3" w:rsidRDefault="00FC3FD4" w:rsidP="0032087E">
      <w:pPr>
        <w:pStyle w:val="Header"/>
        <w:keepLines/>
        <w:tabs>
          <w:tab w:val="left" w:pos="2835"/>
        </w:tabs>
        <w:spacing w:after="200" w:line="276" w:lineRule="auto"/>
        <w:ind w:left="-360" w:right="-289"/>
        <w:jc w:val="center"/>
        <w:rPr>
          <w:rFonts w:ascii="Arial" w:hAnsi="Arial" w:cs="Arial"/>
          <w:b/>
        </w:rPr>
      </w:pPr>
      <w:bookmarkStart w:id="0" w:name="OLE_LINK1"/>
      <w:bookmarkStart w:id="1" w:name="OLE_LINK2"/>
      <w:r>
        <w:rPr>
          <w:rFonts w:ascii="Arial" w:hAnsi="Arial" w:cs="Arial"/>
          <w:b/>
        </w:rPr>
        <w:t>Advi</w:t>
      </w:r>
      <w:r w:rsidRPr="002A5EC3">
        <w:rPr>
          <w:rFonts w:ascii="Arial" w:hAnsi="Arial" w:cs="Arial"/>
          <w:b/>
        </w:rPr>
        <w:t>ce to decision maker on coal seam gas project</w:t>
      </w:r>
      <w:bookmarkEnd w:id="0"/>
      <w:bookmarkEnd w:id="1"/>
    </w:p>
    <w:p w:rsidR="00FC3FD4" w:rsidRPr="002A5EC3" w:rsidRDefault="00FC3FD4" w:rsidP="0032087E">
      <w:pPr>
        <w:pStyle w:val="Header"/>
        <w:keepLines/>
        <w:tabs>
          <w:tab w:val="left" w:pos="2835"/>
        </w:tabs>
        <w:spacing w:after="200" w:line="276" w:lineRule="auto"/>
        <w:ind w:left="-360" w:right="-289"/>
        <w:jc w:val="center"/>
        <w:rPr>
          <w:rFonts w:ascii="Arial" w:hAnsi="Arial" w:cs="Arial"/>
          <w:b/>
          <w:sz w:val="20"/>
          <w:lang w:eastAsia="en-AU"/>
        </w:rPr>
      </w:pPr>
      <w:r w:rsidRPr="002A5EC3">
        <w:rPr>
          <w:rFonts w:ascii="Arial" w:hAnsi="Arial" w:cs="Arial"/>
          <w:b/>
          <w:sz w:val="20"/>
          <w:lang w:eastAsia="en-AU"/>
        </w:rPr>
        <w:t xml:space="preserve">Proposed action: </w:t>
      </w:r>
      <w:r>
        <w:rPr>
          <w:rFonts w:ascii="Arial" w:hAnsi="Arial" w:cs="Arial"/>
          <w:b/>
          <w:sz w:val="20"/>
          <w:lang w:eastAsia="en-AU"/>
        </w:rPr>
        <w:t>Arrow Surat Gas Project</w:t>
      </w:r>
      <w:r w:rsidRPr="002A5EC3">
        <w:rPr>
          <w:rFonts w:ascii="Arial" w:hAnsi="Arial" w:cs="Arial"/>
          <w:b/>
          <w:sz w:val="20"/>
          <w:lang w:eastAsia="en-AU"/>
        </w:rPr>
        <w:t xml:space="preserve"> (EPBC </w:t>
      </w:r>
      <w:r>
        <w:rPr>
          <w:rFonts w:ascii="Arial" w:hAnsi="Arial" w:cs="Arial"/>
          <w:b/>
          <w:sz w:val="20"/>
          <w:lang w:eastAsia="en-AU"/>
        </w:rPr>
        <w:t>2010/5344</w:t>
      </w:r>
      <w:r w:rsidRPr="002A5EC3">
        <w:rPr>
          <w:rFonts w:ascii="Arial" w:hAnsi="Arial" w:cs="Arial"/>
          <w:b/>
          <w:sz w:val="20"/>
          <w:lang w:eastAsia="en-AU"/>
        </w:rPr>
        <w:t>)</w:t>
      </w:r>
      <w:r>
        <w:rPr>
          <w:rFonts w:ascii="Arial" w:hAnsi="Arial" w:cs="Arial"/>
          <w:b/>
          <w:sz w:val="20"/>
          <w:lang w:eastAsia="en-AU"/>
        </w:rPr>
        <w:t xml:space="preserve"> – Expansion</w:t>
      </w:r>
    </w:p>
    <w:tbl>
      <w:tblPr>
        <w:tblW w:w="9914" w:type="dxa"/>
        <w:tblBorders>
          <w:insideH w:val="single" w:sz="4" w:space="0" w:color="auto"/>
        </w:tblBorders>
        <w:tblCellMar>
          <w:top w:w="113" w:type="dxa"/>
          <w:bottom w:w="113" w:type="dxa"/>
        </w:tblCellMar>
        <w:tblLook w:val="01E0"/>
      </w:tblPr>
      <w:tblGrid>
        <w:gridCol w:w="1526"/>
        <w:gridCol w:w="124"/>
        <w:gridCol w:w="8159"/>
        <w:gridCol w:w="105"/>
      </w:tblGrid>
      <w:tr w:rsidR="00FC3FD4" w:rsidRPr="002A5EC3" w:rsidTr="00553034">
        <w:trPr>
          <w:gridAfter w:val="1"/>
          <w:wAfter w:w="105" w:type="dxa"/>
          <w:trHeight w:val="158"/>
        </w:trPr>
        <w:tc>
          <w:tcPr>
            <w:tcW w:w="1526" w:type="dxa"/>
          </w:tcPr>
          <w:p w:rsidR="00FC3FD4" w:rsidRPr="002A5EC3" w:rsidRDefault="00FC3FD4" w:rsidP="00B96D6F">
            <w:pPr>
              <w:pStyle w:val="tablelabel"/>
              <w:spacing w:line="276" w:lineRule="auto"/>
              <w:rPr>
                <w:rFonts w:cs="Arial"/>
                <w:b w:val="0"/>
                <w:color w:val="FF0000"/>
                <w:sz w:val="20"/>
              </w:rPr>
            </w:pPr>
            <w:r w:rsidRPr="002A5EC3">
              <w:rPr>
                <w:rFonts w:cs="Arial"/>
                <w:sz w:val="20"/>
              </w:rPr>
              <w:t>Requesting agency</w:t>
            </w:r>
          </w:p>
        </w:tc>
        <w:tc>
          <w:tcPr>
            <w:tcW w:w="8283" w:type="dxa"/>
            <w:gridSpan w:val="2"/>
          </w:tcPr>
          <w:p w:rsidR="00FC3FD4" w:rsidRPr="002A5EC3" w:rsidRDefault="00FC3FD4" w:rsidP="00283B55">
            <w:pPr>
              <w:spacing w:line="276" w:lineRule="auto"/>
              <w:rPr>
                <w:rFonts w:ascii="Arial" w:hAnsi="Arial" w:cs="Arial"/>
                <w:sz w:val="20"/>
                <w:szCs w:val="20"/>
              </w:rPr>
            </w:pPr>
            <w:r w:rsidRPr="002A5EC3">
              <w:rPr>
                <w:rFonts w:ascii="Arial" w:hAnsi="Arial" w:cs="Arial"/>
                <w:sz w:val="20"/>
                <w:szCs w:val="20"/>
              </w:rPr>
              <w:t>Department of Sustainability, Environment, Water, Population and Communities</w:t>
            </w:r>
          </w:p>
        </w:tc>
      </w:tr>
      <w:tr w:rsidR="00FC3FD4" w:rsidRPr="002A5EC3" w:rsidTr="00553034">
        <w:trPr>
          <w:gridAfter w:val="1"/>
          <w:wAfter w:w="105" w:type="dxa"/>
          <w:trHeight w:val="136"/>
        </w:trPr>
        <w:tc>
          <w:tcPr>
            <w:tcW w:w="1526" w:type="dxa"/>
          </w:tcPr>
          <w:p w:rsidR="00FC3FD4" w:rsidRPr="002A5EC3" w:rsidRDefault="00FC3FD4" w:rsidP="00B96D6F">
            <w:pPr>
              <w:pStyle w:val="tablelabel"/>
              <w:spacing w:line="276" w:lineRule="auto"/>
              <w:rPr>
                <w:rFonts w:cs="Arial"/>
                <w:sz w:val="20"/>
              </w:rPr>
            </w:pPr>
            <w:r w:rsidRPr="002A5EC3">
              <w:rPr>
                <w:rFonts w:cs="Arial"/>
                <w:sz w:val="20"/>
              </w:rPr>
              <w:t>Date of request</w:t>
            </w:r>
          </w:p>
        </w:tc>
        <w:tc>
          <w:tcPr>
            <w:tcW w:w="8283" w:type="dxa"/>
            <w:gridSpan w:val="2"/>
          </w:tcPr>
          <w:p w:rsidR="00FC3FD4" w:rsidRPr="002A5EC3" w:rsidRDefault="00FC3FD4" w:rsidP="00D93693">
            <w:pPr>
              <w:spacing w:line="276" w:lineRule="auto"/>
              <w:rPr>
                <w:rFonts w:ascii="Arial" w:hAnsi="Arial" w:cs="Arial"/>
                <w:sz w:val="20"/>
                <w:szCs w:val="20"/>
              </w:rPr>
            </w:pPr>
            <w:r>
              <w:rPr>
                <w:rFonts w:ascii="Arial" w:hAnsi="Arial" w:cs="Arial"/>
                <w:sz w:val="20"/>
                <w:szCs w:val="20"/>
              </w:rPr>
              <w:t xml:space="preserve">14 </w:t>
            </w:r>
            <w:r w:rsidR="00D93693">
              <w:rPr>
                <w:rFonts w:ascii="Arial" w:hAnsi="Arial" w:cs="Arial"/>
                <w:sz w:val="20"/>
                <w:szCs w:val="20"/>
              </w:rPr>
              <w:t>January</w:t>
            </w:r>
            <w:r>
              <w:rPr>
                <w:rFonts w:ascii="Arial" w:hAnsi="Arial" w:cs="Arial"/>
                <w:sz w:val="20"/>
                <w:szCs w:val="20"/>
              </w:rPr>
              <w:t xml:space="preserve"> </w:t>
            </w:r>
            <w:r w:rsidRPr="002A5EC3">
              <w:rPr>
                <w:rFonts w:ascii="Arial" w:hAnsi="Arial" w:cs="Arial"/>
                <w:sz w:val="20"/>
                <w:szCs w:val="20"/>
              </w:rPr>
              <w:t>201</w:t>
            </w:r>
            <w:r>
              <w:rPr>
                <w:rFonts w:ascii="Arial" w:hAnsi="Arial" w:cs="Arial"/>
                <w:sz w:val="20"/>
                <w:szCs w:val="20"/>
              </w:rPr>
              <w:t>3</w:t>
            </w:r>
            <w:r w:rsidRPr="002A5EC3">
              <w:rPr>
                <w:rFonts w:ascii="Arial" w:hAnsi="Arial" w:cs="Arial"/>
                <w:b/>
                <w:color w:val="FF0000"/>
                <w:sz w:val="20"/>
                <w:szCs w:val="20"/>
              </w:rPr>
              <w:t xml:space="preserve"> </w:t>
            </w:r>
          </w:p>
        </w:tc>
      </w:tr>
      <w:tr w:rsidR="00FC3FD4" w:rsidRPr="002A5EC3" w:rsidTr="00553034">
        <w:trPr>
          <w:gridAfter w:val="1"/>
          <w:wAfter w:w="105" w:type="dxa"/>
          <w:trHeight w:val="19"/>
        </w:trPr>
        <w:tc>
          <w:tcPr>
            <w:tcW w:w="1526" w:type="dxa"/>
          </w:tcPr>
          <w:p w:rsidR="00FC3FD4" w:rsidRPr="002A5EC3" w:rsidRDefault="00FC3FD4" w:rsidP="00B96D6F">
            <w:pPr>
              <w:pStyle w:val="tablelabel"/>
              <w:spacing w:line="276" w:lineRule="auto"/>
              <w:rPr>
                <w:rFonts w:cs="Arial"/>
                <w:sz w:val="20"/>
              </w:rPr>
            </w:pPr>
            <w:r w:rsidRPr="002A5EC3">
              <w:rPr>
                <w:rFonts w:cs="Arial"/>
                <w:sz w:val="20"/>
              </w:rPr>
              <w:t>Date request accepted</w:t>
            </w:r>
          </w:p>
        </w:tc>
        <w:tc>
          <w:tcPr>
            <w:tcW w:w="8283" w:type="dxa"/>
            <w:gridSpan w:val="2"/>
          </w:tcPr>
          <w:p w:rsidR="00FC3FD4" w:rsidRPr="002A5EC3" w:rsidRDefault="00D93693" w:rsidP="00D93693">
            <w:pPr>
              <w:spacing w:line="276" w:lineRule="auto"/>
              <w:rPr>
                <w:rFonts w:ascii="Arial" w:hAnsi="Arial" w:cs="Arial"/>
                <w:color w:val="FF0000"/>
                <w:sz w:val="20"/>
                <w:szCs w:val="20"/>
              </w:rPr>
            </w:pPr>
            <w:r>
              <w:rPr>
                <w:rFonts w:ascii="Arial" w:hAnsi="Arial" w:cs="Arial"/>
                <w:sz w:val="20"/>
                <w:szCs w:val="20"/>
              </w:rPr>
              <w:t>14 January</w:t>
            </w:r>
            <w:r w:rsidR="00FC3FD4">
              <w:rPr>
                <w:rFonts w:ascii="Arial" w:hAnsi="Arial" w:cs="Arial"/>
                <w:sz w:val="20"/>
                <w:szCs w:val="20"/>
              </w:rPr>
              <w:t xml:space="preserve"> </w:t>
            </w:r>
            <w:r w:rsidR="00FC3FD4" w:rsidRPr="002A5EC3">
              <w:rPr>
                <w:rFonts w:ascii="Arial" w:hAnsi="Arial" w:cs="Arial"/>
                <w:sz w:val="20"/>
                <w:szCs w:val="20"/>
              </w:rPr>
              <w:t>201</w:t>
            </w:r>
            <w:r w:rsidR="00FC3FD4">
              <w:rPr>
                <w:rFonts w:ascii="Arial" w:hAnsi="Arial" w:cs="Arial"/>
                <w:sz w:val="20"/>
                <w:szCs w:val="20"/>
              </w:rPr>
              <w:t>3</w:t>
            </w:r>
          </w:p>
        </w:tc>
      </w:tr>
      <w:tr w:rsidR="00FC3FD4" w:rsidRPr="002A5EC3" w:rsidTr="00C56E1D">
        <w:trPr>
          <w:gridAfter w:val="1"/>
          <w:wAfter w:w="105" w:type="dxa"/>
          <w:trHeight w:val="393"/>
        </w:trPr>
        <w:tc>
          <w:tcPr>
            <w:tcW w:w="1526" w:type="dxa"/>
            <w:vAlign w:val="center"/>
          </w:tcPr>
          <w:p w:rsidR="00FC3FD4" w:rsidRPr="00B451D3" w:rsidRDefault="00FC3FD4" w:rsidP="00B96D6F">
            <w:pPr>
              <w:pStyle w:val="tablelabel"/>
              <w:rPr>
                <w:rFonts w:cs="Arial"/>
                <w:b w:val="0"/>
                <w:color w:val="FF0000"/>
                <w:sz w:val="20"/>
              </w:rPr>
            </w:pPr>
            <w:r>
              <w:rPr>
                <w:rFonts w:cs="Arial"/>
                <w:sz w:val="20"/>
              </w:rPr>
              <w:t xml:space="preserve">Advice stage </w:t>
            </w:r>
          </w:p>
        </w:tc>
        <w:tc>
          <w:tcPr>
            <w:tcW w:w="8283" w:type="dxa"/>
            <w:gridSpan w:val="2"/>
            <w:vAlign w:val="center"/>
          </w:tcPr>
          <w:p w:rsidR="00FC3FD4" w:rsidRPr="00283B55" w:rsidRDefault="00FC3FD4" w:rsidP="00CA6D2B">
            <w:pPr>
              <w:autoSpaceDE w:val="0"/>
              <w:autoSpaceDN w:val="0"/>
              <w:adjustRightInd w:val="0"/>
              <w:rPr>
                <w:rFonts w:ascii="Arial" w:hAnsi="Arial" w:cs="Arial"/>
                <w:sz w:val="20"/>
                <w:lang w:eastAsia="en-AU"/>
              </w:rPr>
            </w:pPr>
            <w:r>
              <w:rPr>
                <w:rFonts w:ascii="Arial" w:hAnsi="Arial" w:cs="Arial"/>
                <w:sz w:val="20"/>
                <w:lang w:eastAsia="en-AU"/>
              </w:rPr>
              <w:t>Environment Impact Assessment (draft)</w:t>
            </w:r>
            <w:r w:rsidRPr="005A703F">
              <w:rPr>
                <w:rFonts w:ascii="Arial" w:hAnsi="Arial" w:cs="Arial"/>
                <w:b/>
                <w:color w:val="FF0000"/>
                <w:sz w:val="20"/>
                <w:szCs w:val="20"/>
              </w:rPr>
              <w:t xml:space="preserve"> </w:t>
            </w:r>
          </w:p>
        </w:tc>
      </w:tr>
      <w:tr w:rsidR="00FC3FD4" w:rsidRPr="002A5EC3" w:rsidTr="00553034">
        <w:trPr>
          <w:gridAfter w:val="1"/>
          <w:wAfter w:w="105" w:type="dxa"/>
          <w:trHeight w:val="2588"/>
        </w:trPr>
        <w:tc>
          <w:tcPr>
            <w:tcW w:w="1526" w:type="dxa"/>
          </w:tcPr>
          <w:p w:rsidR="00FC3FD4" w:rsidRPr="002A5EC3" w:rsidRDefault="00FC3FD4" w:rsidP="00B96D6F">
            <w:pPr>
              <w:pStyle w:val="tablelabel"/>
              <w:spacing w:after="360" w:line="276" w:lineRule="auto"/>
              <w:rPr>
                <w:rFonts w:cs="Arial"/>
                <w:sz w:val="20"/>
              </w:rPr>
            </w:pPr>
            <w:r w:rsidRPr="002A5EC3">
              <w:rPr>
                <w:rFonts w:cs="Arial"/>
                <w:sz w:val="20"/>
              </w:rPr>
              <w:t>Summary of request</w:t>
            </w:r>
            <w:r>
              <w:rPr>
                <w:rFonts w:cs="Arial"/>
                <w:sz w:val="20"/>
              </w:rPr>
              <w:t xml:space="preserve"> from the regulator</w:t>
            </w:r>
          </w:p>
        </w:tc>
        <w:tc>
          <w:tcPr>
            <w:tcW w:w="8283" w:type="dxa"/>
            <w:gridSpan w:val="2"/>
          </w:tcPr>
          <w:p w:rsidR="00FC3FD4" w:rsidRDefault="00FC3FD4" w:rsidP="00D97037">
            <w:pPr>
              <w:tabs>
                <w:tab w:val="left" w:pos="425"/>
              </w:tabs>
              <w:spacing w:after="200" w:line="276" w:lineRule="auto"/>
              <w:rPr>
                <w:rFonts w:ascii="Arial" w:hAnsi="Arial" w:cs="Arial"/>
                <w:b/>
                <w:color w:val="FF0000"/>
                <w:sz w:val="20"/>
                <w:szCs w:val="20"/>
              </w:rPr>
            </w:pPr>
            <w:r w:rsidRPr="002A5EC3">
              <w:rPr>
                <w:rFonts w:ascii="Arial" w:hAnsi="Arial" w:cs="Arial"/>
                <w:sz w:val="20"/>
                <w:szCs w:val="20"/>
              </w:rPr>
              <w:t>The</w:t>
            </w:r>
            <w:r>
              <w:rPr>
                <w:rFonts w:ascii="Arial" w:hAnsi="Arial" w:cs="Arial"/>
                <w:sz w:val="20"/>
                <w:szCs w:val="20"/>
              </w:rPr>
              <w:t xml:space="preserve"> </w:t>
            </w:r>
            <w:r w:rsidRPr="002A5EC3">
              <w:rPr>
                <w:rFonts w:ascii="Arial" w:hAnsi="Arial" w:cs="Arial"/>
                <w:sz w:val="20"/>
                <w:szCs w:val="20"/>
              </w:rPr>
              <w:t>Department of Sustainability, Environment, Water, Population and C</w:t>
            </w:r>
            <w:r>
              <w:rPr>
                <w:rFonts w:ascii="Arial" w:hAnsi="Arial" w:cs="Arial"/>
                <w:sz w:val="20"/>
                <w:szCs w:val="20"/>
              </w:rPr>
              <w:t>ommunities (the D</w:t>
            </w:r>
            <w:r w:rsidRPr="002A5EC3">
              <w:rPr>
                <w:rFonts w:ascii="Arial" w:hAnsi="Arial" w:cs="Arial"/>
                <w:sz w:val="20"/>
                <w:szCs w:val="20"/>
              </w:rPr>
              <w:t xml:space="preserve">epartment) is currently assessing the proposed project in accordance with the provisions of the </w:t>
            </w:r>
            <w:r w:rsidRPr="002A5EC3">
              <w:rPr>
                <w:rFonts w:ascii="Arial" w:hAnsi="Arial" w:cs="Arial"/>
                <w:i/>
                <w:sz w:val="20"/>
                <w:szCs w:val="20"/>
              </w:rPr>
              <w:t xml:space="preserve">Environment Protection and Biodiversity Conservation Act 1999 </w:t>
            </w:r>
            <w:r w:rsidRPr="002A5EC3">
              <w:rPr>
                <w:rFonts w:ascii="Arial" w:hAnsi="Arial" w:cs="Arial"/>
                <w:sz w:val="20"/>
                <w:szCs w:val="20"/>
              </w:rPr>
              <w:t>(EPBC Act)</w:t>
            </w:r>
            <w:r>
              <w:rPr>
                <w:rFonts w:ascii="Arial" w:hAnsi="Arial" w:cs="Arial"/>
                <w:sz w:val="20"/>
                <w:szCs w:val="20"/>
              </w:rPr>
              <w:t>.</w:t>
            </w:r>
          </w:p>
          <w:p w:rsidR="00FC3FD4" w:rsidRPr="00B643C8" w:rsidRDefault="00FC3FD4" w:rsidP="00B643C8">
            <w:pPr>
              <w:pStyle w:val="Default"/>
              <w:spacing w:after="200" w:line="276" w:lineRule="auto"/>
              <w:rPr>
                <w:rFonts w:ascii="Arial" w:hAnsi="Arial" w:cs="Arial"/>
                <w:color w:val="auto"/>
                <w:sz w:val="20"/>
                <w:szCs w:val="20"/>
                <w:lang w:eastAsia="en-US"/>
              </w:rPr>
            </w:pPr>
            <w:r>
              <w:rPr>
                <w:rFonts w:ascii="Arial" w:hAnsi="Arial" w:cs="Arial"/>
                <w:color w:val="auto"/>
                <w:sz w:val="20"/>
                <w:szCs w:val="20"/>
                <w:lang w:eastAsia="en-US"/>
              </w:rPr>
              <w:t>The D</w:t>
            </w:r>
            <w:r w:rsidRPr="002A5EC3">
              <w:rPr>
                <w:rFonts w:ascii="Arial" w:hAnsi="Arial" w:cs="Arial"/>
                <w:color w:val="auto"/>
                <w:sz w:val="20"/>
                <w:szCs w:val="20"/>
                <w:lang w:eastAsia="en-US"/>
              </w:rPr>
              <w:t xml:space="preserve">epartment </w:t>
            </w:r>
            <w:r>
              <w:rPr>
                <w:rFonts w:ascii="Arial" w:hAnsi="Arial" w:cs="Arial"/>
                <w:color w:val="auto"/>
                <w:sz w:val="20"/>
                <w:szCs w:val="20"/>
                <w:lang w:eastAsia="en-US"/>
              </w:rPr>
              <w:t xml:space="preserve">notifies </w:t>
            </w:r>
            <w:r w:rsidRPr="002A5EC3">
              <w:rPr>
                <w:rFonts w:ascii="Arial" w:hAnsi="Arial" w:cs="Arial"/>
                <w:color w:val="auto"/>
                <w:sz w:val="20"/>
                <w:szCs w:val="20"/>
                <w:lang w:eastAsia="en-US"/>
              </w:rPr>
              <w:t xml:space="preserve">the Independent Expert Scientific Committee on Coal Seam Gas and </w:t>
            </w:r>
            <w:r>
              <w:rPr>
                <w:rFonts w:ascii="Arial" w:hAnsi="Arial" w:cs="Arial"/>
                <w:color w:val="auto"/>
                <w:sz w:val="20"/>
                <w:szCs w:val="20"/>
                <w:lang w:eastAsia="en-US"/>
              </w:rPr>
              <w:t xml:space="preserve">Large </w:t>
            </w:r>
            <w:r w:rsidRPr="002A5EC3">
              <w:rPr>
                <w:rFonts w:ascii="Arial" w:hAnsi="Arial" w:cs="Arial"/>
                <w:color w:val="auto"/>
                <w:sz w:val="20"/>
                <w:szCs w:val="20"/>
                <w:lang w:eastAsia="en-US"/>
              </w:rPr>
              <w:t xml:space="preserve">Coal Mining </w:t>
            </w:r>
            <w:r>
              <w:rPr>
                <w:rFonts w:ascii="Arial" w:hAnsi="Arial" w:cs="Arial"/>
                <w:color w:val="auto"/>
                <w:sz w:val="20"/>
                <w:szCs w:val="20"/>
                <w:lang w:eastAsia="en-US"/>
              </w:rPr>
              <w:t xml:space="preserve">Development </w:t>
            </w:r>
            <w:r w:rsidRPr="002A5EC3">
              <w:rPr>
                <w:rFonts w:ascii="Arial" w:hAnsi="Arial" w:cs="Arial"/>
                <w:color w:val="auto"/>
                <w:sz w:val="20"/>
                <w:szCs w:val="20"/>
                <w:lang w:eastAsia="en-US"/>
              </w:rPr>
              <w:t xml:space="preserve">(the </w:t>
            </w:r>
            <w:r>
              <w:rPr>
                <w:rFonts w:ascii="Arial" w:hAnsi="Arial" w:cs="Arial"/>
                <w:color w:val="auto"/>
                <w:sz w:val="20"/>
                <w:szCs w:val="20"/>
                <w:lang w:eastAsia="en-US"/>
              </w:rPr>
              <w:t>C</w:t>
            </w:r>
            <w:r w:rsidRPr="002A5EC3">
              <w:rPr>
                <w:rFonts w:ascii="Arial" w:hAnsi="Arial" w:cs="Arial"/>
                <w:color w:val="auto"/>
                <w:sz w:val="20"/>
                <w:szCs w:val="20"/>
                <w:lang w:eastAsia="en-US"/>
              </w:rPr>
              <w:t xml:space="preserve">ommittee) of an opportunity to comment on a </w:t>
            </w:r>
            <w:r w:rsidRPr="00B643C8">
              <w:rPr>
                <w:rFonts w:ascii="Arial" w:hAnsi="Arial" w:cs="Arial"/>
                <w:color w:val="auto"/>
                <w:sz w:val="20"/>
                <w:szCs w:val="20"/>
                <w:lang w:eastAsia="en-US"/>
              </w:rPr>
              <w:t xml:space="preserve">draft environmental impact statement (EIS). The </w:t>
            </w:r>
            <w:r w:rsidR="00F35807">
              <w:rPr>
                <w:rFonts w:ascii="Arial" w:hAnsi="Arial" w:cs="Arial"/>
                <w:color w:val="auto"/>
                <w:sz w:val="20"/>
                <w:szCs w:val="20"/>
                <w:lang w:eastAsia="en-US"/>
              </w:rPr>
              <w:t>D</w:t>
            </w:r>
            <w:r w:rsidR="00F35807" w:rsidRPr="00B643C8">
              <w:rPr>
                <w:rFonts w:ascii="Arial" w:hAnsi="Arial" w:cs="Arial"/>
                <w:color w:val="auto"/>
                <w:sz w:val="20"/>
                <w:szCs w:val="20"/>
                <w:lang w:eastAsia="en-US"/>
              </w:rPr>
              <w:t xml:space="preserve">epartment </w:t>
            </w:r>
            <w:r w:rsidRPr="00B643C8">
              <w:rPr>
                <w:rFonts w:ascii="Arial" w:hAnsi="Arial" w:cs="Arial"/>
                <w:color w:val="auto"/>
                <w:sz w:val="20"/>
                <w:szCs w:val="20"/>
                <w:lang w:eastAsia="en-US"/>
              </w:rPr>
              <w:t>seeks the advice of the Committee on:</w:t>
            </w:r>
          </w:p>
          <w:p w:rsidR="00FC3FD4" w:rsidRPr="00B643C8" w:rsidRDefault="00FC3FD4" w:rsidP="002B4DA0">
            <w:pPr>
              <w:pStyle w:val="ListNumber"/>
              <w:numPr>
                <w:ilvl w:val="0"/>
                <w:numId w:val="7"/>
              </w:numPr>
              <w:spacing w:line="276" w:lineRule="auto"/>
              <w:rPr>
                <w:rFonts w:ascii="Arial" w:hAnsi="Arial" w:cs="Arial"/>
                <w:sz w:val="20"/>
                <w:szCs w:val="20"/>
              </w:rPr>
            </w:pPr>
            <w:r w:rsidRPr="00B643C8">
              <w:rPr>
                <w:rFonts w:ascii="Arial" w:hAnsi="Arial" w:cs="Arial"/>
                <w:sz w:val="20"/>
                <w:szCs w:val="20"/>
              </w:rPr>
              <w:t xml:space="preserve">Does the draft EIS adequately address impacts to matters of national environmental significance relating to surface and/or ground water dependant species and communities? </w:t>
            </w:r>
          </w:p>
          <w:p w:rsidR="00FC3FD4" w:rsidRDefault="00FC3FD4" w:rsidP="00F82709">
            <w:pPr>
              <w:pStyle w:val="ListNumber"/>
              <w:numPr>
                <w:ilvl w:val="0"/>
                <w:numId w:val="7"/>
              </w:numPr>
              <w:spacing w:line="276" w:lineRule="auto"/>
              <w:rPr>
                <w:rFonts w:ascii="Arial" w:hAnsi="Arial" w:cs="Arial"/>
                <w:sz w:val="20"/>
                <w:szCs w:val="20"/>
              </w:rPr>
            </w:pPr>
            <w:r w:rsidRPr="00B643C8">
              <w:rPr>
                <w:rFonts w:ascii="Arial" w:hAnsi="Arial" w:cs="Arial"/>
                <w:sz w:val="20"/>
                <w:szCs w:val="20"/>
              </w:rPr>
              <w:t xml:space="preserve">Is the modelling that has been undertaken to support the EIS adequate to estimate </w:t>
            </w:r>
            <w:proofErr w:type="spellStart"/>
            <w:r w:rsidRPr="00B643C8">
              <w:rPr>
                <w:rFonts w:ascii="Arial" w:hAnsi="Arial" w:cs="Arial"/>
                <w:sz w:val="20"/>
                <w:szCs w:val="20"/>
              </w:rPr>
              <w:t>hydrogeological</w:t>
            </w:r>
            <w:proofErr w:type="spellEnd"/>
            <w:r w:rsidRPr="00B643C8">
              <w:rPr>
                <w:rFonts w:ascii="Arial" w:hAnsi="Arial" w:cs="Arial"/>
                <w:sz w:val="20"/>
                <w:szCs w:val="20"/>
              </w:rPr>
              <w:t xml:space="preserve"> impacts within the Great Artesian Basin and other affected ground and surface water systems?</w:t>
            </w:r>
          </w:p>
          <w:p w:rsidR="00FC3FD4" w:rsidRPr="00B643C8" w:rsidRDefault="00FC3FD4" w:rsidP="00685CEC">
            <w:pPr>
              <w:pStyle w:val="ListNumber"/>
              <w:spacing w:line="276" w:lineRule="auto"/>
              <w:ind w:left="369"/>
              <w:rPr>
                <w:rFonts w:ascii="Arial" w:hAnsi="Arial" w:cs="Arial"/>
                <w:sz w:val="20"/>
                <w:szCs w:val="20"/>
              </w:rPr>
            </w:pPr>
          </w:p>
          <w:p w:rsidR="00FC3FD4" w:rsidRPr="00B643C8" w:rsidRDefault="00FC3FD4" w:rsidP="00B643C8">
            <w:pPr>
              <w:pStyle w:val="Default"/>
              <w:spacing w:after="200" w:line="276" w:lineRule="auto"/>
              <w:rPr>
                <w:rFonts w:ascii="Arial" w:hAnsi="Arial" w:cs="Arial"/>
                <w:color w:val="auto"/>
                <w:sz w:val="20"/>
                <w:szCs w:val="20"/>
                <w:lang w:eastAsia="en-US"/>
              </w:rPr>
            </w:pPr>
            <w:r w:rsidRPr="00B643C8">
              <w:rPr>
                <w:rFonts w:ascii="Arial" w:hAnsi="Arial" w:cs="Arial"/>
                <w:color w:val="auto"/>
                <w:sz w:val="20"/>
                <w:szCs w:val="20"/>
                <w:lang w:eastAsia="en-US"/>
              </w:rPr>
              <w:t xml:space="preserve">Specifically, the </w:t>
            </w:r>
            <w:r w:rsidR="00685CA5">
              <w:rPr>
                <w:rFonts w:ascii="Arial" w:hAnsi="Arial" w:cs="Arial"/>
                <w:color w:val="auto"/>
                <w:sz w:val="20"/>
                <w:szCs w:val="20"/>
                <w:lang w:eastAsia="en-US"/>
              </w:rPr>
              <w:t>D</w:t>
            </w:r>
            <w:r w:rsidRPr="00B643C8">
              <w:rPr>
                <w:rFonts w:ascii="Arial" w:hAnsi="Arial" w:cs="Arial"/>
                <w:color w:val="auto"/>
                <w:sz w:val="20"/>
                <w:szCs w:val="20"/>
                <w:lang w:eastAsia="en-US"/>
              </w:rPr>
              <w:t>epartment asks the Committee to consider:</w:t>
            </w:r>
          </w:p>
          <w:p w:rsidR="00FC3FD4" w:rsidRPr="00B643C8" w:rsidRDefault="00FC3FD4" w:rsidP="00F82709">
            <w:pPr>
              <w:pStyle w:val="ListNumber"/>
              <w:numPr>
                <w:ilvl w:val="0"/>
                <w:numId w:val="6"/>
              </w:numPr>
              <w:spacing w:line="276" w:lineRule="auto"/>
              <w:rPr>
                <w:rFonts w:ascii="Arial" w:hAnsi="Arial" w:cs="Arial"/>
                <w:sz w:val="20"/>
                <w:szCs w:val="20"/>
              </w:rPr>
            </w:pPr>
            <w:r w:rsidRPr="00B643C8">
              <w:rPr>
                <w:rFonts w:ascii="Arial" w:hAnsi="Arial" w:cs="Arial"/>
                <w:sz w:val="20"/>
                <w:szCs w:val="20"/>
              </w:rPr>
              <w:t>What are the likely impacts to the community of native species dependent on natural discharge of groundwater from the Great Artesian Basin and what further information, if any, is required to assess impacts on this community?</w:t>
            </w:r>
          </w:p>
          <w:p w:rsidR="00FC3FD4" w:rsidRPr="00B643C8" w:rsidRDefault="00FC3FD4" w:rsidP="00F82709">
            <w:pPr>
              <w:pStyle w:val="ListNumber"/>
              <w:numPr>
                <w:ilvl w:val="0"/>
                <w:numId w:val="7"/>
              </w:numPr>
              <w:spacing w:line="276" w:lineRule="auto"/>
              <w:rPr>
                <w:rFonts w:ascii="Arial" w:hAnsi="Arial" w:cs="Arial"/>
                <w:sz w:val="20"/>
                <w:szCs w:val="20"/>
              </w:rPr>
            </w:pPr>
            <w:r w:rsidRPr="00B643C8">
              <w:rPr>
                <w:rFonts w:ascii="Arial" w:hAnsi="Arial" w:cs="Arial"/>
                <w:sz w:val="20"/>
                <w:szCs w:val="20"/>
              </w:rPr>
              <w:t>What are the likely impacts to listed threatened species dependent on artesian springs and what further information, if any, is required to assess potential water related impacts on these species?</w:t>
            </w:r>
          </w:p>
          <w:p w:rsidR="00FC3FD4" w:rsidRPr="00B643C8" w:rsidRDefault="00FC3FD4" w:rsidP="00F82709">
            <w:pPr>
              <w:pStyle w:val="ListNumber"/>
              <w:numPr>
                <w:ilvl w:val="0"/>
                <w:numId w:val="7"/>
              </w:numPr>
              <w:spacing w:line="276" w:lineRule="auto"/>
              <w:rPr>
                <w:rFonts w:ascii="Arial" w:hAnsi="Arial" w:cs="Arial"/>
                <w:sz w:val="20"/>
                <w:szCs w:val="20"/>
              </w:rPr>
            </w:pPr>
            <w:r w:rsidRPr="00B643C8">
              <w:rPr>
                <w:rFonts w:ascii="Arial" w:hAnsi="Arial" w:cs="Arial"/>
                <w:sz w:val="20"/>
                <w:szCs w:val="20"/>
              </w:rPr>
              <w:t>Does the draft EIS adequately address cumulative impacts to ground and surface water systems, and in particular water dependant matters of national environmental significance?</w:t>
            </w:r>
          </w:p>
        </w:tc>
      </w:tr>
      <w:tr w:rsidR="00FC3FD4" w:rsidRPr="00B451D3" w:rsidTr="00553034">
        <w:trPr>
          <w:gridAfter w:val="1"/>
          <w:wAfter w:w="105" w:type="dxa"/>
          <w:trHeight w:val="1052"/>
        </w:trPr>
        <w:tc>
          <w:tcPr>
            <w:tcW w:w="9809" w:type="dxa"/>
            <w:gridSpan w:val="3"/>
            <w:tcBorders>
              <w:bottom w:val="single" w:sz="4" w:space="0" w:color="auto"/>
            </w:tcBorders>
          </w:tcPr>
          <w:p w:rsidR="00FC3FD4" w:rsidRDefault="00FC3FD4" w:rsidP="00B96D6F">
            <w:pPr>
              <w:pStyle w:val="tablelabel"/>
              <w:spacing w:after="200" w:line="276" w:lineRule="auto"/>
              <w:rPr>
                <w:rFonts w:cs="Arial"/>
                <w:sz w:val="20"/>
              </w:rPr>
            </w:pPr>
            <w:r w:rsidRPr="00F37C48">
              <w:rPr>
                <w:rFonts w:cs="Arial"/>
                <w:sz w:val="20"/>
              </w:rPr>
              <w:lastRenderedPageBreak/>
              <w:t>Advice</w:t>
            </w:r>
          </w:p>
          <w:p w:rsidR="00FC3FD4" w:rsidRDefault="00FC3FD4" w:rsidP="001E3FCD">
            <w:pPr>
              <w:pStyle w:val="ListNumber"/>
              <w:spacing w:after="120"/>
              <w:rPr>
                <w:rFonts w:ascii="Arial" w:hAnsi="Arial" w:cs="Arial"/>
                <w:sz w:val="20"/>
                <w:szCs w:val="20"/>
              </w:rPr>
            </w:pPr>
            <w:r>
              <w:rPr>
                <w:rFonts w:ascii="Arial" w:hAnsi="Arial" w:cs="Arial"/>
                <w:sz w:val="20"/>
                <w:szCs w:val="20"/>
              </w:rPr>
              <w:t>The Committee was referred the Surat Gas Project, Queensland, for advice</w:t>
            </w:r>
            <w:r w:rsidR="00E76AF9">
              <w:rPr>
                <w:rFonts w:ascii="Arial" w:hAnsi="Arial" w:cs="Arial"/>
                <w:sz w:val="20"/>
                <w:szCs w:val="20"/>
              </w:rPr>
              <w:t xml:space="preserve"> to the Commonwealth regulator,</w:t>
            </w:r>
            <w:r>
              <w:rPr>
                <w:rFonts w:ascii="Arial" w:hAnsi="Arial" w:cs="Arial"/>
                <w:sz w:val="20"/>
                <w:szCs w:val="20"/>
              </w:rPr>
              <w:t xml:space="preserve"> at the draft environmental impact statement sta</w:t>
            </w:r>
            <w:r w:rsidR="00E76AF9">
              <w:rPr>
                <w:rFonts w:ascii="Arial" w:hAnsi="Arial" w:cs="Arial"/>
                <w:sz w:val="20"/>
                <w:szCs w:val="20"/>
              </w:rPr>
              <w:t xml:space="preserve">ge. </w:t>
            </w:r>
            <w:r>
              <w:rPr>
                <w:rFonts w:ascii="Arial" w:hAnsi="Arial" w:cs="Arial"/>
                <w:sz w:val="20"/>
                <w:szCs w:val="20"/>
              </w:rPr>
              <w:t>The above questions have been renumbered one through to five.</w:t>
            </w:r>
          </w:p>
          <w:p w:rsidR="00FC3FD4" w:rsidRDefault="00FC3FD4" w:rsidP="001E3FCD">
            <w:pPr>
              <w:pStyle w:val="ListNumber"/>
              <w:spacing w:after="120" w:line="276" w:lineRule="auto"/>
              <w:rPr>
                <w:rFonts w:ascii="Arial" w:hAnsi="Arial" w:cs="Arial"/>
                <w:i/>
                <w:sz w:val="20"/>
                <w:szCs w:val="20"/>
              </w:rPr>
            </w:pPr>
            <w:r>
              <w:rPr>
                <w:rFonts w:ascii="Arial" w:hAnsi="Arial" w:cs="Arial"/>
                <w:i/>
                <w:sz w:val="20"/>
                <w:szCs w:val="20"/>
              </w:rPr>
              <w:t xml:space="preserve">Question 1: </w:t>
            </w:r>
            <w:r w:rsidRPr="0001735E">
              <w:rPr>
                <w:rFonts w:ascii="Arial" w:hAnsi="Arial" w:cs="Arial"/>
                <w:i/>
                <w:sz w:val="20"/>
                <w:szCs w:val="20"/>
              </w:rPr>
              <w:t xml:space="preserve">Does the draft EIS adequately address impacts to matters of national environmental significance relating to surface and/or ground water dependant species and communities? </w:t>
            </w:r>
          </w:p>
          <w:p w:rsidR="00DD2F67" w:rsidRDefault="00E76AF9" w:rsidP="001E3FCD">
            <w:pPr>
              <w:pStyle w:val="ListNumber"/>
              <w:numPr>
                <w:ilvl w:val="0"/>
                <w:numId w:val="17"/>
              </w:numPr>
              <w:spacing w:after="120" w:line="276" w:lineRule="auto"/>
              <w:rPr>
                <w:rFonts w:ascii="Arial" w:hAnsi="Arial" w:cs="Arial"/>
                <w:sz w:val="20"/>
                <w:szCs w:val="20"/>
              </w:rPr>
            </w:pPr>
            <w:r w:rsidRPr="00DD2F67">
              <w:rPr>
                <w:rFonts w:ascii="Arial" w:hAnsi="Arial" w:cs="Arial"/>
                <w:sz w:val="20"/>
                <w:szCs w:val="20"/>
              </w:rPr>
              <w:t xml:space="preserve">The Committee considers that the draft </w:t>
            </w:r>
            <w:r w:rsidR="00DD2F67" w:rsidRPr="00DD2F67">
              <w:rPr>
                <w:rFonts w:ascii="Arial" w:hAnsi="Arial" w:cs="Arial"/>
                <w:sz w:val="20"/>
                <w:szCs w:val="20"/>
              </w:rPr>
              <w:t>Environmental Impact Statement</w:t>
            </w:r>
            <w:r w:rsidRPr="00DD2F67">
              <w:rPr>
                <w:rFonts w:ascii="Arial" w:hAnsi="Arial" w:cs="Arial"/>
                <w:sz w:val="20"/>
                <w:szCs w:val="20"/>
              </w:rPr>
              <w:t xml:space="preserve"> does not adequately address potential impacts to </w:t>
            </w:r>
            <w:r w:rsidR="00685CA5">
              <w:rPr>
                <w:rFonts w:ascii="Arial" w:hAnsi="Arial" w:cs="Arial"/>
                <w:sz w:val="20"/>
                <w:szCs w:val="20"/>
              </w:rPr>
              <w:t>M</w:t>
            </w:r>
            <w:r w:rsidRPr="00DD2F67">
              <w:rPr>
                <w:rFonts w:ascii="Arial" w:hAnsi="Arial" w:cs="Arial"/>
                <w:sz w:val="20"/>
                <w:szCs w:val="20"/>
              </w:rPr>
              <w:t xml:space="preserve">atters of </w:t>
            </w:r>
            <w:r w:rsidR="00685CA5">
              <w:rPr>
                <w:rFonts w:ascii="Arial" w:hAnsi="Arial" w:cs="Arial"/>
                <w:sz w:val="20"/>
                <w:szCs w:val="20"/>
              </w:rPr>
              <w:t>N</w:t>
            </w:r>
            <w:r w:rsidRPr="00DD2F67">
              <w:rPr>
                <w:rFonts w:ascii="Arial" w:hAnsi="Arial" w:cs="Arial"/>
                <w:sz w:val="20"/>
                <w:szCs w:val="20"/>
              </w:rPr>
              <w:t xml:space="preserve">ational </w:t>
            </w:r>
            <w:r w:rsidR="00685CA5">
              <w:rPr>
                <w:rFonts w:ascii="Arial" w:hAnsi="Arial" w:cs="Arial"/>
                <w:sz w:val="20"/>
                <w:szCs w:val="20"/>
              </w:rPr>
              <w:t>Environmental S</w:t>
            </w:r>
            <w:r w:rsidRPr="00DD2F67">
              <w:rPr>
                <w:rFonts w:ascii="Arial" w:hAnsi="Arial" w:cs="Arial"/>
                <w:sz w:val="20"/>
                <w:szCs w:val="20"/>
              </w:rPr>
              <w:t xml:space="preserve">ignificance. </w:t>
            </w:r>
            <w:r w:rsidR="00DD2F67" w:rsidRPr="00DD2F67">
              <w:rPr>
                <w:rFonts w:ascii="Arial" w:hAnsi="Arial" w:cs="Arial"/>
                <w:sz w:val="20"/>
                <w:szCs w:val="20"/>
              </w:rPr>
              <w:t>Specifically, t</w:t>
            </w:r>
            <w:r w:rsidRPr="00DD2F67">
              <w:rPr>
                <w:rFonts w:ascii="Arial" w:hAnsi="Arial" w:cs="Arial"/>
                <w:sz w:val="20"/>
                <w:szCs w:val="20"/>
              </w:rPr>
              <w:t>here was limited information to determine potential impacts to Matters of National Environmental Significance</w:t>
            </w:r>
            <w:r w:rsidR="00DD2F67" w:rsidRPr="00DD2F67">
              <w:rPr>
                <w:rFonts w:ascii="Arial" w:hAnsi="Arial" w:cs="Arial"/>
                <w:sz w:val="20"/>
                <w:szCs w:val="20"/>
              </w:rPr>
              <w:t>, including:</w:t>
            </w:r>
          </w:p>
          <w:p w:rsidR="00FC3FD4" w:rsidRPr="00DD2F67" w:rsidRDefault="002B4DA0" w:rsidP="001E3FCD">
            <w:pPr>
              <w:pStyle w:val="ListNumber"/>
              <w:numPr>
                <w:ilvl w:val="0"/>
                <w:numId w:val="18"/>
              </w:numPr>
              <w:spacing w:after="120" w:line="276" w:lineRule="auto"/>
              <w:rPr>
                <w:rFonts w:ascii="Arial" w:hAnsi="Arial"/>
                <w:sz w:val="20"/>
              </w:rPr>
            </w:pPr>
            <w:proofErr w:type="gramStart"/>
            <w:r>
              <w:rPr>
                <w:rFonts w:ascii="Arial" w:hAnsi="Arial"/>
                <w:i/>
                <w:sz w:val="20"/>
              </w:rPr>
              <w:t>p</w:t>
            </w:r>
            <w:r w:rsidR="00DD2F67" w:rsidRPr="002B4DA0">
              <w:rPr>
                <w:rFonts w:ascii="Arial" w:hAnsi="Arial"/>
                <w:i/>
                <w:sz w:val="20"/>
              </w:rPr>
              <w:t>resence</w:t>
            </w:r>
            <w:proofErr w:type="gramEnd"/>
            <w:r w:rsidR="00DD2F67" w:rsidRPr="002B4DA0">
              <w:rPr>
                <w:rFonts w:ascii="Arial" w:hAnsi="Arial"/>
                <w:i/>
                <w:sz w:val="20"/>
              </w:rPr>
              <w:t xml:space="preserve"> of species</w:t>
            </w:r>
            <w:r w:rsidR="00DD2F67" w:rsidRPr="00DD2F67">
              <w:rPr>
                <w:rFonts w:ascii="Arial" w:hAnsi="Arial"/>
                <w:sz w:val="20"/>
              </w:rPr>
              <w:t xml:space="preserve">: </w:t>
            </w:r>
            <w:r w:rsidR="00E76AF9" w:rsidRPr="00DD2F67">
              <w:rPr>
                <w:rFonts w:ascii="Arial" w:hAnsi="Arial"/>
                <w:sz w:val="20"/>
              </w:rPr>
              <w:t>T</w:t>
            </w:r>
            <w:r w:rsidR="00FC3FD4" w:rsidRPr="00DD2F67">
              <w:rPr>
                <w:rFonts w:ascii="Arial" w:hAnsi="Arial"/>
                <w:sz w:val="20"/>
              </w:rPr>
              <w:t>he proponent conducted a preliminary aquatic survey of the project area. Initially, 73 sites were identified as suitable to be surveyed; however, only 11 sites were sampled as t</w:t>
            </w:r>
            <w:r w:rsidR="00E76AF9" w:rsidRPr="00DD2F67">
              <w:rPr>
                <w:rFonts w:ascii="Arial" w:hAnsi="Arial"/>
                <w:sz w:val="20"/>
              </w:rPr>
              <w:t>he proponent considered these were</w:t>
            </w:r>
            <w:r w:rsidR="00FC3FD4" w:rsidRPr="00DD2F67">
              <w:rPr>
                <w:rFonts w:ascii="Arial" w:hAnsi="Arial"/>
                <w:sz w:val="20"/>
              </w:rPr>
              <w:t xml:space="preserve"> represe</w:t>
            </w:r>
            <w:bookmarkStart w:id="2" w:name="_GoBack"/>
            <w:bookmarkEnd w:id="2"/>
            <w:r w:rsidR="00FC3FD4" w:rsidRPr="00DD2F67">
              <w:rPr>
                <w:rFonts w:ascii="Arial" w:hAnsi="Arial"/>
                <w:sz w:val="20"/>
              </w:rPr>
              <w:t xml:space="preserve">ntative of the ecological conditions across the study area. The Committee considers that </w:t>
            </w:r>
            <w:r w:rsidR="00E76AF9" w:rsidRPr="00DD2F67">
              <w:rPr>
                <w:rFonts w:ascii="Arial" w:hAnsi="Arial"/>
                <w:sz w:val="20"/>
              </w:rPr>
              <w:t>a number of improvements</w:t>
            </w:r>
            <w:r w:rsidR="00FC3FD4" w:rsidRPr="00DD2F67">
              <w:rPr>
                <w:rFonts w:ascii="Arial" w:hAnsi="Arial"/>
                <w:sz w:val="20"/>
              </w:rPr>
              <w:t xml:space="preserve"> could be made to the survey method. As the study area is approximately 8600 km</w:t>
            </w:r>
            <w:r w:rsidR="00FC3FD4" w:rsidRPr="00685CA5">
              <w:rPr>
                <w:rFonts w:ascii="Arial" w:hAnsi="Arial"/>
                <w:sz w:val="20"/>
                <w:vertAlign w:val="superscript"/>
              </w:rPr>
              <w:t>2</w:t>
            </w:r>
            <w:r w:rsidR="00FC3FD4" w:rsidRPr="00DD2F67">
              <w:rPr>
                <w:rFonts w:ascii="Arial" w:hAnsi="Arial"/>
                <w:sz w:val="20"/>
              </w:rPr>
              <w:t>, and contains four sub-catchments in the northern reaches of the Murray-Darl</w:t>
            </w:r>
            <w:r w:rsidR="00E76AF9" w:rsidRPr="00DD2F67">
              <w:rPr>
                <w:rFonts w:ascii="Arial" w:hAnsi="Arial"/>
                <w:sz w:val="20"/>
              </w:rPr>
              <w:t>ing Basin, more sample sites would</w:t>
            </w:r>
            <w:r w:rsidR="00FC3FD4" w:rsidRPr="00DD2F67">
              <w:rPr>
                <w:rFonts w:ascii="Arial" w:hAnsi="Arial"/>
                <w:sz w:val="20"/>
              </w:rPr>
              <w:t xml:space="preserve"> improve the quality of results, such as fish species diversity, distribution and demography</w:t>
            </w:r>
            <w:r w:rsidR="00DD1E5D" w:rsidRPr="00DD2F67">
              <w:rPr>
                <w:rFonts w:ascii="Arial" w:hAnsi="Arial"/>
                <w:sz w:val="20"/>
              </w:rPr>
              <w:t xml:space="preserve">. In addition, it would be </w:t>
            </w:r>
            <w:r w:rsidR="00FC3FD4" w:rsidRPr="00DD2F67">
              <w:rPr>
                <w:rFonts w:ascii="Arial" w:hAnsi="Arial"/>
                <w:sz w:val="20"/>
              </w:rPr>
              <w:t>appropriate to survey sites upstream and downstream of a significant confluence, or upstream and downstrea</w:t>
            </w:r>
            <w:r w:rsidR="00907082">
              <w:rPr>
                <w:rFonts w:ascii="Arial" w:hAnsi="Arial"/>
                <w:sz w:val="20"/>
              </w:rPr>
              <w:t>m of a proposed discharge point;</w:t>
            </w:r>
          </w:p>
          <w:p w:rsidR="00DD1E5D" w:rsidRPr="002B4DA0" w:rsidRDefault="00907082" w:rsidP="001E3FCD">
            <w:pPr>
              <w:pStyle w:val="ListNumber"/>
              <w:numPr>
                <w:ilvl w:val="0"/>
                <w:numId w:val="18"/>
              </w:numPr>
              <w:spacing w:after="120" w:line="276" w:lineRule="auto"/>
              <w:rPr>
                <w:rFonts w:ascii="Arial" w:hAnsi="Arial"/>
                <w:i/>
                <w:sz w:val="20"/>
              </w:rPr>
            </w:pPr>
            <w:proofErr w:type="gramStart"/>
            <w:r>
              <w:rPr>
                <w:rFonts w:ascii="Arial" w:hAnsi="Arial"/>
                <w:i/>
                <w:sz w:val="20"/>
              </w:rPr>
              <w:t>s</w:t>
            </w:r>
            <w:r w:rsidR="002B4DA0" w:rsidRPr="002B4DA0">
              <w:rPr>
                <w:rFonts w:ascii="Arial" w:hAnsi="Arial"/>
                <w:i/>
                <w:sz w:val="20"/>
              </w:rPr>
              <w:t>pecies</w:t>
            </w:r>
            <w:proofErr w:type="gramEnd"/>
            <w:r w:rsidR="002B4DA0" w:rsidRPr="002B4DA0">
              <w:rPr>
                <w:rFonts w:ascii="Arial" w:hAnsi="Arial"/>
                <w:i/>
                <w:sz w:val="20"/>
              </w:rPr>
              <w:t xml:space="preserve"> thresholds: </w:t>
            </w:r>
            <w:r w:rsidR="00F529A9" w:rsidRPr="00907082">
              <w:rPr>
                <w:rFonts w:ascii="Arial" w:hAnsi="Arial"/>
                <w:sz w:val="20"/>
              </w:rPr>
              <w:t>The EPBC listed Murray Cod (</w:t>
            </w:r>
            <w:proofErr w:type="spellStart"/>
            <w:r w:rsidR="00F529A9" w:rsidRPr="00685CA5">
              <w:rPr>
                <w:rFonts w:ascii="Arial" w:hAnsi="Arial"/>
                <w:i/>
                <w:sz w:val="20"/>
              </w:rPr>
              <w:t>Maccullochella</w:t>
            </w:r>
            <w:proofErr w:type="spellEnd"/>
            <w:r w:rsidR="00F529A9" w:rsidRPr="00685CA5">
              <w:rPr>
                <w:rFonts w:ascii="Arial" w:hAnsi="Arial"/>
                <w:i/>
                <w:sz w:val="20"/>
              </w:rPr>
              <w:t xml:space="preserve"> </w:t>
            </w:r>
            <w:proofErr w:type="spellStart"/>
            <w:r w:rsidR="00F529A9" w:rsidRPr="00685CA5">
              <w:rPr>
                <w:rFonts w:ascii="Arial" w:hAnsi="Arial"/>
                <w:i/>
                <w:sz w:val="20"/>
              </w:rPr>
              <w:t>peelii</w:t>
            </w:r>
            <w:proofErr w:type="spellEnd"/>
            <w:r w:rsidR="00F529A9" w:rsidRPr="00685CA5">
              <w:rPr>
                <w:rFonts w:ascii="Arial" w:hAnsi="Arial"/>
                <w:i/>
                <w:sz w:val="20"/>
              </w:rPr>
              <w:t xml:space="preserve"> </w:t>
            </w:r>
            <w:proofErr w:type="spellStart"/>
            <w:r w:rsidR="00F529A9" w:rsidRPr="00685CA5">
              <w:rPr>
                <w:rFonts w:ascii="Arial" w:hAnsi="Arial"/>
                <w:i/>
                <w:sz w:val="20"/>
              </w:rPr>
              <w:t>peelii</w:t>
            </w:r>
            <w:proofErr w:type="spellEnd"/>
            <w:r w:rsidR="00F529A9" w:rsidRPr="00907082">
              <w:rPr>
                <w:rFonts w:ascii="Arial" w:hAnsi="Arial"/>
                <w:sz w:val="20"/>
              </w:rPr>
              <w:t>) is known to be located within the region, but was not sighted during field surveys. However, freshwater blackfish (</w:t>
            </w:r>
            <w:proofErr w:type="spellStart"/>
            <w:r w:rsidR="00F529A9" w:rsidRPr="00685CA5">
              <w:rPr>
                <w:rFonts w:ascii="Arial" w:hAnsi="Arial"/>
                <w:i/>
                <w:sz w:val="20"/>
              </w:rPr>
              <w:t>Gadopsis</w:t>
            </w:r>
            <w:proofErr w:type="spellEnd"/>
            <w:r w:rsidR="00F529A9" w:rsidRPr="00685CA5">
              <w:rPr>
                <w:rFonts w:ascii="Arial" w:hAnsi="Arial"/>
                <w:i/>
                <w:sz w:val="20"/>
              </w:rPr>
              <w:t xml:space="preserve"> </w:t>
            </w:r>
            <w:proofErr w:type="spellStart"/>
            <w:r w:rsidR="00F529A9" w:rsidRPr="00685CA5">
              <w:rPr>
                <w:rFonts w:ascii="Arial" w:hAnsi="Arial"/>
                <w:i/>
                <w:sz w:val="20"/>
              </w:rPr>
              <w:t>mamoratus</w:t>
            </w:r>
            <w:proofErr w:type="spellEnd"/>
            <w:r w:rsidR="00F529A9" w:rsidRPr="00907082">
              <w:rPr>
                <w:rFonts w:ascii="Arial" w:hAnsi="Arial"/>
                <w:sz w:val="20"/>
              </w:rPr>
              <w:t xml:space="preserve">) and purple spotted </w:t>
            </w:r>
            <w:proofErr w:type="spellStart"/>
            <w:r w:rsidR="00F529A9" w:rsidRPr="00907082">
              <w:rPr>
                <w:rFonts w:ascii="Arial" w:hAnsi="Arial"/>
                <w:sz w:val="20"/>
              </w:rPr>
              <w:t>gudgeon</w:t>
            </w:r>
            <w:proofErr w:type="spellEnd"/>
            <w:r w:rsidR="00F529A9" w:rsidRPr="00907082">
              <w:rPr>
                <w:rFonts w:ascii="Arial" w:hAnsi="Arial"/>
                <w:sz w:val="20"/>
              </w:rPr>
              <w:t xml:space="preserve"> (</w:t>
            </w:r>
            <w:proofErr w:type="spellStart"/>
            <w:r w:rsidR="00F529A9" w:rsidRPr="00685CA5">
              <w:rPr>
                <w:rFonts w:ascii="Arial" w:hAnsi="Arial"/>
                <w:i/>
                <w:sz w:val="20"/>
              </w:rPr>
              <w:t>Mogurnda</w:t>
            </w:r>
            <w:proofErr w:type="spellEnd"/>
            <w:r w:rsidR="00F529A9" w:rsidRPr="00685CA5">
              <w:rPr>
                <w:rFonts w:ascii="Arial" w:hAnsi="Arial"/>
                <w:i/>
                <w:sz w:val="20"/>
              </w:rPr>
              <w:t xml:space="preserve"> </w:t>
            </w:r>
            <w:proofErr w:type="spellStart"/>
            <w:r w:rsidR="00F529A9" w:rsidRPr="00685CA5">
              <w:rPr>
                <w:rFonts w:ascii="Arial" w:hAnsi="Arial"/>
                <w:i/>
                <w:sz w:val="20"/>
              </w:rPr>
              <w:t>adspersa</w:t>
            </w:r>
            <w:proofErr w:type="spellEnd"/>
            <w:r w:rsidR="00F529A9" w:rsidRPr="00907082">
              <w:rPr>
                <w:rFonts w:ascii="Arial" w:hAnsi="Arial"/>
                <w:sz w:val="20"/>
              </w:rPr>
              <w:t>)</w:t>
            </w:r>
            <w:r w:rsidR="00685CA5">
              <w:rPr>
                <w:rFonts w:ascii="Arial" w:hAnsi="Arial"/>
                <w:sz w:val="20"/>
              </w:rPr>
              <w:t>,</w:t>
            </w:r>
            <w:r w:rsidR="00E76AF9" w:rsidRPr="00907082">
              <w:rPr>
                <w:rFonts w:ascii="Arial" w:hAnsi="Arial"/>
                <w:sz w:val="20"/>
              </w:rPr>
              <w:t xml:space="preserve"> both of conservation </w:t>
            </w:r>
            <w:r w:rsidR="00685CA5">
              <w:rPr>
                <w:rFonts w:ascii="Arial" w:hAnsi="Arial"/>
                <w:sz w:val="20"/>
              </w:rPr>
              <w:t>concern, were recorded</w:t>
            </w:r>
            <w:r w:rsidRPr="00907082">
              <w:rPr>
                <w:rFonts w:ascii="Arial" w:hAnsi="Arial"/>
                <w:sz w:val="20"/>
              </w:rPr>
              <w:t>;</w:t>
            </w:r>
          </w:p>
          <w:p w:rsidR="00C53B18" w:rsidRDefault="00907082" w:rsidP="001E3FCD">
            <w:pPr>
              <w:pStyle w:val="ListNumber"/>
              <w:numPr>
                <w:ilvl w:val="0"/>
                <w:numId w:val="18"/>
              </w:numPr>
              <w:spacing w:after="120" w:line="276" w:lineRule="auto"/>
              <w:rPr>
                <w:rFonts w:ascii="Arial" w:hAnsi="Arial"/>
                <w:sz w:val="20"/>
              </w:rPr>
            </w:pPr>
            <w:proofErr w:type="gramStart"/>
            <w:r w:rsidRPr="00907082">
              <w:rPr>
                <w:rFonts w:ascii="Arial" w:hAnsi="Arial"/>
                <w:i/>
                <w:sz w:val="20"/>
              </w:rPr>
              <w:t>changes</w:t>
            </w:r>
            <w:proofErr w:type="gramEnd"/>
            <w:r w:rsidRPr="00907082">
              <w:rPr>
                <w:rFonts w:ascii="Arial" w:hAnsi="Arial"/>
                <w:i/>
                <w:sz w:val="20"/>
              </w:rPr>
              <w:t xml:space="preserve"> to surface water hydrology:</w:t>
            </w:r>
            <w:r>
              <w:rPr>
                <w:rFonts w:ascii="Arial" w:hAnsi="Arial"/>
                <w:sz w:val="20"/>
              </w:rPr>
              <w:t xml:space="preserve"> </w:t>
            </w:r>
            <w:r w:rsidR="00FC3FD4" w:rsidRPr="00907082">
              <w:rPr>
                <w:rFonts w:ascii="Arial" w:hAnsi="Arial"/>
                <w:sz w:val="20"/>
              </w:rPr>
              <w:t xml:space="preserve">In terms of cumulative surface water impacts, the Committee considers that the Surat Gas Project has the potential to impact </w:t>
            </w:r>
            <w:r w:rsidR="004E4BC7">
              <w:rPr>
                <w:rFonts w:ascii="Arial" w:hAnsi="Arial"/>
                <w:sz w:val="20"/>
              </w:rPr>
              <w:t xml:space="preserve">on </w:t>
            </w:r>
            <w:r w:rsidR="00FC3FD4" w:rsidRPr="00907082">
              <w:rPr>
                <w:rFonts w:ascii="Arial" w:hAnsi="Arial"/>
                <w:sz w:val="20"/>
              </w:rPr>
              <w:t xml:space="preserve">Matters of National Environmental Significance through changes to </w:t>
            </w:r>
            <w:r w:rsidR="00685CA5">
              <w:rPr>
                <w:rFonts w:ascii="Arial" w:hAnsi="Arial"/>
                <w:sz w:val="20"/>
              </w:rPr>
              <w:t xml:space="preserve">surface water </w:t>
            </w:r>
            <w:r w:rsidR="00FC3FD4" w:rsidRPr="00907082">
              <w:rPr>
                <w:rFonts w:ascii="Arial" w:hAnsi="Arial"/>
                <w:sz w:val="20"/>
              </w:rPr>
              <w:t>hydrology and water quality. The proponent states that discharges are not a preferred management option, but will be considered if an option of substitution for existing allocations, reinjection, or the demand for produced water by third parties is unavailable. The Committee notes that the catchment</w:t>
            </w:r>
            <w:r w:rsidR="00E76AF9" w:rsidRPr="00907082">
              <w:rPr>
                <w:rFonts w:ascii="Arial" w:hAnsi="Arial"/>
                <w:sz w:val="20"/>
              </w:rPr>
              <w:t>s contain</w:t>
            </w:r>
            <w:r w:rsidR="00FC3FD4" w:rsidRPr="00907082">
              <w:rPr>
                <w:rFonts w:ascii="Arial" w:hAnsi="Arial"/>
                <w:sz w:val="20"/>
              </w:rPr>
              <w:t xml:space="preserve"> largely ephemeral systems, and that at least one of the rivers is</w:t>
            </w:r>
            <w:r w:rsidR="00DD1E5D" w:rsidRPr="00907082">
              <w:rPr>
                <w:rFonts w:ascii="Arial" w:hAnsi="Arial"/>
                <w:sz w:val="20"/>
              </w:rPr>
              <w:t xml:space="preserve"> fed by a spring.</w:t>
            </w:r>
            <w:r w:rsidR="009204C3" w:rsidRPr="00907082">
              <w:rPr>
                <w:rFonts w:ascii="Arial" w:hAnsi="Arial"/>
                <w:sz w:val="20"/>
              </w:rPr>
              <w:t xml:space="preserve">  Specific discharge scenarios, including volume, timing and water quality, are critical to assess changes in hydrology and water q</w:t>
            </w:r>
            <w:r w:rsidR="00C53B18" w:rsidRPr="00907082">
              <w:rPr>
                <w:rFonts w:ascii="Arial" w:hAnsi="Arial"/>
                <w:sz w:val="20"/>
              </w:rPr>
              <w:t>uality</w:t>
            </w:r>
            <w:r w:rsidR="009204C3" w:rsidRPr="00907082">
              <w:rPr>
                <w:rFonts w:ascii="Arial" w:hAnsi="Arial"/>
                <w:sz w:val="20"/>
              </w:rPr>
              <w:t xml:space="preserve"> in </w:t>
            </w:r>
            <w:r w:rsidR="004E4BC7">
              <w:rPr>
                <w:rFonts w:ascii="Arial" w:hAnsi="Arial"/>
                <w:sz w:val="20"/>
              </w:rPr>
              <w:t>the receiving environment and subsequent</w:t>
            </w:r>
            <w:r w:rsidR="009204C3" w:rsidRPr="00907082">
              <w:rPr>
                <w:rFonts w:ascii="Arial" w:hAnsi="Arial"/>
                <w:sz w:val="20"/>
              </w:rPr>
              <w:t xml:space="preserve"> impacts to aquatic ecosystems and </w:t>
            </w:r>
            <w:r>
              <w:rPr>
                <w:rFonts w:ascii="Arial" w:hAnsi="Arial"/>
                <w:sz w:val="20"/>
              </w:rPr>
              <w:t>Matters of National Environmental Significance</w:t>
            </w:r>
            <w:r w:rsidR="009204C3" w:rsidRPr="00907082">
              <w:rPr>
                <w:rFonts w:ascii="Arial" w:hAnsi="Arial"/>
                <w:sz w:val="20"/>
              </w:rPr>
              <w:t xml:space="preserve">. </w:t>
            </w:r>
            <w:r w:rsidR="00C53B18" w:rsidRPr="00907082">
              <w:rPr>
                <w:rFonts w:ascii="Arial" w:hAnsi="Arial"/>
                <w:sz w:val="20"/>
              </w:rPr>
              <w:t>Sensitivity of different life stages to water quality and flow regime changes shou</w:t>
            </w:r>
            <w:r w:rsidR="00685CA5">
              <w:rPr>
                <w:rFonts w:ascii="Arial" w:hAnsi="Arial"/>
                <w:sz w:val="20"/>
              </w:rPr>
              <w:t>ld also be considered in regard</w:t>
            </w:r>
            <w:r w:rsidR="00C53B18" w:rsidRPr="00907082">
              <w:rPr>
                <w:rFonts w:ascii="Arial" w:hAnsi="Arial"/>
                <w:sz w:val="20"/>
              </w:rPr>
              <w:t xml:space="preserve"> to pote</w:t>
            </w:r>
            <w:r>
              <w:rPr>
                <w:rFonts w:ascii="Arial" w:hAnsi="Arial"/>
                <w:sz w:val="20"/>
              </w:rPr>
              <w:t xml:space="preserve">ntial impacts from the proposal; </w:t>
            </w:r>
          </w:p>
          <w:p w:rsidR="00685CA5" w:rsidRPr="00685CA5" w:rsidRDefault="00685CA5" w:rsidP="00B96D6F">
            <w:pPr>
              <w:pStyle w:val="ListNumber"/>
              <w:numPr>
                <w:ilvl w:val="0"/>
                <w:numId w:val="18"/>
              </w:numPr>
              <w:spacing w:after="200" w:line="276" w:lineRule="auto"/>
              <w:rPr>
                <w:rFonts w:ascii="Arial" w:hAnsi="Arial"/>
                <w:sz w:val="20"/>
              </w:rPr>
            </w:pPr>
            <w:proofErr w:type="gramStart"/>
            <w:r w:rsidRPr="00685CA5">
              <w:rPr>
                <w:rFonts w:ascii="Arial" w:hAnsi="Arial"/>
                <w:i/>
                <w:sz w:val="20"/>
              </w:rPr>
              <w:t>changes</w:t>
            </w:r>
            <w:proofErr w:type="gramEnd"/>
            <w:r w:rsidRPr="00685CA5">
              <w:rPr>
                <w:rFonts w:ascii="Arial" w:hAnsi="Arial"/>
                <w:i/>
                <w:sz w:val="20"/>
              </w:rPr>
              <w:t xml:space="preserve"> to groundwater hydrology:</w:t>
            </w:r>
            <w:r>
              <w:rPr>
                <w:rFonts w:ascii="Arial" w:hAnsi="Arial"/>
                <w:i/>
                <w:sz w:val="20"/>
              </w:rPr>
              <w:t xml:space="preserve"> </w:t>
            </w:r>
            <w:r w:rsidRPr="00685CA5">
              <w:rPr>
                <w:rFonts w:ascii="Arial" w:hAnsi="Arial"/>
                <w:sz w:val="20"/>
              </w:rPr>
              <w:t>Modelling indicates that the changes to groundwater</w:t>
            </w:r>
            <w:r>
              <w:rPr>
                <w:rFonts w:ascii="Arial" w:hAnsi="Arial"/>
                <w:sz w:val="20"/>
              </w:rPr>
              <w:t xml:space="preserve"> </w:t>
            </w:r>
            <w:r w:rsidRPr="00685CA5">
              <w:rPr>
                <w:rFonts w:ascii="Arial" w:hAnsi="Arial"/>
                <w:sz w:val="20"/>
              </w:rPr>
              <w:t>hydrology have the potential to impact on Matters of National Environmental Significance</w:t>
            </w:r>
            <w:r>
              <w:rPr>
                <w:rFonts w:ascii="Arial" w:hAnsi="Arial"/>
                <w:sz w:val="20"/>
              </w:rPr>
              <w:t xml:space="preserve"> and are </w:t>
            </w:r>
            <w:r w:rsidR="00ED6A18">
              <w:rPr>
                <w:rFonts w:ascii="Arial" w:hAnsi="Arial"/>
                <w:sz w:val="20"/>
              </w:rPr>
              <w:t xml:space="preserve">further </w:t>
            </w:r>
            <w:r>
              <w:rPr>
                <w:rFonts w:ascii="Arial" w:hAnsi="Arial"/>
                <w:sz w:val="20"/>
              </w:rPr>
              <w:t>discussed in re</w:t>
            </w:r>
            <w:r w:rsidR="002631CD">
              <w:rPr>
                <w:rFonts w:ascii="Arial" w:hAnsi="Arial"/>
                <w:sz w:val="20"/>
              </w:rPr>
              <w:t>sponse</w:t>
            </w:r>
            <w:r>
              <w:rPr>
                <w:rFonts w:ascii="Arial" w:hAnsi="Arial"/>
                <w:sz w:val="20"/>
              </w:rPr>
              <w:t xml:space="preserve"> to question 3</w:t>
            </w:r>
            <w:r w:rsidRPr="00685CA5">
              <w:rPr>
                <w:rFonts w:ascii="Arial" w:hAnsi="Arial"/>
                <w:sz w:val="20"/>
              </w:rPr>
              <w:t xml:space="preserve">. The Committee considers that </w:t>
            </w:r>
            <w:r w:rsidR="00914153">
              <w:rPr>
                <w:rFonts w:ascii="Arial" w:hAnsi="Arial"/>
                <w:sz w:val="20"/>
              </w:rPr>
              <w:t>Matters of National Environmental Significance</w:t>
            </w:r>
            <w:r w:rsidRPr="00685CA5">
              <w:rPr>
                <w:rFonts w:ascii="Arial" w:hAnsi="Arial"/>
                <w:sz w:val="20"/>
              </w:rPr>
              <w:t xml:space="preserve"> are likely to be impacted by drawdown associated with cumulative impacts </w:t>
            </w:r>
            <w:r w:rsidR="00E574F4">
              <w:rPr>
                <w:rFonts w:ascii="Arial" w:hAnsi="Arial"/>
                <w:sz w:val="20"/>
              </w:rPr>
              <w:t xml:space="preserve">caused by </w:t>
            </w:r>
            <w:r w:rsidRPr="00685CA5">
              <w:rPr>
                <w:rFonts w:ascii="Arial" w:hAnsi="Arial"/>
                <w:sz w:val="20"/>
              </w:rPr>
              <w:t xml:space="preserve">this and other projects. Given the concerns raised regarding the uncertainty of drawdown predictions, further data is required to improve confidence </w:t>
            </w:r>
            <w:r w:rsidR="00E574F4">
              <w:rPr>
                <w:rFonts w:ascii="Arial" w:hAnsi="Arial"/>
                <w:sz w:val="20"/>
              </w:rPr>
              <w:t xml:space="preserve">in modelling </w:t>
            </w:r>
            <w:r w:rsidRPr="00685CA5">
              <w:rPr>
                <w:rFonts w:ascii="Arial" w:hAnsi="Arial"/>
                <w:sz w:val="20"/>
              </w:rPr>
              <w:t>of the likely impacts</w:t>
            </w:r>
            <w:r w:rsidR="00E574F4">
              <w:rPr>
                <w:rFonts w:ascii="Arial" w:hAnsi="Arial"/>
                <w:sz w:val="20"/>
              </w:rPr>
              <w:t xml:space="preserve"> of</w:t>
            </w:r>
            <w:r w:rsidRPr="00685CA5">
              <w:rPr>
                <w:rFonts w:ascii="Arial" w:hAnsi="Arial"/>
                <w:sz w:val="20"/>
              </w:rPr>
              <w:t xml:space="preserve"> drawdown on springs.  </w:t>
            </w:r>
          </w:p>
          <w:p w:rsidR="00F529A9" w:rsidRPr="00907082" w:rsidRDefault="00907082" w:rsidP="001E3FCD">
            <w:pPr>
              <w:pStyle w:val="ListNumber"/>
              <w:numPr>
                <w:ilvl w:val="0"/>
                <w:numId w:val="18"/>
              </w:numPr>
              <w:spacing w:after="120" w:line="276" w:lineRule="auto"/>
              <w:rPr>
                <w:rFonts w:ascii="Arial" w:hAnsi="Arial"/>
                <w:sz w:val="20"/>
              </w:rPr>
            </w:pPr>
            <w:proofErr w:type="gramStart"/>
            <w:r>
              <w:rPr>
                <w:rFonts w:ascii="Arial" w:hAnsi="Arial"/>
                <w:i/>
                <w:sz w:val="20"/>
              </w:rPr>
              <w:t>changes</w:t>
            </w:r>
            <w:proofErr w:type="gramEnd"/>
            <w:r>
              <w:rPr>
                <w:rFonts w:ascii="Arial" w:hAnsi="Arial"/>
                <w:i/>
                <w:sz w:val="20"/>
              </w:rPr>
              <w:t xml:space="preserve"> to groundwater</w:t>
            </w:r>
            <w:r w:rsidR="00F93CC8">
              <w:rPr>
                <w:rFonts w:ascii="Arial" w:hAnsi="Arial"/>
                <w:i/>
                <w:sz w:val="20"/>
              </w:rPr>
              <w:t xml:space="preserve"> – surface water dynamics</w:t>
            </w:r>
            <w:r w:rsidRPr="00907082">
              <w:rPr>
                <w:rFonts w:ascii="Arial" w:hAnsi="Arial"/>
                <w:i/>
                <w:sz w:val="20"/>
              </w:rPr>
              <w:t>:</w:t>
            </w:r>
            <w:r>
              <w:rPr>
                <w:rFonts w:ascii="Arial" w:hAnsi="Arial"/>
                <w:sz w:val="20"/>
              </w:rPr>
              <w:t xml:space="preserve"> </w:t>
            </w:r>
            <w:r w:rsidR="00F93CC8" w:rsidRPr="00907082">
              <w:rPr>
                <w:rFonts w:ascii="Arial" w:hAnsi="Arial"/>
                <w:sz w:val="20"/>
              </w:rPr>
              <w:t xml:space="preserve">Limitations in understanding the groundwater dependencies of these water-related values, and in modelling of likely groundwater </w:t>
            </w:r>
            <w:proofErr w:type="spellStart"/>
            <w:r w:rsidR="00F93CC8" w:rsidRPr="00907082">
              <w:rPr>
                <w:rFonts w:ascii="Arial" w:hAnsi="Arial"/>
                <w:sz w:val="20"/>
              </w:rPr>
              <w:t>drawdowns</w:t>
            </w:r>
            <w:proofErr w:type="spellEnd"/>
            <w:r w:rsidR="00F93CC8" w:rsidRPr="00907082">
              <w:rPr>
                <w:rFonts w:ascii="Arial" w:hAnsi="Arial"/>
                <w:sz w:val="20"/>
              </w:rPr>
              <w:t xml:space="preserve"> (point 6 below), mean that the draft Environmental Impact Statement does not adequately address the groundwater impacts on Matter</w:t>
            </w:r>
            <w:r w:rsidR="005D6E81">
              <w:rPr>
                <w:rFonts w:ascii="Arial" w:hAnsi="Arial"/>
                <w:sz w:val="20"/>
              </w:rPr>
              <w:t>s</w:t>
            </w:r>
            <w:r w:rsidR="00F93CC8" w:rsidRPr="00907082">
              <w:rPr>
                <w:rFonts w:ascii="Arial" w:hAnsi="Arial"/>
                <w:sz w:val="20"/>
              </w:rPr>
              <w:t xml:space="preserve"> of National Environmental Significance.</w:t>
            </w:r>
            <w:r w:rsidR="00F93CC8">
              <w:rPr>
                <w:rFonts w:ascii="Arial" w:hAnsi="Arial"/>
                <w:sz w:val="20"/>
              </w:rPr>
              <w:t xml:space="preserve"> </w:t>
            </w:r>
            <w:r w:rsidR="00F529A9" w:rsidRPr="00907082">
              <w:rPr>
                <w:rFonts w:ascii="Arial" w:hAnsi="Arial"/>
                <w:sz w:val="20"/>
              </w:rPr>
              <w:t>To determine potential</w:t>
            </w:r>
            <w:r w:rsidR="00E574F4">
              <w:rPr>
                <w:rFonts w:ascii="Arial" w:hAnsi="Arial"/>
                <w:sz w:val="20"/>
              </w:rPr>
              <w:t xml:space="preserve"> vulnerabilities</w:t>
            </w:r>
            <w:r w:rsidR="00F529A9" w:rsidRPr="00907082">
              <w:rPr>
                <w:rFonts w:ascii="Arial" w:hAnsi="Arial"/>
                <w:sz w:val="20"/>
              </w:rPr>
              <w:t xml:space="preserve"> associated with changes to groundwater hydrology, the Committee considers that a field based assessment of groundwater-surface water relationships is required to characterise the current groundwater dependencies of </w:t>
            </w:r>
            <w:r w:rsidR="002B4DA0" w:rsidRPr="00907082">
              <w:rPr>
                <w:rFonts w:ascii="Arial" w:hAnsi="Arial"/>
                <w:sz w:val="20"/>
              </w:rPr>
              <w:t>Matters of National Environmental Significance</w:t>
            </w:r>
            <w:r w:rsidR="00F529A9" w:rsidRPr="00907082">
              <w:rPr>
                <w:rFonts w:ascii="Arial" w:hAnsi="Arial"/>
                <w:sz w:val="20"/>
              </w:rPr>
              <w:t xml:space="preserve"> including springs; Lake Broadwater (a nationally listed wetland); and the habitat of EPBC listed species (such as the </w:t>
            </w:r>
            <w:proofErr w:type="spellStart"/>
            <w:r w:rsidR="00F529A9" w:rsidRPr="00907082">
              <w:rPr>
                <w:rFonts w:ascii="Arial" w:hAnsi="Arial"/>
                <w:sz w:val="20"/>
              </w:rPr>
              <w:t>Boggomoss</w:t>
            </w:r>
            <w:proofErr w:type="spellEnd"/>
            <w:r w:rsidR="00F529A9" w:rsidRPr="00907082">
              <w:rPr>
                <w:rFonts w:ascii="Arial" w:hAnsi="Arial"/>
                <w:sz w:val="20"/>
              </w:rPr>
              <w:t xml:space="preserve"> Snail, Fitzroy River Turtle and migratory birds). </w:t>
            </w:r>
          </w:p>
          <w:p w:rsidR="00FC3FD4" w:rsidRDefault="00FC3FD4" w:rsidP="001E3FCD">
            <w:pPr>
              <w:pStyle w:val="ListNumber"/>
              <w:spacing w:after="120" w:line="276" w:lineRule="auto"/>
              <w:rPr>
                <w:rFonts w:ascii="Arial" w:hAnsi="Arial" w:cs="Arial"/>
                <w:i/>
                <w:sz w:val="20"/>
                <w:szCs w:val="20"/>
              </w:rPr>
            </w:pPr>
            <w:r>
              <w:rPr>
                <w:rFonts w:ascii="Arial" w:hAnsi="Arial" w:cs="Arial"/>
                <w:i/>
                <w:sz w:val="20"/>
                <w:szCs w:val="20"/>
              </w:rPr>
              <w:lastRenderedPageBreak/>
              <w:t xml:space="preserve">Question 2: </w:t>
            </w:r>
            <w:r w:rsidRPr="00E20E7F">
              <w:rPr>
                <w:rFonts w:ascii="Arial" w:hAnsi="Arial" w:cs="Arial"/>
                <w:i/>
                <w:sz w:val="20"/>
                <w:szCs w:val="20"/>
              </w:rPr>
              <w:t xml:space="preserve">Is the modelling that has been undertaken to support the EIS adequate to estimate </w:t>
            </w:r>
            <w:proofErr w:type="spellStart"/>
            <w:r w:rsidRPr="00E20E7F">
              <w:rPr>
                <w:rFonts w:ascii="Arial" w:hAnsi="Arial" w:cs="Arial"/>
                <w:i/>
                <w:sz w:val="20"/>
                <w:szCs w:val="20"/>
              </w:rPr>
              <w:t>hydrogeological</w:t>
            </w:r>
            <w:proofErr w:type="spellEnd"/>
            <w:r w:rsidRPr="00E20E7F">
              <w:rPr>
                <w:rFonts w:ascii="Arial" w:hAnsi="Arial" w:cs="Arial"/>
                <w:i/>
                <w:sz w:val="20"/>
                <w:szCs w:val="20"/>
              </w:rPr>
              <w:t xml:space="preserve"> impacts within the Great Artesian Basin and other affected ground and surface water systems?</w:t>
            </w:r>
          </w:p>
          <w:p w:rsidR="007D510C" w:rsidRPr="002B4DA0" w:rsidRDefault="007D510C" w:rsidP="00B96D6F">
            <w:pPr>
              <w:pStyle w:val="ListNumber"/>
              <w:numPr>
                <w:ilvl w:val="0"/>
                <w:numId w:val="13"/>
              </w:numPr>
              <w:spacing w:after="200" w:line="276" w:lineRule="auto"/>
              <w:ind w:left="374" w:hanging="374"/>
              <w:rPr>
                <w:rFonts w:ascii="Arial" w:hAnsi="Arial" w:cs="Arial"/>
                <w:sz w:val="20"/>
                <w:szCs w:val="20"/>
              </w:rPr>
            </w:pPr>
            <w:r w:rsidRPr="002B4DA0">
              <w:rPr>
                <w:rFonts w:ascii="Arial" w:hAnsi="Arial" w:cs="Arial"/>
                <w:sz w:val="20"/>
                <w:szCs w:val="20"/>
              </w:rPr>
              <w:t>The Committee does not consider that the modelling undertaken is adequate and includes a number of limitations</w:t>
            </w:r>
            <w:r w:rsidR="00DF39A2">
              <w:rPr>
                <w:rFonts w:ascii="Arial" w:hAnsi="Arial" w:cs="Arial"/>
                <w:sz w:val="20"/>
                <w:szCs w:val="20"/>
              </w:rPr>
              <w:t xml:space="preserve"> as outlined in point 3</w:t>
            </w:r>
            <w:r w:rsidRPr="002B4DA0">
              <w:rPr>
                <w:rFonts w:ascii="Arial" w:hAnsi="Arial" w:cs="Arial"/>
                <w:sz w:val="20"/>
                <w:szCs w:val="20"/>
              </w:rPr>
              <w:t>.</w:t>
            </w:r>
            <w:r w:rsidR="006B0646" w:rsidRPr="002B4DA0">
              <w:rPr>
                <w:rFonts w:ascii="Arial" w:hAnsi="Arial" w:cs="Arial"/>
                <w:sz w:val="20"/>
                <w:szCs w:val="20"/>
              </w:rPr>
              <w:t xml:space="preserve"> This raises concerns about the robustness of the drawdown predictions made using the numerical model.</w:t>
            </w:r>
            <w:r w:rsidR="00580E31" w:rsidRPr="002B4DA0">
              <w:rPr>
                <w:rFonts w:ascii="Arial" w:hAnsi="Arial" w:cs="Arial"/>
                <w:sz w:val="20"/>
                <w:szCs w:val="20"/>
              </w:rPr>
              <w:t xml:space="preserve"> </w:t>
            </w:r>
            <w:r w:rsidR="00FD6575" w:rsidRPr="002B4DA0">
              <w:rPr>
                <w:rFonts w:ascii="Arial" w:hAnsi="Arial" w:cs="Arial"/>
                <w:sz w:val="20"/>
                <w:szCs w:val="20"/>
              </w:rPr>
              <w:t>Furthermore</w:t>
            </w:r>
            <w:r w:rsidR="00580E31" w:rsidRPr="002B4DA0">
              <w:rPr>
                <w:rFonts w:ascii="Arial" w:hAnsi="Arial" w:cs="Arial"/>
                <w:sz w:val="20"/>
                <w:szCs w:val="20"/>
              </w:rPr>
              <w:t>, there is a discrepancy between the drawdown predicted by the Arrow</w:t>
            </w:r>
            <w:r w:rsidR="00E72E72" w:rsidRPr="002B4DA0">
              <w:rPr>
                <w:rFonts w:ascii="Arial" w:hAnsi="Arial" w:cs="Arial"/>
                <w:sz w:val="20"/>
                <w:szCs w:val="20"/>
              </w:rPr>
              <w:t xml:space="preserve"> model</w:t>
            </w:r>
            <w:r w:rsidR="00580E31" w:rsidRPr="002B4DA0">
              <w:rPr>
                <w:rFonts w:ascii="Arial" w:hAnsi="Arial" w:cs="Arial"/>
                <w:sz w:val="20"/>
                <w:szCs w:val="20"/>
              </w:rPr>
              <w:t xml:space="preserve"> and Office of Groundwater Impact Ass</w:t>
            </w:r>
            <w:r w:rsidR="007474A7">
              <w:rPr>
                <w:rFonts w:ascii="Arial" w:hAnsi="Arial" w:cs="Arial"/>
                <w:sz w:val="20"/>
                <w:szCs w:val="20"/>
              </w:rPr>
              <w:t xml:space="preserve">essment (formerly Queensland Water Commission) </w:t>
            </w:r>
            <w:r w:rsidR="00E72E72" w:rsidRPr="002B4DA0">
              <w:rPr>
                <w:rFonts w:ascii="Arial" w:hAnsi="Arial" w:cs="Arial"/>
                <w:sz w:val="20"/>
                <w:szCs w:val="20"/>
              </w:rPr>
              <w:t>model</w:t>
            </w:r>
            <w:r w:rsidR="00580E31" w:rsidRPr="002B4DA0">
              <w:rPr>
                <w:rFonts w:ascii="Arial" w:hAnsi="Arial" w:cs="Arial"/>
                <w:sz w:val="20"/>
                <w:szCs w:val="20"/>
              </w:rPr>
              <w:t xml:space="preserve"> which requires resolution.  </w:t>
            </w:r>
          </w:p>
          <w:p w:rsidR="003104D8" w:rsidRPr="002B4DA0" w:rsidRDefault="00FC3FD4" w:rsidP="00B96D6F">
            <w:pPr>
              <w:pStyle w:val="ListNumber"/>
              <w:numPr>
                <w:ilvl w:val="0"/>
                <w:numId w:val="13"/>
              </w:numPr>
              <w:spacing w:after="200" w:line="276" w:lineRule="auto"/>
              <w:ind w:left="374" w:hanging="374"/>
              <w:rPr>
                <w:rFonts w:ascii="Arial" w:hAnsi="Arial" w:cs="Arial"/>
                <w:sz w:val="20"/>
                <w:szCs w:val="20"/>
              </w:rPr>
            </w:pPr>
            <w:r w:rsidRPr="002B4DA0">
              <w:rPr>
                <w:rFonts w:ascii="Arial" w:hAnsi="Arial" w:cs="Arial"/>
                <w:sz w:val="20"/>
                <w:szCs w:val="20"/>
              </w:rPr>
              <w:t xml:space="preserve">The proponent’s modelling predicts a cumulative drawdown in the Condamine Alluvium of approximately 2.5 m. There are concerns about the lack of information on both the spatial distribution and the hydraulic properties of </w:t>
            </w:r>
            <w:r w:rsidR="00DF39A2">
              <w:rPr>
                <w:rFonts w:ascii="Arial" w:hAnsi="Arial" w:cs="Arial"/>
                <w:sz w:val="20"/>
                <w:szCs w:val="20"/>
              </w:rPr>
              <w:t xml:space="preserve">the </w:t>
            </w:r>
            <w:r w:rsidRPr="002B4DA0">
              <w:rPr>
                <w:rFonts w:ascii="Arial" w:hAnsi="Arial" w:cs="Arial"/>
                <w:sz w:val="20"/>
                <w:szCs w:val="20"/>
              </w:rPr>
              <w:t>low permeability transition layer between the Condamine Alluvium and the Walloon Coal Measures. The</w:t>
            </w:r>
            <w:r w:rsidR="003104D8" w:rsidRPr="002B4DA0">
              <w:rPr>
                <w:rFonts w:ascii="Arial" w:hAnsi="Arial" w:cs="Arial"/>
                <w:sz w:val="20"/>
                <w:szCs w:val="20"/>
              </w:rPr>
              <w:t xml:space="preserve"> inadequacies </w:t>
            </w:r>
            <w:r w:rsidRPr="002B4DA0">
              <w:rPr>
                <w:rFonts w:ascii="Arial" w:hAnsi="Arial" w:cs="Arial"/>
                <w:sz w:val="20"/>
                <w:szCs w:val="20"/>
              </w:rPr>
              <w:t>include</w:t>
            </w:r>
            <w:r w:rsidR="00E72E72" w:rsidRPr="002B4DA0">
              <w:rPr>
                <w:rFonts w:ascii="Arial" w:hAnsi="Arial" w:cs="Arial"/>
                <w:sz w:val="20"/>
                <w:szCs w:val="20"/>
              </w:rPr>
              <w:t>:</w:t>
            </w:r>
          </w:p>
          <w:p w:rsidR="00C540E9" w:rsidRPr="00907082" w:rsidRDefault="00FC3FD4" w:rsidP="00B96D6F">
            <w:pPr>
              <w:pStyle w:val="ListNumber"/>
              <w:numPr>
                <w:ilvl w:val="0"/>
                <w:numId w:val="19"/>
              </w:numPr>
              <w:spacing w:after="200" w:line="276" w:lineRule="auto"/>
              <w:rPr>
                <w:rFonts w:ascii="Arial" w:hAnsi="Arial"/>
                <w:sz w:val="20"/>
              </w:rPr>
            </w:pPr>
            <w:r w:rsidRPr="00C9690C">
              <w:rPr>
                <w:rFonts w:ascii="Arial" w:hAnsi="Arial"/>
                <w:i/>
                <w:sz w:val="20"/>
              </w:rPr>
              <w:t>scale</w:t>
            </w:r>
            <w:r w:rsidR="00C9690C">
              <w:rPr>
                <w:rFonts w:ascii="Arial" w:hAnsi="Arial"/>
                <w:sz w:val="20"/>
              </w:rPr>
              <w:t>: T</w:t>
            </w:r>
            <w:r w:rsidRPr="00907082">
              <w:rPr>
                <w:rFonts w:ascii="Arial" w:hAnsi="Arial"/>
                <w:sz w:val="20"/>
              </w:rPr>
              <w:t>he model is designed to simulate drawdown in the Walloon Coal Measures and therefore has a limited ability to make predictions fo</w:t>
            </w:r>
            <w:r w:rsidR="00C9690C">
              <w:rPr>
                <w:rFonts w:ascii="Arial" w:hAnsi="Arial"/>
                <w:sz w:val="20"/>
              </w:rPr>
              <w:t>r the shallower aquifer systems;</w:t>
            </w:r>
            <w:r w:rsidRPr="00907082">
              <w:rPr>
                <w:rFonts w:ascii="Arial" w:hAnsi="Arial"/>
                <w:sz w:val="20"/>
              </w:rPr>
              <w:t xml:space="preserve"> </w:t>
            </w:r>
          </w:p>
          <w:p w:rsidR="00C540E9" w:rsidRPr="00685CA5" w:rsidRDefault="00C9690C" w:rsidP="00B96D6F">
            <w:pPr>
              <w:pStyle w:val="ListNumber"/>
              <w:numPr>
                <w:ilvl w:val="0"/>
                <w:numId w:val="19"/>
              </w:numPr>
              <w:spacing w:after="200" w:line="276" w:lineRule="auto"/>
              <w:rPr>
                <w:rFonts w:ascii="Arial" w:hAnsi="Arial"/>
                <w:sz w:val="20"/>
              </w:rPr>
            </w:pPr>
            <w:r w:rsidRPr="00685CA5">
              <w:rPr>
                <w:rFonts w:ascii="Arial" w:hAnsi="Arial"/>
                <w:i/>
                <w:sz w:val="20"/>
              </w:rPr>
              <w:t>hydraulic parameters</w:t>
            </w:r>
            <w:r w:rsidR="00FC3FD4" w:rsidRPr="00685CA5">
              <w:rPr>
                <w:rFonts w:ascii="Arial" w:hAnsi="Arial"/>
                <w:sz w:val="20"/>
              </w:rPr>
              <w:t xml:space="preserve"> </w:t>
            </w:r>
            <w:r w:rsidRPr="00685CA5">
              <w:rPr>
                <w:rFonts w:ascii="Arial" w:hAnsi="Arial"/>
                <w:sz w:val="20"/>
              </w:rPr>
              <w:t>:</w:t>
            </w:r>
            <w:r w:rsidR="00FC3FD4" w:rsidRPr="00685CA5">
              <w:rPr>
                <w:rFonts w:ascii="Arial" w:hAnsi="Arial"/>
                <w:sz w:val="20"/>
              </w:rPr>
              <w:t xml:space="preserve"> </w:t>
            </w:r>
            <w:r w:rsidRPr="00685CA5">
              <w:rPr>
                <w:rFonts w:ascii="Arial" w:hAnsi="Arial"/>
                <w:sz w:val="20"/>
              </w:rPr>
              <w:t>T</w:t>
            </w:r>
            <w:r w:rsidR="00FC3FD4" w:rsidRPr="00685CA5">
              <w:rPr>
                <w:rFonts w:ascii="Arial" w:hAnsi="Arial"/>
                <w:sz w:val="20"/>
              </w:rPr>
              <w:t>he anisotropy ratio of the Walloon Coal Measures is set to 5000 which is high compared with values found i</w:t>
            </w:r>
            <w:r w:rsidR="00780DEA" w:rsidRPr="00685CA5">
              <w:rPr>
                <w:rFonts w:ascii="Arial" w:hAnsi="Arial"/>
                <w:sz w:val="20"/>
              </w:rPr>
              <w:t>n the literature, which may lead to an underestimation of connectivity and fluxes</w:t>
            </w:r>
            <w:r w:rsidRPr="00685CA5">
              <w:rPr>
                <w:rFonts w:ascii="Arial" w:hAnsi="Arial"/>
                <w:sz w:val="20"/>
              </w:rPr>
              <w:t>;</w:t>
            </w:r>
            <w:r w:rsidR="00E76AF9" w:rsidRPr="00685CA5">
              <w:rPr>
                <w:rFonts w:ascii="Arial" w:hAnsi="Arial"/>
                <w:sz w:val="20"/>
              </w:rPr>
              <w:t xml:space="preserve"> </w:t>
            </w:r>
          </w:p>
          <w:p w:rsidR="00C540E9" w:rsidRPr="00907082" w:rsidRDefault="00FC3FD4" w:rsidP="00B96D6F">
            <w:pPr>
              <w:pStyle w:val="ListNumber"/>
              <w:numPr>
                <w:ilvl w:val="0"/>
                <w:numId w:val="19"/>
              </w:numPr>
              <w:spacing w:after="200" w:line="276" w:lineRule="auto"/>
              <w:rPr>
                <w:rFonts w:ascii="Arial" w:hAnsi="Arial"/>
                <w:sz w:val="20"/>
              </w:rPr>
            </w:pPr>
            <w:r w:rsidRPr="00685CA5">
              <w:rPr>
                <w:rFonts w:ascii="Arial" w:hAnsi="Arial"/>
                <w:i/>
                <w:sz w:val="20"/>
              </w:rPr>
              <w:t>calibration</w:t>
            </w:r>
            <w:r w:rsidR="00C9690C" w:rsidRPr="00685CA5">
              <w:rPr>
                <w:rFonts w:ascii="Arial" w:hAnsi="Arial"/>
                <w:sz w:val="20"/>
              </w:rPr>
              <w:t>: M</w:t>
            </w:r>
            <w:r w:rsidRPr="00685CA5">
              <w:rPr>
                <w:rFonts w:ascii="Arial" w:hAnsi="Arial"/>
                <w:sz w:val="20"/>
              </w:rPr>
              <w:t>odel predictions do</w:t>
            </w:r>
            <w:r w:rsidRPr="00907082">
              <w:rPr>
                <w:rFonts w:ascii="Arial" w:hAnsi="Arial"/>
                <w:sz w:val="20"/>
              </w:rPr>
              <w:t xml:space="preserve"> not fit observation data sufficiently and only limited temporal information is used in the transient</w:t>
            </w:r>
            <w:r w:rsidR="00C9690C">
              <w:rPr>
                <w:rFonts w:ascii="Arial" w:hAnsi="Arial"/>
                <w:sz w:val="20"/>
              </w:rPr>
              <w:t xml:space="preserve"> calibration; and</w:t>
            </w:r>
            <w:r w:rsidRPr="00907082">
              <w:rPr>
                <w:rFonts w:ascii="Arial" w:hAnsi="Arial"/>
                <w:sz w:val="20"/>
              </w:rPr>
              <w:t xml:space="preserve"> </w:t>
            </w:r>
          </w:p>
          <w:p w:rsidR="0015753F" w:rsidRPr="00907082" w:rsidRDefault="00FC3FD4" w:rsidP="00B96D6F">
            <w:pPr>
              <w:pStyle w:val="ListNumber"/>
              <w:numPr>
                <w:ilvl w:val="0"/>
                <w:numId w:val="19"/>
              </w:numPr>
              <w:spacing w:after="200" w:line="276" w:lineRule="auto"/>
              <w:rPr>
                <w:rFonts w:ascii="Arial" w:hAnsi="Arial"/>
                <w:sz w:val="20"/>
              </w:rPr>
            </w:pPr>
            <w:proofErr w:type="gramStart"/>
            <w:r w:rsidRPr="00C9690C">
              <w:rPr>
                <w:rFonts w:ascii="Arial" w:hAnsi="Arial"/>
                <w:i/>
                <w:sz w:val="20"/>
              </w:rPr>
              <w:t>sensitivity</w:t>
            </w:r>
            <w:proofErr w:type="gramEnd"/>
            <w:r w:rsidRPr="00C9690C">
              <w:rPr>
                <w:rFonts w:ascii="Arial" w:hAnsi="Arial"/>
                <w:i/>
                <w:sz w:val="20"/>
              </w:rPr>
              <w:t xml:space="preserve"> analysis</w:t>
            </w:r>
            <w:r w:rsidRPr="00907082">
              <w:rPr>
                <w:rFonts w:ascii="Arial" w:hAnsi="Arial"/>
                <w:sz w:val="20"/>
              </w:rPr>
              <w:t xml:space="preserve"> </w:t>
            </w:r>
            <w:r w:rsidR="00C9690C">
              <w:rPr>
                <w:rFonts w:ascii="Arial" w:hAnsi="Arial"/>
                <w:sz w:val="20"/>
              </w:rPr>
              <w:t>:</w:t>
            </w:r>
            <w:r w:rsidRPr="00907082">
              <w:rPr>
                <w:rFonts w:ascii="Arial" w:hAnsi="Arial"/>
                <w:sz w:val="20"/>
              </w:rPr>
              <w:t xml:space="preserve"> </w:t>
            </w:r>
            <w:r w:rsidR="00C9690C">
              <w:rPr>
                <w:rFonts w:ascii="Arial" w:hAnsi="Arial"/>
                <w:sz w:val="20"/>
              </w:rPr>
              <w:t xml:space="preserve">The sensitivity analysis </w:t>
            </w:r>
            <w:r w:rsidRPr="00907082">
              <w:rPr>
                <w:rFonts w:ascii="Arial" w:hAnsi="Arial"/>
                <w:sz w:val="20"/>
              </w:rPr>
              <w:t>is limited in its scope and does not include full parameter ranges found in current literature. For example, the upper ranges of vertical hydraulic conductivities of the Walloon Coal Measures should be assessed more carefully.</w:t>
            </w:r>
          </w:p>
          <w:p w:rsidR="00676914" w:rsidRPr="00C9690C" w:rsidRDefault="00676914" w:rsidP="001E3FCD">
            <w:pPr>
              <w:pStyle w:val="ListNumber"/>
              <w:numPr>
                <w:ilvl w:val="0"/>
                <w:numId w:val="13"/>
              </w:numPr>
              <w:spacing w:after="120" w:line="276" w:lineRule="auto"/>
              <w:ind w:left="374" w:hanging="374"/>
              <w:rPr>
                <w:rFonts w:ascii="Arial" w:hAnsi="Arial" w:cs="Arial"/>
                <w:sz w:val="20"/>
                <w:szCs w:val="20"/>
              </w:rPr>
            </w:pPr>
            <w:r w:rsidRPr="00C9690C">
              <w:rPr>
                <w:rFonts w:ascii="Arial" w:hAnsi="Arial" w:cs="Arial"/>
                <w:sz w:val="20"/>
                <w:szCs w:val="20"/>
              </w:rPr>
              <w:t xml:space="preserve">The Committee considers that the proponent has not adequately developed a site and regional </w:t>
            </w:r>
            <w:r w:rsidR="000C6E41" w:rsidRPr="00C9690C">
              <w:rPr>
                <w:rFonts w:ascii="Arial" w:hAnsi="Arial" w:cs="Arial"/>
                <w:sz w:val="20"/>
                <w:szCs w:val="20"/>
              </w:rPr>
              <w:t xml:space="preserve">water balance that allows an assessment of cumulative impacts. </w:t>
            </w:r>
            <w:r w:rsidR="00CD73A2" w:rsidRPr="00C9690C">
              <w:rPr>
                <w:rFonts w:ascii="Arial" w:hAnsi="Arial" w:cs="Arial"/>
                <w:sz w:val="20"/>
                <w:szCs w:val="20"/>
              </w:rPr>
              <w:t xml:space="preserve">Whilst </w:t>
            </w:r>
            <w:r w:rsidR="001B6998">
              <w:rPr>
                <w:rFonts w:ascii="Arial" w:hAnsi="Arial" w:cs="Arial"/>
                <w:sz w:val="20"/>
                <w:szCs w:val="20"/>
              </w:rPr>
              <w:t xml:space="preserve">water balance </w:t>
            </w:r>
            <w:r w:rsidR="00CD73A2" w:rsidRPr="00C9690C">
              <w:rPr>
                <w:rFonts w:ascii="Arial" w:hAnsi="Arial" w:cs="Arial"/>
                <w:sz w:val="20"/>
                <w:szCs w:val="20"/>
              </w:rPr>
              <w:t>information is provided in the Office of Ground</w:t>
            </w:r>
            <w:r w:rsidR="00450A24" w:rsidRPr="00C9690C">
              <w:rPr>
                <w:rFonts w:ascii="Arial" w:hAnsi="Arial" w:cs="Arial"/>
                <w:sz w:val="20"/>
                <w:szCs w:val="20"/>
              </w:rPr>
              <w:t>water Impact Assessment</w:t>
            </w:r>
            <w:r w:rsidR="005D6E81">
              <w:rPr>
                <w:rFonts w:ascii="Arial" w:hAnsi="Arial" w:cs="Arial"/>
                <w:sz w:val="20"/>
                <w:szCs w:val="20"/>
              </w:rPr>
              <w:t>’</w:t>
            </w:r>
            <w:r w:rsidR="00450A24" w:rsidRPr="00C9690C">
              <w:rPr>
                <w:rFonts w:ascii="Arial" w:hAnsi="Arial" w:cs="Arial"/>
                <w:sz w:val="20"/>
                <w:szCs w:val="20"/>
              </w:rPr>
              <w:t xml:space="preserve">s Underground Water Impact Report </w:t>
            </w:r>
            <w:r w:rsidR="00DF39A2">
              <w:rPr>
                <w:rFonts w:ascii="Arial" w:hAnsi="Arial" w:cs="Arial"/>
                <w:sz w:val="20"/>
                <w:szCs w:val="20"/>
              </w:rPr>
              <w:t xml:space="preserve">(2012) </w:t>
            </w:r>
            <w:r w:rsidR="00450A24" w:rsidRPr="00C9690C">
              <w:rPr>
                <w:rFonts w:ascii="Arial" w:hAnsi="Arial" w:cs="Arial"/>
                <w:sz w:val="20"/>
                <w:szCs w:val="20"/>
              </w:rPr>
              <w:t xml:space="preserve">the Committee notes that this analysis </w:t>
            </w:r>
            <w:r w:rsidR="008467AA" w:rsidRPr="00C9690C">
              <w:rPr>
                <w:rFonts w:ascii="Arial" w:hAnsi="Arial" w:cs="Arial"/>
                <w:sz w:val="20"/>
                <w:szCs w:val="20"/>
              </w:rPr>
              <w:t xml:space="preserve">does not include potential production from all of the proponent’s tenements. </w:t>
            </w:r>
            <w:r w:rsidR="00450A24" w:rsidRPr="00C9690C">
              <w:rPr>
                <w:rFonts w:ascii="Arial" w:hAnsi="Arial" w:cs="Arial"/>
                <w:sz w:val="20"/>
                <w:szCs w:val="20"/>
              </w:rPr>
              <w:t xml:space="preserve"> </w:t>
            </w:r>
          </w:p>
          <w:p w:rsidR="005D6E81" w:rsidRPr="00E82E73" w:rsidRDefault="00FC3FD4" w:rsidP="001E3FCD">
            <w:pPr>
              <w:pStyle w:val="ListNumber"/>
              <w:spacing w:after="120" w:line="276" w:lineRule="auto"/>
              <w:rPr>
                <w:rFonts w:ascii="Arial" w:hAnsi="Arial" w:cs="Arial"/>
                <w:i/>
                <w:sz w:val="20"/>
                <w:szCs w:val="20"/>
              </w:rPr>
            </w:pPr>
            <w:r w:rsidRPr="00E82E73">
              <w:rPr>
                <w:rFonts w:ascii="Arial" w:hAnsi="Arial" w:cs="Arial"/>
                <w:i/>
                <w:sz w:val="20"/>
                <w:szCs w:val="20"/>
              </w:rPr>
              <w:t>Question 3: What are the likely impacts to the community of native species dependent on natural discharge of groundwater from the Great Artesian Basin and what further information, if any, is required to assess impacts on this community?</w:t>
            </w:r>
          </w:p>
          <w:p w:rsidR="00CE0F66" w:rsidRPr="00C9690C" w:rsidRDefault="00087965" w:rsidP="001E3FCD">
            <w:pPr>
              <w:pStyle w:val="ListNumber"/>
              <w:numPr>
                <w:ilvl w:val="0"/>
                <w:numId w:val="13"/>
              </w:numPr>
              <w:spacing w:after="120" w:line="276" w:lineRule="auto"/>
              <w:ind w:left="374" w:hanging="374"/>
              <w:rPr>
                <w:rFonts w:ascii="Arial" w:hAnsi="Arial" w:cs="Arial"/>
                <w:sz w:val="20"/>
                <w:szCs w:val="20"/>
              </w:rPr>
            </w:pPr>
            <w:r w:rsidRPr="00C9690C">
              <w:rPr>
                <w:rFonts w:ascii="Arial" w:hAnsi="Arial" w:cs="Arial"/>
                <w:sz w:val="20"/>
                <w:szCs w:val="20"/>
              </w:rPr>
              <w:t>There is predicted to be a</w:t>
            </w:r>
            <w:r w:rsidR="00C026D5">
              <w:rPr>
                <w:rFonts w:ascii="Arial" w:hAnsi="Arial" w:cs="Arial"/>
                <w:sz w:val="20"/>
                <w:szCs w:val="20"/>
              </w:rPr>
              <w:t xml:space="preserve"> laterally</w:t>
            </w:r>
            <w:r w:rsidRPr="00C9690C">
              <w:rPr>
                <w:rFonts w:ascii="Arial" w:hAnsi="Arial" w:cs="Arial"/>
                <w:sz w:val="20"/>
                <w:szCs w:val="20"/>
              </w:rPr>
              <w:t xml:space="preserve"> extensive drawdown in the Walloon Coal Measures that has the potential to alter groundwater flow directions within several of the aquifers above and below the Walloon Coal Measures. </w:t>
            </w:r>
            <w:r w:rsidR="00CD334A">
              <w:rPr>
                <w:rFonts w:ascii="Arial" w:hAnsi="Arial" w:cs="Arial"/>
                <w:sz w:val="20"/>
                <w:szCs w:val="20"/>
              </w:rPr>
              <w:t>This may result in</w:t>
            </w:r>
            <w:r w:rsidR="00457BA2" w:rsidRPr="00C9690C">
              <w:rPr>
                <w:rFonts w:ascii="Arial" w:hAnsi="Arial" w:cs="Arial"/>
                <w:sz w:val="20"/>
                <w:szCs w:val="20"/>
              </w:rPr>
              <w:t xml:space="preserve"> </w:t>
            </w:r>
            <w:r w:rsidR="00CF5B16" w:rsidRPr="00C9690C">
              <w:rPr>
                <w:rFonts w:ascii="Arial" w:hAnsi="Arial" w:cs="Arial"/>
                <w:sz w:val="20"/>
                <w:szCs w:val="20"/>
              </w:rPr>
              <w:t xml:space="preserve">changes in the </w:t>
            </w:r>
            <w:r w:rsidR="00457BA2" w:rsidRPr="00C9690C">
              <w:rPr>
                <w:rFonts w:ascii="Arial" w:hAnsi="Arial" w:cs="Arial"/>
                <w:sz w:val="20"/>
                <w:szCs w:val="20"/>
              </w:rPr>
              <w:t xml:space="preserve">availability of water </w:t>
            </w:r>
            <w:r w:rsidR="00CF5B16" w:rsidRPr="00C9690C">
              <w:rPr>
                <w:rFonts w:ascii="Arial" w:hAnsi="Arial" w:cs="Arial"/>
                <w:sz w:val="20"/>
                <w:szCs w:val="20"/>
              </w:rPr>
              <w:t xml:space="preserve">for </w:t>
            </w:r>
            <w:r w:rsidR="004D1050" w:rsidRPr="00C9690C">
              <w:rPr>
                <w:rFonts w:ascii="Arial" w:hAnsi="Arial" w:cs="Arial"/>
                <w:sz w:val="20"/>
                <w:szCs w:val="20"/>
              </w:rPr>
              <w:t>springs.</w:t>
            </w:r>
            <w:r w:rsidR="00054DD6" w:rsidRPr="00C9690C">
              <w:rPr>
                <w:rFonts w:ascii="Arial" w:hAnsi="Arial" w:cs="Arial"/>
                <w:sz w:val="20"/>
                <w:szCs w:val="20"/>
              </w:rPr>
              <w:t xml:space="preserve"> </w:t>
            </w:r>
          </w:p>
          <w:p w:rsidR="00D33448" w:rsidRDefault="00FC3FD4" w:rsidP="001E3FCD">
            <w:pPr>
              <w:pStyle w:val="ListNumber"/>
              <w:numPr>
                <w:ilvl w:val="0"/>
                <w:numId w:val="13"/>
              </w:numPr>
              <w:spacing w:after="120" w:line="276" w:lineRule="auto"/>
              <w:ind w:left="374" w:hanging="374"/>
              <w:rPr>
                <w:rFonts w:ascii="Arial" w:hAnsi="Arial" w:cs="Arial"/>
                <w:sz w:val="20"/>
                <w:szCs w:val="20"/>
              </w:rPr>
            </w:pPr>
            <w:r w:rsidRPr="00C9690C">
              <w:rPr>
                <w:rFonts w:ascii="Arial" w:hAnsi="Arial" w:cs="Arial"/>
                <w:sz w:val="20"/>
                <w:szCs w:val="20"/>
              </w:rPr>
              <w:t>The proponent does</w:t>
            </w:r>
            <w:r w:rsidR="009C1D70" w:rsidRPr="00C9690C">
              <w:rPr>
                <w:rFonts w:ascii="Arial" w:hAnsi="Arial" w:cs="Arial"/>
                <w:sz w:val="20"/>
                <w:szCs w:val="20"/>
              </w:rPr>
              <w:t xml:space="preserve"> not</w:t>
            </w:r>
            <w:r w:rsidRPr="00C9690C">
              <w:rPr>
                <w:rFonts w:ascii="Arial" w:hAnsi="Arial" w:cs="Arial"/>
                <w:sz w:val="20"/>
                <w:szCs w:val="20"/>
              </w:rPr>
              <w:t xml:space="preserve"> </w:t>
            </w:r>
            <w:r w:rsidR="009C1D70" w:rsidRPr="00C9690C">
              <w:rPr>
                <w:rFonts w:ascii="Arial" w:hAnsi="Arial" w:cs="Arial"/>
                <w:sz w:val="20"/>
                <w:szCs w:val="20"/>
              </w:rPr>
              <w:t>identify</w:t>
            </w:r>
            <w:r w:rsidRPr="00C9690C">
              <w:rPr>
                <w:rFonts w:ascii="Arial" w:hAnsi="Arial" w:cs="Arial"/>
                <w:sz w:val="20"/>
                <w:szCs w:val="20"/>
              </w:rPr>
              <w:t xml:space="preserve"> any springs within the project area</w:t>
            </w:r>
            <w:r w:rsidR="00CD334A">
              <w:rPr>
                <w:rFonts w:ascii="Arial" w:hAnsi="Arial" w:cs="Arial"/>
                <w:sz w:val="20"/>
                <w:szCs w:val="20"/>
              </w:rPr>
              <w:t xml:space="preserve"> but</w:t>
            </w:r>
            <w:r w:rsidR="009C1D70" w:rsidRPr="00C9690C">
              <w:rPr>
                <w:rFonts w:ascii="Arial" w:hAnsi="Arial" w:cs="Arial"/>
                <w:sz w:val="20"/>
                <w:szCs w:val="20"/>
              </w:rPr>
              <w:t xml:space="preserve"> did</w:t>
            </w:r>
            <w:r w:rsidRPr="00C9690C">
              <w:rPr>
                <w:rFonts w:ascii="Arial" w:hAnsi="Arial" w:cs="Arial"/>
                <w:sz w:val="20"/>
                <w:szCs w:val="20"/>
              </w:rPr>
              <w:t xml:space="preserve"> </w:t>
            </w:r>
            <w:r w:rsidR="00C540E9" w:rsidRPr="00C9690C">
              <w:rPr>
                <w:rFonts w:ascii="Arial" w:hAnsi="Arial" w:cs="Arial"/>
                <w:sz w:val="20"/>
                <w:szCs w:val="20"/>
              </w:rPr>
              <w:t>identify</w:t>
            </w:r>
            <w:r w:rsidRPr="00C9690C">
              <w:rPr>
                <w:rFonts w:ascii="Arial" w:hAnsi="Arial" w:cs="Arial"/>
                <w:sz w:val="20"/>
                <w:szCs w:val="20"/>
              </w:rPr>
              <w:t xml:space="preserve"> discharge and ephemeral recharge springs between 50 and 300 km north of Wandoan. </w:t>
            </w:r>
            <w:r w:rsidR="009C1D70" w:rsidRPr="00C9690C">
              <w:rPr>
                <w:rFonts w:ascii="Arial" w:hAnsi="Arial" w:cs="Arial"/>
                <w:sz w:val="20"/>
                <w:szCs w:val="20"/>
              </w:rPr>
              <w:t xml:space="preserve"> However, </w:t>
            </w:r>
            <w:r w:rsidRPr="00C9690C">
              <w:rPr>
                <w:rFonts w:ascii="Arial" w:hAnsi="Arial" w:cs="Arial"/>
                <w:sz w:val="20"/>
                <w:szCs w:val="20"/>
              </w:rPr>
              <w:t xml:space="preserve">one known spring complex has been identified by the Office of Groundwater Impact Assessment in the vicinity of the Condamine River, halfway between Miles and </w:t>
            </w:r>
            <w:r w:rsidR="00CD334A">
              <w:rPr>
                <w:rFonts w:ascii="Arial" w:hAnsi="Arial" w:cs="Arial"/>
                <w:sz w:val="20"/>
                <w:szCs w:val="20"/>
              </w:rPr>
              <w:t>Chinchilla; approximately 50 km from</w:t>
            </w:r>
            <w:r w:rsidRPr="00C9690C">
              <w:rPr>
                <w:rFonts w:ascii="Arial" w:hAnsi="Arial" w:cs="Arial"/>
                <w:sz w:val="20"/>
                <w:szCs w:val="20"/>
              </w:rPr>
              <w:t xml:space="preserve"> the western boundary of the development area. It is unclear whi</w:t>
            </w:r>
            <w:r w:rsidR="00CD334A">
              <w:rPr>
                <w:rFonts w:ascii="Arial" w:hAnsi="Arial" w:cs="Arial"/>
                <w:sz w:val="20"/>
                <w:szCs w:val="20"/>
              </w:rPr>
              <w:t>ch aquifer is the source for this</w:t>
            </w:r>
            <w:r w:rsidRPr="00C9690C">
              <w:rPr>
                <w:rFonts w:ascii="Arial" w:hAnsi="Arial" w:cs="Arial"/>
                <w:sz w:val="20"/>
                <w:szCs w:val="20"/>
              </w:rPr>
              <w:t xml:space="preserve"> spring from the published literature and the documentation provided. </w:t>
            </w:r>
          </w:p>
          <w:p w:rsidR="00D33448" w:rsidRPr="00C9690C" w:rsidRDefault="001E6B80" w:rsidP="001E3FCD">
            <w:pPr>
              <w:pStyle w:val="ListNumber"/>
              <w:numPr>
                <w:ilvl w:val="0"/>
                <w:numId w:val="13"/>
              </w:numPr>
              <w:spacing w:after="120" w:line="276" w:lineRule="auto"/>
              <w:ind w:left="374" w:hanging="374"/>
              <w:rPr>
                <w:rFonts w:ascii="Arial" w:hAnsi="Arial" w:cs="Arial"/>
                <w:sz w:val="20"/>
                <w:szCs w:val="20"/>
              </w:rPr>
            </w:pPr>
            <w:r>
              <w:rPr>
                <w:rFonts w:ascii="Arial" w:hAnsi="Arial" w:cs="Arial"/>
                <w:sz w:val="20"/>
                <w:szCs w:val="20"/>
              </w:rPr>
              <w:t>Although t</w:t>
            </w:r>
            <w:r w:rsidR="00D33448">
              <w:rPr>
                <w:rFonts w:ascii="Arial" w:hAnsi="Arial" w:cs="Arial"/>
                <w:sz w:val="20"/>
                <w:szCs w:val="20"/>
              </w:rPr>
              <w:t>he Office of Groundwater Impact Assessment</w:t>
            </w:r>
            <w:r w:rsidR="00D33448" w:rsidRPr="00C9690C">
              <w:rPr>
                <w:rFonts w:ascii="Arial" w:hAnsi="Arial" w:cs="Arial"/>
                <w:sz w:val="20"/>
                <w:szCs w:val="20"/>
              </w:rPr>
              <w:t xml:space="preserve"> has attempted to identify the source aquifer of springs within 30 km of the approved tenements, further work is required to assess the spring complex located between Miles and Chinchilla. </w:t>
            </w:r>
          </w:p>
          <w:p w:rsidR="00FC3FD4" w:rsidRPr="00C9690C" w:rsidRDefault="00FC3FD4" w:rsidP="00B96D6F">
            <w:pPr>
              <w:pStyle w:val="ListNumber"/>
              <w:numPr>
                <w:ilvl w:val="0"/>
                <w:numId w:val="13"/>
              </w:numPr>
              <w:spacing w:after="200" w:line="276" w:lineRule="auto"/>
              <w:ind w:left="374" w:hanging="374"/>
              <w:rPr>
                <w:rFonts w:ascii="Arial" w:hAnsi="Arial" w:cs="Arial"/>
                <w:sz w:val="20"/>
                <w:szCs w:val="20"/>
              </w:rPr>
            </w:pPr>
            <w:r w:rsidRPr="00C9690C">
              <w:rPr>
                <w:rFonts w:ascii="Arial" w:hAnsi="Arial" w:cs="Arial"/>
                <w:sz w:val="20"/>
                <w:szCs w:val="20"/>
              </w:rPr>
              <w:t>The Committee considers that the location and the source aquifer of all springs are required to enable an adequate assessment to be undertaken of potential impacts to discharge springs and to listed threatened species dependent on artesian springs and the community of native species dependent on natural discharge of groundwater from the Great Artesian Basin.</w:t>
            </w:r>
          </w:p>
          <w:p w:rsidR="00FC3FD4" w:rsidRDefault="00FC3FD4" w:rsidP="001E3FCD">
            <w:pPr>
              <w:pStyle w:val="ListNumber"/>
              <w:spacing w:after="120" w:line="276" w:lineRule="auto"/>
              <w:rPr>
                <w:rFonts w:ascii="Arial" w:hAnsi="Arial" w:cs="Arial"/>
                <w:i/>
                <w:sz w:val="20"/>
                <w:szCs w:val="20"/>
              </w:rPr>
            </w:pPr>
            <w:r w:rsidRPr="00E82E73">
              <w:rPr>
                <w:rFonts w:ascii="Arial" w:hAnsi="Arial" w:cs="Arial"/>
                <w:i/>
                <w:sz w:val="20"/>
                <w:szCs w:val="20"/>
              </w:rPr>
              <w:lastRenderedPageBreak/>
              <w:t>Question 4: What are the likely impacts to listed threatened species dependent on artesian springs and what further information, if any, is required to assess potential water related impacts on these species?</w:t>
            </w:r>
          </w:p>
          <w:p w:rsidR="00FC3FD4" w:rsidRPr="00C9690C" w:rsidRDefault="004345E5" w:rsidP="001E3FCD">
            <w:pPr>
              <w:pStyle w:val="ListNumber"/>
              <w:numPr>
                <w:ilvl w:val="0"/>
                <w:numId w:val="13"/>
              </w:numPr>
              <w:spacing w:after="120" w:line="276" w:lineRule="auto"/>
              <w:ind w:left="374" w:hanging="374"/>
              <w:rPr>
                <w:rFonts w:ascii="Arial" w:hAnsi="Arial" w:cs="Arial"/>
                <w:sz w:val="20"/>
                <w:szCs w:val="20"/>
              </w:rPr>
            </w:pPr>
            <w:r w:rsidRPr="00C9690C">
              <w:rPr>
                <w:rFonts w:ascii="Arial" w:hAnsi="Arial" w:cs="Arial"/>
                <w:sz w:val="20"/>
                <w:szCs w:val="20"/>
              </w:rPr>
              <w:t xml:space="preserve">The </w:t>
            </w:r>
            <w:r w:rsidR="00BF168A" w:rsidRPr="00C9690C">
              <w:rPr>
                <w:rFonts w:ascii="Arial" w:hAnsi="Arial" w:cs="Arial"/>
                <w:sz w:val="20"/>
                <w:szCs w:val="20"/>
              </w:rPr>
              <w:t>C</w:t>
            </w:r>
            <w:r w:rsidRPr="00C9690C">
              <w:rPr>
                <w:rFonts w:ascii="Arial" w:hAnsi="Arial" w:cs="Arial"/>
                <w:sz w:val="20"/>
                <w:szCs w:val="20"/>
              </w:rPr>
              <w:t>ommittee’s consideration of likely i</w:t>
            </w:r>
            <w:r w:rsidR="00FC3FD4" w:rsidRPr="00C9690C">
              <w:rPr>
                <w:rFonts w:ascii="Arial" w:hAnsi="Arial" w:cs="Arial"/>
                <w:sz w:val="20"/>
                <w:szCs w:val="20"/>
              </w:rPr>
              <w:t xml:space="preserve">mpacts to threatened </w:t>
            </w:r>
            <w:r w:rsidR="00CB5ED9" w:rsidRPr="00C9690C">
              <w:rPr>
                <w:rFonts w:ascii="Arial" w:hAnsi="Arial" w:cs="Arial"/>
                <w:sz w:val="20"/>
                <w:szCs w:val="20"/>
              </w:rPr>
              <w:t>species</w:t>
            </w:r>
            <w:r w:rsidR="00FC3FD4" w:rsidRPr="00C9690C">
              <w:rPr>
                <w:rFonts w:ascii="Arial" w:hAnsi="Arial" w:cs="Arial"/>
                <w:sz w:val="20"/>
                <w:szCs w:val="20"/>
              </w:rPr>
              <w:t xml:space="preserve"> </w:t>
            </w:r>
            <w:r w:rsidRPr="00C9690C">
              <w:rPr>
                <w:rFonts w:ascii="Arial" w:hAnsi="Arial" w:cs="Arial"/>
                <w:sz w:val="20"/>
                <w:szCs w:val="20"/>
              </w:rPr>
              <w:t xml:space="preserve">is outlined </w:t>
            </w:r>
            <w:r w:rsidR="00BF168A" w:rsidRPr="00C9690C">
              <w:rPr>
                <w:rFonts w:ascii="Arial" w:hAnsi="Arial" w:cs="Arial"/>
                <w:sz w:val="20"/>
                <w:szCs w:val="20"/>
              </w:rPr>
              <w:t>in the response to question</w:t>
            </w:r>
            <w:r w:rsidR="00966DCE">
              <w:rPr>
                <w:rFonts w:ascii="Arial" w:hAnsi="Arial" w:cs="Arial"/>
                <w:sz w:val="20"/>
                <w:szCs w:val="20"/>
              </w:rPr>
              <w:t>s</w:t>
            </w:r>
            <w:r w:rsidR="00BF168A" w:rsidRPr="00C9690C">
              <w:rPr>
                <w:rFonts w:ascii="Arial" w:hAnsi="Arial" w:cs="Arial"/>
                <w:sz w:val="20"/>
                <w:szCs w:val="20"/>
              </w:rPr>
              <w:t xml:space="preserve"> </w:t>
            </w:r>
            <w:r w:rsidR="00FC3FD4" w:rsidRPr="00C9690C">
              <w:rPr>
                <w:rFonts w:ascii="Arial" w:hAnsi="Arial" w:cs="Arial"/>
                <w:sz w:val="20"/>
                <w:szCs w:val="20"/>
              </w:rPr>
              <w:t>1</w:t>
            </w:r>
            <w:r w:rsidR="00BF168A" w:rsidRPr="00C9690C">
              <w:rPr>
                <w:rFonts w:ascii="Arial" w:hAnsi="Arial" w:cs="Arial"/>
                <w:sz w:val="20"/>
                <w:szCs w:val="20"/>
              </w:rPr>
              <w:t xml:space="preserve"> and 3 </w:t>
            </w:r>
            <w:r w:rsidRPr="00C9690C">
              <w:rPr>
                <w:rFonts w:ascii="Arial" w:hAnsi="Arial" w:cs="Arial"/>
                <w:sz w:val="20"/>
                <w:szCs w:val="20"/>
              </w:rPr>
              <w:t>above</w:t>
            </w:r>
            <w:r w:rsidR="00FC3FD4" w:rsidRPr="00C9690C">
              <w:rPr>
                <w:rFonts w:ascii="Arial" w:hAnsi="Arial" w:cs="Arial"/>
                <w:sz w:val="20"/>
                <w:szCs w:val="20"/>
              </w:rPr>
              <w:t xml:space="preserve">. </w:t>
            </w:r>
          </w:p>
          <w:p w:rsidR="00FC3FD4" w:rsidRDefault="00FC3FD4" w:rsidP="001E3FCD">
            <w:pPr>
              <w:pStyle w:val="ListNumber"/>
              <w:spacing w:after="120" w:line="276" w:lineRule="auto"/>
              <w:rPr>
                <w:rFonts w:ascii="Arial" w:hAnsi="Arial" w:cs="Arial"/>
                <w:i/>
                <w:sz w:val="20"/>
                <w:szCs w:val="20"/>
              </w:rPr>
            </w:pPr>
            <w:r w:rsidRPr="00E82E73">
              <w:rPr>
                <w:rFonts w:ascii="Arial" w:hAnsi="Arial" w:cs="Arial"/>
                <w:i/>
                <w:sz w:val="20"/>
                <w:szCs w:val="20"/>
              </w:rPr>
              <w:t>Question 5: Does the draft EIS adequately address cumulative impacts to ground and surface water systems, and in particular water dependant matters of national environmental significance?</w:t>
            </w:r>
          </w:p>
          <w:p w:rsidR="00FC3FD4" w:rsidRPr="00C9690C" w:rsidRDefault="00FC3FD4" w:rsidP="00B96D6F">
            <w:pPr>
              <w:pStyle w:val="ListNumber"/>
              <w:numPr>
                <w:ilvl w:val="0"/>
                <w:numId w:val="13"/>
              </w:numPr>
              <w:spacing w:after="200" w:line="276" w:lineRule="auto"/>
              <w:ind w:left="374" w:hanging="374"/>
              <w:rPr>
                <w:rFonts w:ascii="Arial" w:hAnsi="Arial" w:cs="Arial"/>
                <w:sz w:val="20"/>
                <w:szCs w:val="20"/>
              </w:rPr>
            </w:pPr>
            <w:r w:rsidRPr="00C9690C">
              <w:rPr>
                <w:rFonts w:ascii="Arial" w:hAnsi="Arial" w:cs="Arial"/>
                <w:sz w:val="20"/>
                <w:szCs w:val="20"/>
              </w:rPr>
              <w:t xml:space="preserve">In terms of cumulative impacts within the Surat and Bowen </w:t>
            </w:r>
            <w:r w:rsidR="00966DCE">
              <w:rPr>
                <w:rFonts w:ascii="Arial" w:hAnsi="Arial" w:cs="Arial"/>
                <w:sz w:val="20"/>
                <w:szCs w:val="20"/>
              </w:rPr>
              <w:t>b</w:t>
            </w:r>
            <w:r w:rsidRPr="00C9690C">
              <w:rPr>
                <w:rFonts w:ascii="Arial" w:hAnsi="Arial" w:cs="Arial"/>
                <w:sz w:val="20"/>
                <w:szCs w:val="20"/>
              </w:rPr>
              <w:t xml:space="preserve">asins, the Committee notes that the region is currently experiencing significant development growth, with the approval of the Santos (EPBC 2008/4059), Australia Pacific LNG Pty Ltd (EPBC 2009/4974) and British Gas / Queensland Gas Company (EPBC 2008/4398) coal seam gas fields. The Surat Gas Project would significantly contribute to cumulative impacts associated with the Condamine Alluvium groundwater. There is limited information provided to determine the project’s contribution </w:t>
            </w:r>
            <w:r w:rsidR="00966DCE">
              <w:rPr>
                <w:rFonts w:ascii="Arial" w:hAnsi="Arial" w:cs="Arial"/>
                <w:sz w:val="20"/>
                <w:szCs w:val="20"/>
              </w:rPr>
              <w:t xml:space="preserve">to </w:t>
            </w:r>
            <w:r w:rsidRPr="00C9690C">
              <w:rPr>
                <w:rFonts w:ascii="Arial" w:hAnsi="Arial" w:cs="Arial"/>
                <w:sz w:val="20"/>
                <w:szCs w:val="20"/>
              </w:rPr>
              <w:t>cumulative impact</w:t>
            </w:r>
            <w:r w:rsidR="00966DCE">
              <w:rPr>
                <w:rFonts w:ascii="Arial" w:hAnsi="Arial" w:cs="Arial"/>
                <w:sz w:val="20"/>
                <w:szCs w:val="20"/>
              </w:rPr>
              <w:t>s</w:t>
            </w:r>
            <w:r w:rsidRPr="00C9690C">
              <w:rPr>
                <w:rFonts w:ascii="Arial" w:hAnsi="Arial" w:cs="Arial"/>
                <w:sz w:val="20"/>
                <w:szCs w:val="20"/>
              </w:rPr>
              <w:t>, including impacts to Matters of National Environmental Significance from changes to hydrology and water quality.</w:t>
            </w:r>
          </w:p>
          <w:p w:rsidR="00FC3FD4" w:rsidRPr="00C9690C" w:rsidRDefault="00FC3FD4" w:rsidP="00B96D6F">
            <w:pPr>
              <w:pStyle w:val="ListNumber"/>
              <w:numPr>
                <w:ilvl w:val="0"/>
                <w:numId w:val="13"/>
              </w:numPr>
              <w:spacing w:after="200" w:line="276" w:lineRule="auto"/>
              <w:ind w:left="374" w:hanging="374"/>
              <w:rPr>
                <w:rFonts w:ascii="Arial" w:hAnsi="Arial" w:cs="Arial"/>
                <w:sz w:val="20"/>
                <w:szCs w:val="20"/>
              </w:rPr>
            </w:pPr>
            <w:r w:rsidRPr="00C9690C">
              <w:rPr>
                <w:rFonts w:ascii="Arial" w:hAnsi="Arial" w:cs="Arial"/>
                <w:sz w:val="20"/>
                <w:szCs w:val="20"/>
              </w:rPr>
              <w:t xml:space="preserve">The Committee considers that </w:t>
            </w:r>
            <w:r w:rsidR="00966DCE">
              <w:rPr>
                <w:rFonts w:ascii="Arial" w:hAnsi="Arial" w:cs="Arial"/>
                <w:sz w:val="20"/>
                <w:szCs w:val="20"/>
              </w:rPr>
              <w:t xml:space="preserve">the </w:t>
            </w:r>
            <w:r w:rsidRPr="00C9690C">
              <w:rPr>
                <w:rFonts w:ascii="Arial" w:hAnsi="Arial" w:cs="Arial"/>
                <w:sz w:val="20"/>
                <w:szCs w:val="20"/>
              </w:rPr>
              <w:t>cumulative impact</w:t>
            </w:r>
            <w:r w:rsidR="00966DCE">
              <w:rPr>
                <w:rFonts w:ascii="Arial" w:hAnsi="Arial" w:cs="Arial"/>
                <w:sz w:val="20"/>
                <w:szCs w:val="20"/>
              </w:rPr>
              <w:t xml:space="preserve"> assessment</w:t>
            </w:r>
            <w:r w:rsidRPr="00C9690C">
              <w:rPr>
                <w:rFonts w:ascii="Arial" w:hAnsi="Arial" w:cs="Arial"/>
                <w:sz w:val="20"/>
                <w:szCs w:val="20"/>
              </w:rPr>
              <w:t xml:space="preserve"> should </w:t>
            </w:r>
            <w:r w:rsidR="00966DCE">
              <w:rPr>
                <w:rFonts w:ascii="Arial" w:hAnsi="Arial" w:cs="Arial"/>
                <w:sz w:val="20"/>
                <w:szCs w:val="20"/>
              </w:rPr>
              <w:t xml:space="preserve">be based on an </w:t>
            </w:r>
            <w:r w:rsidRPr="00C9690C">
              <w:rPr>
                <w:rFonts w:ascii="Arial" w:hAnsi="Arial" w:cs="Arial"/>
                <w:sz w:val="20"/>
                <w:szCs w:val="20"/>
              </w:rPr>
              <w:t>adequate information set, including site and regional water balances</w:t>
            </w:r>
            <w:r w:rsidR="00966DCE">
              <w:rPr>
                <w:rFonts w:ascii="Arial" w:hAnsi="Arial" w:cs="Arial"/>
                <w:sz w:val="20"/>
                <w:szCs w:val="20"/>
              </w:rPr>
              <w:t>.</w:t>
            </w:r>
            <w:r w:rsidR="00C026D5" w:rsidRPr="00C9690C">
              <w:rPr>
                <w:rFonts w:ascii="Arial" w:hAnsi="Arial" w:cs="Arial"/>
                <w:sz w:val="20"/>
                <w:szCs w:val="20"/>
              </w:rPr>
              <w:t xml:space="preserve"> </w:t>
            </w:r>
            <w:r w:rsidR="00966DCE">
              <w:rPr>
                <w:rFonts w:ascii="Arial" w:hAnsi="Arial" w:cs="Arial"/>
                <w:sz w:val="20"/>
                <w:szCs w:val="20"/>
              </w:rPr>
              <w:t>The implications of d</w:t>
            </w:r>
            <w:r w:rsidR="00C026D5" w:rsidRPr="00C9690C">
              <w:rPr>
                <w:rFonts w:ascii="Arial" w:hAnsi="Arial" w:cs="Arial"/>
                <w:sz w:val="20"/>
                <w:szCs w:val="20"/>
              </w:rPr>
              <w:t xml:space="preserve">epressurisation </w:t>
            </w:r>
            <w:r w:rsidR="00966DCE">
              <w:rPr>
                <w:rFonts w:ascii="Arial" w:hAnsi="Arial" w:cs="Arial"/>
                <w:sz w:val="20"/>
                <w:szCs w:val="20"/>
              </w:rPr>
              <w:t xml:space="preserve">to the </w:t>
            </w:r>
            <w:r w:rsidR="00966DCE" w:rsidRPr="00C9690C">
              <w:rPr>
                <w:rFonts w:ascii="Arial" w:hAnsi="Arial" w:cs="Arial"/>
                <w:sz w:val="20"/>
                <w:szCs w:val="20"/>
              </w:rPr>
              <w:t>structural integrity</w:t>
            </w:r>
            <w:r w:rsidR="00966DCE">
              <w:rPr>
                <w:rFonts w:ascii="Arial" w:hAnsi="Arial" w:cs="Arial"/>
                <w:sz w:val="20"/>
                <w:szCs w:val="20"/>
              </w:rPr>
              <w:t xml:space="preserve"> of</w:t>
            </w:r>
            <w:r w:rsidR="00C026D5" w:rsidRPr="00C9690C">
              <w:rPr>
                <w:rFonts w:ascii="Arial" w:hAnsi="Arial" w:cs="Arial"/>
                <w:sz w:val="20"/>
                <w:szCs w:val="20"/>
              </w:rPr>
              <w:t xml:space="preserve"> </w:t>
            </w:r>
            <w:r w:rsidR="00966DCE">
              <w:rPr>
                <w:rFonts w:ascii="Arial" w:hAnsi="Arial" w:cs="Arial"/>
                <w:sz w:val="20"/>
                <w:szCs w:val="20"/>
              </w:rPr>
              <w:t>the Springbok</w:t>
            </w:r>
            <w:r w:rsidR="00966DCE" w:rsidRPr="00C9690C">
              <w:rPr>
                <w:rFonts w:ascii="Arial" w:hAnsi="Arial" w:cs="Arial"/>
                <w:sz w:val="20"/>
                <w:szCs w:val="20"/>
              </w:rPr>
              <w:t xml:space="preserve"> Sandston</w:t>
            </w:r>
            <w:r w:rsidR="00966DCE">
              <w:rPr>
                <w:rFonts w:ascii="Arial" w:hAnsi="Arial" w:cs="Arial"/>
                <w:sz w:val="20"/>
                <w:szCs w:val="20"/>
              </w:rPr>
              <w:t>e</w:t>
            </w:r>
            <w:r w:rsidR="00C026D5">
              <w:rPr>
                <w:rFonts w:ascii="Arial" w:hAnsi="Arial" w:cs="Arial"/>
                <w:sz w:val="20"/>
                <w:szCs w:val="20"/>
              </w:rPr>
              <w:t xml:space="preserve"> </w:t>
            </w:r>
            <w:r w:rsidR="00966DCE">
              <w:rPr>
                <w:rFonts w:ascii="Arial" w:hAnsi="Arial" w:cs="Arial"/>
                <w:sz w:val="20"/>
                <w:szCs w:val="20"/>
              </w:rPr>
              <w:t>should also be considered</w:t>
            </w:r>
            <w:r w:rsidR="00C026D5">
              <w:rPr>
                <w:rFonts w:ascii="Arial" w:hAnsi="Arial" w:cs="Arial"/>
                <w:sz w:val="20"/>
                <w:szCs w:val="20"/>
              </w:rPr>
              <w:t>.</w:t>
            </w:r>
          </w:p>
          <w:p w:rsidR="00FC3FD4" w:rsidRPr="00C9690C" w:rsidRDefault="00FC3FD4" w:rsidP="001E3FCD">
            <w:pPr>
              <w:pStyle w:val="ListNumber"/>
              <w:numPr>
                <w:ilvl w:val="0"/>
                <w:numId w:val="13"/>
              </w:numPr>
              <w:spacing w:after="120" w:line="276" w:lineRule="auto"/>
              <w:ind w:left="374" w:hanging="374"/>
              <w:rPr>
                <w:rFonts w:ascii="Arial" w:hAnsi="Arial" w:cs="Arial"/>
                <w:sz w:val="20"/>
                <w:szCs w:val="20"/>
              </w:rPr>
            </w:pPr>
            <w:r w:rsidRPr="00C9690C">
              <w:rPr>
                <w:rFonts w:ascii="Arial" w:hAnsi="Arial" w:cs="Arial"/>
                <w:sz w:val="20"/>
                <w:szCs w:val="20"/>
              </w:rPr>
              <w:t xml:space="preserve">The Committee considers that well failure during construction, operation and decommissioning phases of the project has the potential to cause aquifer </w:t>
            </w:r>
            <w:r w:rsidR="00BF168A" w:rsidRPr="00C9690C">
              <w:rPr>
                <w:rFonts w:ascii="Arial" w:hAnsi="Arial" w:cs="Arial"/>
                <w:sz w:val="20"/>
                <w:szCs w:val="20"/>
              </w:rPr>
              <w:t>interconnectivity.</w:t>
            </w:r>
            <w:r w:rsidRPr="00C9690C">
              <w:rPr>
                <w:rFonts w:ascii="Arial" w:hAnsi="Arial" w:cs="Arial"/>
                <w:sz w:val="20"/>
                <w:szCs w:val="20"/>
              </w:rPr>
              <w:t xml:space="preserve"> With up to 7,500 wells being proposed even a 1% failure rate has the potential to significantly impact on </w:t>
            </w:r>
            <w:r w:rsidR="00BF168A" w:rsidRPr="00C9690C">
              <w:rPr>
                <w:rFonts w:ascii="Arial" w:hAnsi="Arial" w:cs="Arial"/>
                <w:sz w:val="20"/>
                <w:szCs w:val="20"/>
              </w:rPr>
              <w:t>aquifer integrity</w:t>
            </w:r>
            <w:r w:rsidRPr="00C9690C">
              <w:rPr>
                <w:rFonts w:ascii="Arial" w:hAnsi="Arial" w:cs="Arial"/>
                <w:sz w:val="20"/>
                <w:szCs w:val="20"/>
              </w:rPr>
              <w:t xml:space="preserve"> in the region. Water fluxes associated with the potential failure or degradation of well integrity </w:t>
            </w:r>
            <w:r w:rsidR="00BE28CD">
              <w:rPr>
                <w:rFonts w:ascii="Arial" w:hAnsi="Arial" w:cs="Arial"/>
                <w:sz w:val="20"/>
                <w:szCs w:val="20"/>
              </w:rPr>
              <w:t>are</w:t>
            </w:r>
            <w:r w:rsidRPr="00C9690C">
              <w:rPr>
                <w:rFonts w:ascii="Arial" w:hAnsi="Arial" w:cs="Arial"/>
                <w:sz w:val="20"/>
                <w:szCs w:val="20"/>
              </w:rPr>
              <w:t xml:space="preserve"> currently unknown. The Committee considers that a risk assessment of well integrity is required to enable potential impacts at a regional scale to be adequately determined. This should consider mitigation measures, maintenance, decommissioning, and the Code of Practice for Constructing and Abandoning Coal Seam Gas Wells in Queensland.</w:t>
            </w:r>
          </w:p>
          <w:p w:rsidR="00256B20" w:rsidRPr="00BE01F0" w:rsidRDefault="00FC3FD4" w:rsidP="001E3FCD">
            <w:pPr>
              <w:pStyle w:val="ListNumber"/>
              <w:numPr>
                <w:ilvl w:val="0"/>
                <w:numId w:val="13"/>
              </w:numPr>
              <w:spacing w:after="120" w:line="276" w:lineRule="auto"/>
              <w:ind w:left="374" w:hanging="374"/>
            </w:pPr>
            <w:r w:rsidRPr="00C9690C">
              <w:rPr>
                <w:rFonts w:ascii="Arial" w:hAnsi="Arial" w:cs="Arial"/>
                <w:sz w:val="20"/>
                <w:szCs w:val="20"/>
              </w:rPr>
              <w:t xml:space="preserve">The proponent intends to dispose of brine through selective salt precipitation, brine injection, ocean disposal and/or suitably licensed landfill. </w:t>
            </w:r>
            <w:r w:rsidR="001E778C">
              <w:rPr>
                <w:rFonts w:ascii="Arial" w:hAnsi="Arial" w:cs="Arial"/>
                <w:sz w:val="20"/>
                <w:szCs w:val="20"/>
              </w:rPr>
              <w:t>The documentation provided with the project indicates a</w:t>
            </w:r>
            <w:r w:rsidRPr="00C9690C">
              <w:rPr>
                <w:rFonts w:ascii="Arial" w:hAnsi="Arial" w:cs="Arial"/>
                <w:sz w:val="20"/>
                <w:szCs w:val="20"/>
              </w:rPr>
              <w:t xml:space="preserve">pproximately 4.5 tonnes of salt is predicted to be generated per </w:t>
            </w:r>
            <w:proofErr w:type="spellStart"/>
            <w:r w:rsidRPr="00C9690C">
              <w:rPr>
                <w:rFonts w:ascii="Arial" w:hAnsi="Arial" w:cs="Arial"/>
                <w:sz w:val="20"/>
                <w:szCs w:val="20"/>
              </w:rPr>
              <w:t>megalitre</w:t>
            </w:r>
            <w:proofErr w:type="spellEnd"/>
            <w:r w:rsidRPr="00C9690C">
              <w:rPr>
                <w:rFonts w:ascii="Arial" w:hAnsi="Arial" w:cs="Arial"/>
                <w:sz w:val="20"/>
                <w:szCs w:val="20"/>
              </w:rPr>
              <w:t xml:space="preserve"> of coal seam gas water. However, it is unclear how many </w:t>
            </w:r>
            <w:proofErr w:type="spellStart"/>
            <w:r w:rsidRPr="00C9690C">
              <w:rPr>
                <w:rFonts w:ascii="Arial" w:hAnsi="Arial" w:cs="Arial"/>
                <w:sz w:val="20"/>
                <w:szCs w:val="20"/>
              </w:rPr>
              <w:t>megalitres</w:t>
            </w:r>
            <w:proofErr w:type="spellEnd"/>
            <w:r w:rsidRPr="00C9690C">
              <w:rPr>
                <w:rFonts w:ascii="Arial" w:hAnsi="Arial" w:cs="Arial"/>
                <w:sz w:val="20"/>
                <w:szCs w:val="20"/>
              </w:rPr>
              <w:t xml:space="preserve"> of coal seam gas water will be produced. The Committee considers that further information is required to make an adequate assessment of potential impacts from brine disposal, including storage locations, water quantities and water qualities. Further, </w:t>
            </w:r>
            <w:proofErr w:type="spellStart"/>
            <w:r w:rsidRPr="00C9690C">
              <w:rPr>
                <w:rFonts w:ascii="Arial" w:hAnsi="Arial" w:cs="Arial"/>
                <w:sz w:val="20"/>
                <w:szCs w:val="20"/>
              </w:rPr>
              <w:t>ecotoxicity</w:t>
            </w:r>
            <w:proofErr w:type="spellEnd"/>
            <w:r w:rsidRPr="00C9690C">
              <w:rPr>
                <w:rFonts w:ascii="Arial" w:hAnsi="Arial" w:cs="Arial"/>
                <w:sz w:val="20"/>
                <w:szCs w:val="20"/>
              </w:rPr>
              <w:t xml:space="preserve"> tests are required to support proposed disposal options.</w:t>
            </w:r>
          </w:p>
          <w:p w:rsidR="00FC3FD4" w:rsidRPr="00553034" w:rsidRDefault="00BE01F0" w:rsidP="001E3FCD">
            <w:pPr>
              <w:pStyle w:val="ListNumber"/>
              <w:numPr>
                <w:ilvl w:val="0"/>
                <w:numId w:val="13"/>
              </w:numPr>
              <w:spacing w:line="276" w:lineRule="auto"/>
              <w:ind w:left="374" w:hanging="374"/>
              <w:rPr>
                <w:rFonts w:ascii="Arial" w:hAnsi="Arial" w:cs="Arial"/>
                <w:sz w:val="20"/>
                <w:szCs w:val="20"/>
              </w:rPr>
            </w:pPr>
            <w:r>
              <w:rPr>
                <w:rFonts w:ascii="Arial" w:hAnsi="Arial" w:cs="Arial"/>
                <w:sz w:val="20"/>
                <w:szCs w:val="20"/>
              </w:rPr>
              <w:t>T</w:t>
            </w:r>
            <w:r w:rsidRPr="00C9690C">
              <w:rPr>
                <w:rFonts w:ascii="Arial" w:hAnsi="Arial" w:cs="Arial"/>
                <w:sz w:val="20"/>
                <w:szCs w:val="20"/>
              </w:rPr>
              <w:t xml:space="preserve">he Committee notes that the Northern Inland Catchment and the Clarence-Moreton Basin </w:t>
            </w:r>
            <w:r>
              <w:rPr>
                <w:rFonts w:ascii="Arial" w:hAnsi="Arial" w:cs="Arial"/>
                <w:sz w:val="20"/>
                <w:szCs w:val="20"/>
              </w:rPr>
              <w:t xml:space="preserve">have been identified as </w:t>
            </w:r>
            <w:r w:rsidRPr="00C9690C">
              <w:rPr>
                <w:rFonts w:ascii="Arial" w:hAnsi="Arial" w:cs="Arial"/>
                <w:sz w:val="20"/>
                <w:szCs w:val="20"/>
              </w:rPr>
              <w:t xml:space="preserve">Bioregional Assessments </w:t>
            </w:r>
            <w:r>
              <w:rPr>
                <w:rFonts w:ascii="Arial" w:hAnsi="Arial" w:cs="Arial"/>
                <w:sz w:val="20"/>
                <w:szCs w:val="20"/>
              </w:rPr>
              <w:t>priority regions. Given that the</w:t>
            </w:r>
            <w:r w:rsidRPr="00C9690C">
              <w:rPr>
                <w:rFonts w:ascii="Arial" w:hAnsi="Arial" w:cs="Arial"/>
                <w:sz w:val="20"/>
                <w:szCs w:val="20"/>
              </w:rPr>
              <w:t xml:space="preserve"> proposed Arrow development</w:t>
            </w:r>
            <w:r>
              <w:rPr>
                <w:rFonts w:ascii="Arial" w:hAnsi="Arial" w:cs="Arial"/>
                <w:sz w:val="20"/>
                <w:szCs w:val="20"/>
              </w:rPr>
              <w:t xml:space="preserve"> is located within this region,</w:t>
            </w:r>
            <w:r w:rsidRPr="00C9690C">
              <w:rPr>
                <w:rFonts w:ascii="Arial" w:hAnsi="Arial" w:cs="Arial"/>
                <w:sz w:val="20"/>
                <w:szCs w:val="20"/>
              </w:rPr>
              <w:t xml:space="preserve"> </w:t>
            </w:r>
            <w:r>
              <w:rPr>
                <w:rFonts w:ascii="Arial" w:hAnsi="Arial" w:cs="Arial"/>
                <w:sz w:val="20"/>
                <w:szCs w:val="20"/>
              </w:rPr>
              <w:t>t</w:t>
            </w:r>
            <w:r w:rsidRPr="00C9690C">
              <w:rPr>
                <w:rFonts w:ascii="Arial" w:hAnsi="Arial" w:cs="Arial"/>
                <w:sz w:val="20"/>
                <w:szCs w:val="20"/>
              </w:rPr>
              <w:t xml:space="preserve">he Committee </w:t>
            </w:r>
            <w:r>
              <w:rPr>
                <w:rFonts w:ascii="Arial" w:hAnsi="Arial" w:cs="Arial"/>
                <w:sz w:val="20"/>
                <w:szCs w:val="20"/>
              </w:rPr>
              <w:t xml:space="preserve">considers that data and relevant </w:t>
            </w:r>
            <w:r w:rsidRPr="00C9690C">
              <w:rPr>
                <w:rFonts w:ascii="Arial" w:hAnsi="Arial" w:cs="Arial"/>
                <w:sz w:val="20"/>
                <w:szCs w:val="20"/>
              </w:rPr>
              <w:t xml:space="preserve">information </w:t>
            </w:r>
            <w:r>
              <w:rPr>
                <w:rFonts w:ascii="Arial" w:hAnsi="Arial" w:cs="Arial"/>
                <w:sz w:val="20"/>
                <w:szCs w:val="20"/>
              </w:rPr>
              <w:t>from this project</w:t>
            </w:r>
            <w:r w:rsidRPr="00C9690C">
              <w:rPr>
                <w:rFonts w:ascii="Arial" w:hAnsi="Arial" w:cs="Arial"/>
                <w:sz w:val="20"/>
                <w:szCs w:val="20"/>
              </w:rPr>
              <w:t xml:space="preserve"> should </w:t>
            </w:r>
            <w:r>
              <w:rPr>
                <w:rFonts w:ascii="Arial" w:hAnsi="Arial" w:cs="Arial"/>
                <w:sz w:val="20"/>
                <w:szCs w:val="20"/>
              </w:rPr>
              <w:t xml:space="preserve">be made accessible for </w:t>
            </w:r>
            <w:r w:rsidRPr="00C9690C">
              <w:rPr>
                <w:rFonts w:ascii="Arial" w:hAnsi="Arial" w:cs="Arial"/>
                <w:sz w:val="20"/>
                <w:szCs w:val="20"/>
              </w:rPr>
              <w:t xml:space="preserve">these Bioregional Assessments.   </w:t>
            </w:r>
          </w:p>
        </w:tc>
      </w:tr>
      <w:tr w:rsidR="00FC3FD4" w:rsidRPr="00B451D3" w:rsidTr="00553034">
        <w:trPr>
          <w:gridAfter w:val="1"/>
          <w:wAfter w:w="105" w:type="dxa"/>
          <w:trHeight w:val="19"/>
        </w:trPr>
        <w:tc>
          <w:tcPr>
            <w:tcW w:w="1526" w:type="dxa"/>
            <w:tcBorders>
              <w:top w:val="single" w:sz="4" w:space="0" w:color="auto"/>
              <w:bottom w:val="single" w:sz="4" w:space="0" w:color="auto"/>
            </w:tcBorders>
          </w:tcPr>
          <w:p w:rsidR="00FC3FD4" w:rsidRDefault="00FC3FD4" w:rsidP="00B96D6F">
            <w:pPr>
              <w:pStyle w:val="tablelabel"/>
              <w:spacing w:line="276" w:lineRule="auto"/>
              <w:rPr>
                <w:rFonts w:cs="Arial"/>
                <w:sz w:val="20"/>
              </w:rPr>
            </w:pPr>
            <w:r>
              <w:rPr>
                <w:rFonts w:cs="Arial"/>
                <w:sz w:val="20"/>
              </w:rPr>
              <w:lastRenderedPageBreak/>
              <w:t>Date of advice</w:t>
            </w:r>
          </w:p>
        </w:tc>
        <w:tc>
          <w:tcPr>
            <w:tcW w:w="8283" w:type="dxa"/>
            <w:gridSpan w:val="2"/>
            <w:tcBorders>
              <w:top w:val="single" w:sz="4" w:space="0" w:color="auto"/>
              <w:bottom w:val="single" w:sz="4" w:space="0" w:color="auto"/>
            </w:tcBorders>
          </w:tcPr>
          <w:p w:rsidR="00FC3FD4" w:rsidRPr="00B451D3" w:rsidRDefault="00EC7D00" w:rsidP="00B96D6F">
            <w:pPr>
              <w:pStyle w:val="ListNumber"/>
              <w:spacing w:after="120" w:line="276" w:lineRule="auto"/>
              <w:ind w:left="369" w:hanging="369"/>
              <w:rPr>
                <w:rFonts w:ascii="Arial" w:hAnsi="Arial" w:cs="Arial"/>
                <w:sz w:val="20"/>
                <w:szCs w:val="20"/>
              </w:rPr>
            </w:pPr>
            <w:r>
              <w:rPr>
                <w:rFonts w:ascii="Arial" w:hAnsi="Arial" w:cs="Arial"/>
                <w:sz w:val="20"/>
                <w:szCs w:val="20"/>
              </w:rPr>
              <w:t xml:space="preserve">20 </w:t>
            </w:r>
            <w:r w:rsidRPr="00B96D6F">
              <w:rPr>
                <w:rFonts w:ascii="Arial" w:hAnsi="Arial" w:cs="Arial"/>
                <w:bCs/>
                <w:sz w:val="20"/>
                <w:szCs w:val="20"/>
              </w:rPr>
              <w:t>February</w:t>
            </w:r>
            <w:r w:rsidR="00FC3FD4">
              <w:rPr>
                <w:rFonts w:ascii="Arial" w:hAnsi="Arial" w:cs="Arial"/>
                <w:sz w:val="20"/>
                <w:szCs w:val="20"/>
              </w:rPr>
              <w:t xml:space="preserve"> 2013</w:t>
            </w:r>
          </w:p>
        </w:tc>
      </w:tr>
      <w:tr w:rsidR="00F8459B" w:rsidRPr="00B451D3" w:rsidTr="00553034">
        <w:tblPrEx>
          <w:tblBorders>
            <w:top w:val="single" w:sz="4" w:space="0" w:color="auto"/>
            <w:bottom w:val="single" w:sz="4" w:space="0" w:color="auto"/>
            <w:insideH w:val="none" w:sz="0" w:space="0" w:color="auto"/>
          </w:tblBorders>
        </w:tblPrEx>
        <w:trPr>
          <w:trHeight w:val="19"/>
        </w:trPr>
        <w:tc>
          <w:tcPr>
            <w:tcW w:w="1650" w:type="dxa"/>
            <w:gridSpan w:val="2"/>
          </w:tcPr>
          <w:p w:rsidR="00F8459B" w:rsidRDefault="00553034" w:rsidP="00B96D6F">
            <w:pPr>
              <w:pStyle w:val="tablelabel"/>
              <w:spacing w:line="276" w:lineRule="auto"/>
              <w:rPr>
                <w:rFonts w:cs="Arial"/>
                <w:sz w:val="20"/>
              </w:rPr>
            </w:pPr>
            <w:r>
              <w:rPr>
                <w:rFonts w:cs="Arial"/>
                <w:sz w:val="20"/>
              </w:rPr>
              <w:t>S</w:t>
            </w:r>
            <w:r w:rsidR="00F8459B">
              <w:rPr>
                <w:rFonts w:cs="Arial"/>
                <w:sz w:val="20"/>
              </w:rPr>
              <w:t xml:space="preserve">ource documentation </w:t>
            </w:r>
            <w:r w:rsidR="003B1000">
              <w:rPr>
                <w:rFonts w:cs="Arial"/>
                <w:sz w:val="20"/>
              </w:rPr>
              <w:t>available to the Committee in the formulation of this advice</w:t>
            </w:r>
          </w:p>
        </w:tc>
        <w:tc>
          <w:tcPr>
            <w:tcW w:w="8264" w:type="dxa"/>
            <w:gridSpan w:val="2"/>
          </w:tcPr>
          <w:p w:rsidR="00F8459B" w:rsidRPr="00127491" w:rsidRDefault="00F8459B" w:rsidP="00B96D6F">
            <w:pPr>
              <w:pStyle w:val="ListNumber"/>
              <w:spacing w:after="120" w:line="276" w:lineRule="auto"/>
              <w:ind w:left="193" w:hanging="283"/>
              <w:rPr>
                <w:rFonts w:ascii="Arial" w:hAnsi="Arial" w:cs="Arial"/>
                <w:bCs/>
                <w:sz w:val="20"/>
                <w:szCs w:val="20"/>
              </w:rPr>
            </w:pPr>
            <w:proofErr w:type="spellStart"/>
            <w:r w:rsidRPr="00127491">
              <w:rPr>
                <w:rFonts w:ascii="Arial" w:hAnsi="Arial" w:cs="Arial"/>
                <w:bCs/>
                <w:sz w:val="20"/>
                <w:szCs w:val="20"/>
              </w:rPr>
              <w:t>Adriaansen</w:t>
            </w:r>
            <w:proofErr w:type="spellEnd"/>
            <w:r w:rsidRPr="00127491">
              <w:rPr>
                <w:rFonts w:ascii="Arial" w:hAnsi="Arial" w:cs="Arial"/>
                <w:bCs/>
                <w:sz w:val="20"/>
                <w:szCs w:val="20"/>
              </w:rPr>
              <w:t>, M., Butler, A., Anderson, T. &amp; Broughton, J., 2011. Arrow Energy Surat Gas Project EIS – Surface Water Assessment – PART B: Water Quality. NRA (for Alluvium) for Coffey Environments, 12 Creek Street, Brisbane Qld 4000.</w:t>
            </w:r>
          </w:p>
          <w:p w:rsidR="00D864DF" w:rsidRDefault="00D864DF" w:rsidP="00B96D6F">
            <w:pPr>
              <w:pStyle w:val="ListNumber"/>
              <w:spacing w:after="120" w:line="276" w:lineRule="auto"/>
              <w:ind w:left="193" w:hanging="283"/>
              <w:rPr>
                <w:rFonts w:ascii="Arial" w:hAnsi="Arial" w:cs="Arial"/>
                <w:bCs/>
                <w:sz w:val="20"/>
                <w:szCs w:val="20"/>
              </w:rPr>
            </w:pPr>
            <w:proofErr w:type="gramStart"/>
            <w:r>
              <w:rPr>
                <w:rFonts w:ascii="Arial" w:hAnsi="Arial" w:cs="Arial"/>
                <w:bCs/>
                <w:sz w:val="20"/>
                <w:szCs w:val="20"/>
              </w:rPr>
              <w:t>Arrow  Energy</w:t>
            </w:r>
            <w:proofErr w:type="gramEnd"/>
            <w:r>
              <w:rPr>
                <w:rFonts w:ascii="Arial" w:hAnsi="Arial" w:cs="Arial"/>
                <w:bCs/>
                <w:sz w:val="20"/>
                <w:szCs w:val="20"/>
              </w:rPr>
              <w:t xml:space="preserve"> Pty Ltd, 2012. Surat Gas Project Environmental Impact Statement. Available at: </w:t>
            </w:r>
            <w:hyperlink r:id="rId9" w:history="1">
              <w:r w:rsidRPr="009320F1">
                <w:rPr>
                  <w:rStyle w:val="Hyperlink"/>
                  <w:rFonts w:ascii="Arial" w:hAnsi="Arial" w:cs="Arial"/>
                  <w:bCs/>
                  <w:sz w:val="20"/>
                  <w:szCs w:val="20"/>
                </w:rPr>
                <w:t>www.arrowenergy.com/page/community/Project_Assessment_EIS/Surat_Gas_Project_EIS</w:t>
              </w:r>
            </w:hyperlink>
            <w:r>
              <w:rPr>
                <w:rFonts w:ascii="Arial" w:hAnsi="Arial" w:cs="Arial"/>
                <w:bCs/>
                <w:sz w:val="20"/>
                <w:szCs w:val="20"/>
              </w:rPr>
              <w:t xml:space="preserve"> (accessed 20/02/2013).</w:t>
            </w:r>
          </w:p>
          <w:p w:rsidR="00F8459B" w:rsidRPr="00127491" w:rsidRDefault="00F8459B" w:rsidP="00B96D6F">
            <w:pPr>
              <w:pStyle w:val="ListNumber"/>
              <w:spacing w:after="120" w:line="276" w:lineRule="auto"/>
              <w:ind w:left="193" w:hanging="283"/>
              <w:rPr>
                <w:rFonts w:ascii="Arial" w:hAnsi="Arial" w:cs="Arial"/>
                <w:bCs/>
                <w:sz w:val="20"/>
                <w:szCs w:val="20"/>
              </w:rPr>
            </w:pPr>
            <w:r w:rsidRPr="00127491">
              <w:rPr>
                <w:rFonts w:ascii="Arial" w:hAnsi="Arial" w:cs="Arial"/>
                <w:bCs/>
                <w:sz w:val="20"/>
                <w:szCs w:val="20"/>
              </w:rPr>
              <w:t xml:space="preserve">Carter, J., Lucas, R. &amp; </w:t>
            </w:r>
            <w:proofErr w:type="spellStart"/>
            <w:r w:rsidRPr="00127491">
              <w:rPr>
                <w:rFonts w:ascii="Arial" w:hAnsi="Arial" w:cs="Arial"/>
                <w:bCs/>
                <w:sz w:val="20"/>
                <w:szCs w:val="20"/>
              </w:rPr>
              <w:t>Crerar</w:t>
            </w:r>
            <w:proofErr w:type="spellEnd"/>
            <w:r w:rsidRPr="00127491">
              <w:rPr>
                <w:rFonts w:ascii="Arial" w:hAnsi="Arial" w:cs="Arial"/>
                <w:bCs/>
                <w:sz w:val="20"/>
                <w:szCs w:val="20"/>
              </w:rPr>
              <w:t>, J., 2011. Arrow Energy Surat Gas Project EIS – Surface Water Assessment – PART A: Fluvial Geomorphology and Hydrology. Alluvium for Coffey Environments, 12 Creek Street, Brisbane Qld 4000.</w:t>
            </w:r>
          </w:p>
          <w:p w:rsidR="00F8459B" w:rsidRPr="00127491" w:rsidRDefault="00F8459B" w:rsidP="00B96D6F">
            <w:pPr>
              <w:pStyle w:val="ListNumber"/>
              <w:spacing w:after="120" w:line="276" w:lineRule="auto"/>
              <w:ind w:left="193" w:hanging="283"/>
              <w:rPr>
                <w:rFonts w:ascii="Arial" w:hAnsi="Arial" w:cs="Arial"/>
                <w:bCs/>
                <w:sz w:val="20"/>
                <w:szCs w:val="20"/>
              </w:rPr>
            </w:pPr>
            <w:r w:rsidRPr="00127491">
              <w:rPr>
                <w:rFonts w:ascii="Arial" w:hAnsi="Arial" w:cs="Arial"/>
                <w:bCs/>
                <w:sz w:val="20"/>
                <w:szCs w:val="20"/>
              </w:rPr>
              <w:lastRenderedPageBreak/>
              <w:t>Coffey Environments Australia Pty Ltd, 2012. Surat Gas Project – Environmental Impact Statement. Attachment 3: Matters of National Environmental Significance. Prepared for Arrow Energy Pty Ltd.</w:t>
            </w:r>
          </w:p>
          <w:p w:rsidR="00F8459B" w:rsidRPr="00127491" w:rsidRDefault="00F8459B" w:rsidP="00B96D6F">
            <w:pPr>
              <w:pStyle w:val="ListNumber"/>
              <w:spacing w:after="120" w:line="276" w:lineRule="auto"/>
              <w:ind w:left="193" w:hanging="283"/>
              <w:rPr>
                <w:rFonts w:ascii="Arial" w:hAnsi="Arial" w:cs="Arial"/>
                <w:bCs/>
                <w:sz w:val="20"/>
                <w:szCs w:val="20"/>
              </w:rPr>
            </w:pPr>
            <w:r w:rsidRPr="00127491">
              <w:rPr>
                <w:rFonts w:ascii="Arial" w:hAnsi="Arial" w:cs="Arial"/>
                <w:bCs/>
                <w:sz w:val="20"/>
                <w:szCs w:val="20"/>
              </w:rPr>
              <w:t>Coffey Environments Australia Pty Ltd, 2012. Surat Gas Project – Environmental Impact Statement. Chapter 5: Project description. Prepared for Arrow Energy Pty Ltd.</w:t>
            </w:r>
          </w:p>
          <w:p w:rsidR="00F8459B" w:rsidRPr="00127491" w:rsidRDefault="00F8459B" w:rsidP="00B96D6F">
            <w:pPr>
              <w:pStyle w:val="ListNumber"/>
              <w:spacing w:after="120" w:line="276" w:lineRule="auto"/>
              <w:ind w:left="193" w:hanging="283"/>
              <w:rPr>
                <w:rFonts w:ascii="Arial" w:hAnsi="Arial" w:cs="Arial"/>
                <w:bCs/>
                <w:sz w:val="20"/>
                <w:szCs w:val="20"/>
              </w:rPr>
            </w:pPr>
            <w:r w:rsidRPr="00127491">
              <w:rPr>
                <w:rFonts w:ascii="Arial" w:hAnsi="Arial" w:cs="Arial"/>
                <w:bCs/>
                <w:sz w:val="20"/>
                <w:szCs w:val="20"/>
              </w:rPr>
              <w:t>Coffey Environments Australia Pty Ltd, 2012. Surat Gas Project – Environmental Impact Statement. Chapter 14: Groundwater. Prepared for Arrow Energy Pty Ltd.</w:t>
            </w:r>
          </w:p>
          <w:p w:rsidR="00F8459B" w:rsidRPr="00127491" w:rsidRDefault="00F8459B" w:rsidP="00B96D6F">
            <w:pPr>
              <w:pStyle w:val="ListNumber"/>
              <w:spacing w:after="120" w:line="276" w:lineRule="auto"/>
              <w:ind w:left="193" w:hanging="283"/>
              <w:rPr>
                <w:rFonts w:ascii="Arial" w:hAnsi="Arial" w:cs="Arial"/>
                <w:bCs/>
                <w:sz w:val="20"/>
                <w:szCs w:val="20"/>
              </w:rPr>
            </w:pPr>
            <w:r w:rsidRPr="00127491">
              <w:rPr>
                <w:rFonts w:ascii="Arial" w:hAnsi="Arial" w:cs="Arial"/>
                <w:bCs/>
                <w:sz w:val="20"/>
                <w:szCs w:val="20"/>
              </w:rPr>
              <w:t>Coffey Environments Australia Pty Ltd, 2012. Surat Gas Project – Environmental Impact Statement. Chapter 15: Surface Water. Prepared for Arrow Energy Pty Ltd.</w:t>
            </w:r>
          </w:p>
          <w:p w:rsidR="00F8459B" w:rsidRPr="00127491" w:rsidRDefault="00F8459B" w:rsidP="00B96D6F">
            <w:pPr>
              <w:pStyle w:val="ListNumber"/>
              <w:spacing w:after="120" w:line="276" w:lineRule="auto"/>
              <w:ind w:left="193" w:hanging="283"/>
              <w:rPr>
                <w:rFonts w:ascii="Arial" w:hAnsi="Arial" w:cs="Arial"/>
                <w:bCs/>
                <w:sz w:val="20"/>
                <w:szCs w:val="20"/>
              </w:rPr>
            </w:pPr>
            <w:r w:rsidRPr="00127491">
              <w:rPr>
                <w:rFonts w:ascii="Arial" w:hAnsi="Arial" w:cs="Arial"/>
                <w:bCs/>
                <w:sz w:val="20"/>
                <w:szCs w:val="20"/>
              </w:rPr>
              <w:t>Coffey Environments Australia Pty Ltd, 2012. Surat Gas Project – Environmental Impact Statement. Chapter 16: Aquatic ecology. Prepared for Arrow Energy Pty Ltd.</w:t>
            </w:r>
          </w:p>
          <w:p w:rsidR="00F8459B" w:rsidRPr="00127491" w:rsidRDefault="00F8459B" w:rsidP="00B96D6F">
            <w:pPr>
              <w:pStyle w:val="ListNumber"/>
              <w:spacing w:after="120" w:line="276" w:lineRule="auto"/>
              <w:ind w:left="193" w:hanging="283"/>
              <w:rPr>
                <w:rFonts w:ascii="Arial" w:hAnsi="Arial" w:cs="Arial"/>
                <w:bCs/>
                <w:sz w:val="20"/>
                <w:szCs w:val="20"/>
              </w:rPr>
            </w:pPr>
            <w:r w:rsidRPr="00127491">
              <w:rPr>
                <w:rFonts w:ascii="Arial" w:hAnsi="Arial" w:cs="Arial"/>
                <w:bCs/>
                <w:sz w:val="20"/>
                <w:szCs w:val="20"/>
              </w:rPr>
              <w:t>Coffey Environments Australia Pty Ltd, 2012. Surat Gas Project – Environmental Impact Statement. Chapter 7: Impact assessment method. Prepared for Arrow Energy Pty Ltd.</w:t>
            </w:r>
          </w:p>
          <w:p w:rsidR="00F8459B" w:rsidRPr="00127491" w:rsidRDefault="00F8459B" w:rsidP="00B96D6F">
            <w:pPr>
              <w:pStyle w:val="ListNumber"/>
              <w:spacing w:after="120" w:line="276" w:lineRule="auto"/>
              <w:ind w:left="193" w:hanging="283"/>
              <w:rPr>
                <w:rFonts w:ascii="Arial" w:hAnsi="Arial" w:cs="Arial"/>
                <w:bCs/>
                <w:sz w:val="20"/>
                <w:szCs w:val="20"/>
              </w:rPr>
            </w:pPr>
            <w:r w:rsidRPr="00127491">
              <w:rPr>
                <w:rFonts w:ascii="Arial" w:hAnsi="Arial" w:cs="Arial"/>
                <w:bCs/>
                <w:sz w:val="20"/>
                <w:szCs w:val="20"/>
              </w:rPr>
              <w:t>Coffey Environments Australia Pty Ltd, 2012. Surat Gas Project – Environmental Impact Statement. Chapter 28: Cumulative impacts. Prepared for Arrow Energy Pty Ltd.</w:t>
            </w:r>
          </w:p>
          <w:p w:rsidR="00F8459B" w:rsidRPr="00553034" w:rsidRDefault="00F8459B" w:rsidP="00B96D6F">
            <w:pPr>
              <w:pStyle w:val="ListNumber"/>
              <w:spacing w:after="120" w:line="276" w:lineRule="auto"/>
              <w:ind w:left="193" w:hanging="283"/>
              <w:rPr>
                <w:rFonts w:ascii="Arial" w:hAnsi="Arial" w:cs="Arial"/>
                <w:bCs/>
                <w:sz w:val="20"/>
                <w:szCs w:val="20"/>
              </w:rPr>
            </w:pPr>
            <w:r w:rsidRPr="00127491">
              <w:rPr>
                <w:rFonts w:ascii="Arial" w:hAnsi="Arial" w:cs="Arial"/>
                <w:bCs/>
                <w:sz w:val="20"/>
                <w:szCs w:val="20"/>
              </w:rPr>
              <w:t>Coffey Environments Pty Ltd, 2012. Arrow Energy Surat Gas Project Groundwater Impact Assessment Report. Prepared for Arrow Energy Pty Ltd.</w:t>
            </w:r>
          </w:p>
        </w:tc>
      </w:tr>
    </w:tbl>
    <w:p w:rsidR="00127491" w:rsidRPr="00127491" w:rsidRDefault="00127491" w:rsidP="00F8459B">
      <w:pPr>
        <w:pStyle w:val="ListNumber"/>
        <w:spacing w:after="120" w:line="276" w:lineRule="auto"/>
        <w:ind w:left="369" w:hanging="369"/>
        <w:rPr>
          <w:rFonts w:ascii="Arial" w:hAnsi="Arial" w:cs="Arial"/>
          <w:bCs/>
          <w:sz w:val="20"/>
          <w:szCs w:val="20"/>
        </w:rPr>
      </w:pPr>
    </w:p>
    <w:sectPr w:rsidR="00127491" w:rsidRPr="00127491" w:rsidSect="00FA4CF0">
      <w:headerReference w:type="even" r:id="rId10"/>
      <w:footerReference w:type="default" r:id="rId11"/>
      <w:headerReference w:type="first" r:id="rId12"/>
      <w:footerReference w:type="first" r:id="rId13"/>
      <w:pgSz w:w="11906" w:h="16838"/>
      <w:pgMar w:top="1418" w:right="1276" w:bottom="567" w:left="1418" w:header="425" w:footer="425"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6D6F" w:rsidRDefault="00B96D6F" w:rsidP="00A60185">
      <w:r>
        <w:separator/>
      </w:r>
    </w:p>
  </w:endnote>
  <w:endnote w:type="continuationSeparator" w:id="0">
    <w:p w:rsidR="00B96D6F" w:rsidRDefault="00B96D6F" w:rsidP="00A601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D6F" w:rsidRPr="00553034" w:rsidRDefault="00B96D6F" w:rsidP="00553034">
    <w:pPr>
      <w:pStyle w:val="Footer"/>
      <w:tabs>
        <w:tab w:val="clear" w:pos="4513"/>
        <w:tab w:val="clear" w:pos="9026"/>
        <w:tab w:val="right" w:pos="9212"/>
      </w:tabs>
      <w:rPr>
        <w:rFonts w:ascii="Arial" w:hAnsi="Arial" w:cs="Arial"/>
        <w:sz w:val="20"/>
        <w:szCs w:val="20"/>
      </w:rPr>
    </w:pPr>
    <w:r w:rsidRPr="00553034">
      <w:rPr>
        <w:rFonts w:ascii="Arial" w:hAnsi="Arial" w:cs="Arial"/>
        <w:sz w:val="20"/>
        <w:szCs w:val="20"/>
      </w:rPr>
      <w:t>Final Advice</w:t>
    </w:r>
    <w:r w:rsidRPr="00553034">
      <w:rPr>
        <w:rFonts w:ascii="Arial" w:hAnsi="Arial" w:cs="Arial"/>
        <w:sz w:val="20"/>
        <w:szCs w:val="20"/>
      </w:rPr>
      <w:tab/>
      <w:t>20 February 2013</w:t>
    </w:r>
  </w:p>
  <w:p w:rsidR="00B96D6F" w:rsidRDefault="008817FC">
    <w:pPr>
      <w:pStyle w:val="Footer"/>
      <w:jc w:val="center"/>
      <w:rPr>
        <w:rFonts w:ascii="Arial" w:hAnsi="Arial" w:cs="Arial"/>
        <w:sz w:val="20"/>
        <w:szCs w:val="20"/>
      </w:rPr>
    </w:pPr>
    <w:r w:rsidRPr="00185039">
      <w:rPr>
        <w:rFonts w:ascii="Arial" w:hAnsi="Arial" w:cs="Arial"/>
        <w:sz w:val="20"/>
        <w:szCs w:val="20"/>
      </w:rPr>
      <w:fldChar w:fldCharType="begin"/>
    </w:r>
    <w:r w:rsidR="00B96D6F" w:rsidRPr="00185039">
      <w:rPr>
        <w:rFonts w:ascii="Arial" w:hAnsi="Arial" w:cs="Arial"/>
        <w:sz w:val="20"/>
        <w:szCs w:val="20"/>
      </w:rPr>
      <w:instrText xml:space="preserve"> PAGE   \* MERGEFORMAT </w:instrText>
    </w:r>
    <w:r w:rsidRPr="00185039">
      <w:rPr>
        <w:rFonts w:ascii="Arial" w:hAnsi="Arial" w:cs="Arial"/>
        <w:sz w:val="20"/>
        <w:szCs w:val="20"/>
      </w:rPr>
      <w:fldChar w:fldCharType="separate"/>
    </w:r>
    <w:r w:rsidR="00013A0F">
      <w:rPr>
        <w:rFonts w:ascii="Arial" w:hAnsi="Arial" w:cs="Arial"/>
        <w:noProof/>
        <w:sz w:val="20"/>
        <w:szCs w:val="20"/>
      </w:rPr>
      <w:t>5</w:t>
    </w:r>
    <w:r w:rsidRPr="00185039">
      <w:rPr>
        <w:rFonts w:ascii="Arial" w:hAnsi="Arial" w:cs="Arial"/>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D6F" w:rsidRPr="00553034" w:rsidRDefault="00B96D6F" w:rsidP="009C3820">
    <w:pPr>
      <w:pStyle w:val="Footer"/>
      <w:tabs>
        <w:tab w:val="clear" w:pos="4513"/>
        <w:tab w:val="clear" w:pos="9026"/>
        <w:tab w:val="right" w:pos="9212"/>
      </w:tabs>
      <w:rPr>
        <w:rFonts w:ascii="Arial" w:hAnsi="Arial" w:cs="Arial"/>
        <w:sz w:val="20"/>
        <w:szCs w:val="20"/>
      </w:rPr>
    </w:pPr>
    <w:r w:rsidRPr="00553034">
      <w:rPr>
        <w:rFonts w:ascii="Arial" w:hAnsi="Arial" w:cs="Arial"/>
        <w:sz w:val="20"/>
        <w:szCs w:val="20"/>
      </w:rPr>
      <w:t>Final Advice</w:t>
    </w:r>
    <w:r w:rsidRPr="00553034">
      <w:rPr>
        <w:rFonts w:ascii="Arial" w:hAnsi="Arial" w:cs="Arial"/>
        <w:sz w:val="20"/>
        <w:szCs w:val="20"/>
      </w:rPr>
      <w:tab/>
      <w:t>20 February 2013</w:t>
    </w:r>
  </w:p>
  <w:p w:rsidR="00B96D6F" w:rsidRPr="00062A46" w:rsidRDefault="008817FC" w:rsidP="00062A46">
    <w:pPr>
      <w:pStyle w:val="Footer"/>
      <w:tabs>
        <w:tab w:val="clear" w:pos="4513"/>
        <w:tab w:val="clear" w:pos="9026"/>
        <w:tab w:val="left" w:pos="639"/>
      </w:tabs>
      <w:jc w:val="center"/>
      <w:rPr>
        <w:rFonts w:ascii="Arial" w:hAnsi="Arial" w:cs="Arial"/>
        <w:sz w:val="20"/>
        <w:szCs w:val="20"/>
      </w:rPr>
    </w:pPr>
    <w:r w:rsidRPr="00D15280">
      <w:rPr>
        <w:rFonts w:ascii="Arial" w:hAnsi="Arial" w:cs="Arial"/>
        <w:sz w:val="20"/>
        <w:szCs w:val="20"/>
      </w:rPr>
      <w:fldChar w:fldCharType="begin"/>
    </w:r>
    <w:r w:rsidR="00B96D6F" w:rsidRPr="00D15280">
      <w:rPr>
        <w:rFonts w:ascii="Arial" w:hAnsi="Arial" w:cs="Arial"/>
        <w:sz w:val="20"/>
        <w:szCs w:val="20"/>
      </w:rPr>
      <w:instrText xml:space="preserve"> PAGE   \* MERGEFORMAT </w:instrText>
    </w:r>
    <w:r w:rsidRPr="00D15280">
      <w:rPr>
        <w:rFonts w:ascii="Arial" w:hAnsi="Arial" w:cs="Arial"/>
        <w:sz w:val="20"/>
        <w:szCs w:val="20"/>
      </w:rPr>
      <w:fldChar w:fldCharType="separate"/>
    </w:r>
    <w:r w:rsidR="00013A0F">
      <w:rPr>
        <w:rFonts w:ascii="Arial" w:hAnsi="Arial" w:cs="Arial"/>
        <w:noProof/>
        <w:sz w:val="20"/>
        <w:szCs w:val="20"/>
      </w:rPr>
      <w:t>1</w:t>
    </w:r>
    <w:r w:rsidRPr="00D15280">
      <w:rPr>
        <w:rFonts w:ascii="Arial" w:hAnsi="Arial" w:cs="Arial"/>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6D6F" w:rsidRDefault="00B96D6F" w:rsidP="00A60185">
      <w:r>
        <w:separator/>
      </w:r>
    </w:p>
  </w:footnote>
  <w:footnote w:type="continuationSeparator" w:id="0">
    <w:p w:rsidR="00B96D6F" w:rsidRDefault="00B96D6F" w:rsidP="00A601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D6F" w:rsidRDefault="00B96D6F" w:rsidP="00E45765">
    <w:pPr>
      <w:pStyle w:val="Classification"/>
    </w:pPr>
    <w:r>
      <w:rPr>
        <w:b/>
        <w:bCs/>
        <w:lang w:val="en-US"/>
      </w:rPr>
      <w:t>Error! Unknown document property name.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D6F" w:rsidRDefault="00B96D6F" w:rsidP="0034504D">
    <w:pPr>
      <w:pStyle w:val="Header"/>
      <w:ind w:left="-141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EFCACF1A"/>
    <w:lvl w:ilvl="0">
      <w:start w:val="1"/>
      <w:numFmt w:val="decimal"/>
      <w:lvlText w:val="%1."/>
      <w:lvlJc w:val="left"/>
      <w:pPr>
        <w:tabs>
          <w:tab w:val="num" w:pos="360"/>
        </w:tabs>
        <w:ind w:left="360" w:hanging="360"/>
      </w:pPr>
    </w:lvl>
  </w:abstractNum>
  <w:abstractNum w:abstractNumId="1">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cs="Times New Roman" w:hint="default"/>
      </w:rPr>
    </w:lvl>
    <w:lvl w:ilvl="2">
      <w:start w:val="1"/>
      <w:numFmt w:val="none"/>
      <w:lvlText w:val=":"/>
      <w:lvlJc w:val="left"/>
      <w:pPr>
        <w:ind w:left="1106" w:hanging="369"/>
      </w:pPr>
      <w:rPr>
        <w:rFonts w:cs="Times New Roman" w:hint="default"/>
      </w:rPr>
    </w:lvl>
    <w:lvl w:ilvl="3">
      <w:start w:val="1"/>
      <w:numFmt w:val="none"/>
      <w:lvlText w:val=""/>
      <w:lvlJc w:val="left"/>
      <w:pPr>
        <w:ind w:left="1474" w:hanging="368"/>
      </w:pPr>
      <w:rPr>
        <w:rFonts w:cs="Times New Roman" w:hint="default"/>
        <w:color w:val="auto"/>
      </w:rPr>
    </w:lvl>
    <w:lvl w:ilvl="4">
      <w:start w:val="1"/>
      <w:numFmt w:val="none"/>
      <w:lvlText w:val=""/>
      <w:lvlJc w:val="left"/>
      <w:pPr>
        <w:ind w:left="1800" w:hanging="360"/>
      </w:pPr>
      <w:rPr>
        <w:rFonts w:cs="Times New Roman" w:hint="default"/>
        <w:color w:val="auto"/>
      </w:rPr>
    </w:lvl>
    <w:lvl w:ilvl="5">
      <w:start w:val="1"/>
      <w:numFmt w:val="none"/>
      <w:lvlText w:val=""/>
      <w:lvlJc w:val="left"/>
      <w:pPr>
        <w:ind w:left="2160" w:hanging="360"/>
      </w:pPr>
      <w:rPr>
        <w:rFonts w:cs="Times New Roman" w:hint="default"/>
        <w:color w:val="auto"/>
      </w:rPr>
    </w:lvl>
    <w:lvl w:ilvl="6">
      <w:start w:val="1"/>
      <w:numFmt w:val="none"/>
      <w:lvlText w:val=""/>
      <w:lvlJc w:val="left"/>
      <w:pPr>
        <w:ind w:left="2520" w:hanging="360"/>
      </w:pPr>
      <w:rPr>
        <w:rFonts w:cs="Times New Roman" w:hint="default"/>
        <w:color w:val="auto"/>
      </w:rPr>
    </w:lvl>
    <w:lvl w:ilvl="7">
      <w:start w:val="1"/>
      <w:numFmt w:val="none"/>
      <w:lvlText w:val=""/>
      <w:lvlJc w:val="left"/>
      <w:pPr>
        <w:ind w:left="2880" w:hanging="360"/>
      </w:pPr>
      <w:rPr>
        <w:rFonts w:cs="Times New Roman" w:hint="default"/>
        <w:color w:val="auto"/>
      </w:rPr>
    </w:lvl>
    <w:lvl w:ilvl="8">
      <w:start w:val="1"/>
      <w:numFmt w:val="none"/>
      <w:lvlText w:val=""/>
      <w:lvlJc w:val="left"/>
      <w:pPr>
        <w:ind w:left="3240" w:hanging="360"/>
      </w:pPr>
      <w:rPr>
        <w:rFonts w:cs="Times New Roman" w:hint="default"/>
        <w:color w:val="auto"/>
      </w:rPr>
    </w:lvl>
  </w:abstractNum>
  <w:abstractNum w:abstractNumId="2">
    <w:nsid w:val="21A26B74"/>
    <w:multiLevelType w:val="multilevel"/>
    <w:tmpl w:val="95C6304A"/>
    <w:lvl w:ilvl="0">
      <w:start w:val="1"/>
      <w:numFmt w:val="lowerLetter"/>
      <w:lvlText w:val="%1."/>
      <w:lvlJc w:val="left"/>
      <w:pPr>
        <w:ind w:left="738" w:hanging="369"/>
      </w:pPr>
      <w:rPr>
        <w:rFonts w:hint="default"/>
        <w:sz w:val="20"/>
        <w:szCs w:val="20"/>
      </w:rPr>
    </w:lvl>
    <w:lvl w:ilvl="1">
      <w:start w:val="1"/>
      <w:numFmt w:val="lowerLetter"/>
      <w:lvlText w:val="%2."/>
      <w:lvlJc w:val="left"/>
      <w:pPr>
        <w:ind w:left="1107" w:hanging="369"/>
      </w:pPr>
      <w:rPr>
        <w:rFonts w:ascii="Arial" w:hAnsi="Arial" w:cs="Arial" w:hint="default"/>
        <w:sz w:val="20"/>
        <w:szCs w:val="20"/>
      </w:rPr>
    </w:lvl>
    <w:lvl w:ilvl="2">
      <w:start w:val="1"/>
      <w:numFmt w:val="lowerRoman"/>
      <w:lvlText w:val="%3."/>
      <w:lvlJc w:val="left"/>
      <w:pPr>
        <w:ind w:left="1476" w:hanging="369"/>
      </w:pPr>
      <w:rPr>
        <w:rFonts w:ascii="Arial" w:hAnsi="Arial" w:cs="Arial" w:hint="default"/>
        <w:sz w:val="20"/>
        <w:szCs w:val="20"/>
      </w:rPr>
    </w:lvl>
    <w:lvl w:ilvl="3">
      <w:start w:val="1"/>
      <w:numFmt w:val="none"/>
      <w:lvlText w:val="%4"/>
      <w:lvlJc w:val="left"/>
      <w:pPr>
        <w:ind w:left="1845" w:hanging="369"/>
      </w:pPr>
      <w:rPr>
        <w:rFonts w:cs="Times New Roman" w:hint="default"/>
      </w:rPr>
    </w:lvl>
    <w:lvl w:ilvl="4">
      <w:start w:val="1"/>
      <w:numFmt w:val="none"/>
      <w:lvlText w:val=""/>
      <w:lvlJc w:val="left"/>
      <w:pPr>
        <w:ind w:left="2214" w:hanging="369"/>
      </w:pPr>
      <w:rPr>
        <w:rFonts w:cs="Times New Roman" w:hint="default"/>
      </w:rPr>
    </w:lvl>
    <w:lvl w:ilvl="5">
      <w:start w:val="1"/>
      <w:numFmt w:val="none"/>
      <w:lvlText w:val=""/>
      <w:lvlJc w:val="left"/>
      <w:pPr>
        <w:ind w:left="2583" w:hanging="369"/>
      </w:pPr>
      <w:rPr>
        <w:rFonts w:cs="Times New Roman" w:hint="default"/>
      </w:rPr>
    </w:lvl>
    <w:lvl w:ilvl="6">
      <w:start w:val="1"/>
      <w:numFmt w:val="none"/>
      <w:lvlText w:val=""/>
      <w:lvlJc w:val="left"/>
      <w:pPr>
        <w:ind w:left="2952" w:hanging="369"/>
      </w:pPr>
      <w:rPr>
        <w:rFonts w:cs="Times New Roman" w:hint="default"/>
      </w:rPr>
    </w:lvl>
    <w:lvl w:ilvl="7">
      <w:start w:val="1"/>
      <w:numFmt w:val="none"/>
      <w:lvlText w:val=""/>
      <w:lvlJc w:val="left"/>
      <w:pPr>
        <w:ind w:left="3321" w:hanging="369"/>
      </w:pPr>
      <w:rPr>
        <w:rFonts w:cs="Times New Roman" w:hint="default"/>
      </w:rPr>
    </w:lvl>
    <w:lvl w:ilvl="8">
      <w:start w:val="1"/>
      <w:numFmt w:val="none"/>
      <w:lvlText w:val=""/>
      <w:lvlJc w:val="left"/>
      <w:pPr>
        <w:ind w:left="3690" w:hanging="369"/>
      </w:pPr>
      <w:rPr>
        <w:rFonts w:cs="Times New Roman" w:hint="default"/>
      </w:rPr>
    </w:lvl>
  </w:abstractNum>
  <w:abstractNum w:abstractNumId="3">
    <w:nsid w:val="3098052F"/>
    <w:multiLevelType w:val="multilevel"/>
    <w:tmpl w:val="473EA67C"/>
    <w:lvl w:ilvl="0">
      <w:start w:val="1"/>
      <w:numFmt w:val="decimal"/>
      <w:pStyle w:val="ListParagraph"/>
      <w:lvlText w:val="%1."/>
      <w:lvlJc w:val="left"/>
      <w:pPr>
        <w:ind w:left="369" w:hanging="369"/>
      </w:pPr>
      <w:rPr>
        <w:rFonts w:cs="Times New Roman" w:hint="default"/>
      </w:rPr>
    </w:lvl>
    <w:lvl w:ilvl="1">
      <w:start w:val="1"/>
      <w:numFmt w:val="none"/>
      <w:lvlText w:val="-"/>
      <w:lvlJc w:val="left"/>
      <w:pPr>
        <w:ind w:left="737" w:hanging="368"/>
      </w:pPr>
      <w:rPr>
        <w:rFonts w:cs="Times New Roman" w:hint="default"/>
      </w:rPr>
    </w:lvl>
    <w:lvl w:ilvl="2">
      <w:start w:val="1"/>
      <w:numFmt w:val="none"/>
      <w:lvlText w:val=":"/>
      <w:lvlJc w:val="left"/>
      <w:pPr>
        <w:ind w:left="1106" w:hanging="369"/>
      </w:pPr>
      <w:rPr>
        <w:rFonts w:cs="Times New Roman" w:hint="default"/>
      </w:rPr>
    </w:lvl>
    <w:lvl w:ilvl="3">
      <w:start w:val="1"/>
      <w:numFmt w:val="none"/>
      <w:lvlText w:val=""/>
      <w:lvlJc w:val="left"/>
      <w:pPr>
        <w:ind w:left="1474" w:hanging="368"/>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nsid w:val="361C7DAA"/>
    <w:multiLevelType w:val="multilevel"/>
    <w:tmpl w:val="CAA83148"/>
    <w:styleLink w:val="Attach"/>
    <w:lvl w:ilvl="0">
      <w:start w:val="1"/>
      <w:numFmt w:val="upperLetter"/>
      <w:lvlText w:val="Attachment %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nsid w:val="48150A0D"/>
    <w:multiLevelType w:val="multilevel"/>
    <w:tmpl w:val="95C6304A"/>
    <w:lvl w:ilvl="0">
      <w:start w:val="1"/>
      <w:numFmt w:val="lowerLetter"/>
      <w:lvlText w:val="%1."/>
      <w:lvlJc w:val="left"/>
      <w:pPr>
        <w:ind w:left="738" w:hanging="369"/>
      </w:pPr>
      <w:rPr>
        <w:rFonts w:hint="default"/>
        <w:sz w:val="20"/>
        <w:szCs w:val="20"/>
      </w:rPr>
    </w:lvl>
    <w:lvl w:ilvl="1">
      <w:start w:val="1"/>
      <w:numFmt w:val="lowerLetter"/>
      <w:lvlText w:val="%2."/>
      <w:lvlJc w:val="left"/>
      <w:pPr>
        <w:ind w:left="1107" w:hanging="369"/>
      </w:pPr>
      <w:rPr>
        <w:rFonts w:ascii="Arial" w:hAnsi="Arial" w:cs="Arial" w:hint="default"/>
        <w:sz w:val="20"/>
        <w:szCs w:val="20"/>
      </w:rPr>
    </w:lvl>
    <w:lvl w:ilvl="2">
      <w:start w:val="1"/>
      <w:numFmt w:val="lowerRoman"/>
      <w:lvlText w:val="%3."/>
      <w:lvlJc w:val="left"/>
      <w:pPr>
        <w:ind w:left="1476" w:hanging="369"/>
      </w:pPr>
      <w:rPr>
        <w:rFonts w:ascii="Arial" w:hAnsi="Arial" w:cs="Arial" w:hint="default"/>
        <w:sz w:val="20"/>
        <w:szCs w:val="20"/>
      </w:rPr>
    </w:lvl>
    <w:lvl w:ilvl="3">
      <w:start w:val="1"/>
      <w:numFmt w:val="none"/>
      <w:lvlText w:val="%4"/>
      <w:lvlJc w:val="left"/>
      <w:pPr>
        <w:ind w:left="1845" w:hanging="369"/>
      </w:pPr>
      <w:rPr>
        <w:rFonts w:cs="Times New Roman" w:hint="default"/>
      </w:rPr>
    </w:lvl>
    <w:lvl w:ilvl="4">
      <w:start w:val="1"/>
      <w:numFmt w:val="none"/>
      <w:lvlText w:val=""/>
      <w:lvlJc w:val="left"/>
      <w:pPr>
        <w:ind w:left="2214" w:hanging="369"/>
      </w:pPr>
      <w:rPr>
        <w:rFonts w:cs="Times New Roman" w:hint="default"/>
      </w:rPr>
    </w:lvl>
    <w:lvl w:ilvl="5">
      <w:start w:val="1"/>
      <w:numFmt w:val="none"/>
      <w:lvlText w:val=""/>
      <w:lvlJc w:val="left"/>
      <w:pPr>
        <w:ind w:left="2583" w:hanging="369"/>
      </w:pPr>
      <w:rPr>
        <w:rFonts w:cs="Times New Roman" w:hint="default"/>
      </w:rPr>
    </w:lvl>
    <w:lvl w:ilvl="6">
      <w:start w:val="1"/>
      <w:numFmt w:val="none"/>
      <w:lvlText w:val=""/>
      <w:lvlJc w:val="left"/>
      <w:pPr>
        <w:ind w:left="2952" w:hanging="369"/>
      </w:pPr>
      <w:rPr>
        <w:rFonts w:cs="Times New Roman" w:hint="default"/>
      </w:rPr>
    </w:lvl>
    <w:lvl w:ilvl="7">
      <w:start w:val="1"/>
      <w:numFmt w:val="none"/>
      <w:lvlText w:val=""/>
      <w:lvlJc w:val="left"/>
      <w:pPr>
        <w:ind w:left="3321" w:hanging="369"/>
      </w:pPr>
      <w:rPr>
        <w:rFonts w:cs="Times New Roman" w:hint="default"/>
      </w:rPr>
    </w:lvl>
    <w:lvl w:ilvl="8">
      <w:start w:val="1"/>
      <w:numFmt w:val="none"/>
      <w:lvlText w:val=""/>
      <w:lvlJc w:val="left"/>
      <w:pPr>
        <w:ind w:left="3690" w:hanging="369"/>
      </w:pPr>
      <w:rPr>
        <w:rFonts w:cs="Times New Roman" w:hint="default"/>
      </w:rPr>
    </w:lvl>
  </w:abstractNum>
  <w:abstractNum w:abstractNumId="6">
    <w:nsid w:val="65456429"/>
    <w:multiLevelType w:val="multilevel"/>
    <w:tmpl w:val="549C6FBA"/>
    <w:lvl w:ilvl="0">
      <w:start w:val="1"/>
      <w:numFmt w:val="decimal"/>
      <w:lvlText w:val="%1."/>
      <w:lvlJc w:val="left"/>
      <w:pPr>
        <w:ind w:left="369" w:hanging="369"/>
      </w:pPr>
      <w:rPr>
        <w:rFonts w:ascii="Arial" w:hAnsi="Arial" w:cs="Arial" w:hint="default"/>
        <w:sz w:val="20"/>
        <w:szCs w:val="20"/>
      </w:rPr>
    </w:lvl>
    <w:lvl w:ilvl="1">
      <w:start w:val="1"/>
      <w:numFmt w:val="lowerLetter"/>
      <w:pStyle w:val="ListNumber2"/>
      <w:lvlText w:val="%2."/>
      <w:lvlJc w:val="left"/>
      <w:pPr>
        <w:ind w:left="738" w:hanging="369"/>
      </w:pPr>
      <w:rPr>
        <w:rFonts w:ascii="Arial" w:hAnsi="Arial" w:cs="Arial" w:hint="default"/>
        <w:sz w:val="20"/>
        <w:szCs w:val="20"/>
      </w:rPr>
    </w:lvl>
    <w:lvl w:ilvl="2">
      <w:start w:val="1"/>
      <w:numFmt w:val="lowerRoman"/>
      <w:pStyle w:val="ListNumber3"/>
      <w:lvlText w:val="%3."/>
      <w:lvlJc w:val="left"/>
      <w:pPr>
        <w:ind w:left="1107" w:hanging="369"/>
      </w:pPr>
      <w:rPr>
        <w:rFonts w:ascii="Arial" w:hAnsi="Arial" w:cs="Arial" w:hint="default"/>
        <w:sz w:val="20"/>
        <w:szCs w:val="20"/>
      </w:rPr>
    </w:lvl>
    <w:lvl w:ilvl="3">
      <w:start w:val="1"/>
      <w:numFmt w:val="none"/>
      <w:pStyle w:val="ListNumber4"/>
      <w:lvlText w:val="%4"/>
      <w:lvlJc w:val="left"/>
      <w:pPr>
        <w:ind w:left="1476" w:hanging="369"/>
      </w:pPr>
      <w:rPr>
        <w:rFonts w:cs="Times New Roman" w:hint="default"/>
      </w:rPr>
    </w:lvl>
    <w:lvl w:ilvl="4">
      <w:start w:val="1"/>
      <w:numFmt w:val="none"/>
      <w:pStyle w:val="ListNumber5"/>
      <w:lvlText w:val=""/>
      <w:lvlJc w:val="left"/>
      <w:pPr>
        <w:ind w:left="1845" w:hanging="369"/>
      </w:pPr>
      <w:rPr>
        <w:rFonts w:cs="Times New Roman" w:hint="default"/>
      </w:rPr>
    </w:lvl>
    <w:lvl w:ilvl="5">
      <w:start w:val="1"/>
      <w:numFmt w:val="none"/>
      <w:lvlText w:val=""/>
      <w:lvlJc w:val="left"/>
      <w:pPr>
        <w:ind w:left="2214" w:hanging="369"/>
      </w:pPr>
      <w:rPr>
        <w:rFonts w:cs="Times New Roman" w:hint="default"/>
      </w:rPr>
    </w:lvl>
    <w:lvl w:ilvl="6">
      <w:start w:val="1"/>
      <w:numFmt w:val="none"/>
      <w:lvlText w:val=""/>
      <w:lvlJc w:val="left"/>
      <w:pPr>
        <w:ind w:left="2583" w:hanging="369"/>
      </w:pPr>
      <w:rPr>
        <w:rFonts w:cs="Times New Roman" w:hint="default"/>
      </w:rPr>
    </w:lvl>
    <w:lvl w:ilvl="7">
      <w:start w:val="1"/>
      <w:numFmt w:val="none"/>
      <w:lvlText w:val=""/>
      <w:lvlJc w:val="left"/>
      <w:pPr>
        <w:ind w:left="2952" w:hanging="369"/>
      </w:pPr>
      <w:rPr>
        <w:rFonts w:cs="Times New Roman" w:hint="default"/>
      </w:rPr>
    </w:lvl>
    <w:lvl w:ilvl="8">
      <w:start w:val="1"/>
      <w:numFmt w:val="none"/>
      <w:lvlText w:val=""/>
      <w:lvlJc w:val="left"/>
      <w:pPr>
        <w:ind w:left="3321" w:hanging="369"/>
      </w:pPr>
      <w:rPr>
        <w:rFonts w:cs="Times New Roman" w:hint="default"/>
      </w:rPr>
    </w:lvl>
  </w:abstractNum>
  <w:abstractNum w:abstractNumId="7">
    <w:nsid w:val="762964D5"/>
    <w:multiLevelType w:val="multilevel"/>
    <w:tmpl w:val="E898CC72"/>
    <w:styleLink w:val="KeyPoints"/>
    <w:lvl w:ilvl="0">
      <w:start w:val="1"/>
      <w:numFmt w:val="decimal"/>
      <w:lvlText w:val="%1."/>
      <w:lvlJc w:val="left"/>
      <w:pPr>
        <w:ind w:left="369" w:hanging="369"/>
      </w:pPr>
      <w:rPr>
        <w:rFonts w:ascii="Arial" w:hAnsi="Arial" w:cs="Times New Roman" w:hint="default"/>
        <w:sz w:val="22"/>
      </w:rPr>
    </w:lvl>
    <w:lvl w:ilvl="1">
      <w:start w:val="1"/>
      <w:numFmt w:val="lowerLetter"/>
      <w:lvlText w:val="%2."/>
      <w:lvlJc w:val="left"/>
      <w:pPr>
        <w:ind w:left="738" w:hanging="369"/>
      </w:pPr>
      <w:rPr>
        <w:rFonts w:cs="Times New Roman" w:hint="default"/>
      </w:rPr>
    </w:lvl>
    <w:lvl w:ilvl="2">
      <w:start w:val="1"/>
      <w:numFmt w:val="lowerRoman"/>
      <w:lvlText w:val="%3."/>
      <w:lvlJc w:val="left"/>
      <w:pPr>
        <w:ind w:left="1107" w:hanging="369"/>
      </w:pPr>
      <w:rPr>
        <w:rFonts w:cs="Times New Roman" w:hint="default"/>
      </w:rPr>
    </w:lvl>
    <w:lvl w:ilvl="3">
      <w:start w:val="1"/>
      <w:numFmt w:val="none"/>
      <w:lvlText w:val="%4"/>
      <w:lvlJc w:val="left"/>
      <w:pPr>
        <w:ind w:left="1476" w:hanging="369"/>
      </w:pPr>
      <w:rPr>
        <w:rFonts w:cs="Times New Roman" w:hint="default"/>
      </w:rPr>
    </w:lvl>
    <w:lvl w:ilvl="4">
      <w:start w:val="1"/>
      <w:numFmt w:val="none"/>
      <w:lvlText w:val=""/>
      <w:lvlJc w:val="left"/>
      <w:pPr>
        <w:ind w:left="1845" w:hanging="369"/>
      </w:pPr>
      <w:rPr>
        <w:rFonts w:cs="Times New Roman" w:hint="default"/>
      </w:rPr>
    </w:lvl>
    <w:lvl w:ilvl="5">
      <w:start w:val="1"/>
      <w:numFmt w:val="none"/>
      <w:lvlText w:val=""/>
      <w:lvlJc w:val="left"/>
      <w:pPr>
        <w:ind w:left="2214" w:hanging="369"/>
      </w:pPr>
      <w:rPr>
        <w:rFonts w:cs="Times New Roman" w:hint="default"/>
      </w:rPr>
    </w:lvl>
    <w:lvl w:ilvl="6">
      <w:start w:val="1"/>
      <w:numFmt w:val="none"/>
      <w:lvlText w:val=""/>
      <w:lvlJc w:val="left"/>
      <w:pPr>
        <w:ind w:left="2583" w:hanging="369"/>
      </w:pPr>
      <w:rPr>
        <w:rFonts w:cs="Times New Roman" w:hint="default"/>
      </w:rPr>
    </w:lvl>
    <w:lvl w:ilvl="7">
      <w:start w:val="1"/>
      <w:numFmt w:val="none"/>
      <w:lvlText w:val=""/>
      <w:lvlJc w:val="left"/>
      <w:pPr>
        <w:ind w:left="2952" w:hanging="369"/>
      </w:pPr>
      <w:rPr>
        <w:rFonts w:cs="Times New Roman" w:hint="default"/>
      </w:rPr>
    </w:lvl>
    <w:lvl w:ilvl="8">
      <w:start w:val="1"/>
      <w:numFmt w:val="none"/>
      <w:lvlText w:val=""/>
      <w:lvlJc w:val="left"/>
      <w:pPr>
        <w:ind w:left="3321" w:hanging="369"/>
      </w:pPr>
      <w:rPr>
        <w:rFonts w:cs="Times New Roman" w:hint="default"/>
      </w:rPr>
    </w:lvl>
  </w:abstractNum>
  <w:num w:numId="1">
    <w:abstractNumId w:val="7"/>
  </w:num>
  <w:num w:numId="2">
    <w:abstractNumId w:val="1"/>
  </w:num>
  <w:num w:numId="3">
    <w:abstractNumId w:val="4"/>
  </w:num>
  <w:num w:numId="4">
    <w:abstractNumId w:val="3"/>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num>
  <w:num w:numId="11">
    <w:abstractNumId w:val="6"/>
  </w:num>
  <w:num w:numId="12">
    <w:abstractNumId w:val="0"/>
  </w:num>
  <w:num w:numId="13">
    <w:abstractNumId w:val="6"/>
  </w:num>
  <w:num w:numId="14">
    <w:abstractNumId w:val="6"/>
  </w:num>
  <w:num w:numId="15">
    <w:abstractNumId w:val="6"/>
  </w:num>
  <w:num w:numId="16">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spelling="clean" w:grammar="clean"/>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rsids>
    <w:rsidRoot w:val="0041275D"/>
    <w:rsid w:val="00004AEE"/>
    <w:rsid w:val="00005CAA"/>
    <w:rsid w:val="00007CB9"/>
    <w:rsid w:val="00010210"/>
    <w:rsid w:val="00010459"/>
    <w:rsid w:val="00012D66"/>
    <w:rsid w:val="00013A0F"/>
    <w:rsid w:val="00015ADA"/>
    <w:rsid w:val="0001735E"/>
    <w:rsid w:val="00020C99"/>
    <w:rsid w:val="00020F6B"/>
    <w:rsid w:val="0002707B"/>
    <w:rsid w:val="00031B32"/>
    <w:rsid w:val="00035842"/>
    <w:rsid w:val="0004566A"/>
    <w:rsid w:val="000464DA"/>
    <w:rsid w:val="0005148E"/>
    <w:rsid w:val="00053B58"/>
    <w:rsid w:val="000547F0"/>
    <w:rsid w:val="00054DD6"/>
    <w:rsid w:val="00062A46"/>
    <w:rsid w:val="00066905"/>
    <w:rsid w:val="00071215"/>
    <w:rsid w:val="000759E5"/>
    <w:rsid w:val="0007601C"/>
    <w:rsid w:val="0008064C"/>
    <w:rsid w:val="00084AC6"/>
    <w:rsid w:val="00087965"/>
    <w:rsid w:val="00091608"/>
    <w:rsid w:val="0009196E"/>
    <w:rsid w:val="00092F92"/>
    <w:rsid w:val="0009333C"/>
    <w:rsid w:val="0009704F"/>
    <w:rsid w:val="000A0F11"/>
    <w:rsid w:val="000A125A"/>
    <w:rsid w:val="000A228F"/>
    <w:rsid w:val="000A57CD"/>
    <w:rsid w:val="000B0154"/>
    <w:rsid w:val="000B3758"/>
    <w:rsid w:val="000B7681"/>
    <w:rsid w:val="000B7B42"/>
    <w:rsid w:val="000C02B7"/>
    <w:rsid w:val="000C2814"/>
    <w:rsid w:val="000C451B"/>
    <w:rsid w:val="000C4B1B"/>
    <w:rsid w:val="000C4F18"/>
    <w:rsid w:val="000C5342"/>
    <w:rsid w:val="000C6E41"/>
    <w:rsid w:val="000C706A"/>
    <w:rsid w:val="000D2230"/>
    <w:rsid w:val="000D2887"/>
    <w:rsid w:val="000D6D63"/>
    <w:rsid w:val="000D706B"/>
    <w:rsid w:val="000D7810"/>
    <w:rsid w:val="000E0081"/>
    <w:rsid w:val="000E07CF"/>
    <w:rsid w:val="000E283C"/>
    <w:rsid w:val="000E5CE4"/>
    <w:rsid w:val="000F1F49"/>
    <w:rsid w:val="000F7C80"/>
    <w:rsid w:val="00100BEF"/>
    <w:rsid w:val="00104D5A"/>
    <w:rsid w:val="0011498E"/>
    <w:rsid w:val="00117A45"/>
    <w:rsid w:val="001224AE"/>
    <w:rsid w:val="00123035"/>
    <w:rsid w:val="00127491"/>
    <w:rsid w:val="001337D4"/>
    <w:rsid w:val="001340EA"/>
    <w:rsid w:val="001352C1"/>
    <w:rsid w:val="0013546D"/>
    <w:rsid w:val="00147C12"/>
    <w:rsid w:val="001527A1"/>
    <w:rsid w:val="001530DC"/>
    <w:rsid w:val="00154989"/>
    <w:rsid w:val="00155A9F"/>
    <w:rsid w:val="0015684F"/>
    <w:rsid w:val="0015753F"/>
    <w:rsid w:val="00160262"/>
    <w:rsid w:val="00160D5E"/>
    <w:rsid w:val="0016186F"/>
    <w:rsid w:val="00161A2B"/>
    <w:rsid w:val="0016281C"/>
    <w:rsid w:val="00163AE3"/>
    <w:rsid w:val="0016433A"/>
    <w:rsid w:val="00166E6D"/>
    <w:rsid w:val="00167377"/>
    <w:rsid w:val="0016780A"/>
    <w:rsid w:val="001713FA"/>
    <w:rsid w:val="001721D9"/>
    <w:rsid w:val="0017279B"/>
    <w:rsid w:val="00173EBF"/>
    <w:rsid w:val="001765DA"/>
    <w:rsid w:val="001842A2"/>
    <w:rsid w:val="00185039"/>
    <w:rsid w:val="00187FA8"/>
    <w:rsid w:val="001922D0"/>
    <w:rsid w:val="00192F5E"/>
    <w:rsid w:val="001972FB"/>
    <w:rsid w:val="00197772"/>
    <w:rsid w:val="001A2560"/>
    <w:rsid w:val="001A51C8"/>
    <w:rsid w:val="001B1C5D"/>
    <w:rsid w:val="001B472B"/>
    <w:rsid w:val="001B4CA8"/>
    <w:rsid w:val="001B6998"/>
    <w:rsid w:val="001C4F3D"/>
    <w:rsid w:val="001D0CDC"/>
    <w:rsid w:val="001D1D82"/>
    <w:rsid w:val="001D40B6"/>
    <w:rsid w:val="001E0476"/>
    <w:rsid w:val="001E1182"/>
    <w:rsid w:val="001E3FCD"/>
    <w:rsid w:val="001E6B80"/>
    <w:rsid w:val="001E778C"/>
    <w:rsid w:val="001E7E84"/>
    <w:rsid w:val="001F0E8B"/>
    <w:rsid w:val="001F2F82"/>
    <w:rsid w:val="001F6E0E"/>
    <w:rsid w:val="00200944"/>
    <w:rsid w:val="00202C90"/>
    <w:rsid w:val="0020515F"/>
    <w:rsid w:val="002063E3"/>
    <w:rsid w:val="00210B02"/>
    <w:rsid w:val="00213DE8"/>
    <w:rsid w:val="00216118"/>
    <w:rsid w:val="002209AB"/>
    <w:rsid w:val="00223F95"/>
    <w:rsid w:val="002251E3"/>
    <w:rsid w:val="00227A95"/>
    <w:rsid w:val="00230532"/>
    <w:rsid w:val="002316BD"/>
    <w:rsid w:val="002336F3"/>
    <w:rsid w:val="00233EE0"/>
    <w:rsid w:val="00235072"/>
    <w:rsid w:val="00240EB5"/>
    <w:rsid w:val="002473FC"/>
    <w:rsid w:val="00252E3C"/>
    <w:rsid w:val="0025320C"/>
    <w:rsid w:val="002544C5"/>
    <w:rsid w:val="00256B20"/>
    <w:rsid w:val="00262198"/>
    <w:rsid w:val="002631CD"/>
    <w:rsid w:val="00271734"/>
    <w:rsid w:val="002818A5"/>
    <w:rsid w:val="00283B55"/>
    <w:rsid w:val="00285F1B"/>
    <w:rsid w:val="00286434"/>
    <w:rsid w:val="00292B81"/>
    <w:rsid w:val="00292D87"/>
    <w:rsid w:val="0029322E"/>
    <w:rsid w:val="00294EC1"/>
    <w:rsid w:val="00296477"/>
    <w:rsid w:val="002974BC"/>
    <w:rsid w:val="002A24D8"/>
    <w:rsid w:val="002A3C0D"/>
    <w:rsid w:val="002A5EC3"/>
    <w:rsid w:val="002B18AE"/>
    <w:rsid w:val="002B2055"/>
    <w:rsid w:val="002B4DA0"/>
    <w:rsid w:val="002B67D3"/>
    <w:rsid w:val="002B7007"/>
    <w:rsid w:val="002C1502"/>
    <w:rsid w:val="002C1C93"/>
    <w:rsid w:val="002C5066"/>
    <w:rsid w:val="002D17E7"/>
    <w:rsid w:val="002D4AAC"/>
    <w:rsid w:val="002D6C33"/>
    <w:rsid w:val="002E0199"/>
    <w:rsid w:val="002E177B"/>
    <w:rsid w:val="002F045A"/>
    <w:rsid w:val="002F0934"/>
    <w:rsid w:val="002F47A9"/>
    <w:rsid w:val="0030039D"/>
    <w:rsid w:val="00300715"/>
    <w:rsid w:val="0030326F"/>
    <w:rsid w:val="003104D8"/>
    <w:rsid w:val="00310701"/>
    <w:rsid w:val="00315980"/>
    <w:rsid w:val="00316616"/>
    <w:rsid w:val="00316F7F"/>
    <w:rsid w:val="00320162"/>
    <w:rsid w:val="0032087E"/>
    <w:rsid w:val="003218E8"/>
    <w:rsid w:val="00330DCE"/>
    <w:rsid w:val="00331E11"/>
    <w:rsid w:val="00331E4E"/>
    <w:rsid w:val="00334761"/>
    <w:rsid w:val="00334E66"/>
    <w:rsid w:val="00337903"/>
    <w:rsid w:val="00337EBC"/>
    <w:rsid w:val="00341DCD"/>
    <w:rsid w:val="00343971"/>
    <w:rsid w:val="0034504D"/>
    <w:rsid w:val="0034563E"/>
    <w:rsid w:val="003504CC"/>
    <w:rsid w:val="0035072B"/>
    <w:rsid w:val="003518D6"/>
    <w:rsid w:val="00352C02"/>
    <w:rsid w:val="0035460C"/>
    <w:rsid w:val="003556BD"/>
    <w:rsid w:val="003557AB"/>
    <w:rsid w:val="00365147"/>
    <w:rsid w:val="0036737F"/>
    <w:rsid w:val="00367738"/>
    <w:rsid w:val="0037016E"/>
    <w:rsid w:val="00370E55"/>
    <w:rsid w:val="00372908"/>
    <w:rsid w:val="00376457"/>
    <w:rsid w:val="00381917"/>
    <w:rsid w:val="0038258D"/>
    <w:rsid w:val="00383020"/>
    <w:rsid w:val="00390BFD"/>
    <w:rsid w:val="00393214"/>
    <w:rsid w:val="00393BAC"/>
    <w:rsid w:val="003975FD"/>
    <w:rsid w:val="003A0035"/>
    <w:rsid w:val="003A0593"/>
    <w:rsid w:val="003A1E0F"/>
    <w:rsid w:val="003B1000"/>
    <w:rsid w:val="003B2B0A"/>
    <w:rsid w:val="003B3276"/>
    <w:rsid w:val="003B60CC"/>
    <w:rsid w:val="003C1B25"/>
    <w:rsid w:val="003C2443"/>
    <w:rsid w:val="003C31E0"/>
    <w:rsid w:val="003C5DA3"/>
    <w:rsid w:val="003D33AD"/>
    <w:rsid w:val="003D4BCD"/>
    <w:rsid w:val="003D57EC"/>
    <w:rsid w:val="003D709E"/>
    <w:rsid w:val="003D7D9F"/>
    <w:rsid w:val="003E01D8"/>
    <w:rsid w:val="003E16F6"/>
    <w:rsid w:val="003E2100"/>
    <w:rsid w:val="003E53CA"/>
    <w:rsid w:val="003F6F5B"/>
    <w:rsid w:val="0040342D"/>
    <w:rsid w:val="00403FB9"/>
    <w:rsid w:val="0041192D"/>
    <w:rsid w:val="0041275D"/>
    <w:rsid w:val="00413EE1"/>
    <w:rsid w:val="004152A1"/>
    <w:rsid w:val="0042128E"/>
    <w:rsid w:val="0042465A"/>
    <w:rsid w:val="00432B60"/>
    <w:rsid w:val="004345E5"/>
    <w:rsid w:val="00437E06"/>
    <w:rsid w:val="00440698"/>
    <w:rsid w:val="00444FBE"/>
    <w:rsid w:val="004468F0"/>
    <w:rsid w:val="00450A24"/>
    <w:rsid w:val="00453EA7"/>
    <w:rsid w:val="004540E2"/>
    <w:rsid w:val="00454454"/>
    <w:rsid w:val="00457BA2"/>
    <w:rsid w:val="00467924"/>
    <w:rsid w:val="004712A5"/>
    <w:rsid w:val="0047266F"/>
    <w:rsid w:val="00476D6B"/>
    <w:rsid w:val="004809A3"/>
    <w:rsid w:val="00480EFF"/>
    <w:rsid w:val="0049013A"/>
    <w:rsid w:val="0049264F"/>
    <w:rsid w:val="00492C16"/>
    <w:rsid w:val="004940B1"/>
    <w:rsid w:val="004A059F"/>
    <w:rsid w:val="004A0678"/>
    <w:rsid w:val="004A48A3"/>
    <w:rsid w:val="004A5CEA"/>
    <w:rsid w:val="004B0C29"/>
    <w:rsid w:val="004B0D92"/>
    <w:rsid w:val="004B0EC0"/>
    <w:rsid w:val="004B1396"/>
    <w:rsid w:val="004B17E5"/>
    <w:rsid w:val="004B66F1"/>
    <w:rsid w:val="004C3294"/>
    <w:rsid w:val="004C3B7B"/>
    <w:rsid w:val="004C3EA0"/>
    <w:rsid w:val="004D1050"/>
    <w:rsid w:val="004D49A4"/>
    <w:rsid w:val="004E4BC7"/>
    <w:rsid w:val="004F1B3B"/>
    <w:rsid w:val="004F37F3"/>
    <w:rsid w:val="004F7169"/>
    <w:rsid w:val="00500D66"/>
    <w:rsid w:val="005036A6"/>
    <w:rsid w:val="00514C8E"/>
    <w:rsid w:val="00517F35"/>
    <w:rsid w:val="00522117"/>
    <w:rsid w:val="00523A57"/>
    <w:rsid w:val="00523E7D"/>
    <w:rsid w:val="00523ED3"/>
    <w:rsid w:val="00531DBF"/>
    <w:rsid w:val="005337FC"/>
    <w:rsid w:val="005357AC"/>
    <w:rsid w:val="00542EBA"/>
    <w:rsid w:val="0054344F"/>
    <w:rsid w:val="00544FF9"/>
    <w:rsid w:val="00545759"/>
    <w:rsid w:val="00545BE0"/>
    <w:rsid w:val="0054618B"/>
    <w:rsid w:val="00553034"/>
    <w:rsid w:val="0055406F"/>
    <w:rsid w:val="00554C6A"/>
    <w:rsid w:val="00562E85"/>
    <w:rsid w:val="0056332F"/>
    <w:rsid w:val="005734D6"/>
    <w:rsid w:val="00574333"/>
    <w:rsid w:val="00580E31"/>
    <w:rsid w:val="00581C39"/>
    <w:rsid w:val="00584F6B"/>
    <w:rsid w:val="005903B6"/>
    <w:rsid w:val="00592072"/>
    <w:rsid w:val="00592B20"/>
    <w:rsid w:val="005A0247"/>
    <w:rsid w:val="005A126E"/>
    <w:rsid w:val="005A452F"/>
    <w:rsid w:val="005A703F"/>
    <w:rsid w:val="005B140D"/>
    <w:rsid w:val="005C1FEA"/>
    <w:rsid w:val="005C3495"/>
    <w:rsid w:val="005D3BD5"/>
    <w:rsid w:val="005D50B8"/>
    <w:rsid w:val="005D6E81"/>
    <w:rsid w:val="005E04D8"/>
    <w:rsid w:val="005E3889"/>
    <w:rsid w:val="005E3DFC"/>
    <w:rsid w:val="005E60AF"/>
    <w:rsid w:val="005E7B4E"/>
    <w:rsid w:val="005F1DEA"/>
    <w:rsid w:val="00601E8E"/>
    <w:rsid w:val="00602FCB"/>
    <w:rsid w:val="00607FC9"/>
    <w:rsid w:val="00610955"/>
    <w:rsid w:val="0061490C"/>
    <w:rsid w:val="00622017"/>
    <w:rsid w:val="00622FE1"/>
    <w:rsid w:val="0062521C"/>
    <w:rsid w:val="00630A2B"/>
    <w:rsid w:val="006313A9"/>
    <w:rsid w:val="0063283F"/>
    <w:rsid w:val="00632DC7"/>
    <w:rsid w:val="00633896"/>
    <w:rsid w:val="006357FB"/>
    <w:rsid w:val="00636B4C"/>
    <w:rsid w:val="006406FC"/>
    <w:rsid w:val="0064407B"/>
    <w:rsid w:val="00646122"/>
    <w:rsid w:val="00647975"/>
    <w:rsid w:val="00650A42"/>
    <w:rsid w:val="00653E16"/>
    <w:rsid w:val="00657220"/>
    <w:rsid w:val="0066104B"/>
    <w:rsid w:val="00661419"/>
    <w:rsid w:val="006655EE"/>
    <w:rsid w:val="00667C10"/>
    <w:rsid w:val="00667EF4"/>
    <w:rsid w:val="00672B85"/>
    <w:rsid w:val="00674263"/>
    <w:rsid w:val="00674E59"/>
    <w:rsid w:val="00676914"/>
    <w:rsid w:val="00676FCA"/>
    <w:rsid w:val="00677177"/>
    <w:rsid w:val="006803D8"/>
    <w:rsid w:val="00685CA5"/>
    <w:rsid w:val="00685CEC"/>
    <w:rsid w:val="0068612E"/>
    <w:rsid w:val="0068618C"/>
    <w:rsid w:val="006875FF"/>
    <w:rsid w:val="00687858"/>
    <w:rsid w:val="00687C92"/>
    <w:rsid w:val="0069534E"/>
    <w:rsid w:val="00696365"/>
    <w:rsid w:val="0069669C"/>
    <w:rsid w:val="006A1200"/>
    <w:rsid w:val="006A2C5A"/>
    <w:rsid w:val="006A4F4E"/>
    <w:rsid w:val="006B0646"/>
    <w:rsid w:val="006B14DB"/>
    <w:rsid w:val="006B21C4"/>
    <w:rsid w:val="006C24E7"/>
    <w:rsid w:val="006C4A1A"/>
    <w:rsid w:val="006C7DAD"/>
    <w:rsid w:val="006D0393"/>
    <w:rsid w:val="006D1A83"/>
    <w:rsid w:val="006D5D1E"/>
    <w:rsid w:val="006E1CFE"/>
    <w:rsid w:val="006E31A2"/>
    <w:rsid w:val="006E3A88"/>
    <w:rsid w:val="006F10C4"/>
    <w:rsid w:val="006F40E9"/>
    <w:rsid w:val="006F54B0"/>
    <w:rsid w:val="006F5603"/>
    <w:rsid w:val="00701400"/>
    <w:rsid w:val="007037CF"/>
    <w:rsid w:val="00703BB8"/>
    <w:rsid w:val="00716583"/>
    <w:rsid w:val="007167C0"/>
    <w:rsid w:val="00720481"/>
    <w:rsid w:val="00726CE2"/>
    <w:rsid w:val="00727C18"/>
    <w:rsid w:val="00727E2F"/>
    <w:rsid w:val="00733193"/>
    <w:rsid w:val="00737CBA"/>
    <w:rsid w:val="007474A7"/>
    <w:rsid w:val="007515E1"/>
    <w:rsid w:val="00751F2A"/>
    <w:rsid w:val="00754C17"/>
    <w:rsid w:val="0075732A"/>
    <w:rsid w:val="00760262"/>
    <w:rsid w:val="0076310C"/>
    <w:rsid w:val="0076744F"/>
    <w:rsid w:val="00767BCE"/>
    <w:rsid w:val="00767EFC"/>
    <w:rsid w:val="007707DE"/>
    <w:rsid w:val="00770B5D"/>
    <w:rsid w:val="007752F1"/>
    <w:rsid w:val="00776768"/>
    <w:rsid w:val="00780DEA"/>
    <w:rsid w:val="00782D61"/>
    <w:rsid w:val="00791024"/>
    <w:rsid w:val="00794818"/>
    <w:rsid w:val="007973CF"/>
    <w:rsid w:val="007A2573"/>
    <w:rsid w:val="007A3B9C"/>
    <w:rsid w:val="007B0FAC"/>
    <w:rsid w:val="007B106C"/>
    <w:rsid w:val="007B1838"/>
    <w:rsid w:val="007B1A4E"/>
    <w:rsid w:val="007B2502"/>
    <w:rsid w:val="007B3D05"/>
    <w:rsid w:val="007B4D61"/>
    <w:rsid w:val="007B5503"/>
    <w:rsid w:val="007C6BB3"/>
    <w:rsid w:val="007D14B4"/>
    <w:rsid w:val="007D1AC7"/>
    <w:rsid w:val="007D2254"/>
    <w:rsid w:val="007D3AD7"/>
    <w:rsid w:val="007D510C"/>
    <w:rsid w:val="007E24F6"/>
    <w:rsid w:val="007E2594"/>
    <w:rsid w:val="007E531F"/>
    <w:rsid w:val="007E539C"/>
    <w:rsid w:val="00800F64"/>
    <w:rsid w:val="00802F0B"/>
    <w:rsid w:val="00810A67"/>
    <w:rsid w:val="008226A3"/>
    <w:rsid w:val="0082464E"/>
    <w:rsid w:val="00833CF7"/>
    <w:rsid w:val="00835DEB"/>
    <w:rsid w:val="00845601"/>
    <w:rsid w:val="008467AA"/>
    <w:rsid w:val="008524B9"/>
    <w:rsid w:val="00855C5C"/>
    <w:rsid w:val="0086233C"/>
    <w:rsid w:val="00865CFA"/>
    <w:rsid w:val="00873685"/>
    <w:rsid w:val="00880353"/>
    <w:rsid w:val="0088071D"/>
    <w:rsid w:val="008817FC"/>
    <w:rsid w:val="00883CE7"/>
    <w:rsid w:val="008859B8"/>
    <w:rsid w:val="00887068"/>
    <w:rsid w:val="008956DD"/>
    <w:rsid w:val="008A187F"/>
    <w:rsid w:val="008A3C96"/>
    <w:rsid w:val="008B00FC"/>
    <w:rsid w:val="008B0BBA"/>
    <w:rsid w:val="008B1627"/>
    <w:rsid w:val="008B4019"/>
    <w:rsid w:val="008B505F"/>
    <w:rsid w:val="008B65C9"/>
    <w:rsid w:val="008C2D4A"/>
    <w:rsid w:val="008C3DDE"/>
    <w:rsid w:val="008C6A05"/>
    <w:rsid w:val="008C7DBB"/>
    <w:rsid w:val="008D3900"/>
    <w:rsid w:val="008D6AFD"/>
    <w:rsid w:val="008D6E1D"/>
    <w:rsid w:val="008D6EDB"/>
    <w:rsid w:val="008E36FE"/>
    <w:rsid w:val="008E5C4D"/>
    <w:rsid w:val="008F39B4"/>
    <w:rsid w:val="008F4162"/>
    <w:rsid w:val="00901179"/>
    <w:rsid w:val="00903E02"/>
    <w:rsid w:val="00907082"/>
    <w:rsid w:val="00911BEF"/>
    <w:rsid w:val="00913175"/>
    <w:rsid w:val="00913307"/>
    <w:rsid w:val="00913952"/>
    <w:rsid w:val="00914153"/>
    <w:rsid w:val="00916EDB"/>
    <w:rsid w:val="009204C3"/>
    <w:rsid w:val="00920861"/>
    <w:rsid w:val="00922B13"/>
    <w:rsid w:val="00923A64"/>
    <w:rsid w:val="009242EF"/>
    <w:rsid w:val="00927055"/>
    <w:rsid w:val="00932291"/>
    <w:rsid w:val="0093408E"/>
    <w:rsid w:val="00937EEC"/>
    <w:rsid w:val="00942B78"/>
    <w:rsid w:val="00947507"/>
    <w:rsid w:val="009501F1"/>
    <w:rsid w:val="00952DDF"/>
    <w:rsid w:val="00952EC4"/>
    <w:rsid w:val="009573EA"/>
    <w:rsid w:val="00960DD3"/>
    <w:rsid w:val="00963942"/>
    <w:rsid w:val="00963A34"/>
    <w:rsid w:val="00966DCE"/>
    <w:rsid w:val="00977A8C"/>
    <w:rsid w:val="009812D4"/>
    <w:rsid w:val="00982653"/>
    <w:rsid w:val="00983D21"/>
    <w:rsid w:val="009873F4"/>
    <w:rsid w:val="009920D8"/>
    <w:rsid w:val="009A371F"/>
    <w:rsid w:val="009B38BE"/>
    <w:rsid w:val="009C1D70"/>
    <w:rsid w:val="009C3820"/>
    <w:rsid w:val="009C3D0F"/>
    <w:rsid w:val="009D1545"/>
    <w:rsid w:val="009D5E46"/>
    <w:rsid w:val="009D6232"/>
    <w:rsid w:val="009E1B19"/>
    <w:rsid w:val="009E318A"/>
    <w:rsid w:val="009F35E2"/>
    <w:rsid w:val="009F65F9"/>
    <w:rsid w:val="009F68BA"/>
    <w:rsid w:val="009F7EFD"/>
    <w:rsid w:val="00A00BB1"/>
    <w:rsid w:val="00A06277"/>
    <w:rsid w:val="00A079DC"/>
    <w:rsid w:val="00A10BAB"/>
    <w:rsid w:val="00A111C2"/>
    <w:rsid w:val="00A11BED"/>
    <w:rsid w:val="00A17C39"/>
    <w:rsid w:val="00A238AA"/>
    <w:rsid w:val="00A27652"/>
    <w:rsid w:val="00A32F12"/>
    <w:rsid w:val="00A338E7"/>
    <w:rsid w:val="00A35CAA"/>
    <w:rsid w:val="00A36E7F"/>
    <w:rsid w:val="00A41E65"/>
    <w:rsid w:val="00A43E0A"/>
    <w:rsid w:val="00A46247"/>
    <w:rsid w:val="00A46703"/>
    <w:rsid w:val="00A530C7"/>
    <w:rsid w:val="00A55F5B"/>
    <w:rsid w:val="00A60185"/>
    <w:rsid w:val="00A62A8D"/>
    <w:rsid w:val="00A655FE"/>
    <w:rsid w:val="00A661EA"/>
    <w:rsid w:val="00A70A6C"/>
    <w:rsid w:val="00A72E01"/>
    <w:rsid w:val="00A830E5"/>
    <w:rsid w:val="00A87135"/>
    <w:rsid w:val="00A93280"/>
    <w:rsid w:val="00A951EA"/>
    <w:rsid w:val="00A961A6"/>
    <w:rsid w:val="00A973E1"/>
    <w:rsid w:val="00AA1C65"/>
    <w:rsid w:val="00AA2548"/>
    <w:rsid w:val="00AA3B6E"/>
    <w:rsid w:val="00AA58C4"/>
    <w:rsid w:val="00AB11C8"/>
    <w:rsid w:val="00AB35F4"/>
    <w:rsid w:val="00AB776B"/>
    <w:rsid w:val="00AC08A8"/>
    <w:rsid w:val="00AD56C8"/>
    <w:rsid w:val="00AD58F2"/>
    <w:rsid w:val="00AE2158"/>
    <w:rsid w:val="00AF5EA3"/>
    <w:rsid w:val="00AF6573"/>
    <w:rsid w:val="00AF7690"/>
    <w:rsid w:val="00B021F4"/>
    <w:rsid w:val="00B0512A"/>
    <w:rsid w:val="00B0529F"/>
    <w:rsid w:val="00B05D52"/>
    <w:rsid w:val="00B07C8C"/>
    <w:rsid w:val="00B1418B"/>
    <w:rsid w:val="00B21195"/>
    <w:rsid w:val="00B22B3D"/>
    <w:rsid w:val="00B23C9A"/>
    <w:rsid w:val="00B24B22"/>
    <w:rsid w:val="00B25310"/>
    <w:rsid w:val="00B32F8F"/>
    <w:rsid w:val="00B451D3"/>
    <w:rsid w:val="00B45B6B"/>
    <w:rsid w:val="00B47C42"/>
    <w:rsid w:val="00B510B1"/>
    <w:rsid w:val="00B54DE9"/>
    <w:rsid w:val="00B553EC"/>
    <w:rsid w:val="00B55870"/>
    <w:rsid w:val="00B61912"/>
    <w:rsid w:val="00B643C8"/>
    <w:rsid w:val="00B65F82"/>
    <w:rsid w:val="00B72287"/>
    <w:rsid w:val="00B77732"/>
    <w:rsid w:val="00B80D6D"/>
    <w:rsid w:val="00B9154F"/>
    <w:rsid w:val="00B93DD0"/>
    <w:rsid w:val="00B96D6F"/>
    <w:rsid w:val="00B97732"/>
    <w:rsid w:val="00BA65A8"/>
    <w:rsid w:val="00BA6D19"/>
    <w:rsid w:val="00BA7461"/>
    <w:rsid w:val="00BA7DA9"/>
    <w:rsid w:val="00BB2840"/>
    <w:rsid w:val="00BC4215"/>
    <w:rsid w:val="00BD0396"/>
    <w:rsid w:val="00BD1A6F"/>
    <w:rsid w:val="00BD5B71"/>
    <w:rsid w:val="00BE01F0"/>
    <w:rsid w:val="00BE28CD"/>
    <w:rsid w:val="00BE5F43"/>
    <w:rsid w:val="00BE6D3C"/>
    <w:rsid w:val="00BE7852"/>
    <w:rsid w:val="00BF168A"/>
    <w:rsid w:val="00BF1B96"/>
    <w:rsid w:val="00BF7CEE"/>
    <w:rsid w:val="00C00C08"/>
    <w:rsid w:val="00C026D5"/>
    <w:rsid w:val="00C03880"/>
    <w:rsid w:val="00C112B0"/>
    <w:rsid w:val="00C1343B"/>
    <w:rsid w:val="00C135CF"/>
    <w:rsid w:val="00C2683F"/>
    <w:rsid w:val="00C279F3"/>
    <w:rsid w:val="00C3184D"/>
    <w:rsid w:val="00C4714E"/>
    <w:rsid w:val="00C50941"/>
    <w:rsid w:val="00C509B7"/>
    <w:rsid w:val="00C53B18"/>
    <w:rsid w:val="00C540E9"/>
    <w:rsid w:val="00C5504F"/>
    <w:rsid w:val="00C55991"/>
    <w:rsid w:val="00C56E1D"/>
    <w:rsid w:val="00C60104"/>
    <w:rsid w:val="00C63376"/>
    <w:rsid w:val="00C662ED"/>
    <w:rsid w:val="00C66CB4"/>
    <w:rsid w:val="00C7002B"/>
    <w:rsid w:val="00C74113"/>
    <w:rsid w:val="00C74F97"/>
    <w:rsid w:val="00C76A08"/>
    <w:rsid w:val="00C803D7"/>
    <w:rsid w:val="00C8276E"/>
    <w:rsid w:val="00C83AD1"/>
    <w:rsid w:val="00C842AC"/>
    <w:rsid w:val="00C92AD5"/>
    <w:rsid w:val="00C93FD9"/>
    <w:rsid w:val="00C94A86"/>
    <w:rsid w:val="00C96688"/>
    <w:rsid w:val="00C9690C"/>
    <w:rsid w:val="00CA023E"/>
    <w:rsid w:val="00CA0723"/>
    <w:rsid w:val="00CA174C"/>
    <w:rsid w:val="00CA4542"/>
    <w:rsid w:val="00CA6D2B"/>
    <w:rsid w:val="00CB1690"/>
    <w:rsid w:val="00CB2DD3"/>
    <w:rsid w:val="00CB5ED9"/>
    <w:rsid w:val="00CC4365"/>
    <w:rsid w:val="00CD11B0"/>
    <w:rsid w:val="00CD334A"/>
    <w:rsid w:val="00CD5E0E"/>
    <w:rsid w:val="00CD73A2"/>
    <w:rsid w:val="00CE0F66"/>
    <w:rsid w:val="00CE112A"/>
    <w:rsid w:val="00CE71C2"/>
    <w:rsid w:val="00CF42D5"/>
    <w:rsid w:val="00CF4EDA"/>
    <w:rsid w:val="00CF5B16"/>
    <w:rsid w:val="00D021CB"/>
    <w:rsid w:val="00D0233A"/>
    <w:rsid w:val="00D02635"/>
    <w:rsid w:val="00D0468A"/>
    <w:rsid w:val="00D046F9"/>
    <w:rsid w:val="00D10F1A"/>
    <w:rsid w:val="00D116F8"/>
    <w:rsid w:val="00D12157"/>
    <w:rsid w:val="00D13729"/>
    <w:rsid w:val="00D14CAA"/>
    <w:rsid w:val="00D15280"/>
    <w:rsid w:val="00D16FDB"/>
    <w:rsid w:val="00D17596"/>
    <w:rsid w:val="00D22640"/>
    <w:rsid w:val="00D26D3A"/>
    <w:rsid w:val="00D27C2C"/>
    <w:rsid w:val="00D33448"/>
    <w:rsid w:val="00D351A4"/>
    <w:rsid w:val="00D36656"/>
    <w:rsid w:val="00D45C91"/>
    <w:rsid w:val="00D45EE3"/>
    <w:rsid w:val="00D50618"/>
    <w:rsid w:val="00D509E9"/>
    <w:rsid w:val="00D51B48"/>
    <w:rsid w:val="00D53B1C"/>
    <w:rsid w:val="00D634FE"/>
    <w:rsid w:val="00D652C8"/>
    <w:rsid w:val="00D656FF"/>
    <w:rsid w:val="00D73CCE"/>
    <w:rsid w:val="00D8052F"/>
    <w:rsid w:val="00D82448"/>
    <w:rsid w:val="00D83615"/>
    <w:rsid w:val="00D84772"/>
    <w:rsid w:val="00D864DF"/>
    <w:rsid w:val="00D93693"/>
    <w:rsid w:val="00D97037"/>
    <w:rsid w:val="00DA1874"/>
    <w:rsid w:val="00DA1B12"/>
    <w:rsid w:val="00DA3911"/>
    <w:rsid w:val="00DA4F90"/>
    <w:rsid w:val="00DA54C9"/>
    <w:rsid w:val="00DA5851"/>
    <w:rsid w:val="00DA6739"/>
    <w:rsid w:val="00DA6CAE"/>
    <w:rsid w:val="00DB1A9E"/>
    <w:rsid w:val="00DB31D6"/>
    <w:rsid w:val="00DB3296"/>
    <w:rsid w:val="00DB4005"/>
    <w:rsid w:val="00DB61F1"/>
    <w:rsid w:val="00DB7A45"/>
    <w:rsid w:val="00DC34EB"/>
    <w:rsid w:val="00DC3FB0"/>
    <w:rsid w:val="00DC78C0"/>
    <w:rsid w:val="00DD1229"/>
    <w:rsid w:val="00DD1E5D"/>
    <w:rsid w:val="00DD2F67"/>
    <w:rsid w:val="00DE2C10"/>
    <w:rsid w:val="00DE5565"/>
    <w:rsid w:val="00DE6355"/>
    <w:rsid w:val="00DF14C9"/>
    <w:rsid w:val="00DF1E5B"/>
    <w:rsid w:val="00DF2275"/>
    <w:rsid w:val="00DF355F"/>
    <w:rsid w:val="00DF39A2"/>
    <w:rsid w:val="00DF3F5E"/>
    <w:rsid w:val="00DF5653"/>
    <w:rsid w:val="00E04FC5"/>
    <w:rsid w:val="00E0596E"/>
    <w:rsid w:val="00E06F66"/>
    <w:rsid w:val="00E0773B"/>
    <w:rsid w:val="00E12E67"/>
    <w:rsid w:val="00E20E7F"/>
    <w:rsid w:val="00E2111A"/>
    <w:rsid w:val="00E21678"/>
    <w:rsid w:val="00E21B9F"/>
    <w:rsid w:val="00E356E5"/>
    <w:rsid w:val="00E36F81"/>
    <w:rsid w:val="00E378A8"/>
    <w:rsid w:val="00E40B9B"/>
    <w:rsid w:val="00E45765"/>
    <w:rsid w:val="00E461F3"/>
    <w:rsid w:val="00E5098C"/>
    <w:rsid w:val="00E574F4"/>
    <w:rsid w:val="00E57E07"/>
    <w:rsid w:val="00E60213"/>
    <w:rsid w:val="00E6028E"/>
    <w:rsid w:val="00E62AEA"/>
    <w:rsid w:val="00E661B2"/>
    <w:rsid w:val="00E72E72"/>
    <w:rsid w:val="00E74D29"/>
    <w:rsid w:val="00E76AF9"/>
    <w:rsid w:val="00E806FF"/>
    <w:rsid w:val="00E807DF"/>
    <w:rsid w:val="00E82E73"/>
    <w:rsid w:val="00E83C74"/>
    <w:rsid w:val="00E83CEE"/>
    <w:rsid w:val="00E91F18"/>
    <w:rsid w:val="00E9226D"/>
    <w:rsid w:val="00E965C1"/>
    <w:rsid w:val="00EA405F"/>
    <w:rsid w:val="00EA416C"/>
    <w:rsid w:val="00EA5941"/>
    <w:rsid w:val="00EB60CE"/>
    <w:rsid w:val="00EB7D53"/>
    <w:rsid w:val="00EC596B"/>
    <w:rsid w:val="00EC72ED"/>
    <w:rsid w:val="00EC7D00"/>
    <w:rsid w:val="00ED6A18"/>
    <w:rsid w:val="00EE13C5"/>
    <w:rsid w:val="00EE3146"/>
    <w:rsid w:val="00EE4870"/>
    <w:rsid w:val="00EF50BB"/>
    <w:rsid w:val="00EF71E4"/>
    <w:rsid w:val="00F00192"/>
    <w:rsid w:val="00F00566"/>
    <w:rsid w:val="00F01DF6"/>
    <w:rsid w:val="00F027B8"/>
    <w:rsid w:val="00F0340D"/>
    <w:rsid w:val="00F059A6"/>
    <w:rsid w:val="00F076D9"/>
    <w:rsid w:val="00F23756"/>
    <w:rsid w:val="00F2523A"/>
    <w:rsid w:val="00F25FFA"/>
    <w:rsid w:val="00F310D2"/>
    <w:rsid w:val="00F327FC"/>
    <w:rsid w:val="00F3418D"/>
    <w:rsid w:val="00F35807"/>
    <w:rsid w:val="00F36F3D"/>
    <w:rsid w:val="00F37C48"/>
    <w:rsid w:val="00F41141"/>
    <w:rsid w:val="00F4431B"/>
    <w:rsid w:val="00F477BD"/>
    <w:rsid w:val="00F50333"/>
    <w:rsid w:val="00F529A9"/>
    <w:rsid w:val="00F5307A"/>
    <w:rsid w:val="00F53491"/>
    <w:rsid w:val="00F54656"/>
    <w:rsid w:val="00F55386"/>
    <w:rsid w:val="00F56411"/>
    <w:rsid w:val="00F60181"/>
    <w:rsid w:val="00F601EE"/>
    <w:rsid w:val="00F65A1C"/>
    <w:rsid w:val="00F66F50"/>
    <w:rsid w:val="00F7610E"/>
    <w:rsid w:val="00F77432"/>
    <w:rsid w:val="00F81162"/>
    <w:rsid w:val="00F82709"/>
    <w:rsid w:val="00F82FF8"/>
    <w:rsid w:val="00F8330D"/>
    <w:rsid w:val="00F84305"/>
    <w:rsid w:val="00F8459B"/>
    <w:rsid w:val="00F8485C"/>
    <w:rsid w:val="00F87149"/>
    <w:rsid w:val="00F879B8"/>
    <w:rsid w:val="00F87FFE"/>
    <w:rsid w:val="00F93CC8"/>
    <w:rsid w:val="00F954C9"/>
    <w:rsid w:val="00F95850"/>
    <w:rsid w:val="00FA11B2"/>
    <w:rsid w:val="00FA4CF0"/>
    <w:rsid w:val="00FA5377"/>
    <w:rsid w:val="00FA61AA"/>
    <w:rsid w:val="00FA69A4"/>
    <w:rsid w:val="00FB1279"/>
    <w:rsid w:val="00FB1495"/>
    <w:rsid w:val="00FC20F8"/>
    <w:rsid w:val="00FC393A"/>
    <w:rsid w:val="00FC3FD4"/>
    <w:rsid w:val="00FC4042"/>
    <w:rsid w:val="00FD1694"/>
    <w:rsid w:val="00FD258C"/>
    <w:rsid w:val="00FD2967"/>
    <w:rsid w:val="00FD6575"/>
    <w:rsid w:val="00FD738D"/>
    <w:rsid w:val="00FD7636"/>
    <w:rsid w:val="00FE3229"/>
    <w:rsid w:val="00FE74C3"/>
    <w:rsid w:val="00FF103E"/>
    <w:rsid w:val="00FF215C"/>
    <w:rsid w:val="00FF49E8"/>
    <w:rsid w:val="00FF672F"/>
    <w:rsid w:val="00FF7CA1"/>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sz w:val="22"/>
        <w:szCs w:val="22"/>
        <w:lang w:val="en-AU" w:eastAsia="en-A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locked="1" w:uiPriority="0"/>
    <w:lsdException w:name="List Number" w:lock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lsdException w:name="List Number 3" w:locked="1" w:uiPriority="0"/>
    <w:lsdException w:name="List Number 4" w:locked="1" w:uiPriority="0"/>
    <w:lsdException w:name="List Number 5" w:locked="1" w:uiPriority="0"/>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65DA"/>
    <w:rPr>
      <w:rFonts w:ascii="Times New Roman" w:eastAsia="Times New Roman" w:hAnsi="Times New Roman"/>
      <w:sz w:val="24"/>
      <w:szCs w:val="24"/>
      <w:lang w:eastAsia="en-US"/>
    </w:rPr>
  </w:style>
  <w:style w:type="paragraph" w:styleId="Heading1">
    <w:name w:val="heading 1"/>
    <w:basedOn w:val="Normal"/>
    <w:next w:val="Normal"/>
    <w:link w:val="Heading1Char"/>
    <w:uiPriority w:val="99"/>
    <w:qFormat/>
    <w:rsid w:val="00F25FFA"/>
    <w:pPr>
      <w:outlineLvl w:val="0"/>
    </w:pPr>
    <w:rPr>
      <w:rFonts w:cs="Arial"/>
      <w:b/>
      <w:caps/>
    </w:rPr>
  </w:style>
  <w:style w:type="paragraph" w:styleId="Heading2">
    <w:name w:val="heading 2"/>
    <w:basedOn w:val="Normal"/>
    <w:next w:val="Normal"/>
    <w:link w:val="Heading2Char"/>
    <w:uiPriority w:val="99"/>
    <w:qFormat/>
    <w:rsid w:val="00A55F5B"/>
    <w:pPr>
      <w:outlineLvl w:val="1"/>
    </w:pPr>
    <w:rPr>
      <w:rFonts w:cs="Arial"/>
      <w:b/>
    </w:rPr>
  </w:style>
  <w:style w:type="paragraph" w:styleId="Heading3">
    <w:name w:val="heading 3"/>
    <w:basedOn w:val="Normal"/>
    <w:next w:val="Normal"/>
    <w:link w:val="Heading3Char"/>
    <w:uiPriority w:val="99"/>
    <w:qFormat/>
    <w:rsid w:val="000759E5"/>
    <w:pPr>
      <w:outlineLvl w:val="2"/>
    </w:pPr>
    <w:rPr>
      <w:rFonts w:cs="Arial"/>
      <w:b/>
      <w:i/>
    </w:rPr>
  </w:style>
  <w:style w:type="paragraph" w:styleId="Heading4">
    <w:name w:val="heading 4"/>
    <w:basedOn w:val="Normal"/>
    <w:next w:val="Normal"/>
    <w:link w:val="Heading4Char"/>
    <w:uiPriority w:val="99"/>
    <w:qFormat/>
    <w:rsid w:val="000759E5"/>
    <w:pPr>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25FFA"/>
    <w:rPr>
      <w:rFonts w:ascii="Arial" w:hAnsi="Arial" w:cs="Arial"/>
      <w:b/>
      <w:caps/>
    </w:rPr>
  </w:style>
  <w:style w:type="character" w:customStyle="1" w:styleId="Heading2Char">
    <w:name w:val="Heading 2 Char"/>
    <w:basedOn w:val="DefaultParagraphFont"/>
    <w:link w:val="Heading2"/>
    <w:uiPriority w:val="99"/>
    <w:locked/>
    <w:rsid w:val="00A55F5B"/>
    <w:rPr>
      <w:rFonts w:cs="Arial"/>
      <w:b/>
      <w:sz w:val="22"/>
      <w:szCs w:val="22"/>
      <w:lang w:eastAsia="en-US"/>
    </w:rPr>
  </w:style>
  <w:style w:type="character" w:customStyle="1" w:styleId="Heading3Char">
    <w:name w:val="Heading 3 Char"/>
    <w:basedOn w:val="DefaultParagraphFont"/>
    <w:link w:val="Heading3"/>
    <w:uiPriority w:val="99"/>
    <w:locked/>
    <w:rsid w:val="00154989"/>
    <w:rPr>
      <w:rFonts w:cs="Arial"/>
      <w:b/>
      <w:i/>
      <w:sz w:val="22"/>
      <w:szCs w:val="22"/>
      <w:lang w:eastAsia="en-US"/>
    </w:rPr>
  </w:style>
  <w:style w:type="character" w:customStyle="1" w:styleId="Heading4Char">
    <w:name w:val="Heading 4 Char"/>
    <w:basedOn w:val="DefaultParagraphFont"/>
    <w:link w:val="Heading4"/>
    <w:uiPriority w:val="99"/>
    <w:locked/>
    <w:rsid w:val="00154989"/>
    <w:rPr>
      <w:rFonts w:cs="Arial"/>
      <w:i/>
      <w:sz w:val="22"/>
      <w:szCs w:val="22"/>
      <w:lang w:eastAsia="en-US"/>
    </w:rPr>
  </w:style>
  <w:style w:type="paragraph" w:styleId="Header">
    <w:name w:val="header"/>
    <w:basedOn w:val="Normal"/>
    <w:link w:val="HeaderChar"/>
    <w:uiPriority w:val="99"/>
    <w:rsid w:val="00A60185"/>
    <w:pPr>
      <w:tabs>
        <w:tab w:val="center" w:pos="4513"/>
        <w:tab w:val="right" w:pos="9026"/>
      </w:tabs>
    </w:pPr>
  </w:style>
  <w:style w:type="character" w:customStyle="1" w:styleId="HeaderChar">
    <w:name w:val="Header Char"/>
    <w:basedOn w:val="DefaultParagraphFont"/>
    <w:link w:val="Header"/>
    <w:uiPriority w:val="99"/>
    <w:locked/>
    <w:rsid w:val="00A60185"/>
    <w:rPr>
      <w:rFonts w:cs="Times New Roman"/>
    </w:rPr>
  </w:style>
  <w:style w:type="paragraph" w:styleId="Footer">
    <w:name w:val="footer"/>
    <w:basedOn w:val="Normal"/>
    <w:link w:val="FooterChar"/>
    <w:uiPriority w:val="99"/>
    <w:rsid w:val="00A60185"/>
    <w:pPr>
      <w:tabs>
        <w:tab w:val="center" w:pos="4513"/>
        <w:tab w:val="right" w:pos="9026"/>
      </w:tabs>
    </w:pPr>
  </w:style>
  <w:style w:type="character" w:customStyle="1" w:styleId="FooterChar">
    <w:name w:val="Footer Char"/>
    <w:basedOn w:val="DefaultParagraphFont"/>
    <w:link w:val="Footer"/>
    <w:uiPriority w:val="99"/>
    <w:locked/>
    <w:rsid w:val="00A60185"/>
    <w:rPr>
      <w:rFonts w:cs="Times New Roman"/>
    </w:rPr>
  </w:style>
  <w:style w:type="paragraph" w:styleId="BalloonText">
    <w:name w:val="Balloon Text"/>
    <w:basedOn w:val="Normal"/>
    <w:link w:val="BalloonTextChar"/>
    <w:uiPriority w:val="99"/>
    <w:semiHidden/>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60185"/>
    <w:rPr>
      <w:rFonts w:ascii="Tahoma" w:hAnsi="Tahoma" w:cs="Tahoma"/>
      <w:sz w:val="16"/>
      <w:szCs w:val="16"/>
    </w:rPr>
  </w:style>
  <w:style w:type="paragraph" w:customStyle="1" w:styleId="1NumberedPointsStyle">
    <w:name w:val="1. Numbered Points Style"/>
    <w:basedOn w:val="ListParagraph"/>
    <w:uiPriority w:val="99"/>
    <w:rsid w:val="00BD1A6F"/>
    <w:pPr>
      <w:numPr>
        <w:numId w:val="0"/>
      </w:numPr>
    </w:pPr>
  </w:style>
  <w:style w:type="paragraph" w:customStyle="1" w:styleId="1BulletStyleList">
    <w:name w:val="1. Bullet Style List"/>
    <w:basedOn w:val="Normal"/>
    <w:uiPriority w:val="99"/>
    <w:rsid w:val="00CE71C2"/>
    <w:rPr>
      <w:szCs w:val="20"/>
      <w:lang w:eastAsia="en-AU"/>
    </w:rPr>
  </w:style>
  <w:style w:type="paragraph" w:styleId="ListBullet">
    <w:name w:val="List Bullet"/>
    <w:basedOn w:val="Normal"/>
    <w:uiPriority w:val="99"/>
    <w:rsid w:val="00091608"/>
  </w:style>
  <w:style w:type="paragraph" w:styleId="ListBullet2">
    <w:name w:val="List Bullet 2"/>
    <w:basedOn w:val="Normal"/>
    <w:uiPriority w:val="99"/>
    <w:rsid w:val="00091608"/>
  </w:style>
  <w:style w:type="paragraph" w:styleId="ListBullet3">
    <w:name w:val="List Bullet 3"/>
    <w:basedOn w:val="Normal"/>
    <w:uiPriority w:val="99"/>
    <w:rsid w:val="00091608"/>
  </w:style>
  <w:style w:type="paragraph" w:styleId="ListBullet4">
    <w:name w:val="List Bullet 4"/>
    <w:basedOn w:val="Normal"/>
    <w:uiPriority w:val="99"/>
    <w:rsid w:val="00091608"/>
  </w:style>
  <w:style w:type="paragraph" w:styleId="ListBullet5">
    <w:name w:val="List Bullet 5"/>
    <w:basedOn w:val="Normal"/>
    <w:uiPriority w:val="99"/>
    <w:rsid w:val="00091608"/>
  </w:style>
  <w:style w:type="paragraph" w:customStyle="1" w:styleId="Classification">
    <w:name w:val="Classification"/>
    <w:basedOn w:val="Normal"/>
    <w:uiPriority w:val="99"/>
    <w:rsid w:val="00646122"/>
    <w:pPr>
      <w:tabs>
        <w:tab w:val="center" w:pos="4536"/>
        <w:tab w:val="center" w:pos="4819"/>
        <w:tab w:val="right" w:pos="9356"/>
      </w:tabs>
      <w:spacing w:after="240"/>
      <w:jc w:val="center"/>
    </w:pPr>
    <w:rPr>
      <w:rFonts w:cs="Arial"/>
      <w:color w:val="FF0000"/>
      <w:sz w:val="28"/>
      <w:szCs w:val="28"/>
      <w:lang w:eastAsia="en-AU"/>
    </w:rPr>
  </w:style>
  <w:style w:type="paragraph" w:styleId="ListParagraph">
    <w:name w:val="List Paragraph"/>
    <w:basedOn w:val="Normal"/>
    <w:uiPriority w:val="99"/>
    <w:qFormat/>
    <w:rsid w:val="003556BD"/>
    <w:pPr>
      <w:numPr>
        <w:numId w:val="4"/>
      </w:numPr>
    </w:pPr>
  </w:style>
  <w:style w:type="character" w:styleId="BookTitle">
    <w:name w:val="Book Title"/>
    <w:basedOn w:val="DefaultParagraphFont"/>
    <w:uiPriority w:val="99"/>
    <w:qFormat/>
    <w:rsid w:val="00383020"/>
    <w:rPr>
      <w:rFonts w:cs="Times New Roman"/>
      <w:bCs/>
      <w:i/>
      <w:smallCaps/>
      <w:spacing w:val="5"/>
    </w:rPr>
  </w:style>
  <w:style w:type="paragraph" w:styleId="ListNumber">
    <w:name w:val="List Number"/>
    <w:basedOn w:val="Normal"/>
    <w:uiPriority w:val="99"/>
    <w:rsid w:val="00005CAA"/>
  </w:style>
  <w:style w:type="paragraph" w:styleId="ListNumber2">
    <w:name w:val="List Number 2"/>
    <w:basedOn w:val="Normal"/>
    <w:uiPriority w:val="99"/>
    <w:rsid w:val="00005CAA"/>
    <w:pPr>
      <w:numPr>
        <w:ilvl w:val="1"/>
        <w:numId w:val="7"/>
      </w:numPr>
    </w:pPr>
  </w:style>
  <w:style w:type="paragraph" w:styleId="ListNumber3">
    <w:name w:val="List Number 3"/>
    <w:basedOn w:val="Normal"/>
    <w:uiPriority w:val="99"/>
    <w:rsid w:val="00005CAA"/>
    <w:pPr>
      <w:numPr>
        <w:ilvl w:val="2"/>
        <w:numId w:val="7"/>
      </w:numPr>
    </w:pPr>
  </w:style>
  <w:style w:type="paragraph" w:styleId="ListNumber4">
    <w:name w:val="List Number 4"/>
    <w:basedOn w:val="Normal"/>
    <w:uiPriority w:val="99"/>
    <w:rsid w:val="00005CAA"/>
    <w:pPr>
      <w:numPr>
        <w:ilvl w:val="3"/>
        <w:numId w:val="7"/>
      </w:numPr>
    </w:pPr>
  </w:style>
  <w:style w:type="paragraph" w:styleId="ListNumber5">
    <w:name w:val="List Number 5"/>
    <w:basedOn w:val="Normal"/>
    <w:uiPriority w:val="99"/>
    <w:rsid w:val="00005CAA"/>
    <w:pPr>
      <w:numPr>
        <w:ilvl w:val="4"/>
        <w:numId w:val="7"/>
      </w:numPr>
    </w:pPr>
  </w:style>
  <w:style w:type="paragraph" w:customStyle="1" w:styleId="Footerclassification">
    <w:name w:val="Footer classification"/>
    <w:basedOn w:val="Classification"/>
    <w:uiPriority w:val="99"/>
    <w:rsid w:val="00D021CB"/>
    <w:pPr>
      <w:spacing w:before="240" w:after="0"/>
    </w:pPr>
  </w:style>
  <w:style w:type="table" w:styleId="TableGrid">
    <w:name w:val="Table Grid"/>
    <w:basedOn w:val="TableNormal"/>
    <w:uiPriority w:val="99"/>
    <w:rsid w:val="00100BEF"/>
    <w:rPr>
      <w:sz w:val="20"/>
      <w:szCs w:val="20"/>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spacing w:beforeLines="0" w:beforeAutospacing="0" w:afterLines="0" w:afterAutospacing="0"/>
      </w:pPr>
      <w:rPr>
        <w:rFonts w:ascii="Arial" w:hAnsi="Arial" w:cs="Times New Roman"/>
        <w:sz w:val="20"/>
      </w:rPr>
    </w:tblStylePr>
    <w:tblStylePr w:type="lastRow">
      <w:pPr>
        <w:spacing w:beforeLines="0" w:beforeAutospacing="0" w:afterLines="0" w:afterAutospacing="0"/>
      </w:pPr>
      <w:rPr>
        <w:rFonts w:ascii="Arial" w:hAnsi="Arial" w:cs="Times New Roman"/>
        <w:sz w:val="20"/>
      </w:rPr>
    </w:tblStylePr>
    <w:tblStylePr w:type="band1Horz">
      <w:pPr>
        <w:spacing w:beforeLines="0" w:beforeAutospacing="0" w:afterLines="0" w:afterAutospacing="0"/>
      </w:pPr>
      <w:rPr>
        <w:rFonts w:ascii="Arial" w:hAnsi="Arial" w:cs="Times New Roman"/>
        <w:sz w:val="20"/>
      </w:rPr>
    </w:tblStylePr>
    <w:tblStylePr w:type="band2Horz">
      <w:pPr>
        <w:spacing w:beforeLines="0" w:beforeAutospacing="0" w:afterLines="0" w:afterAutospacing="0"/>
      </w:pPr>
      <w:rPr>
        <w:rFonts w:ascii="Arial" w:hAnsi="Arial" w:cs="Times New Roman"/>
        <w:sz w:val="20"/>
      </w:rPr>
    </w:tblStylePr>
  </w:style>
  <w:style w:type="paragraph" w:customStyle="1" w:styleId="Tabletext">
    <w:name w:val="Table text"/>
    <w:basedOn w:val="Normal"/>
    <w:uiPriority w:val="99"/>
    <w:rsid w:val="005A126E"/>
  </w:style>
  <w:style w:type="paragraph" w:customStyle="1" w:styleId="tablelabel">
    <w:name w:val="table label"/>
    <w:basedOn w:val="Normal"/>
    <w:uiPriority w:val="99"/>
    <w:rsid w:val="001765DA"/>
    <w:rPr>
      <w:rFonts w:ascii="Arial" w:hAnsi="Arial"/>
      <w:b/>
      <w:sz w:val="16"/>
      <w:szCs w:val="20"/>
    </w:rPr>
  </w:style>
  <w:style w:type="paragraph" w:customStyle="1" w:styleId="Default">
    <w:name w:val="Default"/>
    <w:uiPriority w:val="99"/>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rsid w:val="002A5EC3"/>
    <w:rPr>
      <w:rFonts w:cs="Times New Roman"/>
      <w:color w:val="0000FF"/>
      <w:u w:val="single"/>
    </w:rPr>
  </w:style>
  <w:style w:type="paragraph" w:styleId="Revision">
    <w:name w:val="Revision"/>
    <w:hidden/>
    <w:uiPriority w:val="99"/>
    <w:semiHidden/>
    <w:rsid w:val="008B1627"/>
    <w:rPr>
      <w:rFonts w:ascii="Times New Roman" w:eastAsia="Times New Roman" w:hAnsi="Times New Roman"/>
      <w:sz w:val="24"/>
      <w:szCs w:val="24"/>
      <w:lang w:eastAsia="en-US"/>
    </w:rPr>
  </w:style>
  <w:style w:type="character" w:styleId="FollowedHyperlink">
    <w:name w:val="FollowedHyperlink"/>
    <w:basedOn w:val="DefaultParagraphFont"/>
    <w:uiPriority w:val="99"/>
    <w:semiHidden/>
    <w:rsid w:val="00283B55"/>
    <w:rPr>
      <w:rFonts w:cs="Times New Roman"/>
      <w:color w:val="800080"/>
      <w:u w:val="single"/>
    </w:rPr>
  </w:style>
  <w:style w:type="numbering" w:customStyle="1" w:styleId="BulletList">
    <w:name w:val="Bullet List"/>
    <w:rsid w:val="00FD55F0"/>
    <w:pPr>
      <w:numPr>
        <w:numId w:val="2"/>
      </w:numPr>
    </w:pPr>
  </w:style>
  <w:style w:type="numbering" w:customStyle="1" w:styleId="Attach">
    <w:name w:val="Attach"/>
    <w:rsid w:val="00FD55F0"/>
    <w:pPr>
      <w:numPr>
        <w:numId w:val="3"/>
      </w:numPr>
    </w:pPr>
  </w:style>
  <w:style w:type="numbering" w:customStyle="1" w:styleId="KeyPoints">
    <w:name w:val="Key Points"/>
    <w:rsid w:val="00FD55F0"/>
    <w:pPr>
      <w:numPr>
        <w:numId w:val="1"/>
      </w:numPr>
    </w:pPr>
  </w:style>
  <w:style w:type="character" w:styleId="CommentReference">
    <w:name w:val="annotation reference"/>
    <w:basedOn w:val="DefaultParagraphFont"/>
    <w:uiPriority w:val="99"/>
    <w:semiHidden/>
    <w:unhideWhenUsed/>
    <w:rsid w:val="00F82709"/>
    <w:rPr>
      <w:sz w:val="16"/>
      <w:szCs w:val="16"/>
    </w:rPr>
  </w:style>
  <w:style w:type="paragraph" w:styleId="CommentText">
    <w:name w:val="annotation text"/>
    <w:basedOn w:val="Normal"/>
    <w:link w:val="CommentTextChar"/>
    <w:uiPriority w:val="99"/>
    <w:semiHidden/>
    <w:unhideWhenUsed/>
    <w:rsid w:val="00F82709"/>
    <w:rPr>
      <w:sz w:val="20"/>
      <w:szCs w:val="20"/>
    </w:rPr>
  </w:style>
  <w:style w:type="character" w:customStyle="1" w:styleId="CommentTextChar">
    <w:name w:val="Comment Text Char"/>
    <w:basedOn w:val="DefaultParagraphFont"/>
    <w:link w:val="CommentText"/>
    <w:uiPriority w:val="99"/>
    <w:semiHidden/>
    <w:rsid w:val="00F82709"/>
    <w:rPr>
      <w:rFonts w:ascii="Times New Roman" w:eastAsia="Times New Roman" w:hAnsi="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F82709"/>
    <w:rPr>
      <w:b/>
      <w:bCs/>
    </w:rPr>
  </w:style>
  <w:style w:type="character" w:customStyle="1" w:styleId="CommentSubjectChar">
    <w:name w:val="Comment Subject Char"/>
    <w:basedOn w:val="CommentTextChar"/>
    <w:link w:val="CommentSubject"/>
    <w:uiPriority w:val="99"/>
    <w:semiHidden/>
    <w:rsid w:val="00F82709"/>
    <w:rPr>
      <w:rFonts w:ascii="Times New Roman" w:eastAsia="Times New Roman" w:hAnsi="Times New Roman"/>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2"/>
        <w:szCs w:val="22"/>
        <w:lang w:val="en-AU" w:eastAsia="en-A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locked="1" w:uiPriority="0"/>
    <w:lsdException w:name="List Number" w:lock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lsdException w:name="List Number 3" w:locked="1" w:uiPriority="0"/>
    <w:lsdException w:name="List Number 4" w:locked="1" w:uiPriority="0"/>
    <w:lsdException w:name="List Number 5" w:locked="1" w:uiPriority="0"/>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65DA"/>
    <w:rPr>
      <w:rFonts w:ascii="Times New Roman" w:eastAsia="Times New Roman" w:hAnsi="Times New Roman"/>
      <w:sz w:val="24"/>
      <w:szCs w:val="24"/>
      <w:lang w:eastAsia="en-US"/>
    </w:rPr>
  </w:style>
  <w:style w:type="paragraph" w:styleId="Heading1">
    <w:name w:val="heading 1"/>
    <w:basedOn w:val="Normal"/>
    <w:next w:val="Normal"/>
    <w:link w:val="Heading1Char"/>
    <w:uiPriority w:val="99"/>
    <w:qFormat/>
    <w:rsid w:val="00F25FFA"/>
    <w:pPr>
      <w:outlineLvl w:val="0"/>
    </w:pPr>
    <w:rPr>
      <w:rFonts w:cs="Arial"/>
      <w:b/>
      <w:caps/>
    </w:rPr>
  </w:style>
  <w:style w:type="paragraph" w:styleId="Heading2">
    <w:name w:val="heading 2"/>
    <w:basedOn w:val="Normal"/>
    <w:next w:val="Normal"/>
    <w:link w:val="Heading2Char"/>
    <w:uiPriority w:val="99"/>
    <w:qFormat/>
    <w:rsid w:val="00A55F5B"/>
    <w:pPr>
      <w:outlineLvl w:val="1"/>
    </w:pPr>
    <w:rPr>
      <w:rFonts w:cs="Arial"/>
      <w:b/>
    </w:rPr>
  </w:style>
  <w:style w:type="paragraph" w:styleId="Heading3">
    <w:name w:val="heading 3"/>
    <w:basedOn w:val="Normal"/>
    <w:next w:val="Normal"/>
    <w:link w:val="Heading3Char"/>
    <w:uiPriority w:val="99"/>
    <w:qFormat/>
    <w:rsid w:val="000759E5"/>
    <w:pPr>
      <w:outlineLvl w:val="2"/>
    </w:pPr>
    <w:rPr>
      <w:rFonts w:cs="Arial"/>
      <w:b/>
      <w:i/>
    </w:rPr>
  </w:style>
  <w:style w:type="paragraph" w:styleId="Heading4">
    <w:name w:val="heading 4"/>
    <w:basedOn w:val="Normal"/>
    <w:next w:val="Normal"/>
    <w:link w:val="Heading4Char"/>
    <w:uiPriority w:val="99"/>
    <w:qFormat/>
    <w:rsid w:val="000759E5"/>
    <w:pPr>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25FFA"/>
    <w:rPr>
      <w:rFonts w:ascii="Arial" w:hAnsi="Arial" w:cs="Arial"/>
      <w:b/>
      <w:caps/>
    </w:rPr>
  </w:style>
  <w:style w:type="character" w:customStyle="1" w:styleId="Heading2Char">
    <w:name w:val="Heading 2 Char"/>
    <w:basedOn w:val="DefaultParagraphFont"/>
    <w:link w:val="Heading2"/>
    <w:uiPriority w:val="99"/>
    <w:locked/>
    <w:rsid w:val="00A55F5B"/>
    <w:rPr>
      <w:rFonts w:cs="Arial"/>
      <w:b/>
      <w:sz w:val="22"/>
      <w:szCs w:val="22"/>
      <w:lang w:eastAsia="en-US"/>
    </w:rPr>
  </w:style>
  <w:style w:type="character" w:customStyle="1" w:styleId="Heading3Char">
    <w:name w:val="Heading 3 Char"/>
    <w:basedOn w:val="DefaultParagraphFont"/>
    <w:link w:val="Heading3"/>
    <w:uiPriority w:val="99"/>
    <w:locked/>
    <w:rsid w:val="00154989"/>
    <w:rPr>
      <w:rFonts w:cs="Arial"/>
      <w:b/>
      <w:i/>
      <w:sz w:val="22"/>
      <w:szCs w:val="22"/>
      <w:lang w:eastAsia="en-US"/>
    </w:rPr>
  </w:style>
  <w:style w:type="character" w:customStyle="1" w:styleId="Heading4Char">
    <w:name w:val="Heading 4 Char"/>
    <w:basedOn w:val="DefaultParagraphFont"/>
    <w:link w:val="Heading4"/>
    <w:uiPriority w:val="99"/>
    <w:locked/>
    <w:rsid w:val="00154989"/>
    <w:rPr>
      <w:rFonts w:cs="Arial"/>
      <w:i/>
      <w:sz w:val="22"/>
      <w:szCs w:val="22"/>
      <w:lang w:eastAsia="en-US"/>
    </w:rPr>
  </w:style>
  <w:style w:type="paragraph" w:styleId="Header">
    <w:name w:val="header"/>
    <w:basedOn w:val="Normal"/>
    <w:link w:val="HeaderChar"/>
    <w:uiPriority w:val="99"/>
    <w:rsid w:val="00A60185"/>
    <w:pPr>
      <w:tabs>
        <w:tab w:val="center" w:pos="4513"/>
        <w:tab w:val="right" w:pos="9026"/>
      </w:tabs>
    </w:pPr>
  </w:style>
  <w:style w:type="character" w:customStyle="1" w:styleId="HeaderChar">
    <w:name w:val="Header Char"/>
    <w:basedOn w:val="DefaultParagraphFont"/>
    <w:link w:val="Header"/>
    <w:uiPriority w:val="99"/>
    <w:locked/>
    <w:rsid w:val="00A60185"/>
    <w:rPr>
      <w:rFonts w:cs="Times New Roman"/>
    </w:rPr>
  </w:style>
  <w:style w:type="paragraph" w:styleId="Footer">
    <w:name w:val="footer"/>
    <w:basedOn w:val="Normal"/>
    <w:link w:val="FooterChar"/>
    <w:uiPriority w:val="99"/>
    <w:rsid w:val="00A60185"/>
    <w:pPr>
      <w:tabs>
        <w:tab w:val="center" w:pos="4513"/>
        <w:tab w:val="right" w:pos="9026"/>
      </w:tabs>
    </w:pPr>
  </w:style>
  <w:style w:type="character" w:customStyle="1" w:styleId="FooterChar">
    <w:name w:val="Footer Char"/>
    <w:basedOn w:val="DefaultParagraphFont"/>
    <w:link w:val="Footer"/>
    <w:uiPriority w:val="99"/>
    <w:locked/>
    <w:rsid w:val="00A60185"/>
    <w:rPr>
      <w:rFonts w:cs="Times New Roman"/>
    </w:rPr>
  </w:style>
  <w:style w:type="paragraph" w:styleId="BalloonText">
    <w:name w:val="Balloon Text"/>
    <w:basedOn w:val="Normal"/>
    <w:link w:val="BalloonTextChar"/>
    <w:uiPriority w:val="99"/>
    <w:semiHidden/>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60185"/>
    <w:rPr>
      <w:rFonts w:ascii="Tahoma" w:hAnsi="Tahoma" w:cs="Tahoma"/>
      <w:sz w:val="16"/>
      <w:szCs w:val="16"/>
    </w:rPr>
  </w:style>
  <w:style w:type="paragraph" w:customStyle="1" w:styleId="1NumberedPointsStyle">
    <w:name w:val="1. Numbered Points Style"/>
    <w:basedOn w:val="ListParagraph"/>
    <w:uiPriority w:val="99"/>
    <w:rsid w:val="00BD1A6F"/>
    <w:pPr>
      <w:numPr>
        <w:numId w:val="0"/>
      </w:numPr>
    </w:pPr>
  </w:style>
  <w:style w:type="paragraph" w:customStyle="1" w:styleId="1BulletStyleList">
    <w:name w:val="1. Bullet Style List"/>
    <w:basedOn w:val="Normal"/>
    <w:uiPriority w:val="99"/>
    <w:rsid w:val="00CE71C2"/>
    <w:rPr>
      <w:szCs w:val="20"/>
      <w:lang w:eastAsia="en-AU"/>
    </w:rPr>
  </w:style>
  <w:style w:type="paragraph" w:styleId="ListBullet">
    <w:name w:val="List Bullet"/>
    <w:basedOn w:val="Normal"/>
    <w:uiPriority w:val="99"/>
    <w:rsid w:val="00091608"/>
  </w:style>
  <w:style w:type="paragraph" w:styleId="ListBullet2">
    <w:name w:val="List Bullet 2"/>
    <w:basedOn w:val="Normal"/>
    <w:uiPriority w:val="99"/>
    <w:rsid w:val="00091608"/>
  </w:style>
  <w:style w:type="paragraph" w:styleId="ListBullet3">
    <w:name w:val="List Bullet 3"/>
    <w:basedOn w:val="Normal"/>
    <w:uiPriority w:val="99"/>
    <w:rsid w:val="00091608"/>
  </w:style>
  <w:style w:type="paragraph" w:styleId="ListBullet4">
    <w:name w:val="List Bullet 4"/>
    <w:basedOn w:val="Normal"/>
    <w:uiPriority w:val="99"/>
    <w:rsid w:val="00091608"/>
  </w:style>
  <w:style w:type="paragraph" w:styleId="ListBullet5">
    <w:name w:val="List Bullet 5"/>
    <w:basedOn w:val="Normal"/>
    <w:uiPriority w:val="99"/>
    <w:rsid w:val="00091608"/>
  </w:style>
  <w:style w:type="paragraph" w:customStyle="1" w:styleId="Classification">
    <w:name w:val="Classification"/>
    <w:basedOn w:val="Normal"/>
    <w:uiPriority w:val="99"/>
    <w:rsid w:val="00646122"/>
    <w:pPr>
      <w:tabs>
        <w:tab w:val="center" w:pos="4536"/>
        <w:tab w:val="center" w:pos="4819"/>
        <w:tab w:val="right" w:pos="9356"/>
      </w:tabs>
      <w:spacing w:after="240"/>
      <w:jc w:val="center"/>
    </w:pPr>
    <w:rPr>
      <w:rFonts w:cs="Arial"/>
      <w:color w:val="FF0000"/>
      <w:sz w:val="28"/>
      <w:szCs w:val="28"/>
      <w:lang w:eastAsia="en-AU"/>
    </w:rPr>
  </w:style>
  <w:style w:type="paragraph" w:styleId="ListParagraph">
    <w:name w:val="List Paragraph"/>
    <w:basedOn w:val="Normal"/>
    <w:uiPriority w:val="99"/>
    <w:qFormat/>
    <w:rsid w:val="003556BD"/>
    <w:pPr>
      <w:numPr>
        <w:numId w:val="4"/>
      </w:numPr>
    </w:pPr>
  </w:style>
  <w:style w:type="character" w:styleId="BookTitle">
    <w:name w:val="Book Title"/>
    <w:basedOn w:val="DefaultParagraphFont"/>
    <w:uiPriority w:val="99"/>
    <w:qFormat/>
    <w:rsid w:val="00383020"/>
    <w:rPr>
      <w:rFonts w:cs="Times New Roman"/>
      <w:bCs/>
      <w:i/>
      <w:smallCaps/>
      <w:spacing w:val="5"/>
    </w:rPr>
  </w:style>
  <w:style w:type="paragraph" w:styleId="ListNumber">
    <w:name w:val="List Number"/>
    <w:basedOn w:val="Normal"/>
    <w:uiPriority w:val="99"/>
    <w:rsid w:val="00005CAA"/>
  </w:style>
  <w:style w:type="paragraph" w:styleId="ListNumber2">
    <w:name w:val="List Number 2"/>
    <w:basedOn w:val="Normal"/>
    <w:uiPriority w:val="99"/>
    <w:rsid w:val="00005CAA"/>
    <w:pPr>
      <w:numPr>
        <w:ilvl w:val="1"/>
        <w:numId w:val="7"/>
      </w:numPr>
    </w:pPr>
  </w:style>
  <w:style w:type="paragraph" w:styleId="ListNumber3">
    <w:name w:val="List Number 3"/>
    <w:basedOn w:val="Normal"/>
    <w:uiPriority w:val="99"/>
    <w:rsid w:val="00005CAA"/>
    <w:pPr>
      <w:numPr>
        <w:ilvl w:val="2"/>
        <w:numId w:val="7"/>
      </w:numPr>
    </w:pPr>
  </w:style>
  <w:style w:type="paragraph" w:styleId="ListNumber4">
    <w:name w:val="List Number 4"/>
    <w:basedOn w:val="Normal"/>
    <w:uiPriority w:val="99"/>
    <w:rsid w:val="00005CAA"/>
    <w:pPr>
      <w:numPr>
        <w:ilvl w:val="3"/>
        <w:numId w:val="7"/>
      </w:numPr>
    </w:pPr>
  </w:style>
  <w:style w:type="paragraph" w:styleId="ListNumber5">
    <w:name w:val="List Number 5"/>
    <w:basedOn w:val="Normal"/>
    <w:uiPriority w:val="99"/>
    <w:rsid w:val="00005CAA"/>
    <w:pPr>
      <w:numPr>
        <w:ilvl w:val="4"/>
        <w:numId w:val="7"/>
      </w:numPr>
    </w:pPr>
  </w:style>
  <w:style w:type="paragraph" w:customStyle="1" w:styleId="Footerclassification">
    <w:name w:val="Footer classification"/>
    <w:basedOn w:val="Classification"/>
    <w:uiPriority w:val="99"/>
    <w:rsid w:val="00D021CB"/>
    <w:pPr>
      <w:spacing w:before="240" w:after="0"/>
    </w:pPr>
  </w:style>
  <w:style w:type="table" w:styleId="TableGrid">
    <w:name w:val="Table Grid"/>
    <w:basedOn w:val="TableNormal"/>
    <w:uiPriority w:val="99"/>
    <w:rsid w:val="00100BEF"/>
    <w:rPr>
      <w:sz w:val="20"/>
      <w:szCs w:val="20"/>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spacing w:beforeLines="0" w:beforeAutospacing="0" w:afterLines="0" w:afterAutospacing="0"/>
      </w:pPr>
      <w:rPr>
        <w:rFonts w:ascii="Arial" w:hAnsi="Arial" w:cs="Times New Roman"/>
        <w:sz w:val="20"/>
      </w:rPr>
    </w:tblStylePr>
    <w:tblStylePr w:type="lastRow">
      <w:pPr>
        <w:spacing w:beforeLines="0" w:beforeAutospacing="0" w:afterLines="0" w:afterAutospacing="0"/>
      </w:pPr>
      <w:rPr>
        <w:rFonts w:ascii="Arial" w:hAnsi="Arial" w:cs="Times New Roman"/>
        <w:sz w:val="20"/>
      </w:rPr>
    </w:tblStylePr>
    <w:tblStylePr w:type="band1Horz">
      <w:pPr>
        <w:spacing w:beforeLines="0" w:beforeAutospacing="0" w:afterLines="0" w:afterAutospacing="0"/>
      </w:pPr>
      <w:rPr>
        <w:rFonts w:ascii="Arial" w:hAnsi="Arial" w:cs="Times New Roman"/>
        <w:sz w:val="20"/>
      </w:rPr>
    </w:tblStylePr>
    <w:tblStylePr w:type="band2Horz">
      <w:pPr>
        <w:spacing w:beforeLines="0" w:beforeAutospacing="0" w:afterLines="0" w:afterAutospacing="0"/>
      </w:pPr>
      <w:rPr>
        <w:rFonts w:ascii="Arial" w:hAnsi="Arial" w:cs="Times New Roman"/>
        <w:sz w:val="20"/>
      </w:rPr>
    </w:tblStylePr>
  </w:style>
  <w:style w:type="paragraph" w:customStyle="1" w:styleId="Tabletext">
    <w:name w:val="Table text"/>
    <w:basedOn w:val="Normal"/>
    <w:uiPriority w:val="99"/>
    <w:rsid w:val="005A126E"/>
  </w:style>
  <w:style w:type="paragraph" w:customStyle="1" w:styleId="tablelabel">
    <w:name w:val="table label"/>
    <w:basedOn w:val="Normal"/>
    <w:uiPriority w:val="99"/>
    <w:rsid w:val="001765DA"/>
    <w:rPr>
      <w:rFonts w:ascii="Arial" w:hAnsi="Arial"/>
      <w:b/>
      <w:sz w:val="16"/>
      <w:szCs w:val="20"/>
    </w:rPr>
  </w:style>
  <w:style w:type="paragraph" w:customStyle="1" w:styleId="Default">
    <w:name w:val="Default"/>
    <w:uiPriority w:val="99"/>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rsid w:val="002A5EC3"/>
    <w:rPr>
      <w:rFonts w:cs="Times New Roman"/>
      <w:color w:val="0000FF"/>
      <w:u w:val="single"/>
    </w:rPr>
  </w:style>
  <w:style w:type="paragraph" w:styleId="Revision">
    <w:name w:val="Revision"/>
    <w:hidden/>
    <w:uiPriority w:val="99"/>
    <w:semiHidden/>
    <w:rsid w:val="008B1627"/>
    <w:rPr>
      <w:rFonts w:ascii="Times New Roman" w:eastAsia="Times New Roman" w:hAnsi="Times New Roman"/>
      <w:sz w:val="24"/>
      <w:szCs w:val="24"/>
      <w:lang w:eastAsia="en-US"/>
    </w:rPr>
  </w:style>
  <w:style w:type="character" w:styleId="FollowedHyperlink">
    <w:name w:val="FollowedHyperlink"/>
    <w:basedOn w:val="DefaultParagraphFont"/>
    <w:uiPriority w:val="99"/>
    <w:semiHidden/>
    <w:rsid w:val="00283B55"/>
    <w:rPr>
      <w:rFonts w:cs="Times New Roman"/>
      <w:color w:val="800080"/>
      <w:u w:val="single"/>
    </w:rPr>
  </w:style>
  <w:style w:type="numbering" w:customStyle="1" w:styleId="BulletList">
    <w:name w:val="Bullet List"/>
    <w:rsid w:val="00FD55F0"/>
    <w:pPr>
      <w:numPr>
        <w:numId w:val="2"/>
      </w:numPr>
    </w:pPr>
  </w:style>
  <w:style w:type="numbering" w:customStyle="1" w:styleId="Attach">
    <w:name w:val="Attach"/>
    <w:rsid w:val="00FD55F0"/>
    <w:pPr>
      <w:numPr>
        <w:numId w:val="3"/>
      </w:numPr>
    </w:pPr>
  </w:style>
  <w:style w:type="numbering" w:customStyle="1" w:styleId="KeyPoints">
    <w:name w:val="Key Points"/>
    <w:rsid w:val="00FD55F0"/>
    <w:pPr>
      <w:numPr>
        <w:numId w:val="1"/>
      </w:numPr>
    </w:pPr>
  </w:style>
  <w:style w:type="character" w:styleId="CommentReference">
    <w:name w:val="annotation reference"/>
    <w:basedOn w:val="DefaultParagraphFont"/>
    <w:uiPriority w:val="99"/>
    <w:semiHidden/>
    <w:unhideWhenUsed/>
    <w:rsid w:val="00F82709"/>
    <w:rPr>
      <w:sz w:val="16"/>
      <w:szCs w:val="16"/>
    </w:rPr>
  </w:style>
  <w:style w:type="paragraph" w:styleId="CommentText">
    <w:name w:val="annotation text"/>
    <w:basedOn w:val="Normal"/>
    <w:link w:val="CommentTextChar"/>
    <w:uiPriority w:val="99"/>
    <w:semiHidden/>
    <w:unhideWhenUsed/>
    <w:rsid w:val="00F82709"/>
    <w:rPr>
      <w:sz w:val="20"/>
      <w:szCs w:val="20"/>
    </w:rPr>
  </w:style>
  <w:style w:type="character" w:customStyle="1" w:styleId="CommentTextChar">
    <w:name w:val="Comment Text Char"/>
    <w:basedOn w:val="DefaultParagraphFont"/>
    <w:link w:val="CommentText"/>
    <w:uiPriority w:val="99"/>
    <w:semiHidden/>
    <w:rsid w:val="00F82709"/>
    <w:rPr>
      <w:rFonts w:ascii="Times New Roman" w:eastAsia="Times New Roman" w:hAnsi="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F82709"/>
    <w:rPr>
      <w:b/>
      <w:bCs/>
    </w:rPr>
  </w:style>
  <w:style w:type="character" w:customStyle="1" w:styleId="CommentSubjectChar">
    <w:name w:val="Comment Subject Char"/>
    <w:basedOn w:val="CommentTextChar"/>
    <w:link w:val="CommentSubject"/>
    <w:uiPriority w:val="99"/>
    <w:semiHidden/>
    <w:rsid w:val="00F82709"/>
    <w:rPr>
      <w:rFonts w:ascii="Times New Roman" w:eastAsia="Times New Roman" w:hAnsi="Times New Roman"/>
      <w:b/>
      <w:bCs/>
      <w:sz w:val="20"/>
      <w:szCs w:val="20"/>
      <w:lang w:eastAsia="en-US"/>
    </w:rPr>
  </w:style>
</w:styles>
</file>

<file path=word/webSettings.xml><?xml version="1.0" encoding="utf-8"?>
<w:webSettings xmlns:r="http://schemas.openxmlformats.org/officeDocument/2006/relationships" xmlns:w="http://schemas.openxmlformats.org/wordprocessingml/2006/main">
  <w:divs>
    <w:div w:id="1417745167">
      <w:marLeft w:val="0"/>
      <w:marRight w:val="0"/>
      <w:marTop w:val="0"/>
      <w:marBottom w:val="0"/>
      <w:divBdr>
        <w:top w:val="none" w:sz="0" w:space="0" w:color="auto"/>
        <w:left w:val="none" w:sz="0" w:space="0" w:color="auto"/>
        <w:bottom w:val="none" w:sz="0" w:space="0" w:color="auto"/>
        <w:right w:val="none" w:sz="0" w:space="0" w:color="auto"/>
      </w:divBdr>
    </w:div>
    <w:div w:id="1417745168">
      <w:marLeft w:val="0"/>
      <w:marRight w:val="0"/>
      <w:marTop w:val="0"/>
      <w:marBottom w:val="0"/>
      <w:divBdr>
        <w:top w:val="none" w:sz="0" w:space="0" w:color="auto"/>
        <w:left w:val="none" w:sz="0" w:space="0" w:color="auto"/>
        <w:bottom w:val="none" w:sz="0" w:space="0" w:color="auto"/>
        <w:right w:val="none" w:sz="0" w:space="0" w:color="auto"/>
      </w:divBdr>
    </w:div>
    <w:div w:id="14177451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rrowenergy.com/page/community/Project_Assessment_EIS/Surat_Gas_Project_EI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A0BB5-ED0B-4D7F-AAB4-E58D4BE96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2243</Words>
  <Characters>13297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15509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to decision maker on coal seam gas project: Arrow Surat Gas Project - Expansion</dc:title>
  <dc:creator/>
  <cp:lastModifiedBy/>
  <cp:revision>1</cp:revision>
  <dcterms:created xsi:type="dcterms:W3CDTF">2013-02-22T02:02:00Z</dcterms:created>
  <dcterms:modified xsi:type="dcterms:W3CDTF">2013-03-07T23:11:00Z</dcterms:modified>
</cp:coreProperties>
</file>