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-905234</wp:posOffset>
            </wp:positionH>
            <wp:positionV relativeFrom="paragraph">
              <wp:posOffset>-884527</wp:posOffset>
            </wp:positionV>
            <wp:extent cx="7560680" cy="2194560"/>
            <wp:effectExtent l="19050" t="0" r="217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839" cy="2198089"/>
                    </a:xfrm>
                    <a:prstGeom prst="rect">
                      <a:avLst/>
                    </a:prstGeom>
                    <a:noFill/>
                    <a:ln w="9525">
                      <a:noFill/>
                      <a:miter lim="800000"/>
                      <a:headEnd/>
                      <a:tailEnd/>
                    </a:ln>
                  </pic:spPr>
                </pic:pic>
              </a:graphicData>
            </a:graphic>
          </wp:anchor>
        </w:drawing>
      </w:r>
      <w:proofErr w:type="spellStart"/>
      <w:r w:rsidR="001765DA" w:rsidRPr="002A5EC3">
        <w:rPr>
          <w:rFonts w:ascii="Arial" w:hAnsi="Arial" w:cs="Arial"/>
          <w:b/>
        </w:rPr>
        <w:t>Advi</w:t>
      </w:r>
      <w:proofErr w:type="spellEnd"/>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bookmarkStart w:id="0" w:name="OLE_LINK1"/>
      <w:bookmarkStart w:id="1" w:name="OLE_LINK2"/>
    </w:p>
    <w:p w:rsidR="001765DA" w:rsidRPr="002A5EC3" w:rsidRDefault="00F027B8" w:rsidP="0032087E">
      <w:pPr>
        <w:pStyle w:val="Header"/>
        <w:keepLines/>
        <w:tabs>
          <w:tab w:val="left" w:pos="2835"/>
        </w:tabs>
        <w:spacing w:after="200" w:line="276" w:lineRule="auto"/>
        <w:ind w:left="-360" w:right="-289"/>
        <w:jc w:val="center"/>
        <w:rPr>
          <w:rFonts w:ascii="Arial" w:hAnsi="Arial" w:cs="Arial"/>
          <w:b/>
        </w:rPr>
      </w:pPr>
      <w:r>
        <w:rPr>
          <w:rFonts w:ascii="Arial" w:hAnsi="Arial" w:cs="Arial"/>
          <w:b/>
        </w:rPr>
        <w:t>Advi</w:t>
      </w:r>
      <w:r w:rsidR="001765DA" w:rsidRPr="002A5EC3">
        <w:rPr>
          <w:rFonts w:ascii="Arial" w:hAnsi="Arial" w:cs="Arial"/>
          <w:b/>
        </w:rPr>
        <w:t xml:space="preserve">ce to decision maker on </w:t>
      </w:r>
      <w:r w:rsidR="00E21678" w:rsidRPr="002A5EC3">
        <w:rPr>
          <w:rFonts w:ascii="Arial" w:hAnsi="Arial" w:cs="Arial"/>
          <w:b/>
        </w:rPr>
        <w:t>coal seam gas</w:t>
      </w:r>
      <w:r w:rsidR="001765DA" w:rsidRPr="002A5EC3">
        <w:rPr>
          <w:rFonts w:ascii="Arial" w:hAnsi="Arial" w:cs="Arial"/>
          <w:b/>
        </w:rPr>
        <w:t xml:space="preserve"> </w:t>
      </w:r>
      <w:r w:rsidR="00961CE5">
        <w:rPr>
          <w:rFonts w:ascii="Arial" w:hAnsi="Arial" w:cs="Arial"/>
          <w:b/>
        </w:rPr>
        <w:t>development</w:t>
      </w:r>
    </w:p>
    <w:bookmarkEnd w:id="0"/>
    <w:bookmarkEnd w:id="1"/>
    <w:p w:rsidR="008C6A05" w:rsidRPr="002A5EC3" w:rsidRDefault="001765DA" w:rsidP="0032087E">
      <w:pPr>
        <w:pStyle w:val="Header"/>
        <w:keepLines/>
        <w:tabs>
          <w:tab w:val="left" w:pos="2835"/>
        </w:tabs>
        <w:spacing w:after="200" w:line="276" w:lineRule="auto"/>
        <w:ind w:left="-360" w:right="-289"/>
        <w:jc w:val="center"/>
        <w:rPr>
          <w:rFonts w:ascii="Arial" w:hAnsi="Arial" w:cs="Arial"/>
          <w:b/>
          <w:sz w:val="20"/>
          <w:lang w:eastAsia="en-AU"/>
        </w:rPr>
      </w:pPr>
      <w:r w:rsidRPr="002A5EC3">
        <w:rPr>
          <w:rFonts w:ascii="Arial" w:hAnsi="Arial" w:cs="Arial"/>
          <w:b/>
          <w:sz w:val="20"/>
          <w:lang w:eastAsia="en-AU"/>
        </w:rPr>
        <w:t>Proposed action:</w:t>
      </w:r>
      <w:r w:rsidR="002974BC" w:rsidRPr="002A5EC3">
        <w:rPr>
          <w:rFonts w:ascii="Arial" w:hAnsi="Arial" w:cs="Arial"/>
          <w:b/>
          <w:sz w:val="20"/>
          <w:lang w:eastAsia="en-AU"/>
        </w:rPr>
        <w:t xml:space="preserve"> </w:t>
      </w:r>
      <w:r w:rsidR="00961CE5">
        <w:rPr>
          <w:rFonts w:ascii="Arial" w:hAnsi="Arial" w:cs="Arial"/>
          <w:b/>
          <w:sz w:val="20"/>
          <w:lang w:eastAsia="en-AU"/>
        </w:rPr>
        <w:t xml:space="preserve">Arrow Surat Gas Project </w:t>
      </w:r>
      <w:r w:rsidR="00E21678" w:rsidRPr="002A5EC3">
        <w:rPr>
          <w:rFonts w:ascii="Arial" w:hAnsi="Arial" w:cs="Arial"/>
          <w:b/>
          <w:sz w:val="20"/>
          <w:lang w:eastAsia="en-AU"/>
        </w:rPr>
        <w:t xml:space="preserve">(EPBC </w:t>
      </w:r>
      <w:r w:rsidR="00961CE5">
        <w:rPr>
          <w:rFonts w:ascii="Arial" w:hAnsi="Arial" w:cs="Arial"/>
          <w:b/>
          <w:sz w:val="20"/>
          <w:lang w:eastAsia="en-AU"/>
        </w:rPr>
        <w:t>2010/5344)</w:t>
      </w:r>
      <w:r w:rsidR="00C803D7">
        <w:rPr>
          <w:rFonts w:ascii="Arial" w:hAnsi="Arial" w:cs="Arial"/>
          <w:b/>
          <w:sz w:val="20"/>
          <w:lang w:eastAsia="en-AU"/>
        </w:rPr>
        <w:t xml:space="preserve"> –</w:t>
      </w:r>
      <w:r w:rsidR="00961CE5">
        <w:rPr>
          <w:rFonts w:ascii="Arial" w:hAnsi="Arial" w:cs="Arial"/>
          <w:b/>
          <w:sz w:val="20"/>
          <w:lang w:eastAsia="en-AU"/>
        </w:rPr>
        <w:t xml:space="preserve"> </w:t>
      </w:r>
      <w:r w:rsidR="00C803D7">
        <w:rPr>
          <w:rFonts w:ascii="Arial" w:hAnsi="Arial" w:cs="Arial"/>
          <w:b/>
          <w:sz w:val="20"/>
          <w:lang w:eastAsia="en-AU"/>
        </w:rPr>
        <w:t xml:space="preserve">New Development </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2A5EC3" w:rsidTr="004024BD">
        <w:trPr>
          <w:trHeight w:val="651"/>
        </w:trPr>
        <w:tc>
          <w:tcPr>
            <w:tcW w:w="1809" w:type="dxa"/>
            <w:tcBorders>
              <w:top w:val="single" w:sz="4" w:space="0" w:color="auto"/>
              <w:bottom w:val="single" w:sz="4" w:space="0" w:color="auto"/>
            </w:tcBorders>
          </w:tcPr>
          <w:p w:rsidR="001765DA" w:rsidRPr="002A5EC3" w:rsidRDefault="001765DA" w:rsidP="00062A46">
            <w:pPr>
              <w:pStyle w:val="tablelabel"/>
              <w:spacing w:line="276" w:lineRule="auto"/>
              <w:rPr>
                <w:rFonts w:cs="Arial"/>
                <w:b w:val="0"/>
                <w:color w:val="FF0000"/>
                <w:sz w:val="20"/>
              </w:rPr>
            </w:pPr>
            <w:r w:rsidRPr="002A5EC3">
              <w:rPr>
                <w:rFonts w:cs="Arial"/>
                <w:sz w:val="20"/>
              </w:rPr>
              <w:t>Requesting agenc</w:t>
            </w:r>
            <w:r w:rsidR="00B35623">
              <w:rPr>
                <w:rFonts w:cs="Arial"/>
                <w:sz w:val="20"/>
              </w:rPr>
              <w:t>ies</w:t>
            </w:r>
          </w:p>
        </w:tc>
        <w:tc>
          <w:tcPr>
            <w:tcW w:w="8159" w:type="dxa"/>
            <w:tcBorders>
              <w:top w:val="single" w:sz="4" w:space="0" w:color="auto"/>
              <w:bottom w:val="single" w:sz="4" w:space="0" w:color="auto"/>
            </w:tcBorders>
          </w:tcPr>
          <w:p w:rsidR="001765DA" w:rsidRPr="002A5EC3" w:rsidRDefault="001765DA" w:rsidP="0058381E">
            <w:pPr>
              <w:spacing w:line="276" w:lineRule="auto"/>
              <w:rPr>
                <w:rFonts w:ascii="Arial" w:hAnsi="Arial" w:cs="Arial"/>
                <w:sz w:val="20"/>
                <w:szCs w:val="20"/>
              </w:rPr>
            </w:pPr>
            <w:r w:rsidRPr="002A5EC3">
              <w:rPr>
                <w:rFonts w:ascii="Arial" w:hAnsi="Arial" w:cs="Arial"/>
                <w:sz w:val="20"/>
                <w:szCs w:val="20"/>
              </w:rPr>
              <w:t>Dep</w:t>
            </w:r>
            <w:bookmarkStart w:id="2" w:name="_GoBack"/>
            <w:bookmarkEnd w:id="2"/>
            <w:r w:rsidRPr="002A5EC3">
              <w:rPr>
                <w:rFonts w:ascii="Arial" w:hAnsi="Arial" w:cs="Arial"/>
                <w:sz w:val="20"/>
                <w:szCs w:val="20"/>
              </w:rPr>
              <w:t xml:space="preserve">artment of Sustainability, Environment, Water, Population </w:t>
            </w:r>
            <w:r w:rsidR="002974BC" w:rsidRPr="002A5EC3">
              <w:rPr>
                <w:rFonts w:ascii="Arial" w:hAnsi="Arial" w:cs="Arial"/>
                <w:sz w:val="20"/>
                <w:szCs w:val="20"/>
              </w:rPr>
              <w:t>and</w:t>
            </w:r>
            <w:r w:rsidRPr="002A5EC3">
              <w:rPr>
                <w:rFonts w:ascii="Arial" w:hAnsi="Arial" w:cs="Arial"/>
                <w:sz w:val="20"/>
                <w:szCs w:val="20"/>
              </w:rPr>
              <w:t xml:space="preserve"> Communities</w:t>
            </w:r>
            <w:r w:rsidR="0058381E">
              <w:rPr>
                <w:rFonts w:ascii="Arial" w:hAnsi="Arial" w:cs="Arial"/>
                <w:sz w:val="20"/>
                <w:szCs w:val="20"/>
              </w:rPr>
              <w:t>; and t</w:t>
            </w:r>
            <w:r w:rsidR="0009196E" w:rsidRPr="00D97037">
              <w:rPr>
                <w:rFonts w:ascii="Arial" w:hAnsi="Arial" w:cs="Arial"/>
                <w:sz w:val="20"/>
                <w:szCs w:val="20"/>
              </w:rPr>
              <w:t xml:space="preserve">he </w:t>
            </w:r>
            <w:r w:rsidR="0009196E">
              <w:rPr>
                <w:rFonts w:ascii="Arial" w:hAnsi="Arial" w:cs="Arial"/>
                <w:sz w:val="20"/>
                <w:szCs w:val="20"/>
              </w:rPr>
              <w:t xml:space="preserve">Queensland Department of Environment and </w:t>
            </w:r>
            <w:r w:rsidR="00062A46">
              <w:rPr>
                <w:rFonts w:ascii="Arial" w:hAnsi="Arial" w:cs="Arial"/>
                <w:sz w:val="20"/>
                <w:szCs w:val="20"/>
              </w:rPr>
              <w:t>Heritage Protection</w:t>
            </w:r>
            <w:r w:rsidR="0009196E">
              <w:rPr>
                <w:rFonts w:ascii="Arial" w:hAnsi="Arial" w:cs="Arial"/>
                <w:sz w:val="20"/>
                <w:szCs w:val="20"/>
              </w:rPr>
              <w:t xml:space="preserve"> </w:t>
            </w:r>
          </w:p>
        </w:tc>
      </w:tr>
      <w:tr w:rsidR="001765DA" w:rsidRPr="002A5EC3" w:rsidTr="00DC325B">
        <w:trPr>
          <w:trHeight w:val="136"/>
        </w:trPr>
        <w:tc>
          <w:tcPr>
            <w:tcW w:w="1809" w:type="dxa"/>
            <w:tcBorders>
              <w:top w:val="single" w:sz="4" w:space="0" w:color="auto"/>
              <w:bottom w:val="single" w:sz="4" w:space="0" w:color="auto"/>
            </w:tcBorders>
          </w:tcPr>
          <w:p w:rsidR="001765DA" w:rsidRPr="002A5EC3" w:rsidRDefault="001765DA" w:rsidP="00062A46">
            <w:pPr>
              <w:pStyle w:val="tablelabel"/>
              <w:spacing w:line="276" w:lineRule="auto"/>
              <w:rPr>
                <w:rFonts w:cs="Arial"/>
                <w:sz w:val="20"/>
              </w:rPr>
            </w:pPr>
            <w:r w:rsidRPr="002A5EC3">
              <w:rPr>
                <w:rFonts w:cs="Arial"/>
                <w:sz w:val="20"/>
              </w:rPr>
              <w:t>Date of request</w:t>
            </w:r>
          </w:p>
        </w:tc>
        <w:tc>
          <w:tcPr>
            <w:tcW w:w="8159" w:type="dxa"/>
            <w:tcBorders>
              <w:top w:val="single" w:sz="4" w:space="0" w:color="auto"/>
              <w:bottom w:val="single" w:sz="4" w:space="0" w:color="auto"/>
            </w:tcBorders>
          </w:tcPr>
          <w:p w:rsidR="001765DA" w:rsidRPr="002A5EC3" w:rsidRDefault="0058381E" w:rsidP="0058381E">
            <w:pPr>
              <w:spacing w:line="276" w:lineRule="auto"/>
              <w:rPr>
                <w:rFonts w:ascii="Arial" w:hAnsi="Arial" w:cs="Arial"/>
                <w:sz w:val="20"/>
                <w:szCs w:val="20"/>
              </w:rPr>
            </w:pPr>
            <w:r>
              <w:rPr>
                <w:rFonts w:ascii="Arial" w:hAnsi="Arial" w:cs="Arial"/>
                <w:sz w:val="20"/>
                <w:szCs w:val="20"/>
              </w:rPr>
              <w:t>22 July</w:t>
            </w:r>
            <w:r w:rsidR="00A10BAB" w:rsidRPr="002A5EC3">
              <w:rPr>
                <w:rFonts w:ascii="Arial" w:hAnsi="Arial" w:cs="Arial"/>
                <w:sz w:val="20"/>
                <w:szCs w:val="20"/>
              </w:rPr>
              <w:t xml:space="preserve"> </w:t>
            </w:r>
            <w:r w:rsidR="00716583" w:rsidRPr="002A5EC3">
              <w:rPr>
                <w:rFonts w:ascii="Arial" w:hAnsi="Arial" w:cs="Arial"/>
                <w:sz w:val="20"/>
                <w:szCs w:val="20"/>
              </w:rPr>
              <w:t>201</w:t>
            </w:r>
            <w:r w:rsidR="00062A46">
              <w:rPr>
                <w:rFonts w:ascii="Arial" w:hAnsi="Arial" w:cs="Arial"/>
                <w:sz w:val="20"/>
                <w:szCs w:val="20"/>
              </w:rPr>
              <w:t>3</w:t>
            </w:r>
            <w:r w:rsidR="00E21678" w:rsidRPr="002A5EC3">
              <w:rPr>
                <w:rFonts w:ascii="Arial" w:hAnsi="Arial" w:cs="Arial"/>
                <w:b/>
                <w:color w:val="FF0000"/>
                <w:sz w:val="20"/>
                <w:szCs w:val="20"/>
              </w:rPr>
              <w:t xml:space="preserve"> </w:t>
            </w:r>
          </w:p>
        </w:tc>
      </w:tr>
      <w:tr w:rsidR="00185039" w:rsidRPr="002A5EC3" w:rsidTr="00DC325B">
        <w:trPr>
          <w:trHeight w:val="19"/>
        </w:trPr>
        <w:tc>
          <w:tcPr>
            <w:tcW w:w="1809" w:type="dxa"/>
            <w:tcBorders>
              <w:top w:val="single" w:sz="4" w:space="0" w:color="auto"/>
              <w:bottom w:val="single" w:sz="4" w:space="0" w:color="auto"/>
            </w:tcBorders>
          </w:tcPr>
          <w:p w:rsidR="00185039" w:rsidRPr="002A5EC3" w:rsidRDefault="00185039" w:rsidP="00062A46">
            <w:pPr>
              <w:pStyle w:val="tablelabel"/>
              <w:spacing w:line="276" w:lineRule="auto"/>
              <w:rPr>
                <w:rFonts w:cs="Arial"/>
                <w:sz w:val="20"/>
              </w:rPr>
            </w:pPr>
            <w:r w:rsidRPr="002A5EC3">
              <w:rPr>
                <w:rFonts w:cs="Arial"/>
                <w:sz w:val="20"/>
              </w:rPr>
              <w:t>Date request accepted</w:t>
            </w:r>
          </w:p>
        </w:tc>
        <w:tc>
          <w:tcPr>
            <w:tcW w:w="8159" w:type="dxa"/>
            <w:tcBorders>
              <w:top w:val="single" w:sz="4" w:space="0" w:color="auto"/>
              <w:bottom w:val="single" w:sz="4" w:space="0" w:color="auto"/>
            </w:tcBorders>
          </w:tcPr>
          <w:p w:rsidR="00185039" w:rsidRPr="002A5EC3" w:rsidRDefault="0058381E" w:rsidP="0058381E">
            <w:pPr>
              <w:spacing w:line="276" w:lineRule="auto"/>
              <w:rPr>
                <w:rFonts w:ascii="Arial" w:hAnsi="Arial" w:cs="Arial"/>
                <w:color w:val="FF0000"/>
                <w:sz w:val="20"/>
                <w:szCs w:val="20"/>
              </w:rPr>
            </w:pPr>
            <w:r w:rsidRPr="0058381E">
              <w:rPr>
                <w:rFonts w:ascii="Arial" w:hAnsi="Arial" w:cs="Arial"/>
                <w:sz w:val="20"/>
                <w:szCs w:val="20"/>
              </w:rPr>
              <w:t>22 July 2013</w:t>
            </w:r>
            <w:r w:rsidRPr="0058381E">
              <w:rPr>
                <w:rFonts w:ascii="Arial" w:hAnsi="Arial" w:cs="Arial"/>
                <w:b/>
                <w:sz w:val="20"/>
                <w:szCs w:val="20"/>
              </w:rPr>
              <w:t xml:space="preserve"> </w:t>
            </w:r>
          </w:p>
        </w:tc>
      </w:tr>
      <w:tr w:rsidR="00062A46" w:rsidRPr="002A5EC3" w:rsidTr="00BA61B5">
        <w:trPr>
          <w:trHeight w:val="341"/>
        </w:trPr>
        <w:tc>
          <w:tcPr>
            <w:tcW w:w="1809" w:type="dxa"/>
            <w:tcBorders>
              <w:top w:val="single" w:sz="4" w:space="0" w:color="auto"/>
              <w:bottom w:val="single" w:sz="4" w:space="0" w:color="auto"/>
            </w:tcBorders>
            <w:vAlign w:val="center"/>
          </w:tcPr>
          <w:p w:rsidR="00062A46" w:rsidRPr="00B451D3" w:rsidRDefault="00062A46" w:rsidP="006903B7">
            <w:pPr>
              <w:pStyle w:val="tablelabel"/>
              <w:rPr>
                <w:rFonts w:cs="Arial"/>
                <w:b w:val="0"/>
                <w:color w:val="FF0000"/>
                <w:sz w:val="20"/>
              </w:rPr>
            </w:pPr>
            <w:r>
              <w:rPr>
                <w:rFonts w:cs="Arial"/>
                <w:sz w:val="20"/>
              </w:rPr>
              <w:t xml:space="preserve">Advice stage </w:t>
            </w:r>
          </w:p>
        </w:tc>
        <w:tc>
          <w:tcPr>
            <w:tcW w:w="8159" w:type="dxa"/>
            <w:tcBorders>
              <w:top w:val="single" w:sz="4" w:space="0" w:color="auto"/>
              <w:bottom w:val="single" w:sz="4" w:space="0" w:color="auto"/>
            </w:tcBorders>
            <w:vAlign w:val="center"/>
          </w:tcPr>
          <w:p w:rsidR="0058381E" w:rsidRPr="00B451D3" w:rsidRDefault="00062A46" w:rsidP="0058381E">
            <w:pPr>
              <w:autoSpaceDE w:val="0"/>
              <w:autoSpaceDN w:val="0"/>
              <w:adjustRightInd w:val="0"/>
              <w:rPr>
                <w:rFonts w:ascii="Arial" w:hAnsi="Arial" w:cs="Arial"/>
                <w:sz w:val="20"/>
                <w:szCs w:val="20"/>
                <w:lang w:eastAsia="en-AU"/>
              </w:rPr>
            </w:pPr>
            <w:r>
              <w:rPr>
                <w:rFonts w:ascii="Arial" w:hAnsi="Arial" w:cs="Arial"/>
                <w:sz w:val="20"/>
                <w:lang w:eastAsia="en-AU"/>
              </w:rPr>
              <w:t>Environment Impact Assessment (supplementary)</w:t>
            </w:r>
            <w:r w:rsidRPr="005A703F">
              <w:rPr>
                <w:rFonts w:ascii="Arial" w:hAnsi="Arial" w:cs="Arial"/>
                <w:b/>
                <w:color w:val="FF0000"/>
                <w:sz w:val="20"/>
                <w:szCs w:val="20"/>
              </w:rPr>
              <w:t xml:space="preserve"> </w:t>
            </w:r>
          </w:p>
          <w:p w:rsidR="00062A46" w:rsidRPr="00BA61B5" w:rsidRDefault="00062A46" w:rsidP="006903B7">
            <w:pPr>
              <w:autoSpaceDE w:val="0"/>
              <w:autoSpaceDN w:val="0"/>
              <w:adjustRightInd w:val="0"/>
              <w:rPr>
                <w:rFonts w:ascii="Arial" w:hAnsi="Arial" w:cs="Arial"/>
                <w:sz w:val="16"/>
                <w:szCs w:val="16"/>
                <w:lang w:eastAsia="en-AU"/>
              </w:rPr>
            </w:pPr>
          </w:p>
        </w:tc>
      </w:tr>
      <w:tr w:rsidR="00062A46" w:rsidRPr="002A5EC3" w:rsidTr="004024BD">
        <w:trPr>
          <w:trHeight w:val="445"/>
        </w:trPr>
        <w:tc>
          <w:tcPr>
            <w:tcW w:w="1809" w:type="dxa"/>
            <w:tcBorders>
              <w:top w:val="single" w:sz="4" w:space="0" w:color="auto"/>
              <w:bottom w:val="single" w:sz="4" w:space="0" w:color="auto"/>
            </w:tcBorders>
          </w:tcPr>
          <w:p w:rsidR="00062A46" w:rsidRPr="002A5EC3" w:rsidRDefault="00062A46" w:rsidP="00D84846">
            <w:pPr>
              <w:pStyle w:val="tablelabel"/>
              <w:spacing w:after="360" w:line="276" w:lineRule="auto"/>
              <w:rPr>
                <w:rFonts w:cs="Arial"/>
                <w:sz w:val="20"/>
              </w:rPr>
            </w:pPr>
            <w:r w:rsidRPr="002A5EC3">
              <w:rPr>
                <w:rFonts w:cs="Arial"/>
                <w:sz w:val="20"/>
              </w:rPr>
              <w:t>Summary of request</w:t>
            </w:r>
            <w:r>
              <w:rPr>
                <w:rFonts w:cs="Arial"/>
                <w:sz w:val="20"/>
              </w:rPr>
              <w:t xml:space="preserve"> from the regulator</w:t>
            </w:r>
            <w:r w:rsidRPr="00D84846">
              <w:rPr>
                <w:rFonts w:cs="Arial"/>
                <w:color w:val="000000" w:themeColor="text1"/>
                <w:sz w:val="20"/>
              </w:rPr>
              <w:t>s</w:t>
            </w:r>
          </w:p>
        </w:tc>
        <w:tc>
          <w:tcPr>
            <w:tcW w:w="8159" w:type="dxa"/>
            <w:tcBorders>
              <w:top w:val="single" w:sz="4" w:space="0" w:color="auto"/>
              <w:bottom w:val="single" w:sz="4" w:space="0" w:color="auto"/>
            </w:tcBorders>
          </w:tcPr>
          <w:p w:rsidR="00062A46" w:rsidRPr="00D97037" w:rsidRDefault="00062A46" w:rsidP="004024BD">
            <w:pPr>
              <w:tabs>
                <w:tab w:val="left" w:pos="425"/>
              </w:tabs>
              <w:spacing w:after="120" w:line="276" w:lineRule="auto"/>
              <w:rPr>
                <w:rFonts w:ascii="Arial" w:hAnsi="Arial" w:cs="Arial"/>
                <w:sz w:val="20"/>
                <w:szCs w:val="20"/>
              </w:rPr>
            </w:pPr>
            <w:r w:rsidRPr="002A5EC3">
              <w:rPr>
                <w:rFonts w:ascii="Arial" w:hAnsi="Arial" w:cs="Arial"/>
                <w:sz w:val="20"/>
                <w:szCs w:val="20"/>
              </w:rPr>
              <w:t>The</w:t>
            </w:r>
            <w:r>
              <w:rPr>
                <w:rFonts w:ascii="Arial" w:hAnsi="Arial" w:cs="Arial"/>
                <w:sz w:val="20"/>
                <w:szCs w:val="20"/>
              </w:rPr>
              <w:t xml:space="preserve"> </w:t>
            </w:r>
            <w:r w:rsidRPr="002A5EC3">
              <w:rPr>
                <w:rFonts w:ascii="Arial" w:hAnsi="Arial" w:cs="Arial"/>
                <w:sz w:val="20"/>
                <w:szCs w:val="20"/>
              </w:rPr>
              <w:t>Department of Sustainability, Environment, Water, Population and C</w:t>
            </w:r>
            <w:r>
              <w:rPr>
                <w:rFonts w:ascii="Arial" w:hAnsi="Arial" w:cs="Arial"/>
                <w:sz w:val="20"/>
                <w:szCs w:val="20"/>
              </w:rPr>
              <w:t>ommunities (the D</w:t>
            </w:r>
            <w:r w:rsidRPr="002A5EC3">
              <w:rPr>
                <w:rFonts w:ascii="Arial" w:hAnsi="Arial" w:cs="Arial"/>
                <w:sz w:val="20"/>
                <w:szCs w:val="20"/>
              </w:rPr>
              <w:t xml:space="preserve">epartment) is currently assessing the proposed project in accordance with the provisions of the </w:t>
            </w:r>
            <w:r w:rsidRPr="002A5EC3">
              <w:rPr>
                <w:rFonts w:ascii="Arial" w:hAnsi="Arial" w:cs="Arial"/>
                <w:i/>
                <w:sz w:val="20"/>
                <w:szCs w:val="20"/>
              </w:rPr>
              <w:t xml:space="preserve">Environment Protection and Biodiversity Conservation Act 1999 </w:t>
            </w:r>
            <w:r w:rsidR="00D84846">
              <w:rPr>
                <w:rFonts w:ascii="Arial" w:hAnsi="Arial" w:cs="Arial"/>
                <w:sz w:val="20"/>
                <w:szCs w:val="20"/>
              </w:rPr>
              <w:t xml:space="preserve">          </w:t>
            </w:r>
            <w:r w:rsidRPr="002A5EC3">
              <w:rPr>
                <w:rFonts w:ascii="Arial" w:hAnsi="Arial" w:cs="Arial"/>
                <w:sz w:val="20"/>
                <w:szCs w:val="20"/>
              </w:rPr>
              <w:t>(EPBC Act)</w:t>
            </w:r>
            <w:r w:rsidR="00D84846">
              <w:rPr>
                <w:rFonts w:ascii="Arial" w:hAnsi="Arial" w:cs="Arial"/>
                <w:sz w:val="20"/>
                <w:szCs w:val="20"/>
              </w:rPr>
              <w:t xml:space="preserve"> and the </w:t>
            </w:r>
            <w:r>
              <w:rPr>
                <w:rFonts w:ascii="Arial" w:hAnsi="Arial" w:cs="Arial"/>
                <w:sz w:val="20"/>
                <w:szCs w:val="20"/>
              </w:rPr>
              <w:t>Queensland Department of Environme</w:t>
            </w:r>
            <w:r w:rsidR="007566DC">
              <w:rPr>
                <w:rFonts w:ascii="Arial" w:hAnsi="Arial" w:cs="Arial"/>
                <w:sz w:val="20"/>
                <w:szCs w:val="20"/>
              </w:rPr>
              <w:t xml:space="preserve">nt and Heritage Protection </w:t>
            </w:r>
            <w:r>
              <w:rPr>
                <w:rFonts w:ascii="Arial" w:hAnsi="Arial" w:cs="Arial"/>
                <w:sz w:val="20"/>
                <w:szCs w:val="20"/>
              </w:rPr>
              <w:t xml:space="preserve">is currently assessing the proposed project in accordance with the </w:t>
            </w:r>
            <w:r w:rsidRPr="00D97037">
              <w:rPr>
                <w:rFonts w:ascii="Arial" w:hAnsi="Arial" w:cs="Arial"/>
                <w:i/>
                <w:sz w:val="20"/>
                <w:szCs w:val="20"/>
              </w:rPr>
              <w:t>Environmental Protection Act 1994</w:t>
            </w:r>
            <w:r w:rsidRPr="00D97037">
              <w:rPr>
                <w:rFonts w:ascii="Arial" w:hAnsi="Arial" w:cs="Arial"/>
                <w:sz w:val="20"/>
                <w:szCs w:val="20"/>
              </w:rPr>
              <w:t xml:space="preserve"> (EP Act)</w:t>
            </w:r>
            <w:r w:rsidR="00D84846">
              <w:rPr>
                <w:rFonts w:ascii="Arial" w:hAnsi="Arial" w:cs="Arial"/>
                <w:sz w:val="20"/>
                <w:szCs w:val="20"/>
              </w:rPr>
              <w:t>.</w:t>
            </w:r>
          </w:p>
          <w:p w:rsidR="00062A46" w:rsidRPr="002A5EC3" w:rsidRDefault="00062A46" w:rsidP="004024BD">
            <w:pPr>
              <w:pStyle w:val="Default"/>
              <w:spacing w:after="12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The D</w:t>
            </w:r>
            <w:r w:rsidRPr="002A5EC3">
              <w:rPr>
                <w:rFonts w:ascii="Arial" w:eastAsia="Times New Roman" w:hAnsi="Arial" w:cs="Arial"/>
                <w:color w:val="auto"/>
                <w:sz w:val="20"/>
                <w:szCs w:val="20"/>
                <w:lang w:eastAsia="en-US"/>
              </w:rPr>
              <w:t xml:space="preserve">epartment </w:t>
            </w:r>
            <w:r w:rsidR="007566DC">
              <w:rPr>
                <w:rFonts w:ascii="Arial" w:eastAsia="Times New Roman" w:hAnsi="Arial" w:cs="Arial"/>
                <w:color w:val="auto"/>
                <w:sz w:val="20"/>
                <w:szCs w:val="20"/>
                <w:lang w:eastAsia="en-US"/>
              </w:rPr>
              <w:t xml:space="preserve">and the Queensland Department of Environment </w:t>
            </w:r>
            <w:r w:rsidR="00294F88">
              <w:rPr>
                <w:rFonts w:ascii="Arial" w:eastAsia="Times New Roman" w:hAnsi="Arial" w:cs="Arial"/>
                <w:color w:val="auto"/>
                <w:sz w:val="20"/>
                <w:szCs w:val="20"/>
                <w:lang w:eastAsia="en-US"/>
              </w:rPr>
              <w:t xml:space="preserve">and </w:t>
            </w:r>
            <w:r w:rsidR="007566DC">
              <w:rPr>
                <w:rFonts w:ascii="Arial" w:eastAsia="Times New Roman" w:hAnsi="Arial" w:cs="Arial"/>
                <w:color w:val="auto"/>
                <w:sz w:val="20"/>
                <w:szCs w:val="20"/>
                <w:lang w:eastAsia="en-US"/>
              </w:rPr>
              <w:t xml:space="preserve">Heritage Protection </w:t>
            </w:r>
            <w:r>
              <w:rPr>
                <w:rFonts w:ascii="Arial" w:eastAsia="Times New Roman" w:hAnsi="Arial" w:cs="Arial"/>
                <w:color w:val="auto"/>
                <w:sz w:val="20"/>
                <w:szCs w:val="20"/>
                <w:lang w:eastAsia="en-US"/>
              </w:rPr>
              <w:t>notif</w:t>
            </w:r>
            <w:r w:rsidR="00294F88">
              <w:rPr>
                <w:rFonts w:ascii="Arial" w:eastAsia="Times New Roman" w:hAnsi="Arial" w:cs="Arial"/>
                <w:color w:val="auto"/>
                <w:sz w:val="20"/>
                <w:szCs w:val="20"/>
                <w:lang w:eastAsia="en-US"/>
              </w:rPr>
              <w:t>y</w:t>
            </w:r>
            <w:r>
              <w:rPr>
                <w:rFonts w:ascii="Arial" w:eastAsia="Times New Roman" w:hAnsi="Arial" w:cs="Arial"/>
                <w:color w:val="auto"/>
                <w:sz w:val="20"/>
                <w:szCs w:val="20"/>
                <w:lang w:eastAsia="en-US"/>
              </w:rPr>
              <w:t xml:space="preserve"> </w:t>
            </w:r>
            <w:r w:rsidRPr="002A5EC3">
              <w:rPr>
                <w:rFonts w:ascii="Arial" w:eastAsia="Times New Roman" w:hAnsi="Arial" w:cs="Arial"/>
                <w:color w:val="auto"/>
                <w:sz w:val="20"/>
                <w:szCs w:val="20"/>
                <w:lang w:eastAsia="en-US"/>
              </w:rPr>
              <w:t xml:space="preserve">the Independent Expert Scientific Committee on Coal Seam Gas and </w:t>
            </w:r>
            <w:r>
              <w:rPr>
                <w:rFonts w:ascii="Arial" w:eastAsia="Times New Roman" w:hAnsi="Arial" w:cs="Arial"/>
                <w:color w:val="auto"/>
                <w:sz w:val="20"/>
                <w:szCs w:val="20"/>
                <w:lang w:eastAsia="en-US"/>
              </w:rPr>
              <w:t xml:space="preserve">Large </w:t>
            </w:r>
            <w:r w:rsidRPr="002A5EC3">
              <w:rPr>
                <w:rFonts w:ascii="Arial" w:eastAsia="Times New Roman" w:hAnsi="Arial" w:cs="Arial"/>
                <w:color w:val="auto"/>
                <w:sz w:val="20"/>
                <w:szCs w:val="20"/>
                <w:lang w:eastAsia="en-US"/>
              </w:rPr>
              <w:t xml:space="preserve">Coal Mining </w:t>
            </w:r>
            <w:r>
              <w:rPr>
                <w:rFonts w:ascii="Arial" w:eastAsia="Times New Roman" w:hAnsi="Arial" w:cs="Arial"/>
                <w:color w:val="auto"/>
                <w:sz w:val="20"/>
                <w:szCs w:val="20"/>
                <w:lang w:eastAsia="en-US"/>
              </w:rPr>
              <w:t xml:space="preserve">Development </w:t>
            </w:r>
            <w:r w:rsidRPr="002A5EC3">
              <w:rPr>
                <w:rFonts w:ascii="Arial" w:eastAsia="Times New Roman" w:hAnsi="Arial" w:cs="Arial"/>
                <w:color w:val="auto"/>
                <w:sz w:val="20"/>
                <w:szCs w:val="20"/>
                <w:lang w:eastAsia="en-US"/>
              </w:rPr>
              <w:t xml:space="preserve">(the </w:t>
            </w:r>
            <w:r>
              <w:rPr>
                <w:rFonts w:ascii="Arial" w:eastAsia="Times New Roman" w:hAnsi="Arial" w:cs="Arial"/>
                <w:color w:val="auto"/>
                <w:sz w:val="20"/>
                <w:szCs w:val="20"/>
                <w:lang w:eastAsia="en-US"/>
              </w:rPr>
              <w:t>C</w:t>
            </w:r>
            <w:r w:rsidRPr="002A5EC3">
              <w:rPr>
                <w:rFonts w:ascii="Arial" w:eastAsia="Times New Roman" w:hAnsi="Arial" w:cs="Arial"/>
                <w:color w:val="auto"/>
                <w:sz w:val="20"/>
                <w:szCs w:val="20"/>
                <w:lang w:eastAsia="en-US"/>
              </w:rPr>
              <w:t xml:space="preserve">ommittee) of an opportunity to comment on </w:t>
            </w:r>
            <w:r w:rsidR="00294F88">
              <w:rPr>
                <w:rFonts w:ascii="Arial" w:eastAsia="Times New Roman" w:hAnsi="Arial" w:cs="Arial"/>
                <w:color w:val="auto"/>
                <w:sz w:val="20"/>
                <w:szCs w:val="20"/>
                <w:lang w:eastAsia="en-US"/>
              </w:rPr>
              <w:t>the</w:t>
            </w:r>
            <w:r w:rsidRPr="002A5EC3">
              <w:rPr>
                <w:rFonts w:ascii="Arial" w:eastAsia="Times New Roman" w:hAnsi="Arial" w:cs="Arial"/>
                <w:color w:val="auto"/>
                <w:sz w:val="20"/>
                <w:szCs w:val="20"/>
                <w:lang w:eastAsia="en-US"/>
              </w:rPr>
              <w:t xml:space="preserve"> </w:t>
            </w:r>
            <w:r w:rsidR="007566DC">
              <w:rPr>
                <w:rFonts w:ascii="Arial" w:eastAsia="Times New Roman" w:hAnsi="Arial" w:cs="Arial"/>
                <w:color w:val="auto"/>
                <w:sz w:val="20"/>
                <w:szCs w:val="20"/>
                <w:lang w:eastAsia="en-US"/>
              </w:rPr>
              <w:t>supplementary Environmental Impact Statement (</w:t>
            </w:r>
            <w:r w:rsidR="00294F88">
              <w:rPr>
                <w:rFonts w:ascii="Arial" w:eastAsia="Times New Roman" w:hAnsi="Arial" w:cs="Arial"/>
                <w:color w:val="auto"/>
                <w:sz w:val="20"/>
                <w:szCs w:val="20"/>
                <w:lang w:eastAsia="en-US"/>
              </w:rPr>
              <w:t>S</w:t>
            </w:r>
            <w:r w:rsidR="007566DC">
              <w:rPr>
                <w:rFonts w:ascii="Arial" w:eastAsia="Times New Roman" w:hAnsi="Arial" w:cs="Arial"/>
                <w:color w:val="auto"/>
                <w:sz w:val="20"/>
                <w:szCs w:val="20"/>
                <w:lang w:eastAsia="en-US"/>
              </w:rPr>
              <w:t>EIS).</w:t>
            </w:r>
            <w:r w:rsidRPr="002A5EC3">
              <w:rPr>
                <w:rFonts w:ascii="Arial" w:eastAsia="Times New Roman" w:hAnsi="Arial" w:cs="Arial"/>
                <w:color w:val="auto"/>
                <w:sz w:val="20"/>
                <w:szCs w:val="20"/>
                <w:lang w:eastAsia="en-US"/>
              </w:rPr>
              <w:t xml:space="preserve"> Specifically, the </w:t>
            </w:r>
            <w:r>
              <w:rPr>
                <w:rFonts w:ascii="Arial" w:eastAsia="Times New Roman" w:hAnsi="Arial" w:cs="Arial"/>
                <w:color w:val="auto"/>
                <w:sz w:val="20"/>
                <w:szCs w:val="20"/>
                <w:lang w:eastAsia="en-US"/>
              </w:rPr>
              <w:t>D</w:t>
            </w:r>
            <w:r w:rsidRPr="002A5EC3">
              <w:rPr>
                <w:rFonts w:ascii="Arial" w:eastAsia="Times New Roman" w:hAnsi="Arial" w:cs="Arial"/>
                <w:color w:val="auto"/>
                <w:sz w:val="20"/>
                <w:szCs w:val="20"/>
                <w:lang w:eastAsia="en-US"/>
              </w:rPr>
              <w:t xml:space="preserve">epartment </w:t>
            </w:r>
            <w:r w:rsidR="00294F88">
              <w:rPr>
                <w:rFonts w:ascii="Arial" w:eastAsia="Times New Roman" w:hAnsi="Arial" w:cs="Arial"/>
                <w:color w:val="auto"/>
                <w:sz w:val="20"/>
                <w:szCs w:val="20"/>
                <w:lang w:eastAsia="en-US"/>
              </w:rPr>
              <w:t xml:space="preserve">and the Queensland Department of Environment and Heritage Protection </w:t>
            </w:r>
            <w:r w:rsidRPr="002A5EC3">
              <w:rPr>
                <w:rFonts w:ascii="Arial" w:eastAsia="Times New Roman" w:hAnsi="Arial" w:cs="Arial"/>
                <w:color w:val="auto"/>
                <w:sz w:val="20"/>
                <w:szCs w:val="20"/>
                <w:lang w:eastAsia="en-US"/>
              </w:rPr>
              <w:t xml:space="preserve">seek the advice of the </w:t>
            </w:r>
            <w:r w:rsidR="00752FF8">
              <w:rPr>
                <w:rFonts w:ascii="Arial" w:eastAsia="Times New Roman" w:hAnsi="Arial" w:cs="Arial"/>
                <w:color w:val="auto"/>
                <w:sz w:val="20"/>
                <w:szCs w:val="20"/>
                <w:lang w:eastAsia="en-US"/>
              </w:rPr>
              <w:t>C</w:t>
            </w:r>
            <w:r w:rsidRPr="002A5EC3">
              <w:rPr>
                <w:rFonts w:ascii="Arial" w:eastAsia="Times New Roman" w:hAnsi="Arial" w:cs="Arial"/>
                <w:color w:val="auto"/>
                <w:sz w:val="20"/>
                <w:szCs w:val="20"/>
                <w:lang w:eastAsia="en-US"/>
              </w:rPr>
              <w:t>ommittee on</w:t>
            </w:r>
            <w:r w:rsidR="00D904E6">
              <w:rPr>
                <w:rFonts w:ascii="Arial" w:eastAsia="Times New Roman" w:hAnsi="Arial" w:cs="Arial"/>
                <w:color w:val="auto"/>
                <w:sz w:val="20"/>
                <w:szCs w:val="20"/>
                <w:lang w:eastAsia="en-US"/>
              </w:rPr>
              <w:t xml:space="preserve"> the following</w:t>
            </w:r>
            <w:r w:rsidRPr="002A5EC3">
              <w:rPr>
                <w:rFonts w:ascii="Arial" w:eastAsia="Times New Roman" w:hAnsi="Arial" w:cs="Arial"/>
                <w:color w:val="auto"/>
                <w:sz w:val="20"/>
                <w:szCs w:val="20"/>
                <w:lang w:eastAsia="en-US"/>
              </w:rPr>
              <w:t xml:space="preserve">: </w:t>
            </w:r>
          </w:p>
          <w:p w:rsidR="00062A46" w:rsidRDefault="007566DC" w:rsidP="004024BD">
            <w:pPr>
              <w:pStyle w:val="Default"/>
              <w:numPr>
                <w:ilvl w:val="0"/>
                <w:numId w:val="6"/>
              </w:numPr>
              <w:spacing w:after="120" w:line="276" w:lineRule="auto"/>
              <w:ind w:left="318" w:hanging="318"/>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Does the supplementary EIS address the Committee’s advice of 20 February 2013 on the draft EIS?</w:t>
            </w:r>
          </w:p>
          <w:p w:rsidR="00A407DE" w:rsidRDefault="00A407DE" w:rsidP="004024BD">
            <w:pPr>
              <w:pStyle w:val="Default"/>
              <w:numPr>
                <w:ilvl w:val="0"/>
                <w:numId w:val="6"/>
              </w:numPr>
              <w:spacing w:after="120" w:line="276" w:lineRule="auto"/>
              <w:ind w:left="318" w:hanging="318"/>
              <w:rPr>
                <w:rFonts w:ascii="Arial" w:eastAsia="Times New Roman" w:hAnsi="Arial" w:cs="Arial"/>
                <w:color w:val="auto"/>
                <w:sz w:val="20"/>
                <w:szCs w:val="20"/>
                <w:lang w:eastAsia="en-US"/>
              </w:rPr>
            </w:pPr>
            <w:r w:rsidRPr="00A407DE">
              <w:rPr>
                <w:rFonts w:ascii="Arial" w:eastAsia="Times New Roman" w:hAnsi="Arial" w:cs="Arial"/>
                <w:color w:val="auto"/>
                <w:sz w:val="20"/>
                <w:szCs w:val="20"/>
                <w:lang w:eastAsia="en-US"/>
              </w:rPr>
              <w:t>Are the mitigation and management measures committed to by the proponent in the supplementary EIS adequate? In particular:</w:t>
            </w:r>
          </w:p>
          <w:p w:rsidR="00A407DE" w:rsidRPr="00D86D80" w:rsidRDefault="00A407DE" w:rsidP="004024BD">
            <w:pPr>
              <w:pStyle w:val="Default"/>
              <w:numPr>
                <w:ilvl w:val="1"/>
                <w:numId w:val="6"/>
              </w:numPr>
              <w:spacing w:after="120" w:line="276" w:lineRule="auto"/>
              <w:ind w:left="601" w:hanging="283"/>
              <w:rPr>
                <w:rFonts w:ascii="Arial" w:eastAsia="Times New Roman" w:hAnsi="Arial" w:cs="Arial"/>
                <w:color w:val="auto"/>
                <w:sz w:val="20"/>
                <w:szCs w:val="20"/>
                <w:lang w:eastAsia="en-US"/>
              </w:rPr>
            </w:pPr>
            <w:r w:rsidRPr="00D86D80">
              <w:rPr>
                <w:rFonts w:ascii="Arial" w:eastAsia="Times New Roman" w:hAnsi="Arial" w:cs="Arial"/>
                <w:color w:val="auto"/>
                <w:sz w:val="20"/>
                <w:szCs w:val="20"/>
                <w:lang w:eastAsia="en-US"/>
              </w:rPr>
              <w:t xml:space="preserve">Is the proposed investigative program that will help quantify the connectivity between the Condamine Alluvium and Walloon Coal Measures adequate to determine the magnitude of </w:t>
            </w:r>
            <w:proofErr w:type="spellStart"/>
            <w:r w:rsidRPr="00D86D80">
              <w:rPr>
                <w:rFonts w:ascii="Arial" w:eastAsia="Times New Roman" w:hAnsi="Arial" w:cs="Arial"/>
                <w:color w:val="auto"/>
                <w:sz w:val="20"/>
                <w:szCs w:val="20"/>
                <w:lang w:eastAsia="en-US"/>
              </w:rPr>
              <w:t>hydrogeological</w:t>
            </w:r>
            <w:proofErr w:type="spellEnd"/>
            <w:r w:rsidRPr="00D86D80">
              <w:rPr>
                <w:rFonts w:ascii="Arial" w:eastAsia="Times New Roman" w:hAnsi="Arial" w:cs="Arial"/>
                <w:color w:val="auto"/>
                <w:sz w:val="20"/>
                <w:szCs w:val="20"/>
                <w:lang w:eastAsia="en-US"/>
              </w:rPr>
              <w:t xml:space="preserve"> connections between them? </w:t>
            </w:r>
          </w:p>
          <w:p w:rsidR="00A407DE" w:rsidRDefault="00A407DE" w:rsidP="004937C3">
            <w:pPr>
              <w:pStyle w:val="Default"/>
              <w:numPr>
                <w:ilvl w:val="1"/>
                <w:numId w:val="6"/>
              </w:numPr>
              <w:spacing w:after="120" w:line="276" w:lineRule="auto"/>
              <w:ind w:left="601" w:hanging="283"/>
              <w:rPr>
                <w:rFonts w:ascii="Arial" w:eastAsia="Times New Roman" w:hAnsi="Arial" w:cs="Arial"/>
                <w:color w:val="auto"/>
                <w:sz w:val="20"/>
                <w:szCs w:val="20"/>
                <w:lang w:eastAsia="en-US"/>
              </w:rPr>
            </w:pPr>
            <w:r w:rsidRPr="00D86D80">
              <w:rPr>
                <w:rFonts w:ascii="Arial" w:eastAsia="Times New Roman" w:hAnsi="Arial" w:cs="Arial"/>
                <w:color w:val="auto"/>
                <w:sz w:val="20"/>
                <w:szCs w:val="20"/>
                <w:lang w:eastAsia="en-US"/>
              </w:rPr>
              <w:t>Are the measures proposed to manage discharge into waterways adequate?</w:t>
            </w:r>
          </w:p>
          <w:p w:rsidR="00A407DE" w:rsidRPr="00D86D80" w:rsidRDefault="00A407DE" w:rsidP="004024BD">
            <w:pPr>
              <w:pStyle w:val="Default"/>
              <w:numPr>
                <w:ilvl w:val="1"/>
                <w:numId w:val="6"/>
              </w:numPr>
              <w:spacing w:after="120" w:line="276" w:lineRule="auto"/>
              <w:ind w:left="601" w:hanging="283"/>
              <w:rPr>
                <w:rFonts w:ascii="Arial" w:eastAsia="Times New Roman" w:hAnsi="Arial" w:cs="Arial"/>
                <w:color w:val="auto"/>
                <w:sz w:val="20"/>
                <w:szCs w:val="20"/>
                <w:lang w:eastAsia="en-US"/>
              </w:rPr>
            </w:pPr>
            <w:r w:rsidRPr="00D86D80">
              <w:rPr>
                <w:rFonts w:ascii="Arial" w:eastAsia="Times New Roman" w:hAnsi="Arial" w:cs="Arial"/>
                <w:color w:val="auto"/>
                <w:sz w:val="20"/>
                <w:szCs w:val="20"/>
                <w:lang w:eastAsia="en-US"/>
              </w:rPr>
              <w:t>Are brine and salt management measures adequate?</w:t>
            </w:r>
          </w:p>
          <w:p w:rsidR="00A407DE" w:rsidRDefault="00A407DE" w:rsidP="004024BD">
            <w:pPr>
              <w:pStyle w:val="Default"/>
              <w:numPr>
                <w:ilvl w:val="0"/>
                <w:numId w:val="6"/>
              </w:numPr>
              <w:spacing w:after="120" w:line="276" w:lineRule="auto"/>
              <w:ind w:left="318" w:hanging="318"/>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Does the Committee recommend any further water related measures to mitigate and manage impacts, and enhance the protection of matters of national environmental significance?</w:t>
            </w:r>
          </w:p>
          <w:p w:rsidR="00A407DE" w:rsidRDefault="00D86D80" w:rsidP="004024BD">
            <w:pPr>
              <w:pStyle w:val="Default"/>
              <w:numPr>
                <w:ilvl w:val="0"/>
                <w:numId w:val="6"/>
              </w:numPr>
              <w:spacing w:after="120" w:line="276" w:lineRule="auto"/>
              <w:ind w:left="318" w:hanging="318"/>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Has Arrow Energy identified the matters that would need to be considered in managing the proposed discharge into waterways?</w:t>
            </w:r>
          </w:p>
          <w:p w:rsidR="00062A46" w:rsidRPr="00D86D80" w:rsidRDefault="00D86D80" w:rsidP="004024BD">
            <w:pPr>
              <w:pStyle w:val="Default"/>
              <w:numPr>
                <w:ilvl w:val="0"/>
                <w:numId w:val="6"/>
              </w:numPr>
              <w:spacing w:line="276" w:lineRule="auto"/>
              <w:ind w:left="318" w:hanging="318"/>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I</w:t>
            </w:r>
            <w:r w:rsidR="00401BBA">
              <w:rPr>
                <w:rFonts w:ascii="Arial" w:eastAsia="Times New Roman" w:hAnsi="Arial" w:cs="Arial"/>
                <w:color w:val="auto"/>
                <w:sz w:val="20"/>
                <w:szCs w:val="20"/>
                <w:lang w:eastAsia="en-US"/>
              </w:rPr>
              <w:t>s</w:t>
            </w:r>
            <w:r>
              <w:rPr>
                <w:rFonts w:ascii="Arial" w:eastAsia="Times New Roman" w:hAnsi="Arial" w:cs="Arial"/>
                <w:color w:val="auto"/>
                <w:sz w:val="20"/>
                <w:szCs w:val="20"/>
                <w:lang w:eastAsia="en-US"/>
              </w:rPr>
              <w:t xml:space="preserve"> the suite of mitigation measures proposed adequate to protect identified waterway </w:t>
            </w:r>
            <w:r>
              <w:rPr>
                <w:rFonts w:ascii="Arial" w:eastAsia="Times New Roman" w:hAnsi="Arial" w:cs="Arial"/>
                <w:color w:val="auto"/>
                <w:sz w:val="20"/>
                <w:szCs w:val="20"/>
                <w:lang w:eastAsia="en-US"/>
              </w:rPr>
              <w:lastRenderedPageBreak/>
              <w:t>values at and downstream of the discharge sites?</w:t>
            </w:r>
          </w:p>
        </w:tc>
      </w:tr>
      <w:tr w:rsidR="00062A46" w:rsidRPr="00B451D3" w:rsidTr="00DC325B">
        <w:trPr>
          <w:trHeight w:val="452"/>
        </w:trPr>
        <w:tc>
          <w:tcPr>
            <w:tcW w:w="9968" w:type="dxa"/>
            <w:gridSpan w:val="2"/>
            <w:tcBorders>
              <w:top w:val="single" w:sz="4" w:space="0" w:color="auto"/>
              <w:bottom w:val="single" w:sz="4" w:space="0" w:color="auto"/>
            </w:tcBorders>
          </w:tcPr>
          <w:p w:rsidR="00062A46" w:rsidRDefault="00062A46" w:rsidP="00062A46">
            <w:pPr>
              <w:pStyle w:val="tablelabel"/>
              <w:spacing w:after="200" w:line="276" w:lineRule="auto"/>
              <w:rPr>
                <w:rFonts w:cs="Arial"/>
                <w:sz w:val="20"/>
              </w:rPr>
            </w:pPr>
            <w:r w:rsidRPr="00F37C48">
              <w:rPr>
                <w:rFonts w:cs="Arial"/>
                <w:sz w:val="20"/>
              </w:rPr>
              <w:lastRenderedPageBreak/>
              <w:t>Advice</w:t>
            </w:r>
          </w:p>
          <w:p w:rsidR="00D904E6" w:rsidRDefault="00752FF8" w:rsidP="00DC325B">
            <w:pPr>
              <w:autoSpaceDE w:val="0"/>
              <w:autoSpaceDN w:val="0"/>
              <w:adjustRightInd w:val="0"/>
              <w:spacing w:after="200"/>
              <w:rPr>
                <w:rFonts w:ascii="Arial" w:hAnsi="Arial" w:cs="Arial"/>
                <w:sz w:val="20"/>
                <w:szCs w:val="20"/>
              </w:rPr>
            </w:pPr>
            <w:r>
              <w:rPr>
                <w:rFonts w:ascii="Arial" w:hAnsi="Arial" w:cs="Arial"/>
                <w:sz w:val="20"/>
                <w:szCs w:val="20"/>
              </w:rPr>
              <w:t xml:space="preserve">The Committee </w:t>
            </w:r>
            <w:r w:rsidR="00D904E6">
              <w:rPr>
                <w:rFonts w:ascii="Arial" w:hAnsi="Arial" w:cs="Arial"/>
                <w:sz w:val="20"/>
                <w:szCs w:val="20"/>
              </w:rPr>
              <w:t>has previously considered the Arrow Surat Gas Project (EPBC 2010/5344) during the draft Environmental Impact Statement (EIS) stage. The advice (dated 20 February 2013) is available on the Committee’s website.</w:t>
            </w:r>
          </w:p>
          <w:p w:rsidR="00DC325B" w:rsidRDefault="00D904E6" w:rsidP="00DC325B">
            <w:pPr>
              <w:autoSpaceDE w:val="0"/>
              <w:autoSpaceDN w:val="0"/>
              <w:adjustRightInd w:val="0"/>
              <w:spacing w:after="200"/>
              <w:rPr>
                <w:rFonts w:ascii="Arial" w:hAnsi="Arial" w:cs="Arial"/>
                <w:color w:val="000000" w:themeColor="text1"/>
                <w:sz w:val="20"/>
                <w:szCs w:val="20"/>
              </w:rPr>
            </w:pPr>
            <w:r>
              <w:rPr>
                <w:rFonts w:ascii="Arial" w:hAnsi="Arial" w:cs="Arial"/>
                <w:sz w:val="20"/>
                <w:szCs w:val="20"/>
              </w:rPr>
              <w:t xml:space="preserve">The Committee has now been </w:t>
            </w:r>
            <w:r w:rsidR="00752FF8">
              <w:rPr>
                <w:rFonts w:ascii="Arial" w:hAnsi="Arial" w:cs="Arial"/>
                <w:sz w:val="20"/>
                <w:szCs w:val="20"/>
              </w:rPr>
              <w:t xml:space="preserve">requested to provide advice </w:t>
            </w:r>
            <w:r w:rsidR="003F0DFE" w:rsidRPr="00D86D80">
              <w:rPr>
                <w:rFonts w:ascii="Arial" w:hAnsi="Arial" w:cs="Arial"/>
                <w:color w:val="000000" w:themeColor="text1"/>
                <w:sz w:val="20"/>
                <w:szCs w:val="20"/>
              </w:rPr>
              <w:t>to the Commonwealth</w:t>
            </w:r>
            <w:r w:rsidR="003F0DFE" w:rsidRPr="00D86D80">
              <w:rPr>
                <w:rFonts w:ascii="Arial" w:hAnsi="Arial" w:cs="Arial"/>
                <w:color w:val="000000" w:themeColor="text1"/>
                <w:sz w:val="20"/>
                <w:lang w:eastAsia="en-AU"/>
              </w:rPr>
              <w:t xml:space="preserve"> and </w:t>
            </w:r>
            <w:r w:rsidR="003F0DFE" w:rsidRPr="00D86D80">
              <w:rPr>
                <w:rFonts w:ascii="Arial" w:hAnsi="Arial" w:cs="Arial"/>
                <w:color w:val="000000" w:themeColor="text1"/>
                <w:sz w:val="20"/>
                <w:szCs w:val="20"/>
              </w:rPr>
              <w:t xml:space="preserve">State regulator </w:t>
            </w:r>
            <w:r w:rsidR="00752FF8" w:rsidRPr="00D86D80">
              <w:rPr>
                <w:rFonts w:ascii="Arial" w:hAnsi="Arial" w:cs="Arial"/>
                <w:color w:val="000000" w:themeColor="text1"/>
                <w:sz w:val="20"/>
                <w:szCs w:val="20"/>
              </w:rPr>
              <w:t xml:space="preserve">on </w:t>
            </w:r>
            <w:r w:rsidR="004024BD">
              <w:rPr>
                <w:rFonts w:ascii="Arial" w:hAnsi="Arial" w:cs="Arial"/>
                <w:color w:val="000000" w:themeColor="text1"/>
                <w:sz w:val="20"/>
                <w:szCs w:val="20"/>
              </w:rPr>
              <w:t xml:space="preserve">the </w:t>
            </w:r>
            <w:r w:rsidR="003F0DFE">
              <w:rPr>
                <w:rFonts w:ascii="Arial" w:hAnsi="Arial" w:cs="Arial"/>
                <w:color w:val="000000" w:themeColor="text1"/>
                <w:sz w:val="20"/>
                <w:szCs w:val="20"/>
              </w:rPr>
              <w:t>S</w:t>
            </w:r>
            <w:r w:rsidR="003F0DFE" w:rsidRPr="00D86D80">
              <w:rPr>
                <w:rFonts w:ascii="Arial" w:hAnsi="Arial" w:cs="Arial"/>
                <w:color w:val="000000" w:themeColor="text1"/>
                <w:sz w:val="20"/>
                <w:szCs w:val="20"/>
              </w:rPr>
              <w:t>upplementary E</w:t>
            </w:r>
            <w:r w:rsidR="003F0DFE">
              <w:rPr>
                <w:rFonts w:ascii="Arial" w:hAnsi="Arial" w:cs="Arial"/>
                <w:color w:val="000000" w:themeColor="text1"/>
                <w:sz w:val="20"/>
                <w:szCs w:val="20"/>
              </w:rPr>
              <w:t xml:space="preserve">nvironmental </w:t>
            </w:r>
            <w:r w:rsidR="003F0DFE" w:rsidRPr="00D86D80">
              <w:rPr>
                <w:rFonts w:ascii="Arial" w:hAnsi="Arial" w:cs="Arial"/>
                <w:color w:val="000000" w:themeColor="text1"/>
                <w:sz w:val="20"/>
                <w:szCs w:val="20"/>
              </w:rPr>
              <w:t>I</w:t>
            </w:r>
            <w:r w:rsidR="003F0DFE">
              <w:rPr>
                <w:rFonts w:ascii="Arial" w:hAnsi="Arial" w:cs="Arial"/>
                <w:color w:val="000000" w:themeColor="text1"/>
                <w:sz w:val="20"/>
                <w:szCs w:val="20"/>
              </w:rPr>
              <w:t xml:space="preserve">mpact </w:t>
            </w:r>
            <w:r w:rsidR="003F0DFE" w:rsidRPr="00D86D80">
              <w:rPr>
                <w:rFonts w:ascii="Arial" w:hAnsi="Arial" w:cs="Arial"/>
                <w:color w:val="000000" w:themeColor="text1"/>
                <w:sz w:val="20"/>
                <w:szCs w:val="20"/>
              </w:rPr>
              <w:t>S</w:t>
            </w:r>
            <w:r w:rsidR="003F0DFE">
              <w:rPr>
                <w:rFonts w:ascii="Arial" w:hAnsi="Arial" w:cs="Arial"/>
                <w:color w:val="000000" w:themeColor="text1"/>
                <w:sz w:val="20"/>
                <w:szCs w:val="20"/>
              </w:rPr>
              <w:t>tatement</w:t>
            </w:r>
            <w:r w:rsidR="003F0DFE" w:rsidRPr="00D86D80">
              <w:rPr>
                <w:rFonts w:ascii="Arial" w:hAnsi="Arial" w:cs="Arial"/>
                <w:color w:val="000000" w:themeColor="text1"/>
                <w:sz w:val="20"/>
                <w:szCs w:val="20"/>
              </w:rPr>
              <w:t xml:space="preserve"> </w:t>
            </w:r>
            <w:r w:rsidR="003F0DFE">
              <w:rPr>
                <w:rFonts w:ascii="Arial" w:hAnsi="Arial" w:cs="Arial"/>
                <w:color w:val="000000" w:themeColor="text1"/>
                <w:sz w:val="20"/>
                <w:szCs w:val="20"/>
              </w:rPr>
              <w:t xml:space="preserve">(SEIS) for the </w:t>
            </w:r>
            <w:r w:rsidR="00D86D80" w:rsidRPr="00EE2BBA">
              <w:rPr>
                <w:rFonts w:ascii="Arial" w:hAnsi="Arial" w:cs="Arial"/>
                <w:color w:val="000000" w:themeColor="text1"/>
                <w:sz w:val="20"/>
                <w:szCs w:val="20"/>
              </w:rPr>
              <w:t xml:space="preserve">Arrow Surat </w:t>
            </w:r>
            <w:r w:rsidR="00294F88">
              <w:rPr>
                <w:rFonts w:ascii="Arial" w:hAnsi="Arial" w:cs="Arial"/>
                <w:color w:val="000000" w:themeColor="text1"/>
                <w:sz w:val="20"/>
                <w:szCs w:val="20"/>
              </w:rPr>
              <w:t xml:space="preserve">Gas </w:t>
            </w:r>
            <w:r w:rsidR="00D86D80" w:rsidRPr="00EE2BBA">
              <w:rPr>
                <w:rFonts w:ascii="Arial" w:hAnsi="Arial" w:cs="Arial"/>
                <w:color w:val="000000" w:themeColor="text1"/>
                <w:sz w:val="20"/>
                <w:szCs w:val="20"/>
              </w:rPr>
              <w:t>Project</w:t>
            </w:r>
            <w:r w:rsidR="00752FF8" w:rsidRPr="00EE2BBA">
              <w:rPr>
                <w:rFonts w:ascii="Arial" w:hAnsi="Arial" w:cs="Arial"/>
                <w:color w:val="000000" w:themeColor="text1"/>
                <w:sz w:val="20"/>
                <w:szCs w:val="20"/>
              </w:rPr>
              <w:t xml:space="preserve"> </w:t>
            </w:r>
            <w:r w:rsidR="00752FF8" w:rsidRPr="00D86D80">
              <w:rPr>
                <w:rFonts w:ascii="Arial" w:hAnsi="Arial" w:cs="Arial"/>
                <w:color w:val="000000" w:themeColor="text1"/>
                <w:sz w:val="20"/>
                <w:szCs w:val="20"/>
              </w:rPr>
              <w:t xml:space="preserve">in </w:t>
            </w:r>
            <w:r w:rsidR="00D86D80" w:rsidRPr="00D86D80">
              <w:rPr>
                <w:rFonts w:ascii="Arial" w:hAnsi="Arial" w:cs="Arial"/>
                <w:color w:val="000000" w:themeColor="text1"/>
                <w:sz w:val="20"/>
                <w:szCs w:val="20"/>
              </w:rPr>
              <w:t>Queensland</w:t>
            </w:r>
            <w:r w:rsidR="003F0DFE">
              <w:rPr>
                <w:rFonts w:ascii="Arial" w:hAnsi="Arial" w:cs="Arial"/>
                <w:color w:val="000000" w:themeColor="text1"/>
                <w:sz w:val="20"/>
                <w:szCs w:val="20"/>
              </w:rPr>
              <w:t>.</w:t>
            </w:r>
            <w:r w:rsidR="00052B0A">
              <w:rPr>
                <w:rFonts w:ascii="Arial" w:hAnsi="Arial" w:cs="Arial"/>
                <w:color w:val="000000" w:themeColor="text1"/>
                <w:sz w:val="20"/>
                <w:szCs w:val="20"/>
              </w:rPr>
              <w:t xml:space="preserve"> This advice draws on aspects of information in the </w:t>
            </w:r>
            <w:r w:rsidR="00F31993">
              <w:rPr>
                <w:rFonts w:ascii="Arial" w:hAnsi="Arial" w:cs="Arial"/>
                <w:color w:val="000000" w:themeColor="text1"/>
                <w:sz w:val="20"/>
                <w:szCs w:val="20"/>
              </w:rPr>
              <w:t>S</w:t>
            </w:r>
            <w:r w:rsidR="00052B0A">
              <w:rPr>
                <w:rFonts w:ascii="Arial" w:hAnsi="Arial" w:cs="Arial"/>
                <w:color w:val="000000" w:themeColor="text1"/>
                <w:sz w:val="20"/>
                <w:szCs w:val="20"/>
              </w:rPr>
              <w:t xml:space="preserve">EIS together with the expert deliberations of the Committee.   </w:t>
            </w:r>
          </w:p>
          <w:p w:rsidR="00052B0A" w:rsidRDefault="00052B0A" w:rsidP="00DC325B">
            <w:pPr>
              <w:autoSpaceDE w:val="0"/>
              <w:autoSpaceDN w:val="0"/>
              <w:adjustRightInd w:val="0"/>
              <w:spacing w:after="200"/>
              <w:rPr>
                <w:rFonts w:ascii="Arial" w:hAnsi="Arial" w:cs="Arial"/>
                <w:color w:val="000000" w:themeColor="text1"/>
                <w:sz w:val="20"/>
                <w:szCs w:val="20"/>
              </w:rPr>
            </w:pPr>
            <w:r>
              <w:rPr>
                <w:rFonts w:ascii="Arial" w:hAnsi="Arial" w:cs="Arial"/>
                <w:color w:val="000000" w:themeColor="text1"/>
                <w:sz w:val="20"/>
                <w:szCs w:val="20"/>
              </w:rPr>
              <w:t>The Arro</w:t>
            </w:r>
            <w:r w:rsidR="00F31993">
              <w:rPr>
                <w:rFonts w:ascii="Arial" w:hAnsi="Arial" w:cs="Arial"/>
                <w:color w:val="000000" w:themeColor="text1"/>
                <w:sz w:val="20"/>
                <w:szCs w:val="20"/>
              </w:rPr>
              <w:t xml:space="preserve">w Surat Gas </w:t>
            </w:r>
            <w:r w:rsidR="00294F88">
              <w:rPr>
                <w:rFonts w:ascii="Arial" w:hAnsi="Arial" w:cs="Arial"/>
                <w:color w:val="000000" w:themeColor="text1"/>
                <w:sz w:val="20"/>
                <w:szCs w:val="20"/>
              </w:rPr>
              <w:t>P</w:t>
            </w:r>
            <w:r w:rsidR="00F31993">
              <w:rPr>
                <w:rFonts w:ascii="Arial" w:hAnsi="Arial" w:cs="Arial"/>
                <w:color w:val="000000" w:themeColor="text1"/>
                <w:sz w:val="20"/>
                <w:szCs w:val="20"/>
              </w:rPr>
              <w:t xml:space="preserve">roject </w:t>
            </w:r>
            <w:r w:rsidR="00294F88">
              <w:rPr>
                <w:rFonts w:ascii="Arial" w:hAnsi="Arial" w:cs="Arial"/>
                <w:color w:val="000000" w:themeColor="text1"/>
                <w:sz w:val="20"/>
                <w:szCs w:val="20"/>
              </w:rPr>
              <w:t xml:space="preserve">would </w:t>
            </w:r>
            <w:r w:rsidR="00F31993">
              <w:rPr>
                <w:rFonts w:ascii="Arial" w:hAnsi="Arial" w:cs="Arial"/>
                <w:color w:val="000000" w:themeColor="text1"/>
                <w:sz w:val="20"/>
                <w:szCs w:val="20"/>
              </w:rPr>
              <w:t>expand Arrow Energy’s coal seam gas operations in the Surat and Clarence Moreton Basins in Queensland.</w:t>
            </w:r>
            <w:r w:rsidR="00FA7EFA">
              <w:rPr>
                <w:rFonts w:ascii="Arial" w:hAnsi="Arial" w:cs="Arial"/>
                <w:color w:val="000000" w:themeColor="text1"/>
                <w:sz w:val="20"/>
                <w:szCs w:val="20"/>
              </w:rPr>
              <w:t xml:space="preserve"> </w:t>
            </w:r>
            <w:r>
              <w:rPr>
                <w:rFonts w:ascii="Arial" w:hAnsi="Arial" w:cs="Arial"/>
                <w:color w:val="000000" w:themeColor="text1"/>
                <w:sz w:val="20"/>
                <w:szCs w:val="20"/>
              </w:rPr>
              <w:t>The propos</w:t>
            </w:r>
            <w:r w:rsidR="00F93BCB">
              <w:rPr>
                <w:rFonts w:ascii="Arial" w:hAnsi="Arial" w:cs="Arial"/>
                <w:color w:val="000000" w:themeColor="text1"/>
                <w:sz w:val="20"/>
                <w:szCs w:val="20"/>
              </w:rPr>
              <w:t>ed project</w:t>
            </w:r>
            <w:r w:rsidR="00434270">
              <w:rPr>
                <w:rFonts w:ascii="Arial" w:hAnsi="Arial" w:cs="Arial"/>
                <w:color w:val="000000" w:themeColor="text1"/>
                <w:sz w:val="20"/>
                <w:szCs w:val="20"/>
              </w:rPr>
              <w:t>’s petroleum</w:t>
            </w:r>
            <w:r>
              <w:rPr>
                <w:rFonts w:ascii="Arial" w:hAnsi="Arial" w:cs="Arial"/>
                <w:color w:val="000000" w:themeColor="text1"/>
                <w:sz w:val="20"/>
                <w:szCs w:val="20"/>
              </w:rPr>
              <w:t xml:space="preserve"> ten</w:t>
            </w:r>
            <w:r w:rsidR="00434270">
              <w:rPr>
                <w:rFonts w:ascii="Arial" w:hAnsi="Arial" w:cs="Arial"/>
                <w:color w:val="000000" w:themeColor="text1"/>
                <w:sz w:val="20"/>
                <w:szCs w:val="20"/>
              </w:rPr>
              <w:t>ures</w:t>
            </w:r>
            <w:r w:rsidR="00F31993">
              <w:rPr>
                <w:rFonts w:ascii="Arial" w:hAnsi="Arial" w:cs="Arial"/>
                <w:color w:val="000000" w:themeColor="text1"/>
                <w:sz w:val="20"/>
                <w:szCs w:val="20"/>
              </w:rPr>
              <w:t xml:space="preserve"> cover an area of</w:t>
            </w:r>
            <w:r>
              <w:rPr>
                <w:rFonts w:ascii="Arial" w:hAnsi="Arial" w:cs="Arial"/>
                <w:color w:val="000000" w:themeColor="text1"/>
                <w:sz w:val="20"/>
                <w:szCs w:val="20"/>
              </w:rPr>
              <w:t xml:space="preserve"> </w:t>
            </w:r>
            <w:r w:rsidR="00BA61B5">
              <w:rPr>
                <w:rFonts w:ascii="Arial" w:hAnsi="Arial" w:cs="Arial"/>
                <w:color w:val="000000" w:themeColor="text1"/>
                <w:sz w:val="20"/>
                <w:szCs w:val="20"/>
              </w:rPr>
              <w:t xml:space="preserve">       </w:t>
            </w:r>
            <w:r w:rsidR="00F31993">
              <w:rPr>
                <w:rFonts w:ascii="Arial" w:hAnsi="Arial" w:cs="Arial"/>
                <w:color w:val="000000" w:themeColor="text1"/>
                <w:sz w:val="20"/>
                <w:szCs w:val="20"/>
              </w:rPr>
              <w:t>6,100</w:t>
            </w:r>
            <w:r w:rsidR="00150832">
              <w:rPr>
                <w:rFonts w:ascii="Arial" w:hAnsi="Arial" w:cs="Arial"/>
                <w:color w:val="000000" w:themeColor="text1"/>
                <w:sz w:val="20"/>
                <w:szCs w:val="20"/>
              </w:rPr>
              <w:t xml:space="preserve"> </w:t>
            </w:r>
            <w:r w:rsidR="00F31993">
              <w:rPr>
                <w:rFonts w:ascii="Arial" w:hAnsi="Arial" w:cs="Arial"/>
                <w:color w:val="000000" w:themeColor="text1"/>
                <w:sz w:val="20"/>
                <w:szCs w:val="20"/>
              </w:rPr>
              <w:t>km</w:t>
            </w:r>
            <w:r w:rsidR="00F31993" w:rsidRPr="00FA7EFA">
              <w:rPr>
                <w:rFonts w:ascii="Arial" w:hAnsi="Arial" w:cs="Arial"/>
                <w:color w:val="000000" w:themeColor="text1"/>
                <w:sz w:val="20"/>
                <w:szCs w:val="20"/>
                <w:vertAlign w:val="superscript"/>
              </w:rPr>
              <w:t>2</w:t>
            </w:r>
            <w:r w:rsidR="00F31993">
              <w:rPr>
                <w:rFonts w:ascii="Arial" w:hAnsi="Arial" w:cs="Arial"/>
                <w:color w:val="000000" w:themeColor="text1"/>
                <w:sz w:val="20"/>
                <w:szCs w:val="20"/>
              </w:rPr>
              <w:t xml:space="preserve"> and </w:t>
            </w:r>
            <w:r>
              <w:rPr>
                <w:rFonts w:ascii="Arial" w:hAnsi="Arial" w:cs="Arial"/>
                <w:color w:val="000000" w:themeColor="text1"/>
                <w:sz w:val="20"/>
                <w:szCs w:val="20"/>
              </w:rPr>
              <w:t xml:space="preserve">extend from </w:t>
            </w:r>
            <w:r w:rsidR="00FA7EFA">
              <w:rPr>
                <w:rFonts w:ascii="Arial" w:hAnsi="Arial" w:cs="Arial"/>
                <w:color w:val="000000" w:themeColor="text1"/>
                <w:sz w:val="20"/>
                <w:szCs w:val="20"/>
              </w:rPr>
              <w:t>Wandoan in the north, Dalby in the east, to Goond</w:t>
            </w:r>
            <w:r w:rsidR="006B03C8">
              <w:rPr>
                <w:rFonts w:ascii="Arial" w:hAnsi="Arial" w:cs="Arial"/>
                <w:color w:val="000000" w:themeColor="text1"/>
                <w:sz w:val="20"/>
                <w:szCs w:val="20"/>
              </w:rPr>
              <w:t>i</w:t>
            </w:r>
            <w:r w:rsidR="00FA7EFA">
              <w:rPr>
                <w:rFonts w:ascii="Arial" w:hAnsi="Arial" w:cs="Arial"/>
                <w:color w:val="000000" w:themeColor="text1"/>
                <w:sz w:val="20"/>
                <w:szCs w:val="20"/>
              </w:rPr>
              <w:t xml:space="preserve">windi in the </w:t>
            </w:r>
            <w:r w:rsidR="000534E0">
              <w:rPr>
                <w:rFonts w:ascii="Arial" w:hAnsi="Arial" w:cs="Arial"/>
                <w:color w:val="000000" w:themeColor="text1"/>
                <w:sz w:val="20"/>
                <w:szCs w:val="20"/>
              </w:rPr>
              <w:t>s</w:t>
            </w:r>
            <w:r w:rsidR="00FA7EFA">
              <w:rPr>
                <w:rFonts w:ascii="Arial" w:hAnsi="Arial" w:cs="Arial"/>
                <w:color w:val="000000" w:themeColor="text1"/>
                <w:sz w:val="20"/>
                <w:szCs w:val="20"/>
              </w:rPr>
              <w:t xml:space="preserve">outh. </w:t>
            </w:r>
            <w:r>
              <w:rPr>
                <w:rFonts w:ascii="Arial" w:hAnsi="Arial" w:cs="Arial"/>
                <w:color w:val="000000" w:themeColor="text1"/>
                <w:sz w:val="20"/>
                <w:szCs w:val="20"/>
              </w:rPr>
              <w:t xml:space="preserve"> Arrow Energy has planned for approximately </w:t>
            </w:r>
            <w:r w:rsidR="00FA7EFA">
              <w:rPr>
                <w:rFonts w:ascii="Arial" w:hAnsi="Arial" w:cs="Arial"/>
                <w:color w:val="000000" w:themeColor="text1"/>
                <w:sz w:val="20"/>
                <w:szCs w:val="20"/>
              </w:rPr>
              <w:t>6,500</w:t>
            </w:r>
            <w:r>
              <w:rPr>
                <w:rFonts w:ascii="Arial" w:hAnsi="Arial" w:cs="Arial"/>
                <w:color w:val="000000" w:themeColor="text1"/>
                <w:sz w:val="20"/>
                <w:szCs w:val="20"/>
              </w:rPr>
              <w:t xml:space="preserve"> production wells through the project area</w:t>
            </w:r>
            <w:r w:rsidR="002A1A87">
              <w:rPr>
                <w:rFonts w:ascii="Arial" w:hAnsi="Arial" w:cs="Arial"/>
                <w:color w:val="000000" w:themeColor="text1"/>
                <w:sz w:val="20"/>
                <w:szCs w:val="20"/>
              </w:rPr>
              <w:t>, with an estimated</w:t>
            </w:r>
            <w:r w:rsidR="008A6283">
              <w:rPr>
                <w:rFonts w:ascii="Arial" w:hAnsi="Arial" w:cs="Arial"/>
                <w:color w:val="000000" w:themeColor="text1"/>
                <w:sz w:val="20"/>
                <w:szCs w:val="20"/>
              </w:rPr>
              <w:t xml:space="preserve"> gas production </w:t>
            </w:r>
            <w:r w:rsidR="002A1A87">
              <w:rPr>
                <w:rFonts w:ascii="Arial" w:hAnsi="Arial" w:cs="Arial"/>
                <w:color w:val="000000" w:themeColor="text1"/>
                <w:sz w:val="20"/>
                <w:szCs w:val="20"/>
              </w:rPr>
              <w:t xml:space="preserve">of </w:t>
            </w:r>
            <w:r w:rsidR="00B81C48">
              <w:rPr>
                <w:rFonts w:ascii="Arial" w:hAnsi="Arial" w:cs="Arial"/>
                <w:color w:val="000000" w:themeColor="text1"/>
                <w:sz w:val="20"/>
                <w:szCs w:val="20"/>
              </w:rPr>
              <w:t>1</w:t>
            </w:r>
            <w:r w:rsidR="003F0DFE">
              <w:rPr>
                <w:rFonts w:ascii="Arial" w:hAnsi="Arial" w:cs="Arial"/>
                <w:color w:val="000000" w:themeColor="text1"/>
                <w:sz w:val="20"/>
                <w:szCs w:val="20"/>
              </w:rPr>
              <w:t>,</w:t>
            </w:r>
            <w:r w:rsidR="00B81C48">
              <w:rPr>
                <w:rFonts w:ascii="Arial" w:hAnsi="Arial" w:cs="Arial"/>
                <w:color w:val="000000" w:themeColor="text1"/>
                <w:sz w:val="20"/>
                <w:szCs w:val="20"/>
              </w:rPr>
              <w:t xml:space="preserve">215 </w:t>
            </w:r>
            <w:proofErr w:type="spellStart"/>
            <w:r w:rsidR="003F0DFE">
              <w:rPr>
                <w:rFonts w:ascii="Arial" w:hAnsi="Arial" w:cs="Arial"/>
                <w:color w:val="000000" w:themeColor="text1"/>
                <w:sz w:val="20"/>
                <w:szCs w:val="20"/>
              </w:rPr>
              <w:t>t</w:t>
            </w:r>
            <w:r w:rsidR="00B81C48">
              <w:rPr>
                <w:rFonts w:ascii="Arial" w:hAnsi="Arial" w:cs="Arial"/>
                <w:color w:val="000000" w:themeColor="text1"/>
                <w:sz w:val="20"/>
                <w:szCs w:val="20"/>
              </w:rPr>
              <w:t>er</w:t>
            </w:r>
            <w:r w:rsidR="008A6283">
              <w:rPr>
                <w:rFonts w:ascii="Arial" w:hAnsi="Arial" w:cs="Arial"/>
                <w:color w:val="000000" w:themeColor="text1"/>
                <w:sz w:val="20"/>
                <w:szCs w:val="20"/>
              </w:rPr>
              <w:t>ajoules</w:t>
            </w:r>
            <w:proofErr w:type="spellEnd"/>
            <w:r w:rsidR="008A6283">
              <w:rPr>
                <w:rFonts w:ascii="Arial" w:hAnsi="Arial" w:cs="Arial"/>
                <w:color w:val="000000" w:themeColor="text1"/>
                <w:sz w:val="20"/>
                <w:szCs w:val="20"/>
              </w:rPr>
              <w:t xml:space="preserve"> per day.</w:t>
            </w:r>
            <w:r>
              <w:rPr>
                <w:rFonts w:ascii="Arial" w:hAnsi="Arial" w:cs="Arial"/>
                <w:color w:val="000000" w:themeColor="text1"/>
                <w:sz w:val="20"/>
                <w:szCs w:val="20"/>
              </w:rPr>
              <w:t xml:space="preserve"> </w:t>
            </w:r>
            <w:r w:rsidR="00CB26EE">
              <w:rPr>
                <w:rFonts w:ascii="Arial" w:hAnsi="Arial" w:cs="Arial"/>
                <w:color w:val="000000" w:themeColor="text1"/>
                <w:sz w:val="20"/>
                <w:szCs w:val="20"/>
              </w:rPr>
              <w:t>The propos</w:t>
            </w:r>
            <w:r w:rsidR="00F93BCB">
              <w:rPr>
                <w:rFonts w:ascii="Arial" w:hAnsi="Arial" w:cs="Arial"/>
                <w:color w:val="000000" w:themeColor="text1"/>
                <w:sz w:val="20"/>
                <w:szCs w:val="20"/>
              </w:rPr>
              <w:t>ed project</w:t>
            </w:r>
            <w:r w:rsidR="00CB26EE">
              <w:rPr>
                <w:rFonts w:ascii="Arial" w:hAnsi="Arial" w:cs="Arial"/>
                <w:color w:val="000000" w:themeColor="text1"/>
                <w:sz w:val="20"/>
                <w:szCs w:val="20"/>
              </w:rPr>
              <w:t xml:space="preserve"> is predicted to produce </w:t>
            </w:r>
            <w:r>
              <w:rPr>
                <w:rFonts w:ascii="Arial" w:hAnsi="Arial" w:cs="Arial"/>
                <w:color w:val="000000" w:themeColor="text1"/>
                <w:sz w:val="20"/>
                <w:szCs w:val="20"/>
              </w:rPr>
              <w:t xml:space="preserve">approximately </w:t>
            </w:r>
            <w:r w:rsidR="002A1A87">
              <w:rPr>
                <w:rFonts w:ascii="Arial" w:hAnsi="Arial" w:cs="Arial"/>
                <w:color w:val="000000" w:themeColor="text1"/>
                <w:sz w:val="20"/>
                <w:szCs w:val="20"/>
              </w:rPr>
              <w:t xml:space="preserve">            </w:t>
            </w:r>
            <w:r w:rsidR="00FA7EFA">
              <w:rPr>
                <w:rFonts w:ascii="Arial" w:hAnsi="Arial" w:cs="Arial"/>
                <w:color w:val="000000" w:themeColor="text1"/>
                <w:sz w:val="20"/>
                <w:szCs w:val="20"/>
              </w:rPr>
              <w:t>510</w:t>
            </w:r>
            <w:r>
              <w:rPr>
                <w:rFonts w:ascii="Arial" w:hAnsi="Arial" w:cs="Arial"/>
                <w:color w:val="000000" w:themeColor="text1"/>
                <w:sz w:val="20"/>
                <w:szCs w:val="20"/>
              </w:rPr>
              <w:t xml:space="preserve"> billion litres</w:t>
            </w:r>
            <w:r w:rsidR="00CB26EE">
              <w:rPr>
                <w:rFonts w:ascii="Arial" w:hAnsi="Arial" w:cs="Arial"/>
                <w:color w:val="000000" w:themeColor="text1"/>
                <w:sz w:val="20"/>
                <w:szCs w:val="20"/>
              </w:rPr>
              <w:t xml:space="preserve"> of co-produced water, which will generate an estimated </w:t>
            </w:r>
            <w:r w:rsidR="00CB26EE" w:rsidRPr="004024BD">
              <w:rPr>
                <w:rFonts w:ascii="Arial" w:hAnsi="Arial" w:cs="Arial"/>
                <w:color w:val="000000" w:themeColor="text1"/>
                <w:sz w:val="20"/>
                <w:szCs w:val="20"/>
              </w:rPr>
              <w:t xml:space="preserve">2.3 </w:t>
            </w:r>
            <w:r w:rsidR="004024BD" w:rsidRPr="004024BD">
              <w:rPr>
                <w:rFonts w:ascii="Arial" w:hAnsi="Arial" w:cs="Arial"/>
                <w:color w:val="000000" w:themeColor="text1"/>
                <w:sz w:val="20"/>
                <w:szCs w:val="20"/>
              </w:rPr>
              <w:t>m</w:t>
            </w:r>
            <w:r w:rsidR="00CB26EE" w:rsidRPr="004024BD">
              <w:rPr>
                <w:rFonts w:ascii="Arial" w:hAnsi="Arial" w:cs="Arial"/>
                <w:color w:val="000000" w:themeColor="text1"/>
                <w:sz w:val="20"/>
                <w:szCs w:val="20"/>
              </w:rPr>
              <w:t>illion</w:t>
            </w:r>
            <w:r w:rsidR="00DC1B27" w:rsidRPr="004024BD">
              <w:rPr>
                <w:rFonts w:ascii="Arial" w:hAnsi="Arial" w:cs="Arial"/>
                <w:color w:val="000000" w:themeColor="text1"/>
                <w:sz w:val="20"/>
                <w:szCs w:val="20"/>
              </w:rPr>
              <w:t xml:space="preserve"> tonnes </w:t>
            </w:r>
            <w:r w:rsidRPr="004024BD">
              <w:rPr>
                <w:rFonts w:ascii="Arial" w:hAnsi="Arial" w:cs="Arial"/>
                <w:color w:val="000000" w:themeColor="text1"/>
                <w:sz w:val="20"/>
                <w:szCs w:val="20"/>
              </w:rPr>
              <w:t xml:space="preserve">of salt over the </w:t>
            </w:r>
            <w:r w:rsidR="00FA7EFA" w:rsidRPr="004024BD">
              <w:rPr>
                <w:rFonts w:ascii="Arial" w:hAnsi="Arial" w:cs="Arial"/>
                <w:color w:val="000000" w:themeColor="text1"/>
                <w:sz w:val="20"/>
                <w:szCs w:val="20"/>
              </w:rPr>
              <w:t>40</w:t>
            </w:r>
            <w:r w:rsidRPr="004024BD">
              <w:rPr>
                <w:rFonts w:ascii="Arial" w:hAnsi="Arial" w:cs="Arial"/>
                <w:color w:val="000000" w:themeColor="text1"/>
                <w:sz w:val="20"/>
                <w:szCs w:val="20"/>
              </w:rPr>
              <w:t xml:space="preserve"> year life of the project</w:t>
            </w:r>
            <w:r w:rsidR="004024BD">
              <w:rPr>
                <w:rFonts w:ascii="Arial" w:hAnsi="Arial" w:cs="Arial"/>
                <w:color w:val="000000" w:themeColor="text1"/>
                <w:sz w:val="20"/>
                <w:szCs w:val="20"/>
              </w:rPr>
              <w:t xml:space="preserve">. </w:t>
            </w:r>
          </w:p>
          <w:p w:rsidR="00052B0A" w:rsidRDefault="00052B0A" w:rsidP="00DC325B">
            <w:pPr>
              <w:autoSpaceDE w:val="0"/>
              <w:autoSpaceDN w:val="0"/>
              <w:adjustRightInd w:val="0"/>
              <w:spacing w:after="200"/>
              <w:rPr>
                <w:rFonts w:ascii="Arial" w:hAnsi="Arial" w:cs="Arial"/>
                <w:color w:val="000000" w:themeColor="text1"/>
                <w:sz w:val="20"/>
                <w:szCs w:val="20"/>
              </w:rPr>
            </w:pPr>
            <w:r>
              <w:rPr>
                <w:rFonts w:ascii="Arial" w:hAnsi="Arial" w:cs="Arial"/>
                <w:color w:val="000000" w:themeColor="text1"/>
                <w:sz w:val="20"/>
                <w:szCs w:val="20"/>
              </w:rPr>
              <w:t>The Committee in line with its Information Guidelines</w:t>
            </w:r>
            <w:r w:rsidRPr="0062054E">
              <w:rPr>
                <w:rFonts w:ascii="Arial" w:hAnsi="Arial" w:cs="Arial"/>
                <w:color w:val="000000" w:themeColor="text1"/>
                <w:sz w:val="20"/>
                <w:szCs w:val="20"/>
                <w:vertAlign w:val="superscript"/>
              </w:rPr>
              <w:t>1</w:t>
            </w:r>
            <w:r>
              <w:rPr>
                <w:rFonts w:ascii="Arial" w:hAnsi="Arial" w:cs="Arial"/>
                <w:color w:val="000000" w:themeColor="text1"/>
                <w:sz w:val="20"/>
                <w:szCs w:val="20"/>
              </w:rPr>
              <w:t xml:space="preserve"> has considered whether </w:t>
            </w:r>
            <w:r w:rsidR="00D904E6">
              <w:rPr>
                <w:rFonts w:ascii="Arial" w:hAnsi="Arial" w:cs="Arial"/>
                <w:color w:val="000000" w:themeColor="text1"/>
                <w:sz w:val="20"/>
                <w:szCs w:val="20"/>
              </w:rPr>
              <w:t>the proposed project assessment</w:t>
            </w:r>
            <w:r>
              <w:rPr>
                <w:rFonts w:ascii="Arial" w:hAnsi="Arial" w:cs="Arial"/>
                <w:color w:val="000000" w:themeColor="text1"/>
                <w:sz w:val="20"/>
                <w:szCs w:val="20"/>
              </w:rPr>
              <w:t xml:space="preserve"> has used the following:</w:t>
            </w:r>
          </w:p>
          <w:p w:rsidR="00052B0A" w:rsidRPr="00052B0A" w:rsidRDefault="00052B0A" w:rsidP="00DC325B">
            <w:pPr>
              <w:autoSpaceDE w:val="0"/>
              <w:autoSpaceDN w:val="0"/>
              <w:adjustRightInd w:val="0"/>
              <w:spacing w:after="200"/>
              <w:rPr>
                <w:rFonts w:ascii="Arial" w:hAnsi="Arial" w:cs="Arial"/>
                <w:i/>
                <w:color w:val="000000" w:themeColor="text1"/>
                <w:sz w:val="20"/>
                <w:szCs w:val="20"/>
                <w:u w:val="single"/>
              </w:rPr>
            </w:pPr>
            <w:r w:rsidRPr="00052B0A">
              <w:rPr>
                <w:rFonts w:ascii="Arial" w:hAnsi="Arial" w:cs="Arial"/>
                <w:i/>
                <w:color w:val="000000" w:themeColor="text1"/>
                <w:sz w:val="20"/>
                <w:szCs w:val="20"/>
                <w:u w:val="single"/>
              </w:rPr>
              <w:t>Relevant data and information: key conclusions</w:t>
            </w:r>
          </w:p>
          <w:p w:rsidR="002150BA" w:rsidRDefault="00B34E05">
            <w:pPr>
              <w:spacing w:after="200"/>
              <w:rPr>
                <w:rFonts w:ascii="Arial" w:hAnsi="Arial" w:cs="Arial"/>
                <w:sz w:val="20"/>
                <w:szCs w:val="20"/>
                <w:lang w:val="en-US"/>
              </w:rPr>
            </w:pPr>
            <w:r w:rsidRPr="00444467">
              <w:rPr>
                <w:rFonts w:ascii="Arial" w:hAnsi="Arial" w:cs="Arial"/>
                <w:sz w:val="20"/>
                <w:szCs w:val="20"/>
                <w:lang w:val="en-US"/>
              </w:rPr>
              <w:t xml:space="preserve">A </w:t>
            </w:r>
            <w:r w:rsidR="0060045D" w:rsidRPr="00444467">
              <w:rPr>
                <w:rFonts w:ascii="Arial" w:hAnsi="Arial" w:cs="Arial"/>
                <w:sz w:val="20"/>
                <w:szCs w:val="20"/>
                <w:lang w:val="en-US"/>
              </w:rPr>
              <w:t xml:space="preserve">solid set of </w:t>
            </w:r>
            <w:proofErr w:type="spellStart"/>
            <w:r w:rsidRPr="00444467">
              <w:rPr>
                <w:rFonts w:ascii="Arial" w:hAnsi="Arial" w:cs="Arial"/>
                <w:sz w:val="20"/>
                <w:szCs w:val="20"/>
                <w:lang w:val="en-US"/>
              </w:rPr>
              <w:t>hydrogeological</w:t>
            </w:r>
            <w:proofErr w:type="spellEnd"/>
            <w:r w:rsidRPr="00444467">
              <w:rPr>
                <w:rFonts w:ascii="Arial" w:hAnsi="Arial" w:cs="Arial"/>
                <w:sz w:val="20"/>
                <w:szCs w:val="20"/>
                <w:lang w:val="en-US"/>
              </w:rPr>
              <w:t xml:space="preserve"> data underpin</w:t>
            </w:r>
            <w:r w:rsidR="0060045D" w:rsidRPr="00444467">
              <w:rPr>
                <w:rFonts w:ascii="Arial" w:hAnsi="Arial" w:cs="Arial"/>
                <w:sz w:val="20"/>
                <w:szCs w:val="20"/>
                <w:lang w:val="en-US"/>
              </w:rPr>
              <w:t>s</w:t>
            </w:r>
            <w:r w:rsidRPr="00444467">
              <w:rPr>
                <w:rFonts w:ascii="Arial" w:hAnsi="Arial" w:cs="Arial"/>
                <w:sz w:val="20"/>
                <w:szCs w:val="20"/>
                <w:lang w:val="en-US"/>
              </w:rPr>
              <w:t xml:space="preserve"> </w:t>
            </w:r>
            <w:r w:rsidRPr="00FF72A2">
              <w:rPr>
                <w:rFonts w:ascii="Arial" w:hAnsi="Arial" w:cs="Arial"/>
                <w:sz w:val="20"/>
                <w:szCs w:val="20"/>
                <w:lang w:val="en-US"/>
              </w:rPr>
              <w:t xml:space="preserve">the </w:t>
            </w:r>
            <w:r w:rsidR="00444467" w:rsidRPr="00FF72A2">
              <w:rPr>
                <w:rFonts w:ascii="Arial" w:hAnsi="Arial" w:cs="Arial"/>
                <w:sz w:val="20"/>
                <w:szCs w:val="20"/>
                <w:lang w:val="en-US"/>
              </w:rPr>
              <w:t xml:space="preserve">regional </w:t>
            </w:r>
            <w:r w:rsidR="0060045D" w:rsidRPr="00FF72A2">
              <w:rPr>
                <w:rFonts w:ascii="Arial" w:hAnsi="Arial" w:cs="Arial"/>
                <w:sz w:val="20"/>
                <w:szCs w:val="20"/>
                <w:lang w:val="en-US"/>
              </w:rPr>
              <w:t>conceptual groundwater</w:t>
            </w:r>
            <w:r w:rsidRPr="00FF72A2">
              <w:rPr>
                <w:rFonts w:ascii="Arial" w:hAnsi="Arial" w:cs="Arial"/>
                <w:sz w:val="20"/>
                <w:szCs w:val="20"/>
                <w:lang w:val="en-US"/>
              </w:rPr>
              <w:t xml:space="preserve"> model. </w:t>
            </w:r>
            <w:r w:rsidR="00444467" w:rsidRPr="00FF72A2">
              <w:rPr>
                <w:rFonts w:ascii="Arial" w:hAnsi="Arial" w:cs="Arial"/>
                <w:sz w:val="20"/>
                <w:szCs w:val="20"/>
                <w:lang w:val="en-US"/>
              </w:rPr>
              <w:t xml:space="preserve">However, there is insufficient data to inform the </w:t>
            </w:r>
            <w:r w:rsidR="00E30052" w:rsidRPr="00FF72A2">
              <w:rPr>
                <w:rFonts w:ascii="Arial" w:hAnsi="Arial" w:cs="Arial"/>
                <w:sz w:val="20"/>
                <w:szCs w:val="20"/>
                <w:lang w:val="en-US"/>
              </w:rPr>
              <w:t xml:space="preserve">degree of </w:t>
            </w:r>
            <w:r w:rsidR="00444467" w:rsidRPr="00FF72A2">
              <w:rPr>
                <w:rFonts w:ascii="Arial" w:hAnsi="Arial" w:cs="Arial"/>
                <w:sz w:val="20"/>
                <w:szCs w:val="20"/>
                <w:lang w:val="en-US"/>
              </w:rPr>
              <w:t xml:space="preserve">connection between the </w:t>
            </w:r>
            <w:proofErr w:type="spellStart"/>
            <w:r w:rsidR="00444467" w:rsidRPr="00FF72A2">
              <w:rPr>
                <w:rFonts w:ascii="Arial" w:hAnsi="Arial" w:cs="Arial"/>
                <w:sz w:val="20"/>
                <w:szCs w:val="20"/>
                <w:lang w:val="en-US"/>
              </w:rPr>
              <w:t>Condamine</w:t>
            </w:r>
            <w:proofErr w:type="spellEnd"/>
            <w:r w:rsidR="00444467" w:rsidRPr="00FF72A2">
              <w:rPr>
                <w:rFonts w:ascii="Arial" w:hAnsi="Arial" w:cs="Arial"/>
                <w:sz w:val="20"/>
                <w:szCs w:val="20"/>
                <w:lang w:val="en-US"/>
              </w:rPr>
              <w:t xml:space="preserve"> Alluvium and the Walloon Coal Measures. T</w:t>
            </w:r>
            <w:r w:rsidR="004F261C" w:rsidRPr="00FF72A2">
              <w:rPr>
                <w:rFonts w:ascii="Arial" w:hAnsi="Arial" w:cs="Arial"/>
                <w:sz w:val="20"/>
                <w:szCs w:val="20"/>
                <w:lang w:val="en-US"/>
              </w:rPr>
              <w:t>he preferred loc</w:t>
            </w:r>
            <w:r w:rsidR="004F261C" w:rsidRPr="005759BE">
              <w:rPr>
                <w:rFonts w:ascii="Arial" w:hAnsi="Arial" w:cs="Arial"/>
                <w:sz w:val="20"/>
                <w:szCs w:val="20"/>
                <w:lang w:val="en-US"/>
              </w:rPr>
              <w:t xml:space="preserve">ation of the majority of infrastructure has </w:t>
            </w:r>
            <w:r w:rsidR="00444467">
              <w:rPr>
                <w:rFonts w:ascii="Arial" w:hAnsi="Arial" w:cs="Arial"/>
                <w:sz w:val="20"/>
                <w:szCs w:val="20"/>
                <w:lang w:val="en-US"/>
              </w:rPr>
              <w:t xml:space="preserve">also </w:t>
            </w:r>
            <w:r w:rsidR="004F261C" w:rsidRPr="005759BE">
              <w:rPr>
                <w:rFonts w:ascii="Arial" w:hAnsi="Arial" w:cs="Arial"/>
                <w:sz w:val="20"/>
                <w:szCs w:val="20"/>
                <w:lang w:val="en-US"/>
              </w:rPr>
              <w:t xml:space="preserve">not been </w:t>
            </w:r>
            <w:proofErr w:type="spellStart"/>
            <w:r w:rsidR="004F261C" w:rsidRPr="005759BE">
              <w:rPr>
                <w:rFonts w:ascii="Arial" w:hAnsi="Arial" w:cs="Arial"/>
                <w:sz w:val="20"/>
                <w:szCs w:val="20"/>
                <w:lang w:val="en-US"/>
              </w:rPr>
              <w:t>finalised</w:t>
            </w:r>
            <w:proofErr w:type="spellEnd"/>
            <w:r w:rsidR="00E76828" w:rsidRPr="005759BE">
              <w:rPr>
                <w:rFonts w:ascii="Arial" w:hAnsi="Arial" w:cs="Arial"/>
                <w:sz w:val="20"/>
                <w:szCs w:val="20"/>
                <w:lang w:val="en-US"/>
              </w:rPr>
              <w:t>, no final disposal option f</w:t>
            </w:r>
            <w:r w:rsidR="00036B21" w:rsidRPr="005759BE">
              <w:rPr>
                <w:rFonts w:ascii="Arial" w:hAnsi="Arial" w:cs="Arial"/>
                <w:sz w:val="20"/>
                <w:szCs w:val="20"/>
                <w:lang w:val="en-US"/>
              </w:rPr>
              <w:t>or</w:t>
            </w:r>
            <w:r w:rsidR="004F261C" w:rsidRPr="005759BE">
              <w:rPr>
                <w:rFonts w:ascii="Arial" w:hAnsi="Arial" w:cs="Arial"/>
                <w:sz w:val="20"/>
                <w:szCs w:val="20"/>
                <w:lang w:val="en-US"/>
              </w:rPr>
              <w:t xml:space="preserve"> co-produced water </w:t>
            </w:r>
            <w:r w:rsidR="00036B21" w:rsidRPr="005759BE">
              <w:rPr>
                <w:rFonts w:ascii="Arial" w:hAnsi="Arial" w:cs="Arial"/>
                <w:sz w:val="20"/>
                <w:szCs w:val="20"/>
                <w:lang w:val="en-US"/>
              </w:rPr>
              <w:t xml:space="preserve">or brine </w:t>
            </w:r>
            <w:r w:rsidR="004F261C" w:rsidRPr="005759BE">
              <w:rPr>
                <w:rFonts w:ascii="Arial" w:hAnsi="Arial" w:cs="Arial"/>
                <w:sz w:val="20"/>
                <w:szCs w:val="20"/>
                <w:lang w:val="en-US"/>
              </w:rPr>
              <w:t>is selected, and no discharge strategy is available</w:t>
            </w:r>
            <w:r w:rsidR="0060045D" w:rsidRPr="005759BE">
              <w:rPr>
                <w:rFonts w:ascii="Arial" w:hAnsi="Arial" w:cs="Arial"/>
                <w:sz w:val="20"/>
                <w:szCs w:val="20"/>
                <w:lang w:val="en-US"/>
              </w:rPr>
              <w:t>.</w:t>
            </w:r>
            <w:r w:rsidR="0060045D">
              <w:rPr>
                <w:rFonts w:ascii="Arial" w:hAnsi="Arial" w:cs="Arial"/>
                <w:sz w:val="20"/>
                <w:szCs w:val="20"/>
                <w:lang w:val="en-US"/>
              </w:rPr>
              <w:t xml:space="preserve"> Therefore</w:t>
            </w:r>
            <w:r w:rsidR="00962E6D">
              <w:rPr>
                <w:rFonts w:ascii="Arial" w:hAnsi="Arial" w:cs="Arial"/>
                <w:sz w:val="20"/>
                <w:szCs w:val="20"/>
                <w:lang w:val="en-US"/>
              </w:rPr>
              <w:t>, t</w:t>
            </w:r>
            <w:r w:rsidR="007B4D1A" w:rsidRPr="001775A6">
              <w:rPr>
                <w:rFonts w:ascii="Arial" w:hAnsi="Arial" w:cs="Arial"/>
                <w:sz w:val="20"/>
                <w:szCs w:val="20"/>
                <w:lang w:val="en-US"/>
              </w:rPr>
              <w:t>he</w:t>
            </w:r>
            <w:r w:rsidR="00A56E17">
              <w:rPr>
                <w:rFonts w:ascii="Arial" w:hAnsi="Arial" w:cs="Arial"/>
                <w:sz w:val="20"/>
                <w:szCs w:val="20"/>
                <w:lang w:val="en-US"/>
              </w:rPr>
              <w:t xml:space="preserve"> level of</w:t>
            </w:r>
            <w:r w:rsidR="007B4D1A" w:rsidRPr="001775A6">
              <w:rPr>
                <w:rFonts w:ascii="Arial" w:hAnsi="Arial" w:cs="Arial"/>
                <w:sz w:val="20"/>
                <w:szCs w:val="20"/>
                <w:lang w:val="en-US"/>
              </w:rPr>
              <w:t xml:space="preserve"> </w:t>
            </w:r>
            <w:r w:rsidR="00A56E17">
              <w:rPr>
                <w:rFonts w:ascii="Arial" w:hAnsi="Arial" w:cs="Arial"/>
                <w:sz w:val="20"/>
                <w:szCs w:val="20"/>
                <w:lang w:val="en-US"/>
              </w:rPr>
              <w:t xml:space="preserve">information contained within the </w:t>
            </w:r>
            <w:r w:rsidR="007B4D1A" w:rsidRPr="001775A6">
              <w:rPr>
                <w:rFonts w:ascii="Arial" w:hAnsi="Arial" w:cs="Arial"/>
                <w:sz w:val="20"/>
                <w:szCs w:val="20"/>
                <w:lang w:val="en-US"/>
              </w:rPr>
              <w:t xml:space="preserve">proponent’s assessment documentation </w:t>
            </w:r>
            <w:r w:rsidR="004937C3">
              <w:rPr>
                <w:rFonts w:ascii="Arial" w:hAnsi="Arial" w:cs="Arial"/>
                <w:sz w:val="20"/>
                <w:szCs w:val="20"/>
                <w:lang w:val="en-US"/>
              </w:rPr>
              <w:t>is in</w:t>
            </w:r>
            <w:r w:rsidR="009F007B" w:rsidRPr="00444467">
              <w:rPr>
                <w:rFonts w:ascii="Arial" w:hAnsi="Arial" w:cs="Arial"/>
                <w:sz w:val="20"/>
                <w:szCs w:val="20"/>
                <w:lang w:val="en-US"/>
              </w:rPr>
              <w:t xml:space="preserve">sufficient </w:t>
            </w:r>
            <w:r w:rsidR="004937C3">
              <w:rPr>
                <w:rFonts w:ascii="Arial" w:hAnsi="Arial" w:cs="Arial"/>
                <w:sz w:val="20"/>
                <w:szCs w:val="20"/>
                <w:lang w:val="en-US"/>
              </w:rPr>
              <w:t xml:space="preserve">to provide </w:t>
            </w:r>
            <w:r w:rsidR="00D904E6">
              <w:rPr>
                <w:rFonts w:ascii="Arial" w:hAnsi="Arial" w:cs="Arial"/>
                <w:sz w:val="20"/>
                <w:szCs w:val="20"/>
                <w:lang w:val="en-US"/>
              </w:rPr>
              <w:t>a</w:t>
            </w:r>
            <w:r w:rsidR="00036FCB" w:rsidRPr="00444467">
              <w:rPr>
                <w:rFonts w:ascii="Arial" w:hAnsi="Arial" w:cs="Arial"/>
                <w:sz w:val="20"/>
                <w:szCs w:val="20"/>
                <w:lang w:val="en-US"/>
              </w:rPr>
              <w:t xml:space="preserve"> clear understanding of </w:t>
            </w:r>
            <w:r w:rsidR="007B4D1A" w:rsidRPr="00444467">
              <w:rPr>
                <w:rFonts w:ascii="Arial" w:hAnsi="Arial" w:cs="Arial"/>
                <w:sz w:val="20"/>
                <w:szCs w:val="20"/>
                <w:lang w:val="en-US"/>
              </w:rPr>
              <w:t xml:space="preserve">the </w:t>
            </w:r>
            <w:r w:rsidR="005967FB" w:rsidRPr="00444467">
              <w:rPr>
                <w:rFonts w:ascii="Arial" w:hAnsi="Arial" w:cs="Arial"/>
                <w:sz w:val="20"/>
                <w:szCs w:val="20"/>
                <w:lang w:val="en-US"/>
              </w:rPr>
              <w:t>potentia</w:t>
            </w:r>
            <w:r w:rsidR="007B4D1A" w:rsidRPr="00444467">
              <w:rPr>
                <w:rFonts w:ascii="Arial" w:hAnsi="Arial" w:cs="Arial"/>
                <w:sz w:val="20"/>
                <w:szCs w:val="20"/>
                <w:lang w:val="en-US"/>
              </w:rPr>
              <w:t>l risks associated with this project</w:t>
            </w:r>
            <w:r w:rsidR="00962E6D" w:rsidRPr="00444467">
              <w:rPr>
                <w:rFonts w:ascii="Arial" w:hAnsi="Arial" w:cs="Arial"/>
                <w:sz w:val="20"/>
                <w:szCs w:val="20"/>
                <w:lang w:val="en-US"/>
              </w:rPr>
              <w:t>.</w:t>
            </w:r>
            <w:r w:rsidR="007B4D1A" w:rsidRPr="001775A6">
              <w:rPr>
                <w:rFonts w:ascii="Arial" w:hAnsi="Arial" w:cs="Arial"/>
                <w:sz w:val="20"/>
                <w:szCs w:val="20"/>
                <w:lang w:val="en-US"/>
              </w:rPr>
              <w:t xml:space="preserve"> </w:t>
            </w:r>
          </w:p>
          <w:p w:rsidR="002150BA" w:rsidRDefault="004F261C">
            <w:pPr>
              <w:spacing w:after="200"/>
              <w:rPr>
                <w:rFonts w:ascii="Arial" w:hAnsi="Arial" w:cs="Arial"/>
                <w:sz w:val="20"/>
                <w:szCs w:val="20"/>
                <w:lang w:val="en-US"/>
              </w:rPr>
            </w:pPr>
            <w:r w:rsidRPr="005759BE">
              <w:rPr>
                <w:rFonts w:ascii="Arial" w:hAnsi="Arial" w:cs="Arial"/>
                <w:sz w:val="20"/>
                <w:szCs w:val="20"/>
                <w:lang w:val="en-US"/>
              </w:rPr>
              <w:t xml:space="preserve">Limited water quality and </w:t>
            </w:r>
            <w:r w:rsidR="00963AF2" w:rsidRPr="005759BE">
              <w:rPr>
                <w:rFonts w:ascii="Arial" w:hAnsi="Arial" w:cs="Arial"/>
                <w:sz w:val="20"/>
                <w:szCs w:val="20"/>
                <w:lang w:val="en-US"/>
              </w:rPr>
              <w:t>aquatic</w:t>
            </w:r>
            <w:r w:rsidRPr="005759BE">
              <w:rPr>
                <w:rFonts w:ascii="Arial" w:hAnsi="Arial" w:cs="Arial"/>
                <w:sz w:val="20"/>
                <w:szCs w:val="20"/>
                <w:lang w:val="en-US"/>
              </w:rPr>
              <w:t xml:space="preserve"> ecological surveying has been undertaken.</w:t>
            </w:r>
            <w:r w:rsidR="00036B21">
              <w:rPr>
                <w:rFonts w:ascii="Arial" w:hAnsi="Arial" w:cs="Arial"/>
                <w:sz w:val="20"/>
                <w:szCs w:val="20"/>
                <w:lang w:val="en-US"/>
              </w:rPr>
              <w:t xml:space="preserve"> </w:t>
            </w:r>
            <w:r w:rsidR="008443F4" w:rsidRPr="001775A6">
              <w:rPr>
                <w:rFonts w:ascii="Arial" w:hAnsi="Arial" w:cs="Arial"/>
                <w:sz w:val="20"/>
                <w:szCs w:val="20"/>
                <w:lang w:val="en-US"/>
              </w:rPr>
              <w:t xml:space="preserve">The surface water and ecological surveys conducted do not adequately address the spatial, seasonal and temporal variability </w:t>
            </w:r>
            <w:r w:rsidR="00040214" w:rsidRPr="00444467">
              <w:rPr>
                <w:rFonts w:ascii="Arial" w:hAnsi="Arial" w:cs="Arial"/>
                <w:sz w:val="20"/>
                <w:szCs w:val="20"/>
                <w:lang w:val="en-US"/>
              </w:rPr>
              <w:t>across</w:t>
            </w:r>
            <w:r w:rsidR="008443F4" w:rsidRPr="00444467">
              <w:rPr>
                <w:rFonts w:ascii="Arial" w:hAnsi="Arial" w:cs="Arial"/>
                <w:sz w:val="20"/>
                <w:szCs w:val="20"/>
                <w:lang w:val="en-US"/>
              </w:rPr>
              <w:t xml:space="preserve"> the </w:t>
            </w:r>
            <w:r w:rsidR="00986A89" w:rsidRPr="00444467">
              <w:rPr>
                <w:rFonts w:ascii="Arial" w:hAnsi="Arial" w:cs="Arial"/>
                <w:sz w:val="20"/>
                <w:szCs w:val="20"/>
                <w:lang w:val="en-US"/>
              </w:rPr>
              <w:t>6,100 km</w:t>
            </w:r>
            <w:r w:rsidR="00986A89" w:rsidRPr="00444467">
              <w:rPr>
                <w:rFonts w:ascii="Arial" w:hAnsi="Arial" w:cs="Arial"/>
                <w:sz w:val="20"/>
                <w:szCs w:val="20"/>
                <w:vertAlign w:val="superscript"/>
                <w:lang w:val="en-US"/>
              </w:rPr>
              <w:t>2</w:t>
            </w:r>
            <w:r w:rsidR="008443F4" w:rsidRPr="001775A6">
              <w:rPr>
                <w:rFonts w:ascii="Arial" w:hAnsi="Arial" w:cs="Arial"/>
                <w:sz w:val="20"/>
                <w:szCs w:val="20"/>
                <w:lang w:val="en-US"/>
              </w:rPr>
              <w:t xml:space="preserve"> </w:t>
            </w:r>
            <w:r w:rsidR="00434270">
              <w:rPr>
                <w:rFonts w:ascii="Arial" w:hAnsi="Arial" w:cs="Arial"/>
                <w:sz w:val="20"/>
                <w:szCs w:val="20"/>
                <w:lang w:val="en-US"/>
              </w:rPr>
              <w:t>petroleum tenure</w:t>
            </w:r>
            <w:r w:rsidR="008443F4" w:rsidRPr="001775A6">
              <w:rPr>
                <w:rFonts w:ascii="Arial" w:hAnsi="Arial" w:cs="Arial"/>
                <w:sz w:val="20"/>
                <w:szCs w:val="20"/>
                <w:lang w:val="en-US"/>
              </w:rPr>
              <w:t xml:space="preserve"> area. These limitations </w:t>
            </w:r>
            <w:r w:rsidR="0060045D">
              <w:rPr>
                <w:rFonts w:ascii="Arial" w:hAnsi="Arial" w:cs="Arial"/>
                <w:sz w:val="20"/>
                <w:szCs w:val="20"/>
                <w:lang w:val="en-US"/>
              </w:rPr>
              <w:t>are likely to l</w:t>
            </w:r>
            <w:r w:rsidR="008443F4" w:rsidRPr="001775A6">
              <w:rPr>
                <w:rFonts w:ascii="Arial" w:hAnsi="Arial" w:cs="Arial"/>
                <w:sz w:val="20"/>
                <w:szCs w:val="20"/>
                <w:lang w:val="en-US"/>
              </w:rPr>
              <w:t xml:space="preserve">ead to an under-estimation of risks to water resources and aquatic ecosystems. Further assessment </w:t>
            </w:r>
            <w:r w:rsidR="006B03C8">
              <w:rPr>
                <w:rFonts w:ascii="Arial" w:hAnsi="Arial" w:cs="Arial"/>
                <w:sz w:val="20"/>
                <w:szCs w:val="20"/>
                <w:lang w:val="en-US"/>
              </w:rPr>
              <w:t>should</w:t>
            </w:r>
            <w:r w:rsidR="008443F4" w:rsidRPr="001775A6">
              <w:rPr>
                <w:rFonts w:ascii="Arial" w:hAnsi="Arial" w:cs="Arial"/>
                <w:sz w:val="20"/>
                <w:szCs w:val="20"/>
                <w:lang w:val="en-US"/>
              </w:rPr>
              <w:t xml:space="preserve"> expand the field surveys to allow for thorough assessment of impacts to </w:t>
            </w:r>
            <w:r w:rsidR="008E4D70" w:rsidRPr="001775A6">
              <w:rPr>
                <w:rFonts w:ascii="Arial" w:hAnsi="Arial" w:cs="Arial"/>
                <w:sz w:val="20"/>
                <w:szCs w:val="20"/>
                <w:lang w:val="en-US"/>
              </w:rPr>
              <w:t>e</w:t>
            </w:r>
            <w:r w:rsidR="008443F4" w:rsidRPr="001775A6">
              <w:rPr>
                <w:rFonts w:ascii="Arial" w:hAnsi="Arial" w:cs="Arial"/>
                <w:sz w:val="20"/>
                <w:szCs w:val="20"/>
                <w:lang w:val="en-US"/>
              </w:rPr>
              <w:t xml:space="preserve">cosystems and </w:t>
            </w:r>
            <w:r w:rsidR="00365B13" w:rsidRPr="001775A6">
              <w:rPr>
                <w:rFonts w:ascii="Arial" w:hAnsi="Arial" w:cs="Arial"/>
                <w:sz w:val="20"/>
                <w:szCs w:val="20"/>
                <w:lang w:val="en-US"/>
              </w:rPr>
              <w:t>ecological receptors</w:t>
            </w:r>
            <w:r w:rsidR="00A36511" w:rsidRPr="001775A6">
              <w:rPr>
                <w:rFonts w:ascii="Arial" w:hAnsi="Arial" w:cs="Arial"/>
                <w:sz w:val="20"/>
                <w:szCs w:val="20"/>
                <w:lang w:val="en-US"/>
              </w:rPr>
              <w:t xml:space="preserve"> </w:t>
            </w:r>
            <w:r w:rsidR="008E4D70" w:rsidRPr="001775A6">
              <w:rPr>
                <w:rFonts w:ascii="Arial" w:hAnsi="Arial" w:cs="Arial"/>
                <w:sz w:val="20"/>
                <w:szCs w:val="20"/>
                <w:lang w:val="en-US"/>
              </w:rPr>
              <w:t>throughout the development area</w:t>
            </w:r>
            <w:r w:rsidR="00365B13" w:rsidRPr="001775A6">
              <w:rPr>
                <w:rFonts w:ascii="Arial" w:hAnsi="Arial" w:cs="Arial"/>
                <w:sz w:val="20"/>
                <w:szCs w:val="20"/>
                <w:lang w:val="en-US"/>
              </w:rPr>
              <w:t xml:space="preserve">. </w:t>
            </w:r>
          </w:p>
          <w:p w:rsidR="002150BA" w:rsidRDefault="004F261C">
            <w:pPr>
              <w:spacing w:after="200"/>
              <w:rPr>
                <w:rFonts w:ascii="Arial" w:hAnsi="Arial" w:cs="Arial"/>
                <w:sz w:val="20"/>
                <w:szCs w:val="20"/>
                <w:lang w:val="en-US"/>
              </w:rPr>
            </w:pPr>
            <w:r w:rsidRPr="005759BE">
              <w:rPr>
                <w:rFonts w:ascii="Arial" w:hAnsi="Arial" w:cs="Arial"/>
                <w:sz w:val="20"/>
                <w:szCs w:val="20"/>
                <w:lang w:val="en-US"/>
              </w:rPr>
              <w:t>A regional water balance</w:t>
            </w:r>
            <w:r w:rsidR="005967FB" w:rsidRPr="00B115ED">
              <w:rPr>
                <w:rFonts w:ascii="Arial" w:hAnsi="Arial" w:cs="Arial"/>
                <w:sz w:val="20"/>
                <w:szCs w:val="20"/>
                <w:lang w:val="en-US"/>
              </w:rPr>
              <w:t xml:space="preserve"> </w:t>
            </w:r>
            <w:r w:rsidR="00940C31" w:rsidRPr="00B115ED">
              <w:rPr>
                <w:rFonts w:ascii="Arial" w:hAnsi="Arial" w:cs="Arial"/>
                <w:sz w:val="20"/>
                <w:szCs w:val="20"/>
                <w:lang w:val="en-US"/>
              </w:rPr>
              <w:t>and site</w:t>
            </w:r>
            <w:r w:rsidR="005967FB" w:rsidRPr="00B115ED">
              <w:rPr>
                <w:rFonts w:ascii="Arial" w:hAnsi="Arial" w:cs="Arial"/>
                <w:sz w:val="20"/>
                <w:szCs w:val="20"/>
                <w:lang w:val="en-US"/>
              </w:rPr>
              <w:t>-</w:t>
            </w:r>
            <w:r w:rsidR="00940C31" w:rsidRPr="00B115ED">
              <w:rPr>
                <w:rFonts w:ascii="Arial" w:hAnsi="Arial" w:cs="Arial"/>
                <w:sz w:val="20"/>
                <w:szCs w:val="20"/>
                <w:lang w:val="en-US"/>
              </w:rPr>
              <w:t xml:space="preserve">level </w:t>
            </w:r>
            <w:r w:rsidR="005967FB" w:rsidRPr="00B115ED">
              <w:rPr>
                <w:rFonts w:ascii="Arial" w:hAnsi="Arial" w:cs="Arial"/>
                <w:sz w:val="20"/>
                <w:szCs w:val="20"/>
                <w:lang w:val="en-US"/>
              </w:rPr>
              <w:t xml:space="preserve">surface water and groundwater </w:t>
            </w:r>
            <w:r w:rsidR="00940C31" w:rsidRPr="00B115ED">
              <w:rPr>
                <w:rFonts w:ascii="Arial" w:hAnsi="Arial" w:cs="Arial"/>
                <w:sz w:val="20"/>
                <w:szCs w:val="20"/>
                <w:lang w:val="en-US"/>
              </w:rPr>
              <w:t xml:space="preserve">balances </w:t>
            </w:r>
            <w:r w:rsidR="00940C31" w:rsidRPr="00444467">
              <w:rPr>
                <w:rFonts w:ascii="Arial" w:hAnsi="Arial" w:cs="Arial"/>
                <w:sz w:val="20"/>
                <w:szCs w:val="20"/>
                <w:lang w:val="en-US"/>
              </w:rPr>
              <w:t xml:space="preserve">are </w:t>
            </w:r>
            <w:r w:rsidR="00036FCB" w:rsidRPr="00444467">
              <w:rPr>
                <w:rFonts w:ascii="Arial" w:hAnsi="Arial" w:cs="Arial"/>
                <w:sz w:val="20"/>
                <w:szCs w:val="20"/>
                <w:lang w:val="en-US"/>
              </w:rPr>
              <w:t xml:space="preserve">not provided and are </w:t>
            </w:r>
            <w:r w:rsidR="00982DE1" w:rsidRPr="00444467">
              <w:rPr>
                <w:rFonts w:ascii="Arial" w:hAnsi="Arial" w:cs="Arial"/>
                <w:sz w:val="20"/>
                <w:szCs w:val="20"/>
                <w:lang w:val="en-US"/>
              </w:rPr>
              <w:t>needed</w:t>
            </w:r>
            <w:r w:rsidR="00940C31" w:rsidRPr="00B115ED">
              <w:rPr>
                <w:rFonts w:ascii="Arial" w:hAnsi="Arial" w:cs="Arial"/>
                <w:sz w:val="20"/>
                <w:szCs w:val="20"/>
                <w:lang w:val="en-US"/>
              </w:rPr>
              <w:t xml:space="preserve"> to accurat</w:t>
            </w:r>
            <w:r w:rsidR="005967FB" w:rsidRPr="00B115ED">
              <w:rPr>
                <w:rFonts w:ascii="Arial" w:hAnsi="Arial" w:cs="Arial"/>
                <w:sz w:val="20"/>
                <w:szCs w:val="20"/>
                <w:lang w:val="en-US"/>
              </w:rPr>
              <w:t>ely assess</w:t>
            </w:r>
            <w:r w:rsidR="00940C31" w:rsidRPr="00B115ED">
              <w:rPr>
                <w:rFonts w:ascii="Arial" w:hAnsi="Arial" w:cs="Arial"/>
                <w:sz w:val="20"/>
                <w:szCs w:val="20"/>
                <w:lang w:val="en-US"/>
              </w:rPr>
              <w:t xml:space="preserve"> </w:t>
            </w:r>
            <w:r w:rsidR="005967FB" w:rsidRPr="00B115ED">
              <w:rPr>
                <w:rFonts w:ascii="Arial" w:hAnsi="Arial" w:cs="Arial"/>
                <w:sz w:val="20"/>
                <w:szCs w:val="20"/>
                <w:lang w:val="en-US"/>
              </w:rPr>
              <w:t xml:space="preserve">local and regional scale </w:t>
            </w:r>
            <w:r w:rsidR="00940C31" w:rsidRPr="00B115ED">
              <w:rPr>
                <w:rFonts w:ascii="Arial" w:hAnsi="Arial" w:cs="Arial"/>
                <w:sz w:val="20"/>
                <w:szCs w:val="20"/>
                <w:lang w:val="en-US"/>
              </w:rPr>
              <w:t xml:space="preserve">impacts on water resources and dependent biota.  </w:t>
            </w:r>
          </w:p>
          <w:p w:rsidR="002150BA" w:rsidRDefault="00C33BF3" w:rsidP="00A56E17">
            <w:pPr>
              <w:spacing w:after="200"/>
              <w:rPr>
                <w:rFonts w:ascii="Arial" w:hAnsi="Arial" w:cs="Arial"/>
                <w:i/>
                <w:sz w:val="20"/>
                <w:szCs w:val="20"/>
                <w:u w:val="single"/>
                <w:lang w:val="en-US"/>
              </w:rPr>
            </w:pPr>
            <w:r>
              <w:rPr>
                <w:rFonts w:ascii="Arial" w:hAnsi="Arial" w:cs="Arial"/>
                <w:i/>
                <w:sz w:val="20"/>
                <w:szCs w:val="20"/>
                <w:u w:val="single"/>
                <w:lang w:val="en-US"/>
              </w:rPr>
              <w:t>Application of a</w:t>
            </w:r>
            <w:r w:rsidR="00052B0A" w:rsidRPr="00B115ED">
              <w:rPr>
                <w:rFonts w:ascii="Arial" w:hAnsi="Arial" w:cs="Arial"/>
                <w:i/>
                <w:sz w:val="20"/>
                <w:szCs w:val="20"/>
                <w:u w:val="single"/>
                <w:lang w:val="en-US"/>
              </w:rPr>
              <w:t>ppropriate methodologies: key conclusions</w:t>
            </w:r>
          </w:p>
          <w:p w:rsidR="002150BA" w:rsidRDefault="006B03C8" w:rsidP="00A56E17">
            <w:pPr>
              <w:spacing w:after="200"/>
              <w:rPr>
                <w:rFonts w:ascii="Arial" w:hAnsi="Arial" w:cs="Arial"/>
                <w:sz w:val="20"/>
                <w:szCs w:val="20"/>
                <w:lang w:val="en-US"/>
              </w:rPr>
            </w:pPr>
            <w:r w:rsidRPr="006B03C8">
              <w:rPr>
                <w:rFonts w:ascii="Arial" w:hAnsi="Arial" w:cs="Arial"/>
                <w:sz w:val="20"/>
                <w:szCs w:val="20"/>
                <w:lang w:val="en-US"/>
              </w:rPr>
              <w:t xml:space="preserve">The proponent has adopted the </w:t>
            </w:r>
            <w:r w:rsidR="00212D81">
              <w:rPr>
                <w:rFonts w:ascii="Arial" w:hAnsi="Arial" w:cs="Arial"/>
                <w:sz w:val="20"/>
                <w:szCs w:val="20"/>
                <w:lang w:val="en-US"/>
              </w:rPr>
              <w:t xml:space="preserve">Queensland </w:t>
            </w:r>
            <w:r w:rsidRPr="006B03C8">
              <w:rPr>
                <w:rFonts w:ascii="Arial" w:hAnsi="Arial" w:cs="Arial"/>
                <w:sz w:val="20"/>
                <w:szCs w:val="20"/>
                <w:lang w:val="en-US"/>
              </w:rPr>
              <w:t>Office of Groundwater Impact Assessment</w:t>
            </w:r>
            <w:r w:rsidR="00E538CB">
              <w:rPr>
                <w:rFonts w:ascii="Arial" w:hAnsi="Arial" w:cs="Arial"/>
                <w:sz w:val="20"/>
                <w:szCs w:val="20"/>
                <w:lang w:val="en-US"/>
              </w:rPr>
              <w:t>’</w:t>
            </w:r>
            <w:r w:rsidRPr="006B03C8">
              <w:rPr>
                <w:rFonts w:ascii="Arial" w:hAnsi="Arial" w:cs="Arial"/>
                <w:sz w:val="20"/>
                <w:szCs w:val="20"/>
                <w:lang w:val="en-US"/>
              </w:rPr>
              <w:t xml:space="preserve">s (OGIA) </w:t>
            </w:r>
            <w:proofErr w:type="spellStart"/>
            <w:r w:rsidRPr="006B03C8">
              <w:rPr>
                <w:rFonts w:ascii="Arial" w:hAnsi="Arial" w:cs="Arial"/>
                <w:sz w:val="20"/>
                <w:szCs w:val="20"/>
                <w:lang w:val="en-US"/>
              </w:rPr>
              <w:t>Surat</w:t>
            </w:r>
            <w:proofErr w:type="spellEnd"/>
            <w:r w:rsidRPr="006B03C8">
              <w:rPr>
                <w:rFonts w:ascii="Arial" w:hAnsi="Arial" w:cs="Arial"/>
                <w:sz w:val="20"/>
                <w:szCs w:val="20"/>
                <w:lang w:val="en-US"/>
              </w:rPr>
              <w:t xml:space="preserve"> Cumulative Management Area Groundwater Model, which incorporates the smaller scale </w:t>
            </w:r>
            <w:proofErr w:type="spellStart"/>
            <w:r w:rsidRPr="006B03C8">
              <w:rPr>
                <w:rFonts w:ascii="Arial" w:hAnsi="Arial" w:cs="Arial"/>
                <w:sz w:val="20"/>
                <w:szCs w:val="20"/>
                <w:lang w:val="en-US"/>
              </w:rPr>
              <w:t>Condamine</w:t>
            </w:r>
            <w:proofErr w:type="spellEnd"/>
            <w:r w:rsidRPr="006B03C8">
              <w:rPr>
                <w:rFonts w:ascii="Arial" w:hAnsi="Arial" w:cs="Arial"/>
                <w:sz w:val="20"/>
                <w:szCs w:val="20"/>
                <w:lang w:val="en-US"/>
              </w:rPr>
              <w:t xml:space="preserve"> Alluvium model. </w:t>
            </w:r>
            <w:r w:rsidR="002E5F54" w:rsidRPr="002E5F54">
              <w:rPr>
                <w:rFonts w:ascii="Arial" w:hAnsi="Arial" w:cs="Arial"/>
                <w:sz w:val="20"/>
                <w:szCs w:val="20"/>
                <w:lang w:val="en-US"/>
              </w:rPr>
              <w:t xml:space="preserve">Whilst </w:t>
            </w:r>
            <w:r w:rsidR="002E5F54">
              <w:rPr>
                <w:rFonts w:ascii="Arial" w:hAnsi="Arial" w:cs="Arial"/>
                <w:sz w:val="20"/>
                <w:szCs w:val="20"/>
                <w:lang w:val="en-US"/>
              </w:rPr>
              <w:t xml:space="preserve">the </w:t>
            </w:r>
            <w:r>
              <w:rPr>
                <w:rFonts w:ascii="Arial" w:hAnsi="Arial" w:cs="Arial"/>
                <w:sz w:val="20"/>
                <w:szCs w:val="20"/>
                <w:lang w:val="en-US"/>
              </w:rPr>
              <w:t xml:space="preserve">OGIA model is the </w:t>
            </w:r>
            <w:r w:rsidR="002E5F54">
              <w:rPr>
                <w:rFonts w:ascii="Arial" w:hAnsi="Arial" w:cs="Arial"/>
                <w:sz w:val="20"/>
                <w:szCs w:val="20"/>
                <w:lang w:val="en-US"/>
              </w:rPr>
              <w:t xml:space="preserve">most </w:t>
            </w:r>
            <w:r w:rsidR="002E5F54" w:rsidRPr="002E5F54">
              <w:rPr>
                <w:rFonts w:ascii="Arial" w:hAnsi="Arial" w:cs="Arial"/>
                <w:sz w:val="20"/>
                <w:szCs w:val="20"/>
                <w:lang w:val="en-US"/>
              </w:rPr>
              <w:t>relevant model available for assessing regional-scale groundwater impacts</w:t>
            </w:r>
            <w:r w:rsidR="00083463">
              <w:rPr>
                <w:rFonts w:ascii="Arial" w:hAnsi="Arial" w:cs="Arial"/>
                <w:sz w:val="20"/>
                <w:szCs w:val="20"/>
                <w:lang w:val="en-US"/>
              </w:rPr>
              <w:t xml:space="preserve"> in the </w:t>
            </w:r>
            <w:proofErr w:type="spellStart"/>
            <w:r w:rsidR="00083463">
              <w:rPr>
                <w:rFonts w:ascii="Arial" w:hAnsi="Arial" w:cs="Arial"/>
                <w:sz w:val="20"/>
                <w:szCs w:val="20"/>
                <w:lang w:val="en-US"/>
              </w:rPr>
              <w:t>Surat</w:t>
            </w:r>
            <w:proofErr w:type="spellEnd"/>
            <w:r w:rsidR="00083463">
              <w:rPr>
                <w:rFonts w:ascii="Arial" w:hAnsi="Arial" w:cs="Arial"/>
                <w:sz w:val="20"/>
                <w:szCs w:val="20"/>
                <w:lang w:val="en-US"/>
              </w:rPr>
              <w:t xml:space="preserve"> Basin</w:t>
            </w:r>
            <w:r w:rsidR="002E5F54" w:rsidRPr="002E5F54">
              <w:rPr>
                <w:rFonts w:ascii="Arial" w:hAnsi="Arial" w:cs="Arial"/>
                <w:sz w:val="20"/>
                <w:szCs w:val="20"/>
                <w:lang w:val="en-US"/>
              </w:rPr>
              <w:t xml:space="preserve">, </w:t>
            </w:r>
            <w:r w:rsidR="00083463">
              <w:rPr>
                <w:rFonts w:ascii="Arial" w:hAnsi="Arial" w:cs="Arial"/>
                <w:sz w:val="20"/>
                <w:szCs w:val="20"/>
                <w:lang w:val="en-US"/>
              </w:rPr>
              <w:t>th</w:t>
            </w:r>
            <w:r w:rsidR="002F63AF">
              <w:rPr>
                <w:rFonts w:ascii="Arial" w:hAnsi="Arial" w:cs="Arial"/>
                <w:sz w:val="20"/>
                <w:szCs w:val="20"/>
                <w:lang w:val="en-US"/>
              </w:rPr>
              <w:t>e</w:t>
            </w:r>
            <w:r w:rsidR="00083463">
              <w:rPr>
                <w:rFonts w:ascii="Arial" w:hAnsi="Arial" w:cs="Arial"/>
                <w:sz w:val="20"/>
                <w:szCs w:val="20"/>
                <w:lang w:val="en-US"/>
              </w:rPr>
              <w:t xml:space="preserve"> model has limited ability to predict </w:t>
            </w:r>
            <w:proofErr w:type="spellStart"/>
            <w:r w:rsidR="002E5F54" w:rsidRPr="002E5F54">
              <w:rPr>
                <w:rFonts w:ascii="Arial" w:hAnsi="Arial" w:cs="Arial"/>
                <w:sz w:val="20"/>
                <w:szCs w:val="20"/>
                <w:lang w:val="en-US"/>
              </w:rPr>
              <w:t>localised</w:t>
            </w:r>
            <w:proofErr w:type="spellEnd"/>
            <w:r w:rsidR="002E5F54" w:rsidRPr="002E5F54">
              <w:rPr>
                <w:rFonts w:ascii="Arial" w:hAnsi="Arial" w:cs="Arial"/>
                <w:sz w:val="20"/>
                <w:szCs w:val="20"/>
                <w:lang w:val="en-US"/>
              </w:rPr>
              <w:t xml:space="preserve"> impacts outside of the </w:t>
            </w:r>
            <w:proofErr w:type="spellStart"/>
            <w:r w:rsidR="002E5F54" w:rsidRPr="002E5F54">
              <w:rPr>
                <w:rFonts w:ascii="Arial" w:hAnsi="Arial" w:cs="Arial"/>
                <w:sz w:val="20"/>
                <w:szCs w:val="20"/>
                <w:lang w:val="en-US"/>
              </w:rPr>
              <w:t>Condamine</w:t>
            </w:r>
            <w:proofErr w:type="spellEnd"/>
            <w:r w:rsidR="002E5F54" w:rsidRPr="002E5F54">
              <w:rPr>
                <w:rFonts w:ascii="Arial" w:hAnsi="Arial" w:cs="Arial"/>
                <w:sz w:val="20"/>
                <w:szCs w:val="20"/>
                <w:lang w:val="en-US"/>
              </w:rPr>
              <w:t xml:space="preserve"> Alluvium.</w:t>
            </w:r>
            <w:r w:rsidR="002E5F54">
              <w:rPr>
                <w:rFonts w:ascii="Arial" w:hAnsi="Arial" w:cs="Arial"/>
                <w:sz w:val="20"/>
                <w:szCs w:val="20"/>
                <w:lang w:val="en-US"/>
              </w:rPr>
              <w:t xml:space="preserve"> </w:t>
            </w:r>
            <w:r w:rsidR="004914C7">
              <w:rPr>
                <w:rFonts w:ascii="Arial" w:hAnsi="Arial" w:cs="Arial"/>
                <w:sz w:val="20"/>
                <w:szCs w:val="20"/>
                <w:lang w:val="en-US"/>
              </w:rPr>
              <w:t xml:space="preserve">Development of a combined surface water-groundwater model and </w:t>
            </w:r>
            <w:r w:rsidR="00244F9C">
              <w:rPr>
                <w:rFonts w:ascii="Arial" w:hAnsi="Arial" w:cs="Arial"/>
                <w:sz w:val="20"/>
                <w:szCs w:val="20"/>
                <w:lang w:val="en-US"/>
              </w:rPr>
              <w:t xml:space="preserve">monitoring systems that enable early detection of </w:t>
            </w:r>
            <w:r w:rsidR="00653E53">
              <w:rPr>
                <w:rFonts w:ascii="Arial" w:hAnsi="Arial" w:cs="Arial"/>
                <w:sz w:val="20"/>
                <w:szCs w:val="20"/>
                <w:lang w:val="en-US"/>
              </w:rPr>
              <w:t xml:space="preserve">potential impacts </w:t>
            </w:r>
            <w:r w:rsidR="00244F9C">
              <w:rPr>
                <w:rFonts w:ascii="Arial" w:hAnsi="Arial" w:cs="Arial"/>
                <w:sz w:val="20"/>
                <w:szCs w:val="20"/>
                <w:lang w:val="en-US"/>
              </w:rPr>
              <w:t xml:space="preserve">would facilitate improved identification and proactive management of potential impacts at a </w:t>
            </w:r>
            <w:proofErr w:type="spellStart"/>
            <w:r w:rsidR="00244F9C">
              <w:rPr>
                <w:rFonts w:ascii="Arial" w:hAnsi="Arial" w:cs="Arial"/>
                <w:sz w:val="20"/>
                <w:szCs w:val="20"/>
                <w:lang w:val="en-US"/>
              </w:rPr>
              <w:t>localised</w:t>
            </w:r>
            <w:proofErr w:type="spellEnd"/>
            <w:r w:rsidR="00244F9C">
              <w:rPr>
                <w:rFonts w:ascii="Arial" w:hAnsi="Arial" w:cs="Arial"/>
                <w:sz w:val="20"/>
                <w:szCs w:val="20"/>
                <w:lang w:val="en-US"/>
              </w:rPr>
              <w:t xml:space="preserve"> scale. </w:t>
            </w:r>
          </w:p>
          <w:p w:rsidR="002150BA" w:rsidRDefault="00236B8B" w:rsidP="00A56E17">
            <w:pPr>
              <w:spacing w:after="200"/>
              <w:rPr>
                <w:rFonts w:ascii="Arial" w:hAnsi="Arial" w:cs="Arial"/>
                <w:sz w:val="20"/>
                <w:szCs w:val="20"/>
                <w:lang w:val="en-US"/>
              </w:rPr>
            </w:pPr>
            <w:r>
              <w:rPr>
                <w:rFonts w:ascii="Arial" w:hAnsi="Arial" w:cs="Arial"/>
                <w:sz w:val="20"/>
                <w:szCs w:val="20"/>
                <w:lang w:val="en-US"/>
              </w:rPr>
              <w:t xml:space="preserve">Identification </w:t>
            </w:r>
            <w:r w:rsidR="00244F9C">
              <w:rPr>
                <w:rFonts w:ascii="Arial" w:hAnsi="Arial" w:cs="Arial"/>
                <w:sz w:val="20"/>
                <w:szCs w:val="20"/>
                <w:lang w:val="en-US"/>
              </w:rPr>
              <w:t xml:space="preserve">and differentiation of </w:t>
            </w:r>
            <w:r>
              <w:rPr>
                <w:rFonts w:ascii="Arial" w:hAnsi="Arial" w:cs="Arial"/>
                <w:sz w:val="20"/>
                <w:szCs w:val="20"/>
                <w:lang w:val="en-US"/>
              </w:rPr>
              <w:t xml:space="preserve">flux between the </w:t>
            </w:r>
            <w:proofErr w:type="spellStart"/>
            <w:r w:rsidRPr="00FF72A2">
              <w:rPr>
                <w:rFonts w:ascii="Arial" w:hAnsi="Arial" w:cs="Arial"/>
                <w:sz w:val="20"/>
                <w:szCs w:val="20"/>
                <w:lang w:val="en-US"/>
              </w:rPr>
              <w:t>Condamine</w:t>
            </w:r>
            <w:proofErr w:type="spellEnd"/>
            <w:r w:rsidRPr="00FF72A2">
              <w:rPr>
                <w:rFonts w:ascii="Arial" w:hAnsi="Arial" w:cs="Arial"/>
                <w:sz w:val="20"/>
                <w:szCs w:val="20"/>
                <w:lang w:val="en-US"/>
              </w:rPr>
              <w:t xml:space="preserve"> Alluvium</w:t>
            </w:r>
            <w:r w:rsidR="00444467" w:rsidRPr="00FF72A2">
              <w:rPr>
                <w:rFonts w:ascii="Arial" w:hAnsi="Arial" w:cs="Arial"/>
                <w:sz w:val="20"/>
                <w:szCs w:val="20"/>
                <w:lang w:val="en-US"/>
              </w:rPr>
              <w:t>,</w:t>
            </w:r>
            <w:r w:rsidRPr="00FF72A2">
              <w:rPr>
                <w:rFonts w:ascii="Arial" w:hAnsi="Arial" w:cs="Arial"/>
                <w:sz w:val="20"/>
                <w:szCs w:val="20"/>
                <w:lang w:val="en-US"/>
              </w:rPr>
              <w:t xml:space="preserve"> </w:t>
            </w:r>
            <w:r w:rsidR="00444467" w:rsidRPr="00FF72A2">
              <w:rPr>
                <w:rFonts w:ascii="Arial" w:hAnsi="Arial" w:cs="Arial"/>
                <w:sz w:val="20"/>
                <w:szCs w:val="20"/>
                <w:lang w:val="en-US"/>
              </w:rPr>
              <w:t xml:space="preserve">the Walloon Coal Measures and other </w:t>
            </w:r>
            <w:r w:rsidRPr="00FF72A2">
              <w:rPr>
                <w:rFonts w:ascii="Arial" w:hAnsi="Arial" w:cs="Arial"/>
                <w:sz w:val="20"/>
                <w:szCs w:val="20"/>
                <w:lang w:val="en-US"/>
              </w:rPr>
              <w:t>underlying aquifers</w:t>
            </w:r>
            <w:r>
              <w:rPr>
                <w:rFonts w:ascii="Arial" w:hAnsi="Arial" w:cs="Arial"/>
                <w:sz w:val="20"/>
                <w:szCs w:val="20"/>
                <w:lang w:val="en-US"/>
              </w:rPr>
              <w:t xml:space="preserve"> would </w:t>
            </w:r>
            <w:r w:rsidR="00294F88">
              <w:rPr>
                <w:rFonts w:ascii="Arial" w:hAnsi="Arial" w:cs="Arial"/>
                <w:sz w:val="20"/>
                <w:szCs w:val="20"/>
                <w:lang w:val="en-US"/>
              </w:rPr>
              <w:t>facilitate</w:t>
            </w:r>
            <w:r>
              <w:rPr>
                <w:rFonts w:ascii="Arial" w:hAnsi="Arial" w:cs="Arial"/>
                <w:sz w:val="20"/>
                <w:szCs w:val="20"/>
                <w:lang w:val="en-US"/>
              </w:rPr>
              <w:t xml:space="preserve"> a more spatially accurate prediction of drawdown </w:t>
            </w:r>
            <w:r w:rsidR="00AE0CC3">
              <w:rPr>
                <w:rFonts w:ascii="Arial" w:hAnsi="Arial" w:cs="Arial"/>
                <w:sz w:val="20"/>
                <w:szCs w:val="20"/>
                <w:lang w:val="en-US"/>
              </w:rPr>
              <w:t>with</w:t>
            </w:r>
            <w:r>
              <w:rPr>
                <w:rFonts w:ascii="Arial" w:hAnsi="Arial" w:cs="Arial"/>
                <w:sz w:val="20"/>
                <w:szCs w:val="20"/>
                <w:lang w:val="en-US"/>
              </w:rPr>
              <w:t xml:space="preserve">in the Alluvium. The potential for flow reversal from the </w:t>
            </w:r>
            <w:proofErr w:type="spellStart"/>
            <w:r>
              <w:rPr>
                <w:rFonts w:ascii="Arial" w:hAnsi="Arial" w:cs="Arial"/>
                <w:sz w:val="20"/>
                <w:szCs w:val="20"/>
                <w:lang w:val="en-US"/>
              </w:rPr>
              <w:t>Condamine</w:t>
            </w:r>
            <w:proofErr w:type="spellEnd"/>
            <w:r>
              <w:rPr>
                <w:rFonts w:ascii="Arial" w:hAnsi="Arial" w:cs="Arial"/>
                <w:sz w:val="20"/>
                <w:szCs w:val="20"/>
                <w:lang w:val="en-US"/>
              </w:rPr>
              <w:t xml:space="preserve"> Alluvium</w:t>
            </w:r>
            <w:r w:rsidR="00322820">
              <w:rPr>
                <w:rFonts w:ascii="Arial" w:hAnsi="Arial" w:cs="Arial"/>
                <w:sz w:val="20"/>
                <w:szCs w:val="20"/>
                <w:lang w:val="en-US"/>
              </w:rPr>
              <w:t xml:space="preserve"> to underlying aquifers should be </w:t>
            </w:r>
            <w:r w:rsidR="00322820" w:rsidRPr="00444467">
              <w:rPr>
                <w:rFonts w:ascii="Arial" w:hAnsi="Arial" w:cs="Arial"/>
                <w:sz w:val="20"/>
                <w:szCs w:val="20"/>
                <w:lang w:val="en-US"/>
              </w:rPr>
              <w:t>considered</w:t>
            </w:r>
            <w:r w:rsidR="00040214" w:rsidRPr="00444467">
              <w:rPr>
                <w:rFonts w:ascii="Arial" w:hAnsi="Arial" w:cs="Arial"/>
                <w:sz w:val="20"/>
                <w:szCs w:val="20"/>
                <w:lang w:val="en-US"/>
              </w:rPr>
              <w:t xml:space="preserve"> explicitly</w:t>
            </w:r>
            <w:r w:rsidR="00322820" w:rsidRPr="00444467">
              <w:rPr>
                <w:rFonts w:ascii="Arial" w:hAnsi="Arial" w:cs="Arial"/>
                <w:sz w:val="20"/>
                <w:szCs w:val="20"/>
                <w:lang w:val="en-US"/>
              </w:rPr>
              <w:t>.</w:t>
            </w:r>
            <w:r w:rsidR="00322820">
              <w:rPr>
                <w:rFonts w:ascii="Arial" w:hAnsi="Arial" w:cs="Arial"/>
                <w:sz w:val="20"/>
                <w:szCs w:val="20"/>
                <w:lang w:val="en-US"/>
              </w:rPr>
              <w:t xml:space="preserve"> </w:t>
            </w:r>
            <w:r>
              <w:rPr>
                <w:rFonts w:ascii="Arial" w:hAnsi="Arial" w:cs="Arial"/>
                <w:sz w:val="20"/>
                <w:szCs w:val="20"/>
                <w:lang w:val="en-US"/>
              </w:rPr>
              <w:t xml:space="preserve"> </w:t>
            </w:r>
          </w:p>
          <w:p w:rsidR="002150BA" w:rsidRDefault="0077696D" w:rsidP="00A56E17">
            <w:pPr>
              <w:spacing w:after="200"/>
              <w:rPr>
                <w:rFonts w:ascii="Arial" w:hAnsi="Arial" w:cs="Arial"/>
                <w:color w:val="000000" w:themeColor="text1"/>
                <w:sz w:val="20"/>
                <w:szCs w:val="20"/>
                <w:lang w:val="en-US"/>
              </w:rPr>
            </w:pPr>
            <w:r>
              <w:rPr>
                <w:rFonts w:ascii="Arial" w:hAnsi="Arial" w:cs="Arial"/>
                <w:color w:val="000000" w:themeColor="text1"/>
                <w:sz w:val="20"/>
                <w:szCs w:val="20"/>
                <w:lang w:val="en-US"/>
              </w:rPr>
              <w:t>Q</w:t>
            </w:r>
            <w:r w:rsidRPr="0077696D">
              <w:rPr>
                <w:rFonts w:ascii="Arial" w:hAnsi="Arial" w:cs="Arial"/>
                <w:color w:val="000000" w:themeColor="text1"/>
                <w:sz w:val="20"/>
                <w:szCs w:val="20"/>
                <w:lang w:val="en-US"/>
              </w:rPr>
              <w:t>uantification of potential compression in the Springbok Sandstone</w:t>
            </w:r>
            <w:r>
              <w:rPr>
                <w:rFonts w:ascii="Arial" w:hAnsi="Arial" w:cs="Arial"/>
                <w:color w:val="000000" w:themeColor="text1"/>
                <w:sz w:val="20"/>
                <w:szCs w:val="20"/>
                <w:lang w:val="en-US"/>
              </w:rPr>
              <w:t xml:space="preserve"> </w:t>
            </w:r>
            <w:r w:rsidR="006F4A29">
              <w:rPr>
                <w:rFonts w:ascii="Arial" w:hAnsi="Arial" w:cs="Arial"/>
                <w:color w:val="000000" w:themeColor="text1"/>
                <w:sz w:val="20"/>
                <w:szCs w:val="20"/>
                <w:lang w:val="en-US"/>
              </w:rPr>
              <w:t xml:space="preserve">would enable further evaluation of </w:t>
            </w:r>
            <w:proofErr w:type="gramStart"/>
            <w:r w:rsidR="006F4A29">
              <w:rPr>
                <w:rFonts w:ascii="Arial" w:hAnsi="Arial" w:cs="Arial"/>
                <w:color w:val="000000" w:themeColor="text1"/>
                <w:sz w:val="20"/>
                <w:szCs w:val="20"/>
                <w:lang w:val="en-US"/>
              </w:rPr>
              <w:t>the</w:t>
            </w:r>
            <w:r w:rsidRPr="0077696D">
              <w:rPr>
                <w:rFonts w:ascii="Arial" w:hAnsi="Arial" w:cs="Arial"/>
                <w:color w:val="000000" w:themeColor="text1"/>
                <w:sz w:val="20"/>
                <w:szCs w:val="20"/>
                <w:lang w:val="en-US"/>
              </w:rPr>
              <w:t xml:space="preserve">  </w:t>
            </w:r>
            <w:r w:rsidR="006F4A29">
              <w:rPr>
                <w:rFonts w:ascii="Arial" w:hAnsi="Arial" w:cs="Arial"/>
                <w:color w:val="000000" w:themeColor="text1"/>
                <w:sz w:val="20"/>
                <w:szCs w:val="20"/>
                <w:lang w:val="en-US"/>
              </w:rPr>
              <w:t>r</w:t>
            </w:r>
            <w:r w:rsidR="00A07386">
              <w:rPr>
                <w:rFonts w:ascii="Arial" w:hAnsi="Arial" w:cs="Arial"/>
                <w:color w:val="000000" w:themeColor="text1"/>
                <w:sz w:val="20"/>
                <w:szCs w:val="20"/>
                <w:lang w:val="en-US"/>
              </w:rPr>
              <w:t>isks</w:t>
            </w:r>
            <w:proofErr w:type="gramEnd"/>
            <w:r w:rsidR="00A07386">
              <w:rPr>
                <w:rFonts w:ascii="Arial" w:hAnsi="Arial" w:cs="Arial"/>
                <w:color w:val="000000" w:themeColor="text1"/>
                <w:sz w:val="20"/>
                <w:szCs w:val="20"/>
                <w:lang w:val="en-US"/>
              </w:rPr>
              <w:t xml:space="preserve"> to the structural integrity of </w:t>
            </w:r>
            <w:r w:rsidR="006F4A29">
              <w:rPr>
                <w:rFonts w:ascii="Arial" w:hAnsi="Arial" w:cs="Arial"/>
                <w:color w:val="000000" w:themeColor="text1"/>
                <w:sz w:val="20"/>
                <w:szCs w:val="20"/>
                <w:lang w:val="en-US"/>
              </w:rPr>
              <w:t>this aquifer</w:t>
            </w:r>
            <w:r w:rsidR="00A07386">
              <w:rPr>
                <w:rFonts w:ascii="Arial" w:hAnsi="Arial" w:cs="Arial"/>
                <w:color w:val="000000" w:themeColor="text1"/>
                <w:sz w:val="20"/>
                <w:szCs w:val="20"/>
                <w:lang w:val="en-US"/>
              </w:rPr>
              <w:t xml:space="preserve"> and overlying aquifers</w:t>
            </w:r>
            <w:r w:rsidR="006F4A29">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and the prediction of </w:t>
            </w:r>
            <w:r w:rsidR="00996F03">
              <w:rPr>
                <w:rFonts w:ascii="Arial" w:hAnsi="Arial" w:cs="Arial"/>
                <w:color w:val="000000" w:themeColor="text1"/>
                <w:sz w:val="20"/>
                <w:szCs w:val="20"/>
                <w:lang w:val="en-US"/>
              </w:rPr>
              <w:t>subsidence effects</w:t>
            </w:r>
            <w:r w:rsidR="006F4A29">
              <w:rPr>
                <w:rFonts w:ascii="Arial" w:hAnsi="Arial" w:cs="Arial"/>
                <w:color w:val="000000" w:themeColor="text1"/>
                <w:sz w:val="20"/>
                <w:szCs w:val="20"/>
                <w:lang w:val="en-US"/>
              </w:rPr>
              <w:t>.</w:t>
            </w:r>
          </w:p>
          <w:p w:rsidR="002150BA" w:rsidRDefault="00294F88" w:rsidP="00A56E17">
            <w:pPr>
              <w:spacing w:after="200"/>
              <w:rPr>
                <w:rFonts w:ascii="Arial" w:hAnsi="Arial" w:cs="Arial"/>
                <w:color w:val="000000" w:themeColor="text1"/>
                <w:sz w:val="20"/>
                <w:szCs w:val="20"/>
                <w:lang w:val="en-US"/>
              </w:rPr>
            </w:pPr>
            <w:r>
              <w:rPr>
                <w:rFonts w:ascii="Arial" w:hAnsi="Arial" w:cs="Arial"/>
                <w:color w:val="000000" w:themeColor="text1"/>
                <w:sz w:val="20"/>
                <w:szCs w:val="20"/>
                <w:lang w:val="en-US"/>
              </w:rPr>
              <w:t>I</w:t>
            </w:r>
            <w:r w:rsidR="00940C31" w:rsidRPr="002B7319">
              <w:rPr>
                <w:rFonts w:ascii="Arial" w:hAnsi="Arial" w:cs="Arial"/>
                <w:color w:val="000000" w:themeColor="text1"/>
                <w:sz w:val="20"/>
                <w:szCs w:val="20"/>
                <w:lang w:val="en-US"/>
              </w:rPr>
              <w:t xml:space="preserve">ntegrated </w:t>
            </w:r>
            <w:r>
              <w:rPr>
                <w:rFonts w:ascii="Arial" w:hAnsi="Arial" w:cs="Arial"/>
                <w:color w:val="000000" w:themeColor="text1"/>
                <w:sz w:val="20"/>
                <w:szCs w:val="20"/>
                <w:lang w:val="en-US"/>
              </w:rPr>
              <w:t>f</w:t>
            </w:r>
            <w:r w:rsidR="00940C31" w:rsidRPr="002B7319">
              <w:rPr>
                <w:rFonts w:ascii="Arial" w:hAnsi="Arial" w:cs="Arial"/>
                <w:color w:val="000000" w:themeColor="text1"/>
                <w:sz w:val="20"/>
                <w:szCs w:val="20"/>
                <w:lang w:val="en-US"/>
              </w:rPr>
              <w:t xml:space="preserve">lood </w:t>
            </w:r>
            <w:proofErr w:type="spellStart"/>
            <w:r w:rsidR="00940C31" w:rsidRPr="002B7319">
              <w:rPr>
                <w:rFonts w:ascii="Arial" w:hAnsi="Arial" w:cs="Arial"/>
                <w:color w:val="000000" w:themeColor="text1"/>
                <w:sz w:val="20"/>
                <w:szCs w:val="20"/>
                <w:lang w:val="en-US"/>
              </w:rPr>
              <w:t>mode</w:t>
            </w:r>
            <w:r w:rsidR="00A07386">
              <w:rPr>
                <w:rFonts w:ascii="Arial" w:hAnsi="Arial" w:cs="Arial"/>
                <w:color w:val="000000" w:themeColor="text1"/>
                <w:sz w:val="20"/>
                <w:szCs w:val="20"/>
                <w:lang w:val="en-US"/>
              </w:rPr>
              <w:t>l</w:t>
            </w:r>
            <w:r w:rsidR="00940C31" w:rsidRPr="002B7319">
              <w:rPr>
                <w:rFonts w:ascii="Arial" w:hAnsi="Arial" w:cs="Arial"/>
                <w:color w:val="000000" w:themeColor="text1"/>
                <w:sz w:val="20"/>
                <w:szCs w:val="20"/>
                <w:lang w:val="en-US"/>
              </w:rPr>
              <w:t>ling</w:t>
            </w:r>
            <w:proofErr w:type="spellEnd"/>
            <w:r w:rsidR="00940C31" w:rsidRPr="002B7319">
              <w:rPr>
                <w:rFonts w:ascii="Arial" w:hAnsi="Arial" w:cs="Arial"/>
                <w:color w:val="000000" w:themeColor="text1"/>
                <w:sz w:val="20"/>
                <w:szCs w:val="20"/>
                <w:lang w:val="en-US"/>
              </w:rPr>
              <w:t xml:space="preserve"> </w:t>
            </w:r>
            <w:r w:rsidR="00BF03DC">
              <w:rPr>
                <w:rFonts w:ascii="Arial" w:hAnsi="Arial" w:cs="Arial"/>
                <w:color w:val="000000" w:themeColor="text1"/>
                <w:sz w:val="20"/>
                <w:szCs w:val="20"/>
                <w:lang w:val="en-US"/>
              </w:rPr>
              <w:t xml:space="preserve">across each catchment area </w:t>
            </w:r>
            <w:r w:rsidR="006F4A29">
              <w:rPr>
                <w:rFonts w:ascii="Arial" w:hAnsi="Arial" w:cs="Arial"/>
                <w:color w:val="000000" w:themeColor="text1"/>
                <w:sz w:val="20"/>
                <w:szCs w:val="20"/>
                <w:lang w:val="en-US"/>
              </w:rPr>
              <w:t>would</w:t>
            </w:r>
            <w:r w:rsidR="00940C31" w:rsidRPr="002B7319">
              <w:rPr>
                <w:rFonts w:ascii="Arial" w:hAnsi="Arial" w:cs="Arial"/>
                <w:color w:val="000000" w:themeColor="text1"/>
                <w:sz w:val="20"/>
                <w:szCs w:val="20"/>
                <w:lang w:val="en-US"/>
              </w:rPr>
              <w:t xml:space="preserve"> ensure that risks to the environment and adjacent landholders arising from the development of project infrastructure have been adequately identified and mitigated.</w:t>
            </w:r>
          </w:p>
          <w:p w:rsidR="002150BA" w:rsidRDefault="00940C31" w:rsidP="00A56E17">
            <w:pPr>
              <w:spacing w:after="200"/>
              <w:rPr>
                <w:rFonts w:ascii="Arial" w:hAnsi="Arial" w:cs="Arial"/>
                <w:color w:val="000000" w:themeColor="text1"/>
                <w:sz w:val="20"/>
                <w:szCs w:val="20"/>
                <w:lang w:val="en-US"/>
              </w:rPr>
            </w:pPr>
            <w:r w:rsidRPr="002B7319">
              <w:rPr>
                <w:rFonts w:ascii="Arial" w:hAnsi="Arial" w:cs="Arial"/>
                <w:color w:val="000000" w:themeColor="text1"/>
                <w:sz w:val="20"/>
                <w:szCs w:val="20"/>
                <w:lang w:val="en-US"/>
              </w:rPr>
              <w:lastRenderedPageBreak/>
              <w:t>A regional level approach has been applied to identifying and assessing the sensitivity of environme</w:t>
            </w:r>
            <w:r w:rsidR="00B8374D">
              <w:rPr>
                <w:rFonts w:ascii="Arial" w:hAnsi="Arial" w:cs="Arial"/>
                <w:color w:val="000000" w:themeColor="text1"/>
                <w:sz w:val="20"/>
                <w:szCs w:val="20"/>
                <w:lang w:val="en-US"/>
              </w:rPr>
              <w:t>ntal values. This approach has</w:t>
            </w:r>
            <w:r w:rsidRPr="002B7319">
              <w:rPr>
                <w:rFonts w:ascii="Arial" w:hAnsi="Arial" w:cs="Arial"/>
                <w:color w:val="000000" w:themeColor="text1"/>
                <w:sz w:val="20"/>
                <w:szCs w:val="20"/>
                <w:lang w:val="en-US"/>
              </w:rPr>
              <w:t xml:space="preserve"> limited ability to protect local environmental values</w:t>
            </w:r>
            <w:r w:rsidR="00B93F9B">
              <w:rPr>
                <w:rFonts w:ascii="Arial" w:hAnsi="Arial" w:cs="Arial"/>
                <w:color w:val="000000" w:themeColor="text1"/>
                <w:sz w:val="20"/>
                <w:szCs w:val="20"/>
                <w:lang w:val="en-US"/>
              </w:rPr>
              <w:t xml:space="preserve"> and has led to conflicting allocation of sensitivity classifications</w:t>
            </w:r>
            <w:r w:rsidRPr="002B7319">
              <w:rPr>
                <w:rFonts w:ascii="Arial" w:hAnsi="Arial" w:cs="Arial"/>
                <w:color w:val="000000" w:themeColor="text1"/>
                <w:sz w:val="20"/>
                <w:szCs w:val="20"/>
                <w:lang w:val="en-US"/>
              </w:rPr>
              <w:t>.</w:t>
            </w:r>
          </w:p>
          <w:p w:rsidR="002150BA" w:rsidRDefault="00C33BF3" w:rsidP="00A56E17">
            <w:pPr>
              <w:spacing w:after="200"/>
              <w:rPr>
                <w:rFonts w:ascii="Arial" w:hAnsi="Arial" w:cs="Arial"/>
                <w:sz w:val="20"/>
                <w:szCs w:val="20"/>
                <w:lang w:val="en-US"/>
              </w:rPr>
            </w:pPr>
            <w:r w:rsidRPr="005759BE">
              <w:rPr>
                <w:rFonts w:ascii="Arial" w:hAnsi="Arial" w:cs="Arial"/>
                <w:color w:val="000000" w:themeColor="text1"/>
                <w:sz w:val="20"/>
                <w:szCs w:val="20"/>
                <w:lang w:val="en-US"/>
              </w:rPr>
              <w:t>The</w:t>
            </w:r>
            <w:r w:rsidR="004F261C" w:rsidRPr="005759BE">
              <w:rPr>
                <w:rFonts w:ascii="Arial" w:hAnsi="Arial" w:cs="Arial"/>
                <w:color w:val="000000" w:themeColor="text1"/>
                <w:sz w:val="20"/>
                <w:szCs w:val="20"/>
                <w:lang w:val="en-US"/>
              </w:rPr>
              <w:t xml:space="preserve"> assessment of cumulative impacts did not consider aquatic ecology, impacts from infrastructure development, </w:t>
            </w:r>
            <w:proofErr w:type="gramStart"/>
            <w:r w:rsidR="004F261C" w:rsidRPr="005759BE">
              <w:rPr>
                <w:rFonts w:ascii="Arial" w:hAnsi="Arial" w:cs="Arial"/>
                <w:color w:val="000000" w:themeColor="text1"/>
                <w:sz w:val="20"/>
                <w:szCs w:val="20"/>
                <w:lang w:val="en-US"/>
              </w:rPr>
              <w:t>discharges</w:t>
            </w:r>
            <w:proofErr w:type="gramEnd"/>
            <w:r w:rsidR="004F261C" w:rsidRPr="005759BE">
              <w:rPr>
                <w:rFonts w:ascii="Arial" w:hAnsi="Arial" w:cs="Arial"/>
                <w:color w:val="000000" w:themeColor="text1"/>
                <w:sz w:val="20"/>
                <w:szCs w:val="20"/>
                <w:lang w:val="en-US"/>
              </w:rPr>
              <w:t xml:space="preserve"> (other than co-produced water) and updated information on the </w:t>
            </w:r>
            <w:r w:rsidRPr="005759BE">
              <w:rPr>
                <w:rFonts w:ascii="Arial" w:hAnsi="Arial" w:cs="Arial"/>
                <w:color w:val="000000" w:themeColor="text1"/>
                <w:sz w:val="20"/>
                <w:szCs w:val="20"/>
                <w:lang w:val="en-US"/>
              </w:rPr>
              <w:t xml:space="preserve">potential </w:t>
            </w:r>
            <w:r w:rsidR="004F261C" w:rsidRPr="005759BE">
              <w:rPr>
                <w:rFonts w:ascii="Arial" w:hAnsi="Arial" w:cs="Arial"/>
                <w:color w:val="000000" w:themeColor="text1"/>
                <w:sz w:val="20"/>
                <w:szCs w:val="20"/>
                <w:lang w:val="en-US"/>
              </w:rPr>
              <w:t xml:space="preserve">impacts </w:t>
            </w:r>
            <w:r w:rsidRPr="005759BE">
              <w:rPr>
                <w:rFonts w:ascii="Arial" w:hAnsi="Arial" w:cs="Arial"/>
                <w:color w:val="000000" w:themeColor="text1"/>
                <w:sz w:val="20"/>
                <w:szCs w:val="20"/>
                <w:lang w:val="en-US"/>
              </w:rPr>
              <w:t>to groundwater dependent ecosystems</w:t>
            </w:r>
            <w:r w:rsidR="004F261C" w:rsidRPr="005759BE">
              <w:rPr>
                <w:rFonts w:ascii="Arial" w:hAnsi="Arial" w:cs="Arial"/>
                <w:color w:val="000000" w:themeColor="text1"/>
                <w:sz w:val="20"/>
                <w:szCs w:val="20"/>
                <w:lang w:val="en-US"/>
              </w:rPr>
              <w:t xml:space="preserve">. </w:t>
            </w:r>
          </w:p>
          <w:p w:rsidR="002150BA" w:rsidRDefault="00052B0A">
            <w:pPr>
              <w:spacing w:after="200"/>
              <w:rPr>
                <w:rFonts w:ascii="Arial" w:hAnsi="Arial" w:cs="Arial"/>
                <w:i/>
                <w:sz w:val="20"/>
                <w:szCs w:val="20"/>
                <w:u w:val="single"/>
                <w:lang w:val="en-US"/>
              </w:rPr>
            </w:pPr>
            <w:r w:rsidRPr="00B115ED">
              <w:rPr>
                <w:rFonts w:ascii="Arial" w:hAnsi="Arial" w:cs="Arial"/>
                <w:i/>
                <w:sz w:val="20"/>
                <w:szCs w:val="20"/>
                <w:u w:val="single"/>
                <w:lang w:val="en-US"/>
              </w:rPr>
              <w:t>Reasonable values and parameters in calculations</w:t>
            </w:r>
            <w:r w:rsidR="00B115ED">
              <w:rPr>
                <w:rFonts w:ascii="Arial" w:hAnsi="Arial" w:cs="Arial"/>
                <w:i/>
                <w:sz w:val="20"/>
                <w:szCs w:val="20"/>
                <w:u w:val="single"/>
                <w:lang w:val="en-US"/>
              </w:rPr>
              <w:t>: key conclusions</w:t>
            </w:r>
          </w:p>
          <w:p w:rsidR="00832911" w:rsidRDefault="004F261C">
            <w:pPr>
              <w:spacing w:after="200"/>
              <w:rPr>
                <w:rFonts w:ascii="Arial" w:hAnsi="Arial" w:cs="Arial"/>
                <w:sz w:val="20"/>
                <w:szCs w:val="20"/>
                <w:lang w:val="en-US"/>
              </w:rPr>
            </w:pPr>
            <w:r w:rsidRPr="005759BE">
              <w:rPr>
                <w:rFonts w:ascii="Arial" w:hAnsi="Arial" w:cs="Arial"/>
                <w:sz w:val="20"/>
                <w:szCs w:val="20"/>
                <w:lang w:val="en-US"/>
              </w:rPr>
              <w:t xml:space="preserve">The updated groundwater model does not incorporate all of the proposal’s tenement areas. Therefore, the magnitude and extent of groundwater drawdown and volume of co-produced water and brine generated </w:t>
            </w:r>
            <w:r w:rsidR="004C709C">
              <w:rPr>
                <w:rFonts w:ascii="Arial" w:hAnsi="Arial" w:cs="Arial"/>
                <w:sz w:val="20"/>
                <w:szCs w:val="20"/>
                <w:lang w:val="en-US"/>
              </w:rPr>
              <w:t>from production in the</w:t>
            </w:r>
            <w:r w:rsidR="00D904E6">
              <w:rPr>
                <w:rFonts w:ascii="Arial" w:hAnsi="Arial" w:cs="Arial"/>
                <w:sz w:val="20"/>
                <w:szCs w:val="20"/>
                <w:lang w:val="en-US"/>
              </w:rPr>
              <w:t>se areas are likely to be under</w:t>
            </w:r>
            <w:r w:rsidR="004C709C">
              <w:rPr>
                <w:rFonts w:ascii="Arial" w:hAnsi="Arial" w:cs="Arial"/>
                <w:sz w:val="20"/>
                <w:szCs w:val="20"/>
                <w:lang w:val="en-US"/>
              </w:rPr>
              <w:t>estimated</w:t>
            </w:r>
            <w:r w:rsidRPr="005759BE">
              <w:rPr>
                <w:rFonts w:ascii="Arial" w:hAnsi="Arial" w:cs="Arial"/>
                <w:sz w:val="20"/>
                <w:szCs w:val="20"/>
                <w:lang w:val="en-US"/>
              </w:rPr>
              <w:t>.</w:t>
            </w:r>
            <w:r w:rsidR="00832911">
              <w:rPr>
                <w:rFonts w:ascii="Arial" w:hAnsi="Arial" w:cs="Arial"/>
                <w:sz w:val="20"/>
                <w:szCs w:val="20"/>
                <w:lang w:val="en-US"/>
              </w:rPr>
              <w:t xml:space="preserve"> </w:t>
            </w:r>
          </w:p>
          <w:p w:rsidR="002150BA" w:rsidRDefault="00940C31">
            <w:pPr>
              <w:spacing w:after="200"/>
              <w:rPr>
                <w:rFonts w:ascii="Arial" w:hAnsi="Arial" w:cs="Arial"/>
                <w:sz w:val="20"/>
                <w:szCs w:val="20"/>
                <w:lang w:val="en-US"/>
              </w:rPr>
            </w:pPr>
            <w:r w:rsidRPr="00BF03DC">
              <w:rPr>
                <w:rFonts w:ascii="Arial" w:hAnsi="Arial" w:cs="Arial"/>
                <w:sz w:val="20"/>
                <w:szCs w:val="20"/>
                <w:lang w:val="en-US"/>
              </w:rPr>
              <w:t>Details of the reservoir model, used to estimate the total, average and peak volumes of co-produced water generated over the life of the project, hav</w:t>
            </w:r>
            <w:r w:rsidR="00BF03DC">
              <w:rPr>
                <w:rFonts w:ascii="Arial" w:hAnsi="Arial" w:cs="Arial"/>
                <w:sz w:val="20"/>
                <w:szCs w:val="20"/>
                <w:lang w:val="en-US"/>
              </w:rPr>
              <w:t xml:space="preserve">e not been provided. </w:t>
            </w:r>
            <w:r w:rsidR="0084094A">
              <w:rPr>
                <w:rFonts w:ascii="Arial" w:hAnsi="Arial" w:cs="Arial"/>
                <w:sz w:val="20"/>
                <w:szCs w:val="20"/>
                <w:lang w:val="en-US"/>
              </w:rPr>
              <w:t xml:space="preserve">There are no defined confidence limits on the </w:t>
            </w:r>
            <w:r w:rsidR="00B763C8">
              <w:rPr>
                <w:rFonts w:ascii="Arial" w:hAnsi="Arial" w:cs="Arial"/>
                <w:sz w:val="20"/>
                <w:szCs w:val="20"/>
                <w:lang w:val="en-US"/>
              </w:rPr>
              <w:t>predicted volume</w:t>
            </w:r>
            <w:r w:rsidR="00B8374D">
              <w:rPr>
                <w:rFonts w:ascii="Arial" w:hAnsi="Arial" w:cs="Arial"/>
                <w:sz w:val="20"/>
                <w:szCs w:val="20"/>
                <w:lang w:val="en-US"/>
              </w:rPr>
              <w:t>s</w:t>
            </w:r>
            <w:r w:rsidR="00B763C8">
              <w:rPr>
                <w:rFonts w:ascii="Arial" w:hAnsi="Arial" w:cs="Arial"/>
                <w:sz w:val="20"/>
                <w:szCs w:val="20"/>
                <w:lang w:val="en-US"/>
              </w:rPr>
              <w:t xml:space="preserve"> of co-produced water generated.</w:t>
            </w:r>
          </w:p>
          <w:p w:rsidR="0062054E" w:rsidRPr="007A36D1" w:rsidRDefault="00940C31" w:rsidP="007A36D1">
            <w:pPr>
              <w:spacing w:after="200"/>
              <w:rPr>
                <w:rFonts w:ascii="Arial" w:hAnsi="Arial" w:cs="Arial"/>
                <w:sz w:val="20"/>
                <w:szCs w:val="20"/>
                <w:lang w:val="en-US"/>
              </w:rPr>
            </w:pPr>
            <w:r w:rsidRPr="00901CD4">
              <w:rPr>
                <w:rFonts w:ascii="Arial" w:hAnsi="Arial" w:cs="Arial"/>
                <w:sz w:val="20"/>
                <w:szCs w:val="20"/>
                <w:lang w:val="en-US"/>
              </w:rPr>
              <w:t>The assessment of predicted impacts on hydrology, geomorphology and aquatic ecology h</w:t>
            </w:r>
            <w:r w:rsidR="005C3FBD" w:rsidRPr="00901CD4">
              <w:rPr>
                <w:rFonts w:ascii="Arial" w:hAnsi="Arial" w:cs="Arial"/>
                <w:sz w:val="20"/>
                <w:szCs w:val="20"/>
                <w:lang w:val="en-US"/>
              </w:rPr>
              <w:t xml:space="preserve">as been based on assumptions </w:t>
            </w:r>
            <w:r w:rsidR="0060045D" w:rsidRPr="00901CD4">
              <w:rPr>
                <w:rFonts w:ascii="Arial" w:hAnsi="Arial" w:cs="Arial"/>
                <w:sz w:val="20"/>
                <w:szCs w:val="20"/>
                <w:lang w:val="en-US"/>
              </w:rPr>
              <w:t>regarding</w:t>
            </w:r>
            <w:r w:rsidR="005C3FBD" w:rsidRPr="00901CD4">
              <w:rPr>
                <w:rFonts w:ascii="Arial" w:hAnsi="Arial" w:cs="Arial"/>
                <w:sz w:val="20"/>
                <w:szCs w:val="20"/>
                <w:lang w:val="en-US"/>
              </w:rPr>
              <w:t xml:space="preserve"> the quality and </w:t>
            </w:r>
            <w:r w:rsidRPr="00901CD4">
              <w:rPr>
                <w:rFonts w:ascii="Arial" w:hAnsi="Arial" w:cs="Arial"/>
                <w:sz w:val="20"/>
                <w:szCs w:val="20"/>
                <w:lang w:val="en-US"/>
              </w:rPr>
              <w:t xml:space="preserve">discharge </w:t>
            </w:r>
            <w:r w:rsidR="00CE747D" w:rsidRPr="00901CD4">
              <w:rPr>
                <w:rFonts w:ascii="Arial" w:hAnsi="Arial" w:cs="Arial"/>
                <w:sz w:val="20"/>
                <w:szCs w:val="20"/>
                <w:lang w:val="en-US"/>
              </w:rPr>
              <w:t xml:space="preserve">rates </w:t>
            </w:r>
            <w:r w:rsidR="000A5CA4" w:rsidRPr="00901CD4">
              <w:rPr>
                <w:rFonts w:ascii="Arial" w:hAnsi="Arial" w:cs="Arial"/>
                <w:sz w:val="20"/>
                <w:szCs w:val="20"/>
                <w:lang w:val="en-US"/>
              </w:rPr>
              <w:t xml:space="preserve">of co-produced water.  As the actual quality, quantity and discharge rates have not yet been </w:t>
            </w:r>
            <w:proofErr w:type="spellStart"/>
            <w:r w:rsidR="000A5CA4" w:rsidRPr="00901CD4">
              <w:rPr>
                <w:rFonts w:ascii="Arial" w:hAnsi="Arial" w:cs="Arial"/>
                <w:sz w:val="20"/>
                <w:szCs w:val="20"/>
                <w:lang w:val="en-US"/>
              </w:rPr>
              <w:t>finalised</w:t>
            </w:r>
            <w:proofErr w:type="spellEnd"/>
            <w:r w:rsidR="000A5CA4" w:rsidRPr="00901CD4">
              <w:rPr>
                <w:rFonts w:ascii="Arial" w:hAnsi="Arial" w:cs="Arial"/>
                <w:sz w:val="20"/>
                <w:szCs w:val="20"/>
                <w:lang w:val="en-US"/>
              </w:rPr>
              <w:t>, impacts may have been underestimated.</w:t>
            </w:r>
          </w:p>
          <w:p w:rsidR="00EE2BBA" w:rsidRPr="005C793F" w:rsidRDefault="00DC325B" w:rsidP="00EE2BBA">
            <w:pPr>
              <w:pStyle w:val="Default"/>
              <w:spacing w:after="200" w:line="276" w:lineRule="auto"/>
              <w:rPr>
                <w:rFonts w:ascii="Arial" w:eastAsia="Times New Roman" w:hAnsi="Arial" w:cs="Arial"/>
                <w:i/>
                <w:color w:val="auto"/>
                <w:sz w:val="20"/>
                <w:szCs w:val="20"/>
                <w:lang w:eastAsia="en-US"/>
              </w:rPr>
            </w:pPr>
            <w:r w:rsidRPr="005C793F">
              <w:rPr>
                <w:rFonts w:ascii="Arial" w:hAnsi="Arial" w:cs="Arial"/>
                <w:i/>
                <w:sz w:val="20"/>
                <w:szCs w:val="20"/>
              </w:rPr>
              <w:t>Question 1:</w:t>
            </w:r>
            <w:r w:rsidR="00EE2BBA" w:rsidRPr="005C793F">
              <w:rPr>
                <w:rFonts w:ascii="Arial" w:eastAsia="Times New Roman" w:hAnsi="Arial" w:cs="Arial"/>
                <w:i/>
                <w:color w:val="auto"/>
                <w:sz w:val="20"/>
                <w:szCs w:val="20"/>
                <w:lang w:eastAsia="en-US"/>
              </w:rPr>
              <w:t xml:space="preserve"> Does the supplementary EIS address the Committee’s advice of 20 February 2013 on the draft EIS?</w:t>
            </w:r>
          </w:p>
          <w:p w:rsidR="00A15A0C" w:rsidRPr="005F19E8" w:rsidRDefault="00A15A0C" w:rsidP="007A36D1">
            <w:pPr>
              <w:pStyle w:val="ListNumber"/>
              <w:numPr>
                <w:ilvl w:val="0"/>
                <w:numId w:val="0"/>
              </w:numPr>
              <w:spacing w:after="200"/>
              <w:ind w:firstLine="1"/>
              <w:rPr>
                <w:rFonts w:ascii="Arial" w:hAnsi="Arial" w:cs="Arial"/>
                <w:sz w:val="20"/>
                <w:szCs w:val="20"/>
                <w:lang w:val="en-US"/>
              </w:rPr>
            </w:pPr>
            <w:r w:rsidRPr="005F19E8">
              <w:rPr>
                <w:rFonts w:ascii="Arial" w:hAnsi="Arial" w:cs="Arial"/>
                <w:sz w:val="20"/>
                <w:szCs w:val="20"/>
                <w:lang w:val="en-US"/>
              </w:rPr>
              <w:t xml:space="preserve">Based on a review of SEIS documentation, </w:t>
            </w:r>
            <w:r w:rsidR="004644FB" w:rsidRPr="00901CD4">
              <w:rPr>
                <w:rFonts w:ascii="Arial" w:hAnsi="Arial" w:cs="Arial"/>
                <w:sz w:val="20"/>
                <w:szCs w:val="20"/>
                <w:lang w:val="en-US"/>
              </w:rPr>
              <w:t>one</w:t>
            </w:r>
            <w:r w:rsidRPr="00901CD4">
              <w:rPr>
                <w:rFonts w:ascii="Arial" w:hAnsi="Arial" w:cs="Arial"/>
                <w:sz w:val="20"/>
                <w:szCs w:val="20"/>
                <w:lang w:val="en-US"/>
              </w:rPr>
              <w:t xml:space="preserve"> matter </w:t>
            </w:r>
            <w:r w:rsidR="00306ECE" w:rsidRPr="00901CD4">
              <w:rPr>
                <w:rFonts w:ascii="Arial" w:hAnsi="Arial" w:cs="Arial"/>
                <w:sz w:val="20"/>
                <w:szCs w:val="20"/>
                <w:lang w:val="en-US"/>
              </w:rPr>
              <w:t xml:space="preserve">previously </w:t>
            </w:r>
            <w:r w:rsidRPr="00901CD4">
              <w:rPr>
                <w:rFonts w:ascii="Arial" w:hAnsi="Arial" w:cs="Arial"/>
                <w:sz w:val="20"/>
                <w:szCs w:val="20"/>
                <w:lang w:val="en-US"/>
              </w:rPr>
              <w:t xml:space="preserve">raised by the Committee, relating to the </w:t>
            </w:r>
            <w:r w:rsidR="004644FB" w:rsidRPr="00901CD4">
              <w:rPr>
                <w:rFonts w:ascii="Arial" w:hAnsi="Arial" w:cs="Arial"/>
                <w:sz w:val="20"/>
                <w:szCs w:val="20"/>
                <w:lang w:val="en-US"/>
              </w:rPr>
              <w:t>p</w:t>
            </w:r>
            <w:r w:rsidRPr="00901CD4">
              <w:rPr>
                <w:rFonts w:ascii="Arial" w:hAnsi="Arial" w:cs="Arial"/>
                <w:sz w:val="20"/>
                <w:szCs w:val="20"/>
                <w:lang w:val="en-US"/>
              </w:rPr>
              <w:t>otential impacts from well failure,</w:t>
            </w:r>
            <w:r w:rsidR="004644FB" w:rsidRPr="00901CD4">
              <w:rPr>
                <w:rFonts w:ascii="Arial" w:hAnsi="Arial" w:cs="Arial"/>
                <w:sz w:val="20"/>
                <w:szCs w:val="20"/>
                <w:lang w:val="en-US"/>
              </w:rPr>
              <w:t xml:space="preserve"> was</w:t>
            </w:r>
            <w:r w:rsidRPr="005F19E8">
              <w:rPr>
                <w:rFonts w:ascii="Arial" w:hAnsi="Arial" w:cs="Arial"/>
                <w:sz w:val="20"/>
                <w:szCs w:val="20"/>
                <w:lang w:val="en-US"/>
              </w:rPr>
              <w:t xml:space="preserve"> addressed in full and the remaining matters were partially addressed. </w:t>
            </w:r>
            <w:r w:rsidR="00FB18A2">
              <w:rPr>
                <w:rFonts w:ascii="Arial" w:hAnsi="Arial" w:cs="Arial"/>
                <w:sz w:val="20"/>
                <w:szCs w:val="20"/>
                <w:lang w:val="en-US"/>
              </w:rPr>
              <w:t>Observations and</w:t>
            </w:r>
            <w:r w:rsidR="00525111">
              <w:rPr>
                <w:rFonts w:ascii="Arial" w:hAnsi="Arial" w:cs="Arial"/>
                <w:sz w:val="20"/>
                <w:szCs w:val="20"/>
                <w:lang w:val="en-US"/>
              </w:rPr>
              <w:t xml:space="preserve"> advice</w:t>
            </w:r>
            <w:r w:rsidR="00FB18A2">
              <w:rPr>
                <w:rFonts w:ascii="Arial" w:hAnsi="Arial" w:cs="Arial"/>
                <w:sz w:val="20"/>
                <w:szCs w:val="20"/>
                <w:lang w:val="en-US"/>
              </w:rPr>
              <w:t xml:space="preserve"> in relation to partially addressed matters are provided below.</w:t>
            </w:r>
          </w:p>
          <w:p w:rsidR="00CF7635" w:rsidRPr="00E817DD" w:rsidRDefault="00A15A0C" w:rsidP="007A36D1">
            <w:pPr>
              <w:pStyle w:val="ListNumber"/>
              <w:numPr>
                <w:ilvl w:val="0"/>
                <w:numId w:val="8"/>
              </w:numPr>
              <w:spacing w:after="200"/>
              <w:ind w:left="426"/>
              <w:rPr>
                <w:rFonts w:ascii="Arial" w:hAnsi="Arial" w:cs="Arial"/>
                <w:sz w:val="20"/>
                <w:szCs w:val="20"/>
                <w:lang w:val="en-US"/>
              </w:rPr>
            </w:pPr>
            <w:r w:rsidRPr="00E817DD">
              <w:rPr>
                <w:rFonts w:ascii="Arial" w:hAnsi="Arial" w:cs="Arial"/>
                <w:i/>
                <w:sz w:val="20"/>
                <w:szCs w:val="20"/>
                <w:lang w:val="en-US"/>
              </w:rPr>
              <w:t>Groundwater model</w:t>
            </w:r>
            <w:r w:rsidR="00A724B5" w:rsidRPr="00E817DD">
              <w:rPr>
                <w:rFonts w:ascii="Arial" w:hAnsi="Arial" w:cs="Arial"/>
                <w:i/>
                <w:sz w:val="20"/>
                <w:szCs w:val="20"/>
                <w:lang w:val="en-US"/>
              </w:rPr>
              <w:t xml:space="preserve">: </w:t>
            </w:r>
            <w:r w:rsidR="00A724B5" w:rsidRPr="00E817DD">
              <w:rPr>
                <w:rFonts w:ascii="Arial" w:hAnsi="Arial" w:cs="Arial"/>
                <w:sz w:val="20"/>
                <w:szCs w:val="20"/>
                <w:lang w:val="en-US"/>
              </w:rPr>
              <w:t xml:space="preserve">The Committee </w:t>
            </w:r>
            <w:proofErr w:type="spellStart"/>
            <w:r w:rsidR="00A724B5" w:rsidRPr="00E817DD">
              <w:rPr>
                <w:rFonts w:ascii="Arial" w:hAnsi="Arial" w:cs="Arial"/>
                <w:sz w:val="20"/>
                <w:szCs w:val="20"/>
                <w:lang w:val="en-US"/>
              </w:rPr>
              <w:t>recognises</w:t>
            </w:r>
            <w:proofErr w:type="spellEnd"/>
            <w:r w:rsidR="00A724B5" w:rsidRPr="00E817DD">
              <w:rPr>
                <w:rFonts w:ascii="Arial" w:hAnsi="Arial" w:cs="Arial"/>
                <w:sz w:val="20"/>
                <w:szCs w:val="20"/>
                <w:lang w:val="en-US"/>
              </w:rPr>
              <w:t xml:space="preserve"> that the </w:t>
            </w:r>
            <w:r w:rsidR="00CE68AB">
              <w:rPr>
                <w:rFonts w:ascii="Arial" w:hAnsi="Arial" w:cs="Arial"/>
                <w:sz w:val="20"/>
                <w:szCs w:val="20"/>
                <w:lang w:val="en-US"/>
              </w:rPr>
              <w:t>OGIA g</w:t>
            </w:r>
            <w:r w:rsidR="000F4F56" w:rsidRPr="00E817DD">
              <w:rPr>
                <w:rFonts w:ascii="Arial" w:hAnsi="Arial" w:cs="Arial"/>
                <w:sz w:val="20"/>
                <w:szCs w:val="20"/>
                <w:lang w:val="en-US"/>
              </w:rPr>
              <w:t xml:space="preserve">roundwater </w:t>
            </w:r>
            <w:r w:rsidR="00CE68AB">
              <w:rPr>
                <w:rFonts w:ascii="Arial" w:hAnsi="Arial" w:cs="Arial"/>
                <w:sz w:val="20"/>
                <w:szCs w:val="20"/>
                <w:lang w:val="en-US"/>
              </w:rPr>
              <w:t>m</w:t>
            </w:r>
            <w:r w:rsidR="000F4F56" w:rsidRPr="00E817DD">
              <w:rPr>
                <w:rFonts w:ascii="Arial" w:hAnsi="Arial" w:cs="Arial"/>
                <w:sz w:val="20"/>
                <w:szCs w:val="20"/>
                <w:lang w:val="en-US"/>
              </w:rPr>
              <w:t>odel</w:t>
            </w:r>
            <w:r w:rsidR="00A724B5" w:rsidRPr="00E817DD">
              <w:rPr>
                <w:rFonts w:ascii="Arial" w:hAnsi="Arial" w:cs="Arial"/>
                <w:sz w:val="20"/>
                <w:szCs w:val="20"/>
                <w:lang w:val="en-US"/>
              </w:rPr>
              <w:t xml:space="preserve"> </w:t>
            </w:r>
            <w:r w:rsidR="00A724B5" w:rsidRPr="00E817DD">
              <w:rPr>
                <w:rFonts w:ascii="Arial" w:hAnsi="Arial" w:cs="Arial"/>
                <w:sz w:val="20"/>
                <w:szCs w:val="20"/>
              </w:rPr>
              <w:t>is the most relevant model available for assessing regional scale groundwater impacts in the Surat Basin</w:t>
            </w:r>
            <w:r w:rsidR="00E817DD" w:rsidRPr="00E817DD">
              <w:rPr>
                <w:rFonts w:ascii="Arial" w:hAnsi="Arial" w:cs="Arial"/>
                <w:sz w:val="20"/>
                <w:szCs w:val="20"/>
              </w:rPr>
              <w:t xml:space="preserve">. </w:t>
            </w:r>
            <w:r w:rsidR="00E817DD" w:rsidRPr="00E817DD">
              <w:rPr>
                <w:rFonts w:ascii="Arial" w:hAnsi="Arial" w:cs="Arial"/>
                <w:sz w:val="20"/>
                <w:szCs w:val="20"/>
                <w:lang w:val="en-US"/>
              </w:rPr>
              <w:t xml:space="preserve">Coupled with the </w:t>
            </w:r>
            <w:proofErr w:type="spellStart"/>
            <w:r w:rsidR="00E817DD" w:rsidRPr="00E817DD">
              <w:rPr>
                <w:rFonts w:ascii="Arial" w:hAnsi="Arial" w:cs="Arial"/>
                <w:sz w:val="20"/>
                <w:szCs w:val="20"/>
                <w:lang w:val="en-US"/>
              </w:rPr>
              <w:t>Condamine</w:t>
            </w:r>
            <w:proofErr w:type="spellEnd"/>
            <w:r w:rsidR="00E817DD" w:rsidRPr="00E817DD">
              <w:rPr>
                <w:rFonts w:ascii="Arial" w:hAnsi="Arial" w:cs="Arial"/>
                <w:sz w:val="20"/>
                <w:szCs w:val="20"/>
                <w:lang w:val="en-US"/>
              </w:rPr>
              <w:t xml:space="preserve"> Alluvium groundwater model, it </w:t>
            </w:r>
            <w:r w:rsidR="00D904E6">
              <w:rPr>
                <w:rFonts w:ascii="Arial" w:hAnsi="Arial" w:cs="Arial"/>
                <w:sz w:val="20"/>
                <w:szCs w:val="20"/>
                <w:lang w:val="en-US"/>
              </w:rPr>
              <w:t xml:space="preserve">has the ability to provide </w:t>
            </w:r>
            <w:r w:rsidR="00E817DD" w:rsidRPr="00E817DD">
              <w:rPr>
                <w:rFonts w:ascii="Arial" w:hAnsi="Arial" w:cs="Arial"/>
                <w:sz w:val="20"/>
                <w:szCs w:val="20"/>
                <w:lang w:val="en-US"/>
              </w:rPr>
              <w:t xml:space="preserve">a better assessment of impacts at a smaller scale within the </w:t>
            </w:r>
            <w:proofErr w:type="spellStart"/>
            <w:r w:rsidR="00E817DD" w:rsidRPr="00E817DD">
              <w:rPr>
                <w:rFonts w:ascii="Arial" w:hAnsi="Arial" w:cs="Arial"/>
                <w:sz w:val="20"/>
                <w:szCs w:val="20"/>
                <w:lang w:val="en-US"/>
              </w:rPr>
              <w:t>Condamine</w:t>
            </w:r>
            <w:proofErr w:type="spellEnd"/>
            <w:r w:rsidR="00CE68AB">
              <w:rPr>
                <w:rFonts w:ascii="Arial" w:hAnsi="Arial" w:cs="Arial"/>
                <w:sz w:val="20"/>
                <w:szCs w:val="20"/>
                <w:lang w:val="en-US"/>
              </w:rPr>
              <w:t xml:space="preserve"> Alluvium</w:t>
            </w:r>
            <w:r w:rsidR="00E817DD" w:rsidRPr="00E817DD">
              <w:rPr>
                <w:rFonts w:ascii="Arial" w:hAnsi="Arial" w:cs="Arial"/>
                <w:sz w:val="20"/>
                <w:szCs w:val="20"/>
                <w:lang w:val="en-US"/>
              </w:rPr>
              <w:t xml:space="preserve">. </w:t>
            </w:r>
            <w:r w:rsidR="00D904E6">
              <w:rPr>
                <w:rFonts w:ascii="Arial" w:hAnsi="Arial" w:cs="Arial"/>
                <w:sz w:val="20"/>
                <w:szCs w:val="20"/>
              </w:rPr>
              <w:t>By adopting the OGIA</w:t>
            </w:r>
            <w:r w:rsidR="002415A6" w:rsidRPr="00E817DD">
              <w:rPr>
                <w:rFonts w:ascii="Arial" w:hAnsi="Arial" w:cs="Arial"/>
                <w:sz w:val="20"/>
                <w:szCs w:val="20"/>
              </w:rPr>
              <w:t xml:space="preserve"> model as a basis for their assessment of groundwater</w:t>
            </w:r>
            <w:r w:rsidR="00D904E6">
              <w:rPr>
                <w:rFonts w:ascii="Arial" w:hAnsi="Arial" w:cs="Arial"/>
                <w:sz w:val="20"/>
                <w:szCs w:val="20"/>
              </w:rPr>
              <w:t xml:space="preserve"> depressurisation</w:t>
            </w:r>
            <w:r w:rsidR="002415A6" w:rsidRPr="00E817DD">
              <w:rPr>
                <w:rFonts w:ascii="Arial" w:hAnsi="Arial" w:cs="Arial"/>
                <w:sz w:val="20"/>
                <w:szCs w:val="20"/>
              </w:rPr>
              <w:t>, the proponent has</w:t>
            </w:r>
            <w:r w:rsidR="00DD3041">
              <w:rPr>
                <w:rFonts w:ascii="Arial" w:hAnsi="Arial" w:cs="Arial"/>
                <w:sz w:val="20"/>
                <w:szCs w:val="20"/>
              </w:rPr>
              <w:t>, compared to the draft EIS,</w:t>
            </w:r>
            <w:r w:rsidR="002415A6" w:rsidRPr="00E817DD">
              <w:rPr>
                <w:rFonts w:ascii="Arial" w:hAnsi="Arial" w:cs="Arial"/>
                <w:sz w:val="20"/>
                <w:szCs w:val="20"/>
              </w:rPr>
              <w:t xml:space="preserve"> provided a higher level of confidence </w:t>
            </w:r>
            <w:r w:rsidR="00CB00C9" w:rsidRPr="00E817DD">
              <w:rPr>
                <w:rFonts w:ascii="Arial" w:hAnsi="Arial" w:cs="Arial"/>
                <w:sz w:val="20"/>
                <w:szCs w:val="20"/>
              </w:rPr>
              <w:t xml:space="preserve">in </w:t>
            </w:r>
            <w:r w:rsidR="00C76CD4">
              <w:rPr>
                <w:rFonts w:ascii="Arial" w:hAnsi="Arial" w:cs="Arial"/>
                <w:sz w:val="20"/>
                <w:szCs w:val="20"/>
              </w:rPr>
              <w:t>its</w:t>
            </w:r>
            <w:r w:rsidR="00C76CD4" w:rsidRPr="00E817DD">
              <w:rPr>
                <w:rFonts w:ascii="Arial" w:hAnsi="Arial" w:cs="Arial"/>
                <w:sz w:val="20"/>
                <w:szCs w:val="20"/>
              </w:rPr>
              <w:t xml:space="preserve"> </w:t>
            </w:r>
            <w:r w:rsidR="002415A6" w:rsidRPr="00E817DD">
              <w:rPr>
                <w:rFonts w:ascii="Arial" w:hAnsi="Arial" w:cs="Arial"/>
                <w:sz w:val="20"/>
                <w:szCs w:val="20"/>
              </w:rPr>
              <w:t>ability to predict impacts resulting from</w:t>
            </w:r>
            <w:r w:rsidR="002724CB" w:rsidRPr="00E817DD">
              <w:rPr>
                <w:rFonts w:ascii="Arial" w:hAnsi="Arial" w:cs="Arial"/>
                <w:sz w:val="20"/>
                <w:szCs w:val="20"/>
              </w:rPr>
              <w:t xml:space="preserve"> the proposed</w:t>
            </w:r>
            <w:r w:rsidR="002415A6" w:rsidRPr="00E817DD">
              <w:rPr>
                <w:rFonts w:ascii="Arial" w:hAnsi="Arial" w:cs="Arial"/>
                <w:sz w:val="20"/>
                <w:szCs w:val="20"/>
              </w:rPr>
              <w:t xml:space="preserve"> </w:t>
            </w:r>
            <w:r w:rsidR="00CE68AB">
              <w:rPr>
                <w:rFonts w:ascii="Arial" w:hAnsi="Arial" w:cs="Arial"/>
                <w:sz w:val="20"/>
                <w:szCs w:val="20"/>
              </w:rPr>
              <w:t>project</w:t>
            </w:r>
            <w:r w:rsidR="002724CB" w:rsidRPr="00F12B5D">
              <w:rPr>
                <w:rFonts w:ascii="Arial" w:hAnsi="Arial" w:cs="Arial"/>
                <w:sz w:val="20"/>
                <w:szCs w:val="20"/>
              </w:rPr>
              <w:t>.</w:t>
            </w:r>
            <w:r w:rsidR="00140E83" w:rsidRPr="00F12B5D">
              <w:rPr>
                <w:rFonts w:ascii="Arial" w:hAnsi="Arial" w:cs="Arial"/>
                <w:sz w:val="20"/>
                <w:szCs w:val="20"/>
              </w:rPr>
              <w:t xml:space="preserve"> </w:t>
            </w:r>
            <w:r w:rsidR="004C709C" w:rsidRPr="00F12B5D">
              <w:rPr>
                <w:rFonts w:ascii="Arial" w:hAnsi="Arial" w:cs="Arial"/>
                <w:sz w:val="20"/>
                <w:szCs w:val="20"/>
              </w:rPr>
              <w:t xml:space="preserve">However, the </w:t>
            </w:r>
            <w:r w:rsidR="004937C3">
              <w:rPr>
                <w:rFonts w:ascii="Arial" w:hAnsi="Arial" w:cs="Arial"/>
                <w:sz w:val="20"/>
                <w:szCs w:val="20"/>
              </w:rPr>
              <w:t>use of both single ph</w:t>
            </w:r>
            <w:r w:rsidR="00DD3041">
              <w:rPr>
                <w:rFonts w:ascii="Arial" w:hAnsi="Arial" w:cs="Arial"/>
                <w:sz w:val="20"/>
                <w:szCs w:val="20"/>
              </w:rPr>
              <w:t>ase groundwater flow and dual phase reservoir models has resulted in a significant discrepancy in the prediction of co-produced water which needs resolution.</w:t>
            </w:r>
            <w:r w:rsidR="004C709C">
              <w:rPr>
                <w:rFonts w:ascii="Arial" w:hAnsi="Arial" w:cs="Arial"/>
                <w:sz w:val="20"/>
                <w:szCs w:val="20"/>
              </w:rPr>
              <w:t xml:space="preserve"> </w:t>
            </w:r>
            <w:r w:rsidR="00CF7635" w:rsidRPr="00E817DD">
              <w:rPr>
                <w:rFonts w:ascii="Arial" w:hAnsi="Arial" w:cs="Arial"/>
                <w:sz w:val="20"/>
                <w:szCs w:val="20"/>
              </w:rPr>
              <w:t>Whilst i</w:t>
            </w:r>
            <w:r w:rsidR="00140E83" w:rsidRPr="00E817DD">
              <w:rPr>
                <w:rFonts w:ascii="Arial" w:hAnsi="Arial" w:cs="Arial"/>
                <w:sz w:val="20"/>
                <w:szCs w:val="20"/>
              </w:rPr>
              <w:t xml:space="preserve">t is acknowledged that the OGIA model will be subject to ongoing review </w:t>
            </w:r>
            <w:r w:rsidR="00CF7635" w:rsidRPr="00E817DD">
              <w:rPr>
                <w:rFonts w:ascii="Arial" w:hAnsi="Arial" w:cs="Arial"/>
                <w:sz w:val="20"/>
                <w:szCs w:val="20"/>
              </w:rPr>
              <w:t>and update</w:t>
            </w:r>
            <w:r w:rsidR="002724CB" w:rsidRPr="00E817DD">
              <w:rPr>
                <w:rFonts w:ascii="Arial" w:hAnsi="Arial" w:cs="Arial"/>
                <w:sz w:val="20"/>
                <w:szCs w:val="20"/>
              </w:rPr>
              <w:t>s</w:t>
            </w:r>
            <w:r w:rsidR="00CF7635" w:rsidRPr="00E817DD">
              <w:rPr>
                <w:rFonts w:ascii="Arial" w:hAnsi="Arial" w:cs="Arial"/>
                <w:sz w:val="20"/>
                <w:szCs w:val="20"/>
              </w:rPr>
              <w:t xml:space="preserve"> to address outstanding areas of uncertainty, </w:t>
            </w:r>
            <w:r w:rsidR="0099005A" w:rsidRPr="00E817DD">
              <w:rPr>
                <w:rFonts w:ascii="Arial" w:hAnsi="Arial" w:cs="Arial"/>
                <w:sz w:val="20"/>
                <w:szCs w:val="20"/>
              </w:rPr>
              <w:t xml:space="preserve">consideration should be given to the following matters </w:t>
            </w:r>
            <w:r w:rsidR="00CF7635" w:rsidRPr="00E817DD">
              <w:rPr>
                <w:rFonts w:ascii="Arial" w:hAnsi="Arial" w:cs="Arial"/>
                <w:sz w:val="20"/>
                <w:szCs w:val="20"/>
              </w:rPr>
              <w:t>when evaluating the propo</w:t>
            </w:r>
            <w:r w:rsidR="002724CB" w:rsidRPr="00E817DD">
              <w:rPr>
                <w:rFonts w:ascii="Arial" w:hAnsi="Arial" w:cs="Arial"/>
                <w:sz w:val="20"/>
                <w:szCs w:val="20"/>
              </w:rPr>
              <w:t xml:space="preserve">sed </w:t>
            </w:r>
            <w:r w:rsidR="00CE68AB">
              <w:rPr>
                <w:rFonts w:ascii="Arial" w:hAnsi="Arial" w:cs="Arial"/>
                <w:sz w:val="20"/>
                <w:szCs w:val="20"/>
              </w:rPr>
              <w:t>project</w:t>
            </w:r>
            <w:r w:rsidR="002724CB" w:rsidRPr="00E817DD">
              <w:rPr>
                <w:rFonts w:ascii="Arial" w:hAnsi="Arial" w:cs="Arial"/>
                <w:sz w:val="20"/>
                <w:szCs w:val="20"/>
              </w:rPr>
              <w:t xml:space="preserve">: </w:t>
            </w:r>
          </w:p>
          <w:p w:rsidR="00962E6D" w:rsidRPr="005759BE" w:rsidRDefault="004F261C" w:rsidP="001041AC">
            <w:pPr>
              <w:pStyle w:val="ListNumber"/>
              <w:numPr>
                <w:ilvl w:val="1"/>
                <w:numId w:val="8"/>
              </w:numPr>
              <w:spacing w:after="200"/>
              <w:ind w:left="851"/>
              <w:rPr>
                <w:rFonts w:ascii="Arial" w:hAnsi="Arial" w:cs="Arial"/>
                <w:sz w:val="20"/>
                <w:szCs w:val="20"/>
              </w:rPr>
            </w:pPr>
            <w:r w:rsidRPr="005759BE">
              <w:rPr>
                <w:rFonts w:ascii="Arial" w:hAnsi="Arial" w:cs="Arial"/>
                <w:sz w:val="20"/>
                <w:szCs w:val="20"/>
              </w:rPr>
              <w:t xml:space="preserve">Incorporation of all </w:t>
            </w:r>
            <w:r w:rsidR="00A67005" w:rsidRPr="00901CD4">
              <w:rPr>
                <w:rFonts w:ascii="Arial" w:hAnsi="Arial" w:cs="Arial"/>
                <w:sz w:val="20"/>
                <w:szCs w:val="20"/>
              </w:rPr>
              <w:t>of the proponent’s</w:t>
            </w:r>
            <w:r w:rsidR="00A67005" w:rsidRPr="005759BE">
              <w:rPr>
                <w:rFonts w:ascii="Arial" w:hAnsi="Arial" w:cs="Arial"/>
                <w:sz w:val="20"/>
                <w:szCs w:val="20"/>
              </w:rPr>
              <w:t xml:space="preserve"> </w:t>
            </w:r>
            <w:r w:rsidRPr="005759BE">
              <w:rPr>
                <w:rFonts w:ascii="Arial" w:hAnsi="Arial" w:cs="Arial"/>
                <w:sz w:val="20"/>
                <w:szCs w:val="20"/>
              </w:rPr>
              <w:t>tenement areas in the model to ensure that potential impacts are not underestimated;</w:t>
            </w:r>
          </w:p>
          <w:p w:rsidR="00A67005" w:rsidRPr="00901CD4" w:rsidRDefault="003A3CF3" w:rsidP="001041AC">
            <w:pPr>
              <w:pStyle w:val="ListNumber"/>
              <w:numPr>
                <w:ilvl w:val="1"/>
                <w:numId w:val="8"/>
              </w:numPr>
              <w:spacing w:after="200"/>
              <w:ind w:left="851"/>
              <w:rPr>
                <w:rFonts w:ascii="Arial" w:hAnsi="Arial" w:cs="Arial"/>
                <w:sz w:val="20"/>
                <w:szCs w:val="20"/>
              </w:rPr>
            </w:pPr>
            <w:r w:rsidRPr="00901CD4">
              <w:rPr>
                <w:rFonts w:ascii="Arial" w:hAnsi="Arial" w:cs="Arial"/>
                <w:sz w:val="20"/>
                <w:szCs w:val="20"/>
              </w:rPr>
              <w:t>D</w:t>
            </w:r>
            <w:r w:rsidR="00A67005" w:rsidRPr="00901CD4">
              <w:rPr>
                <w:rFonts w:ascii="Arial" w:hAnsi="Arial" w:cs="Arial"/>
                <w:sz w:val="20"/>
                <w:szCs w:val="20"/>
              </w:rPr>
              <w:t>iscrepancies between the groundwater and reservoir models require reconciliation and resolution;</w:t>
            </w:r>
          </w:p>
          <w:p w:rsidR="00FB18A2" w:rsidRPr="008B340F" w:rsidRDefault="00FB18A2" w:rsidP="001041AC">
            <w:pPr>
              <w:pStyle w:val="ListNumber"/>
              <w:numPr>
                <w:ilvl w:val="1"/>
                <w:numId w:val="8"/>
              </w:numPr>
              <w:spacing w:after="200"/>
              <w:ind w:left="851"/>
              <w:rPr>
                <w:rFonts w:ascii="Arial" w:hAnsi="Arial" w:cs="Arial"/>
                <w:sz w:val="20"/>
                <w:szCs w:val="20"/>
              </w:rPr>
            </w:pPr>
            <w:r>
              <w:rPr>
                <w:rFonts w:ascii="Arial" w:hAnsi="Arial" w:cs="Arial"/>
                <w:sz w:val="20"/>
                <w:szCs w:val="20"/>
              </w:rPr>
              <w:t>D</w:t>
            </w:r>
            <w:r w:rsidRPr="008B340F">
              <w:rPr>
                <w:rFonts w:ascii="Arial" w:hAnsi="Arial" w:cs="Arial"/>
                <w:sz w:val="20"/>
                <w:szCs w:val="20"/>
              </w:rPr>
              <w:t>evelopment of a combined surface water-groundwater model would enhance the proponent’s ability to assess potential impacts on water resources and dependent ecosystems in an integrated manner</w:t>
            </w:r>
            <w:r>
              <w:rPr>
                <w:rFonts w:ascii="Arial" w:hAnsi="Arial" w:cs="Arial"/>
                <w:sz w:val="20"/>
                <w:szCs w:val="20"/>
              </w:rPr>
              <w:t>;</w:t>
            </w:r>
          </w:p>
          <w:p w:rsidR="00A15A0C" w:rsidRPr="008B340F" w:rsidRDefault="00851CB1" w:rsidP="001041AC">
            <w:pPr>
              <w:pStyle w:val="ListNumber"/>
              <w:numPr>
                <w:ilvl w:val="1"/>
                <w:numId w:val="8"/>
              </w:numPr>
              <w:spacing w:after="200"/>
              <w:ind w:left="851"/>
              <w:rPr>
                <w:rFonts w:ascii="Arial" w:hAnsi="Arial" w:cs="Arial"/>
                <w:sz w:val="20"/>
                <w:szCs w:val="20"/>
                <w:lang w:val="en-US"/>
              </w:rPr>
            </w:pPr>
            <w:r>
              <w:rPr>
                <w:rFonts w:ascii="Arial" w:hAnsi="Arial" w:cs="Arial"/>
                <w:sz w:val="20"/>
                <w:szCs w:val="20"/>
              </w:rPr>
              <w:t>T</w:t>
            </w:r>
            <w:r w:rsidR="00434270">
              <w:rPr>
                <w:rFonts w:ascii="Arial" w:hAnsi="Arial" w:cs="Arial"/>
                <w:sz w:val="20"/>
                <w:szCs w:val="20"/>
              </w:rPr>
              <w:t xml:space="preserve">he </w:t>
            </w:r>
            <w:r w:rsidR="00A724B5" w:rsidRPr="00601D02">
              <w:rPr>
                <w:rFonts w:ascii="Arial" w:hAnsi="Arial" w:cs="Arial"/>
                <w:sz w:val="20"/>
                <w:szCs w:val="20"/>
              </w:rPr>
              <w:t xml:space="preserve">groundwater monitoring program </w:t>
            </w:r>
            <w:r w:rsidR="008B340F">
              <w:rPr>
                <w:rFonts w:ascii="Arial" w:hAnsi="Arial" w:cs="Arial"/>
                <w:sz w:val="20"/>
                <w:szCs w:val="20"/>
              </w:rPr>
              <w:t>should</w:t>
            </w:r>
            <w:r w:rsidR="00C76CD4">
              <w:rPr>
                <w:rFonts w:ascii="Arial" w:hAnsi="Arial" w:cs="Arial"/>
                <w:sz w:val="20"/>
                <w:szCs w:val="20"/>
              </w:rPr>
              <w:t xml:space="preserve"> </w:t>
            </w:r>
            <w:r w:rsidR="00434270">
              <w:rPr>
                <w:rFonts w:ascii="Arial" w:hAnsi="Arial" w:cs="Arial"/>
                <w:sz w:val="20"/>
                <w:szCs w:val="20"/>
              </w:rPr>
              <w:t xml:space="preserve">be designed to </w:t>
            </w:r>
            <w:r>
              <w:rPr>
                <w:rFonts w:ascii="Arial" w:hAnsi="Arial" w:cs="Arial"/>
                <w:sz w:val="20"/>
                <w:szCs w:val="20"/>
              </w:rPr>
              <w:t>facilitate</w:t>
            </w:r>
            <w:r w:rsidR="00A724B5" w:rsidRPr="00601D02">
              <w:rPr>
                <w:rFonts w:ascii="Arial" w:hAnsi="Arial" w:cs="Arial"/>
                <w:sz w:val="20"/>
                <w:szCs w:val="20"/>
              </w:rPr>
              <w:t xml:space="preserve"> early detection of potential impacts on </w:t>
            </w:r>
            <w:r w:rsidR="00B04631">
              <w:rPr>
                <w:rFonts w:ascii="Arial" w:hAnsi="Arial" w:cs="Arial"/>
                <w:sz w:val="20"/>
                <w:szCs w:val="20"/>
              </w:rPr>
              <w:t xml:space="preserve">environmental assets </w:t>
            </w:r>
            <w:r w:rsidR="00A724B5" w:rsidRPr="00601D02">
              <w:rPr>
                <w:rFonts w:ascii="Arial" w:hAnsi="Arial" w:cs="Arial"/>
                <w:sz w:val="20"/>
                <w:szCs w:val="20"/>
              </w:rPr>
              <w:t>at a local scale</w:t>
            </w:r>
            <w:r w:rsidR="008227DF">
              <w:rPr>
                <w:rFonts w:ascii="Arial" w:hAnsi="Arial" w:cs="Arial"/>
                <w:sz w:val="20"/>
                <w:szCs w:val="20"/>
              </w:rPr>
              <w:t>,</w:t>
            </w:r>
            <w:r w:rsidR="00A724B5" w:rsidRPr="00601D02">
              <w:rPr>
                <w:rFonts w:ascii="Arial" w:hAnsi="Arial" w:cs="Arial"/>
                <w:sz w:val="20"/>
                <w:szCs w:val="20"/>
              </w:rPr>
              <w:t xml:space="preserve"> particularly where greater drawdown than predicted may result in more adverse impacts on environmental values and other groundwater users. </w:t>
            </w:r>
            <w:r w:rsidR="00FB18A2">
              <w:rPr>
                <w:rFonts w:ascii="Arial" w:hAnsi="Arial" w:cs="Arial"/>
                <w:sz w:val="20"/>
                <w:szCs w:val="20"/>
              </w:rPr>
              <w:t xml:space="preserve">This may require </w:t>
            </w:r>
            <w:r w:rsidR="00434270">
              <w:rPr>
                <w:rFonts w:ascii="Arial" w:hAnsi="Arial" w:cs="Arial"/>
                <w:sz w:val="20"/>
                <w:szCs w:val="20"/>
              </w:rPr>
              <w:t xml:space="preserve">expansion of the proponent’s groundwater monitoring responsibilities beyond those identified in the </w:t>
            </w:r>
            <w:r w:rsidR="00434270" w:rsidRPr="002150BA">
              <w:rPr>
                <w:rFonts w:ascii="Arial" w:hAnsi="Arial" w:cs="Arial"/>
                <w:sz w:val="20"/>
                <w:szCs w:val="20"/>
              </w:rPr>
              <w:t>Under</w:t>
            </w:r>
            <w:r w:rsidR="002724CB" w:rsidRPr="002150BA">
              <w:rPr>
                <w:rFonts w:ascii="Arial" w:hAnsi="Arial" w:cs="Arial"/>
                <w:sz w:val="20"/>
                <w:szCs w:val="20"/>
              </w:rPr>
              <w:t>ground</w:t>
            </w:r>
            <w:r w:rsidR="00434270">
              <w:rPr>
                <w:rFonts w:ascii="Arial" w:hAnsi="Arial" w:cs="Arial"/>
                <w:sz w:val="20"/>
                <w:szCs w:val="20"/>
              </w:rPr>
              <w:t xml:space="preserve"> Water Impact Report (QWC, 2012)</w:t>
            </w:r>
            <w:r w:rsidR="00B35768" w:rsidRPr="0062054E">
              <w:rPr>
                <w:rFonts w:ascii="Arial" w:hAnsi="Arial" w:cs="Arial"/>
                <w:color w:val="000000" w:themeColor="text1"/>
                <w:sz w:val="20"/>
                <w:szCs w:val="20"/>
                <w:vertAlign w:val="superscript"/>
              </w:rPr>
              <w:t xml:space="preserve"> </w:t>
            </w:r>
            <w:r w:rsidR="00B35768">
              <w:rPr>
                <w:rFonts w:ascii="Arial" w:hAnsi="Arial" w:cs="Arial"/>
                <w:color w:val="000000" w:themeColor="text1"/>
                <w:sz w:val="20"/>
                <w:szCs w:val="20"/>
                <w:vertAlign w:val="superscript"/>
              </w:rPr>
              <w:t>2</w:t>
            </w:r>
            <w:r w:rsidR="00B04631">
              <w:rPr>
                <w:rFonts w:ascii="Arial" w:hAnsi="Arial" w:cs="Arial"/>
                <w:sz w:val="20"/>
                <w:szCs w:val="20"/>
              </w:rPr>
              <w:t xml:space="preserve"> and collaboration with </w:t>
            </w:r>
            <w:r w:rsidR="00A724B5" w:rsidRPr="00601D02">
              <w:rPr>
                <w:rFonts w:ascii="Arial" w:hAnsi="Arial" w:cs="Arial"/>
                <w:sz w:val="20"/>
                <w:szCs w:val="20"/>
              </w:rPr>
              <w:t>other coal seam gas developers in the Surat Basin</w:t>
            </w:r>
            <w:r w:rsidR="00855FFE" w:rsidRPr="00601D02">
              <w:rPr>
                <w:rFonts w:ascii="Arial" w:hAnsi="Arial" w:cs="Arial"/>
                <w:sz w:val="20"/>
                <w:szCs w:val="20"/>
              </w:rPr>
              <w:t>;</w:t>
            </w:r>
          </w:p>
          <w:p w:rsidR="00A15A0C" w:rsidRPr="004C709C" w:rsidRDefault="00855FFE" w:rsidP="001041AC">
            <w:pPr>
              <w:pStyle w:val="ListNumber"/>
              <w:numPr>
                <w:ilvl w:val="1"/>
                <w:numId w:val="8"/>
              </w:numPr>
              <w:spacing w:after="200"/>
              <w:ind w:left="851"/>
              <w:rPr>
                <w:rFonts w:ascii="Arial" w:hAnsi="Arial" w:cs="Arial"/>
                <w:sz w:val="20"/>
                <w:szCs w:val="20"/>
              </w:rPr>
            </w:pPr>
            <w:r w:rsidRPr="00901CD4">
              <w:rPr>
                <w:rFonts w:ascii="Arial" w:hAnsi="Arial" w:cs="Arial"/>
                <w:sz w:val="20"/>
                <w:szCs w:val="20"/>
              </w:rPr>
              <w:t>Current u</w:t>
            </w:r>
            <w:r w:rsidR="00A15A0C" w:rsidRPr="00901CD4">
              <w:rPr>
                <w:rFonts w:ascii="Arial" w:hAnsi="Arial" w:cs="Arial"/>
                <w:sz w:val="20"/>
                <w:szCs w:val="20"/>
              </w:rPr>
              <w:t xml:space="preserve">ncertainties </w:t>
            </w:r>
            <w:r w:rsidRPr="00901CD4">
              <w:rPr>
                <w:rFonts w:ascii="Arial" w:hAnsi="Arial" w:cs="Arial"/>
                <w:sz w:val="20"/>
                <w:szCs w:val="20"/>
              </w:rPr>
              <w:t>about aquifer/</w:t>
            </w:r>
            <w:proofErr w:type="spellStart"/>
            <w:r w:rsidRPr="00901CD4">
              <w:rPr>
                <w:rFonts w:ascii="Arial" w:hAnsi="Arial" w:cs="Arial"/>
                <w:sz w:val="20"/>
                <w:szCs w:val="20"/>
              </w:rPr>
              <w:t>aquitard</w:t>
            </w:r>
            <w:proofErr w:type="spellEnd"/>
            <w:r w:rsidRPr="00901CD4">
              <w:rPr>
                <w:rFonts w:ascii="Arial" w:hAnsi="Arial" w:cs="Arial"/>
                <w:sz w:val="20"/>
                <w:szCs w:val="20"/>
              </w:rPr>
              <w:t xml:space="preserve"> properties in the Condamine Alluvium </w:t>
            </w:r>
            <w:r w:rsidR="00A15A0C" w:rsidRPr="00901CD4">
              <w:rPr>
                <w:rFonts w:ascii="Arial" w:hAnsi="Arial" w:cs="Arial"/>
                <w:sz w:val="20"/>
                <w:szCs w:val="20"/>
              </w:rPr>
              <w:t xml:space="preserve">could mean that groundwater drawdown in the </w:t>
            </w:r>
            <w:r w:rsidR="00AD7FBC" w:rsidRPr="00901CD4">
              <w:rPr>
                <w:rFonts w:ascii="Arial" w:hAnsi="Arial" w:cs="Arial"/>
                <w:sz w:val="20"/>
                <w:szCs w:val="20"/>
              </w:rPr>
              <w:t>A</w:t>
            </w:r>
            <w:r w:rsidR="00A15A0C" w:rsidRPr="00901CD4">
              <w:rPr>
                <w:rFonts w:ascii="Arial" w:hAnsi="Arial" w:cs="Arial"/>
                <w:sz w:val="20"/>
                <w:szCs w:val="20"/>
              </w:rPr>
              <w:t xml:space="preserve">lluvium will potentially be </w:t>
            </w:r>
            <w:r w:rsidR="00655A8E" w:rsidRPr="00901CD4">
              <w:rPr>
                <w:rFonts w:ascii="Arial" w:hAnsi="Arial" w:cs="Arial"/>
                <w:sz w:val="20"/>
                <w:szCs w:val="20"/>
              </w:rPr>
              <w:t xml:space="preserve">different </w:t>
            </w:r>
            <w:r w:rsidR="00A15A0C" w:rsidRPr="00901CD4">
              <w:rPr>
                <w:rFonts w:ascii="Arial" w:hAnsi="Arial" w:cs="Arial"/>
                <w:sz w:val="20"/>
                <w:szCs w:val="20"/>
              </w:rPr>
              <w:t>than predicted in the SEIS</w:t>
            </w:r>
            <w:r w:rsidR="00523AC6" w:rsidRPr="00901CD4">
              <w:rPr>
                <w:rFonts w:ascii="Arial" w:hAnsi="Arial" w:cs="Arial"/>
                <w:sz w:val="20"/>
                <w:szCs w:val="20"/>
              </w:rPr>
              <w:t xml:space="preserve">. </w:t>
            </w:r>
            <w:r w:rsidR="00523AC6" w:rsidRPr="00F12B5D">
              <w:rPr>
                <w:rFonts w:ascii="Arial" w:hAnsi="Arial" w:cs="Arial"/>
                <w:sz w:val="20"/>
                <w:szCs w:val="20"/>
              </w:rPr>
              <w:t>The results of the Condamine Interconnectivity Research Project will be critic</w:t>
            </w:r>
            <w:r w:rsidR="00901CD4" w:rsidRPr="00F12B5D">
              <w:rPr>
                <w:rFonts w:ascii="Arial" w:hAnsi="Arial" w:cs="Arial"/>
                <w:sz w:val="20"/>
                <w:szCs w:val="20"/>
              </w:rPr>
              <w:t xml:space="preserve">al to </w:t>
            </w:r>
            <w:r w:rsidR="00DF1D57" w:rsidRPr="00F12B5D">
              <w:rPr>
                <w:rFonts w:ascii="Arial" w:hAnsi="Arial" w:cs="Arial"/>
                <w:sz w:val="20"/>
                <w:szCs w:val="20"/>
              </w:rPr>
              <w:t>reducing uncertainty about aquifer/</w:t>
            </w:r>
            <w:proofErr w:type="spellStart"/>
            <w:r w:rsidR="00DF1D57" w:rsidRPr="00F12B5D">
              <w:rPr>
                <w:rFonts w:ascii="Arial" w:hAnsi="Arial" w:cs="Arial"/>
                <w:sz w:val="20"/>
                <w:szCs w:val="20"/>
              </w:rPr>
              <w:t>aquitard</w:t>
            </w:r>
            <w:proofErr w:type="spellEnd"/>
            <w:r w:rsidR="00DF1D57" w:rsidRPr="00F12B5D">
              <w:rPr>
                <w:rFonts w:ascii="Arial" w:hAnsi="Arial" w:cs="Arial"/>
                <w:sz w:val="20"/>
                <w:szCs w:val="20"/>
              </w:rPr>
              <w:t xml:space="preserve"> properties and refining </w:t>
            </w:r>
            <w:r w:rsidR="004C709C" w:rsidRPr="00F12B5D">
              <w:rPr>
                <w:rFonts w:ascii="Arial" w:hAnsi="Arial" w:cs="Arial"/>
                <w:sz w:val="20"/>
                <w:szCs w:val="20"/>
              </w:rPr>
              <w:t xml:space="preserve">the </w:t>
            </w:r>
            <w:proofErr w:type="spellStart"/>
            <w:r w:rsidR="004C709C" w:rsidRPr="00F12B5D">
              <w:rPr>
                <w:rFonts w:ascii="Arial" w:hAnsi="Arial" w:cs="Arial"/>
                <w:sz w:val="20"/>
                <w:szCs w:val="20"/>
              </w:rPr>
              <w:t>hydrogeological</w:t>
            </w:r>
            <w:proofErr w:type="spellEnd"/>
            <w:r w:rsidR="004C709C" w:rsidRPr="00F12B5D">
              <w:rPr>
                <w:rFonts w:ascii="Arial" w:hAnsi="Arial" w:cs="Arial"/>
                <w:sz w:val="20"/>
                <w:szCs w:val="20"/>
              </w:rPr>
              <w:t xml:space="preserve"> conceptualisation</w:t>
            </w:r>
            <w:r w:rsidR="00DF1D57" w:rsidRPr="00F12B5D">
              <w:rPr>
                <w:rFonts w:ascii="Arial" w:hAnsi="Arial" w:cs="Arial"/>
                <w:sz w:val="20"/>
                <w:szCs w:val="20"/>
              </w:rPr>
              <w:t xml:space="preserve"> and groundwater model</w:t>
            </w:r>
            <w:r w:rsidR="00901CD4" w:rsidRPr="00F12B5D">
              <w:rPr>
                <w:rFonts w:ascii="Arial" w:hAnsi="Arial" w:cs="Arial"/>
                <w:sz w:val="20"/>
                <w:szCs w:val="20"/>
              </w:rPr>
              <w:t>.</w:t>
            </w:r>
            <w:r w:rsidR="00901CD4">
              <w:rPr>
                <w:rFonts w:ascii="Arial" w:hAnsi="Arial" w:cs="Arial"/>
                <w:sz w:val="20"/>
                <w:szCs w:val="20"/>
              </w:rPr>
              <w:t xml:space="preserve"> </w:t>
            </w:r>
            <w:r w:rsidR="00963AF2" w:rsidRPr="004C709C">
              <w:rPr>
                <w:rFonts w:ascii="Arial" w:hAnsi="Arial" w:cs="Arial"/>
                <w:sz w:val="20"/>
                <w:szCs w:val="20"/>
              </w:rPr>
              <w:t xml:space="preserve">If the research project identifies a greater degree </w:t>
            </w:r>
            <w:r w:rsidR="00963AF2">
              <w:rPr>
                <w:rFonts w:ascii="Arial" w:hAnsi="Arial" w:cs="Arial"/>
                <w:sz w:val="20"/>
                <w:szCs w:val="20"/>
              </w:rPr>
              <w:t xml:space="preserve">of </w:t>
            </w:r>
            <w:r w:rsidR="00963AF2" w:rsidRPr="004C709C">
              <w:rPr>
                <w:rFonts w:ascii="Arial" w:hAnsi="Arial" w:cs="Arial"/>
                <w:sz w:val="20"/>
                <w:szCs w:val="20"/>
              </w:rPr>
              <w:t>connectivity than modelled in the SEIS, groundwater drawdown within the Alluvium should be re</w:t>
            </w:r>
            <w:r w:rsidR="003F0DFE">
              <w:rPr>
                <w:rFonts w:ascii="Arial" w:hAnsi="Arial" w:cs="Arial"/>
                <w:sz w:val="20"/>
                <w:szCs w:val="20"/>
              </w:rPr>
              <w:t>-</w:t>
            </w:r>
            <w:r w:rsidR="00963AF2" w:rsidRPr="004C709C">
              <w:rPr>
                <w:rFonts w:ascii="Arial" w:hAnsi="Arial" w:cs="Arial"/>
                <w:sz w:val="20"/>
                <w:szCs w:val="20"/>
              </w:rPr>
              <w:t xml:space="preserve">modelled and mitigation </w:t>
            </w:r>
            <w:r w:rsidR="00963AF2" w:rsidRPr="004C709C">
              <w:rPr>
                <w:rFonts w:ascii="Arial" w:hAnsi="Arial" w:cs="Arial"/>
                <w:sz w:val="20"/>
                <w:szCs w:val="20"/>
              </w:rPr>
              <w:lastRenderedPageBreak/>
              <w:t>measures need to be reviewed.</w:t>
            </w:r>
          </w:p>
          <w:p w:rsidR="00A15A0C" w:rsidRPr="00601D02" w:rsidRDefault="00646599" w:rsidP="001041AC">
            <w:pPr>
              <w:pStyle w:val="ListNumber"/>
              <w:numPr>
                <w:ilvl w:val="1"/>
                <w:numId w:val="8"/>
              </w:numPr>
              <w:spacing w:after="200"/>
              <w:ind w:left="851"/>
              <w:rPr>
                <w:rFonts w:ascii="Arial" w:hAnsi="Arial" w:cs="Arial"/>
                <w:sz w:val="20"/>
                <w:szCs w:val="20"/>
              </w:rPr>
            </w:pPr>
            <w:r w:rsidRPr="00601D02">
              <w:rPr>
                <w:rFonts w:ascii="Arial" w:hAnsi="Arial" w:cs="Arial"/>
                <w:sz w:val="20"/>
                <w:szCs w:val="20"/>
              </w:rPr>
              <w:t xml:space="preserve">Lack of flux differentiation between underlying aquifers and the Condamine Alluvium may result in </w:t>
            </w:r>
            <w:r w:rsidR="00A15A0C" w:rsidRPr="00601D02">
              <w:rPr>
                <w:rFonts w:ascii="Arial" w:hAnsi="Arial" w:cs="Arial"/>
                <w:sz w:val="20"/>
                <w:szCs w:val="20"/>
              </w:rPr>
              <w:t>more spatially variable drawdown within the Condamine Alluvium than predicted in the SEIS</w:t>
            </w:r>
            <w:r w:rsidRPr="00601D02">
              <w:rPr>
                <w:rFonts w:ascii="Arial" w:hAnsi="Arial" w:cs="Arial"/>
                <w:sz w:val="20"/>
                <w:szCs w:val="20"/>
              </w:rPr>
              <w:t>;</w:t>
            </w:r>
          </w:p>
          <w:p w:rsidR="00BD5C57" w:rsidRDefault="00A15A0C" w:rsidP="001041AC">
            <w:pPr>
              <w:pStyle w:val="ListNumber"/>
              <w:numPr>
                <w:ilvl w:val="1"/>
                <w:numId w:val="8"/>
              </w:numPr>
              <w:spacing w:after="200"/>
              <w:ind w:left="851"/>
              <w:rPr>
                <w:rFonts w:ascii="Arial" w:hAnsi="Arial" w:cs="Arial"/>
                <w:sz w:val="20"/>
                <w:szCs w:val="20"/>
              </w:rPr>
            </w:pPr>
            <w:r w:rsidRPr="00601D02">
              <w:rPr>
                <w:rFonts w:ascii="Arial" w:hAnsi="Arial" w:cs="Arial"/>
                <w:sz w:val="20"/>
                <w:szCs w:val="20"/>
              </w:rPr>
              <w:t>The potential for flow reversion may manifest in areas where direct contact between the W</w:t>
            </w:r>
            <w:r w:rsidR="00646599" w:rsidRPr="00601D02">
              <w:rPr>
                <w:rFonts w:ascii="Arial" w:hAnsi="Arial" w:cs="Arial"/>
                <w:sz w:val="20"/>
                <w:szCs w:val="20"/>
              </w:rPr>
              <w:t>alloon Coal Measures</w:t>
            </w:r>
            <w:r w:rsidRPr="00601D02">
              <w:rPr>
                <w:rFonts w:ascii="Arial" w:hAnsi="Arial" w:cs="Arial"/>
                <w:sz w:val="20"/>
                <w:szCs w:val="20"/>
              </w:rPr>
              <w:t xml:space="preserve"> and the Condamine Alluvium exist</w:t>
            </w:r>
            <w:r w:rsidR="00AD7FBC">
              <w:rPr>
                <w:rFonts w:ascii="Arial" w:hAnsi="Arial" w:cs="Arial"/>
                <w:sz w:val="20"/>
                <w:szCs w:val="20"/>
              </w:rPr>
              <w:t>s</w:t>
            </w:r>
            <w:r w:rsidRPr="00601D02">
              <w:rPr>
                <w:rFonts w:ascii="Arial" w:hAnsi="Arial" w:cs="Arial"/>
                <w:sz w:val="20"/>
                <w:szCs w:val="20"/>
              </w:rPr>
              <w:t>, or in areas where the transition layer between the W</w:t>
            </w:r>
            <w:r w:rsidR="00646599" w:rsidRPr="00601D02">
              <w:rPr>
                <w:rFonts w:ascii="Arial" w:hAnsi="Arial" w:cs="Arial"/>
                <w:sz w:val="20"/>
                <w:szCs w:val="20"/>
              </w:rPr>
              <w:t>alloon Coal Measures</w:t>
            </w:r>
            <w:r w:rsidRPr="00601D02">
              <w:rPr>
                <w:rFonts w:ascii="Arial" w:hAnsi="Arial" w:cs="Arial"/>
                <w:sz w:val="20"/>
                <w:szCs w:val="20"/>
              </w:rPr>
              <w:t xml:space="preserve"> and the Condamine Alluvium is relatively thin. </w:t>
            </w:r>
            <w:r w:rsidR="00646599" w:rsidRPr="00601D02">
              <w:rPr>
                <w:rFonts w:ascii="Arial" w:hAnsi="Arial" w:cs="Arial"/>
                <w:sz w:val="20"/>
                <w:szCs w:val="20"/>
              </w:rPr>
              <w:t xml:space="preserve">It is recommended that the </w:t>
            </w:r>
            <w:r w:rsidRPr="00601D02">
              <w:rPr>
                <w:rFonts w:ascii="Arial" w:hAnsi="Arial" w:cs="Arial"/>
                <w:sz w:val="20"/>
                <w:szCs w:val="20"/>
              </w:rPr>
              <w:t xml:space="preserve">potential for flow reversal </w:t>
            </w:r>
            <w:r w:rsidR="00646599" w:rsidRPr="00601D02">
              <w:rPr>
                <w:rFonts w:ascii="Arial" w:hAnsi="Arial" w:cs="Arial"/>
                <w:sz w:val="20"/>
                <w:szCs w:val="20"/>
              </w:rPr>
              <w:t xml:space="preserve">is </w:t>
            </w:r>
            <w:r w:rsidRPr="00601D02">
              <w:rPr>
                <w:rFonts w:ascii="Arial" w:hAnsi="Arial" w:cs="Arial"/>
                <w:sz w:val="20"/>
                <w:szCs w:val="20"/>
              </w:rPr>
              <w:t>considered during interconnectivity investigations.</w:t>
            </w:r>
            <w:r w:rsidR="00BD5C57" w:rsidRPr="00601D02">
              <w:rPr>
                <w:rFonts w:ascii="Arial" w:hAnsi="Arial" w:cs="Arial"/>
                <w:sz w:val="20"/>
                <w:szCs w:val="20"/>
              </w:rPr>
              <w:t xml:space="preserve"> </w:t>
            </w:r>
            <w:r w:rsidR="00554255">
              <w:rPr>
                <w:rFonts w:ascii="Arial" w:hAnsi="Arial" w:cs="Arial"/>
                <w:sz w:val="20"/>
                <w:szCs w:val="20"/>
              </w:rPr>
              <w:t xml:space="preserve"> </w:t>
            </w:r>
          </w:p>
          <w:p w:rsidR="009A0A87" w:rsidRPr="00F94F22" w:rsidRDefault="006F4902" w:rsidP="009A0A87">
            <w:pPr>
              <w:pStyle w:val="ListNumber"/>
              <w:numPr>
                <w:ilvl w:val="0"/>
                <w:numId w:val="8"/>
              </w:numPr>
              <w:spacing w:after="200"/>
              <w:rPr>
                <w:rFonts w:ascii="Arial" w:hAnsi="Arial" w:cs="Arial"/>
                <w:sz w:val="20"/>
                <w:szCs w:val="20"/>
              </w:rPr>
            </w:pPr>
            <w:r w:rsidRPr="00F94F22">
              <w:rPr>
                <w:rFonts w:ascii="Arial" w:hAnsi="Arial" w:cs="Arial"/>
                <w:i/>
                <w:sz w:val="20"/>
                <w:szCs w:val="20"/>
                <w:lang w:val="en-US"/>
              </w:rPr>
              <w:t>Structural integrity and subsidence</w:t>
            </w:r>
            <w:r w:rsidRPr="00F94F22">
              <w:rPr>
                <w:rFonts w:ascii="Arial" w:hAnsi="Arial" w:cs="Arial"/>
                <w:sz w:val="20"/>
                <w:szCs w:val="20"/>
                <w:lang w:val="en-US"/>
              </w:rPr>
              <w:t xml:space="preserve">: </w:t>
            </w:r>
            <w:r w:rsidR="009A0A87" w:rsidRPr="00F94F22">
              <w:rPr>
                <w:rFonts w:ascii="Arial" w:hAnsi="Arial" w:cs="Arial"/>
                <w:sz w:val="20"/>
                <w:szCs w:val="20"/>
                <w:lang w:val="en-US"/>
              </w:rPr>
              <w:t xml:space="preserve">The impacts of significantly </w:t>
            </w:r>
            <w:proofErr w:type="spellStart"/>
            <w:r w:rsidR="009A0A87" w:rsidRPr="00F94F22">
              <w:rPr>
                <w:rFonts w:ascii="Arial" w:hAnsi="Arial" w:cs="Arial"/>
                <w:sz w:val="20"/>
                <w:szCs w:val="20"/>
                <w:lang w:val="en-US"/>
              </w:rPr>
              <w:t>depressurising</w:t>
            </w:r>
            <w:proofErr w:type="spellEnd"/>
            <w:r w:rsidR="009A0A87" w:rsidRPr="00F94F22">
              <w:rPr>
                <w:rFonts w:ascii="Arial" w:hAnsi="Arial" w:cs="Arial"/>
                <w:sz w:val="20"/>
                <w:szCs w:val="20"/>
                <w:lang w:val="en-US"/>
              </w:rPr>
              <w:t xml:space="preserve"> one component of a </w:t>
            </w:r>
            <w:proofErr w:type="spellStart"/>
            <w:r w:rsidR="009A0A87" w:rsidRPr="00F94F22">
              <w:rPr>
                <w:rFonts w:ascii="Arial" w:hAnsi="Arial" w:cs="Arial"/>
                <w:sz w:val="20"/>
                <w:szCs w:val="20"/>
                <w:lang w:val="en-US"/>
              </w:rPr>
              <w:t>pressurised</w:t>
            </w:r>
            <w:proofErr w:type="spellEnd"/>
            <w:r w:rsidR="009A0A87" w:rsidRPr="00F94F22">
              <w:rPr>
                <w:rFonts w:ascii="Arial" w:hAnsi="Arial" w:cs="Arial"/>
                <w:sz w:val="20"/>
                <w:szCs w:val="20"/>
                <w:lang w:val="en-US"/>
              </w:rPr>
              <w:t xml:space="preserve"> system, whilst leaving the rest of the system </w:t>
            </w:r>
            <w:proofErr w:type="spellStart"/>
            <w:r w:rsidR="009A0A87" w:rsidRPr="00F94F22">
              <w:rPr>
                <w:rFonts w:ascii="Arial" w:hAnsi="Arial" w:cs="Arial"/>
                <w:sz w:val="20"/>
                <w:szCs w:val="20"/>
                <w:lang w:val="en-US"/>
              </w:rPr>
              <w:t>pressurised</w:t>
            </w:r>
            <w:proofErr w:type="spellEnd"/>
            <w:r w:rsidR="009A0A87" w:rsidRPr="00F94F22">
              <w:rPr>
                <w:rFonts w:ascii="Arial" w:hAnsi="Arial" w:cs="Arial"/>
                <w:sz w:val="20"/>
                <w:szCs w:val="20"/>
                <w:lang w:val="en-US"/>
              </w:rPr>
              <w:t xml:space="preserve">, </w:t>
            </w:r>
            <w:r w:rsidR="00692CA8" w:rsidRPr="00F94F22">
              <w:rPr>
                <w:rFonts w:ascii="Arial" w:hAnsi="Arial" w:cs="Arial"/>
                <w:sz w:val="20"/>
                <w:szCs w:val="20"/>
                <w:lang w:val="en-US"/>
              </w:rPr>
              <w:t>are</w:t>
            </w:r>
            <w:r w:rsidR="009A0A87" w:rsidRPr="00F94F22">
              <w:rPr>
                <w:rFonts w:ascii="Arial" w:hAnsi="Arial" w:cs="Arial"/>
                <w:sz w:val="20"/>
                <w:szCs w:val="20"/>
                <w:lang w:val="en-US"/>
              </w:rPr>
              <w:t xml:space="preserve"> unknown and may lead to further issues </w:t>
            </w:r>
            <w:r w:rsidR="00692CA8" w:rsidRPr="00F94F22">
              <w:rPr>
                <w:rFonts w:ascii="Arial" w:hAnsi="Arial" w:cs="Arial"/>
                <w:sz w:val="20"/>
                <w:szCs w:val="20"/>
                <w:lang w:val="en-US"/>
              </w:rPr>
              <w:t>about</w:t>
            </w:r>
            <w:r w:rsidR="009A0A87" w:rsidRPr="00F94F22">
              <w:rPr>
                <w:rFonts w:ascii="Arial" w:hAnsi="Arial" w:cs="Arial"/>
                <w:sz w:val="20"/>
                <w:szCs w:val="20"/>
                <w:lang w:val="en-US"/>
              </w:rPr>
              <w:t xml:space="preserve"> the structural integrity of the overlying aquifers. </w:t>
            </w:r>
            <w:r w:rsidRPr="00F94F22">
              <w:rPr>
                <w:rFonts w:ascii="Arial" w:hAnsi="Arial" w:cs="Arial"/>
                <w:sz w:val="20"/>
                <w:szCs w:val="20"/>
                <w:lang w:val="en-US"/>
              </w:rPr>
              <w:t>Dewatering of the Springbok Sandstone may cause compression and loss of structural integrity within this aquifer, which may translate to overlying aquifers</w:t>
            </w:r>
            <w:r w:rsidR="00AD555C" w:rsidRPr="00F94F22">
              <w:rPr>
                <w:rFonts w:ascii="Arial" w:hAnsi="Arial" w:cs="Arial"/>
                <w:sz w:val="20"/>
                <w:szCs w:val="20"/>
                <w:lang w:val="en-US"/>
              </w:rPr>
              <w:t>. Q</w:t>
            </w:r>
            <w:r w:rsidR="00DD3041">
              <w:rPr>
                <w:rFonts w:ascii="Arial" w:hAnsi="Arial" w:cs="Arial"/>
                <w:sz w:val="20"/>
                <w:szCs w:val="20"/>
                <w:lang w:val="en-US"/>
              </w:rPr>
              <w:t xml:space="preserve">uantification, </w:t>
            </w:r>
            <w:r w:rsidR="00AD555C" w:rsidRPr="00F94F22">
              <w:rPr>
                <w:rFonts w:ascii="Arial" w:hAnsi="Arial" w:cs="Arial"/>
                <w:sz w:val="20"/>
                <w:szCs w:val="20"/>
                <w:lang w:val="en-US"/>
              </w:rPr>
              <w:t>appropriate sen</w:t>
            </w:r>
            <w:r w:rsidR="00DD3041">
              <w:rPr>
                <w:rFonts w:ascii="Arial" w:hAnsi="Arial" w:cs="Arial"/>
                <w:sz w:val="20"/>
                <w:szCs w:val="20"/>
                <w:lang w:val="en-US"/>
              </w:rPr>
              <w:t>sitivity and uncertainty analyse</w:t>
            </w:r>
            <w:r w:rsidR="00AD555C" w:rsidRPr="00F94F22">
              <w:rPr>
                <w:rFonts w:ascii="Arial" w:hAnsi="Arial" w:cs="Arial"/>
                <w:sz w:val="20"/>
                <w:szCs w:val="20"/>
                <w:lang w:val="en-US"/>
              </w:rPr>
              <w:t xml:space="preserve">s </w:t>
            </w:r>
            <w:r w:rsidR="00CA7044">
              <w:rPr>
                <w:rFonts w:ascii="Arial" w:hAnsi="Arial" w:cs="Arial"/>
                <w:sz w:val="20"/>
                <w:szCs w:val="20"/>
                <w:lang w:val="en-US"/>
              </w:rPr>
              <w:t>are</w:t>
            </w:r>
            <w:r w:rsidR="00AD555C" w:rsidRPr="00F94F22">
              <w:rPr>
                <w:rFonts w:ascii="Arial" w:hAnsi="Arial" w:cs="Arial"/>
                <w:sz w:val="20"/>
                <w:szCs w:val="20"/>
                <w:lang w:val="en-US"/>
              </w:rPr>
              <w:t xml:space="preserve"> needed to accommodate the possible </w:t>
            </w:r>
            <w:proofErr w:type="spellStart"/>
            <w:r w:rsidR="00AD555C" w:rsidRPr="00F94F22">
              <w:rPr>
                <w:rFonts w:ascii="Arial" w:hAnsi="Arial" w:cs="Arial"/>
                <w:sz w:val="20"/>
                <w:szCs w:val="20"/>
                <w:lang w:val="en-US"/>
              </w:rPr>
              <w:t>facies</w:t>
            </w:r>
            <w:proofErr w:type="spellEnd"/>
            <w:r w:rsidR="00AD555C" w:rsidRPr="00F94F22">
              <w:rPr>
                <w:rFonts w:ascii="Arial" w:hAnsi="Arial" w:cs="Arial"/>
                <w:sz w:val="20"/>
                <w:szCs w:val="20"/>
                <w:lang w:val="en-US"/>
              </w:rPr>
              <w:t xml:space="preserve"> variation.</w:t>
            </w:r>
          </w:p>
          <w:p w:rsidR="006F4902" w:rsidRPr="005759BE" w:rsidRDefault="003F0DFE" w:rsidP="00A56E17">
            <w:pPr>
              <w:pStyle w:val="ListNumber"/>
              <w:numPr>
                <w:ilvl w:val="0"/>
                <w:numId w:val="8"/>
              </w:numPr>
              <w:spacing w:after="200"/>
              <w:rPr>
                <w:rFonts w:ascii="Arial" w:hAnsi="Arial" w:cs="Arial"/>
                <w:sz w:val="20"/>
                <w:szCs w:val="20"/>
              </w:rPr>
            </w:pPr>
            <w:r w:rsidRPr="003F0DFE">
              <w:rPr>
                <w:rFonts w:ascii="Arial" w:hAnsi="Arial" w:cs="Arial"/>
                <w:i/>
                <w:sz w:val="20"/>
                <w:szCs w:val="20"/>
                <w:lang w:val="en-US"/>
              </w:rPr>
              <w:t>Subsidence Effects</w:t>
            </w:r>
            <w:r>
              <w:rPr>
                <w:rFonts w:ascii="Arial" w:hAnsi="Arial" w:cs="Arial"/>
                <w:sz w:val="20"/>
                <w:szCs w:val="20"/>
                <w:lang w:val="en-US"/>
              </w:rPr>
              <w:t xml:space="preserve">: </w:t>
            </w:r>
            <w:r w:rsidR="006F4902" w:rsidRPr="00601D02">
              <w:rPr>
                <w:rFonts w:ascii="Arial" w:hAnsi="Arial" w:cs="Arial"/>
                <w:sz w:val="20"/>
                <w:szCs w:val="20"/>
                <w:lang w:val="en-US"/>
              </w:rPr>
              <w:t>The risk of subsidence effects on surface water resources and dependent ecosystems resulting from loss of structural integrity in t</w:t>
            </w:r>
            <w:r w:rsidR="00DD3041">
              <w:rPr>
                <w:rFonts w:ascii="Arial" w:hAnsi="Arial" w:cs="Arial"/>
                <w:sz w:val="20"/>
                <w:szCs w:val="20"/>
                <w:lang w:val="en-US"/>
              </w:rPr>
              <w:t>he Springbok Sandstone should</w:t>
            </w:r>
            <w:r w:rsidR="006F4902" w:rsidRPr="00601D02">
              <w:rPr>
                <w:rFonts w:ascii="Arial" w:hAnsi="Arial" w:cs="Arial"/>
                <w:sz w:val="20"/>
                <w:szCs w:val="20"/>
                <w:lang w:val="en-US"/>
              </w:rPr>
              <w:t xml:space="preserve"> be reconsidered in the context of the results of the investigation</w:t>
            </w:r>
            <w:r w:rsidR="006F4902">
              <w:rPr>
                <w:rFonts w:ascii="Arial" w:hAnsi="Arial" w:cs="Arial"/>
                <w:sz w:val="20"/>
                <w:szCs w:val="20"/>
                <w:lang w:val="en-US"/>
              </w:rPr>
              <w:t xml:space="preserve">. </w:t>
            </w:r>
          </w:p>
          <w:p w:rsidR="00A15A0C" w:rsidRPr="005759BE" w:rsidRDefault="00A15A0C" w:rsidP="001041AC">
            <w:pPr>
              <w:pStyle w:val="ListNumber"/>
              <w:numPr>
                <w:ilvl w:val="0"/>
                <w:numId w:val="8"/>
              </w:numPr>
              <w:spacing w:after="200"/>
              <w:ind w:left="426"/>
              <w:rPr>
                <w:rFonts w:ascii="Arial" w:hAnsi="Arial" w:cs="Arial"/>
                <w:i/>
                <w:sz w:val="20"/>
                <w:szCs w:val="20"/>
                <w:lang w:val="en-US"/>
              </w:rPr>
            </w:pPr>
            <w:r w:rsidRPr="006F4902">
              <w:rPr>
                <w:rFonts w:ascii="Arial" w:hAnsi="Arial" w:cs="Arial"/>
                <w:i/>
                <w:sz w:val="20"/>
                <w:szCs w:val="20"/>
                <w:lang w:val="en-US"/>
              </w:rPr>
              <w:t>Co-produced water</w:t>
            </w:r>
            <w:r w:rsidR="00601D02" w:rsidRPr="006F4902">
              <w:rPr>
                <w:rFonts w:ascii="Arial" w:hAnsi="Arial" w:cs="Arial"/>
                <w:i/>
                <w:sz w:val="20"/>
                <w:szCs w:val="20"/>
                <w:lang w:val="en-US"/>
              </w:rPr>
              <w:t xml:space="preserve">: </w:t>
            </w:r>
            <w:r w:rsidR="00964B93" w:rsidRPr="006F4902">
              <w:rPr>
                <w:rFonts w:ascii="Arial" w:hAnsi="Arial" w:cs="Arial"/>
                <w:sz w:val="20"/>
                <w:szCs w:val="20"/>
                <w:lang w:val="en-US"/>
              </w:rPr>
              <w:t>D</w:t>
            </w:r>
            <w:r w:rsidRPr="006F4902">
              <w:rPr>
                <w:rFonts w:ascii="Arial" w:hAnsi="Arial" w:cs="Arial"/>
                <w:sz w:val="20"/>
                <w:szCs w:val="20"/>
                <w:lang w:val="en-US"/>
              </w:rPr>
              <w:t>etails of the proponent’s reservoir model used to pr</w:t>
            </w:r>
            <w:r w:rsidR="0012677E" w:rsidRPr="006F4902">
              <w:rPr>
                <w:rFonts w:ascii="Arial" w:hAnsi="Arial" w:cs="Arial"/>
                <w:sz w:val="20"/>
                <w:szCs w:val="20"/>
                <w:lang w:val="en-US"/>
              </w:rPr>
              <w:t>edict co-produced water volumes</w:t>
            </w:r>
            <w:r w:rsidRPr="006F4902">
              <w:rPr>
                <w:rFonts w:ascii="Arial" w:hAnsi="Arial" w:cs="Arial"/>
                <w:sz w:val="20"/>
                <w:szCs w:val="20"/>
                <w:lang w:val="en-US"/>
              </w:rPr>
              <w:t xml:space="preserve"> have not been provided in the SEIS. </w:t>
            </w:r>
            <w:r w:rsidR="00845396" w:rsidRPr="006F4902">
              <w:rPr>
                <w:rFonts w:ascii="Arial" w:hAnsi="Arial" w:cs="Arial"/>
                <w:sz w:val="20"/>
                <w:szCs w:val="20"/>
                <w:lang w:val="en-US"/>
              </w:rPr>
              <w:t xml:space="preserve">Methods applied to derive co-produced water volumes should be made explicit </w:t>
            </w:r>
            <w:r w:rsidR="000D1945" w:rsidRPr="006F4902">
              <w:rPr>
                <w:rFonts w:ascii="Arial" w:hAnsi="Arial" w:cs="Arial"/>
                <w:sz w:val="20"/>
                <w:szCs w:val="20"/>
                <w:lang w:val="en-US"/>
              </w:rPr>
              <w:t>to improve confidence in p</w:t>
            </w:r>
            <w:r w:rsidR="00845396" w:rsidRPr="006F4902">
              <w:rPr>
                <w:rFonts w:ascii="Arial" w:hAnsi="Arial" w:cs="Arial"/>
                <w:sz w:val="20"/>
                <w:szCs w:val="20"/>
                <w:lang w:val="en-US"/>
              </w:rPr>
              <w:t>redicted water prod</w:t>
            </w:r>
            <w:r w:rsidR="000D1945" w:rsidRPr="006F4902">
              <w:rPr>
                <w:rFonts w:ascii="Arial" w:hAnsi="Arial" w:cs="Arial"/>
                <w:sz w:val="20"/>
                <w:szCs w:val="20"/>
                <w:lang w:val="en-US"/>
              </w:rPr>
              <w:t>uction volumes</w:t>
            </w:r>
            <w:r w:rsidR="00B136D6" w:rsidRPr="006F4902">
              <w:rPr>
                <w:rFonts w:ascii="Arial" w:hAnsi="Arial" w:cs="Arial"/>
                <w:sz w:val="20"/>
                <w:szCs w:val="20"/>
                <w:lang w:val="en-US"/>
              </w:rPr>
              <w:t>.</w:t>
            </w:r>
            <w:r w:rsidR="00962E6D" w:rsidRPr="006F4902">
              <w:rPr>
                <w:rFonts w:ascii="Arial" w:hAnsi="Arial" w:cs="Arial"/>
                <w:sz w:val="20"/>
                <w:szCs w:val="20"/>
                <w:lang w:val="en-US"/>
              </w:rPr>
              <w:t xml:space="preserve"> </w:t>
            </w:r>
            <w:r w:rsidR="004F261C" w:rsidRPr="005759BE">
              <w:rPr>
                <w:rFonts w:ascii="Arial" w:hAnsi="Arial" w:cs="Arial"/>
                <w:sz w:val="20"/>
                <w:szCs w:val="20"/>
                <w:lang w:val="en-US"/>
              </w:rPr>
              <w:t>The discrepancies in volumes produced should be reconciled and incorporated in the OGIA groundwater model</w:t>
            </w:r>
            <w:r w:rsidR="00962E6D" w:rsidRPr="005759BE">
              <w:rPr>
                <w:rFonts w:ascii="Arial" w:hAnsi="Arial" w:cs="Arial"/>
                <w:sz w:val="20"/>
                <w:szCs w:val="20"/>
                <w:lang w:val="en-US"/>
              </w:rPr>
              <w:t>.</w:t>
            </w:r>
          </w:p>
          <w:p w:rsidR="00A15A0C" w:rsidRPr="009C6A3F" w:rsidRDefault="00A15A0C" w:rsidP="001041AC">
            <w:pPr>
              <w:pStyle w:val="ListNumber"/>
              <w:numPr>
                <w:ilvl w:val="0"/>
                <w:numId w:val="8"/>
              </w:numPr>
              <w:spacing w:after="200"/>
              <w:ind w:left="426"/>
              <w:rPr>
                <w:rFonts w:ascii="Arial" w:hAnsi="Arial" w:cs="Arial"/>
                <w:sz w:val="20"/>
                <w:szCs w:val="20"/>
                <w:lang w:val="en-US"/>
              </w:rPr>
            </w:pPr>
            <w:r w:rsidRPr="00F94F22">
              <w:rPr>
                <w:rFonts w:ascii="Arial" w:hAnsi="Arial" w:cs="Arial"/>
                <w:i/>
                <w:sz w:val="20"/>
                <w:szCs w:val="20"/>
                <w:lang w:val="en-US"/>
              </w:rPr>
              <w:t>Groundwater dependent ecosystems</w:t>
            </w:r>
            <w:r w:rsidR="00793E65" w:rsidRPr="00F94F22">
              <w:rPr>
                <w:rFonts w:ascii="Arial" w:hAnsi="Arial" w:cs="Arial"/>
                <w:sz w:val="20"/>
                <w:szCs w:val="20"/>
                <w:lang w:val="en-US"/>
              </w:rPr>
              <w:t xml:space="preserve">: </w:t>
            </w:r>
            <w:r w:rsidR="004E3FE9" w:rsidRPr="00F94F22">
              <w:rPr>
                <w:rFonts w:ascii="Arial" w:hAnsi="Arial" w:cs="Arial"/>
                <w:sz w:val="20"/>
                <w:szCs w:val="20"/>
                <w:lang w:val="en-US"/>
              </w:rPr>
              <w:t xml:space="preserve">The SEIS </w:t>
            </w:r>
            <w:r w:rsidR="004F261C" w:rsidRPr="00F94F22">
              <w:rPr>
                <w:rFonts w:ascii="Arial" w:hAnsi="Arial" w:cs="Arial"/>
                <w:sz w:val="20"/>
                <w:szCs w:val="20"/>
                <w:lang w:val="en-US"/>
              </w:rPr>
              <w:t>adopts the OGIA groundwater model findings but this</w:t>
            </w:r>
            <w:r w:rsidR="009318A7" w:rsidRPr="00F94F22">
              <w:rPr>
                <w:rFonts w:ascii="Arial" w:hAnsi="Arial" w:cs="Arial"/>
                <w:sz w:val="20"/>
                <w:szCs w:val="20"/>
                <w:lang w:val="en-US"/>
              </w:rPr>
              <w:t xml:space="preserve"> </w:t>
            </w:r>
            <w:r w:rsidR="00814622" w:rsidRPr="00F94F22">
              <w:rPr>
                <w:rFonts w:ascii="Arial" w:hAnsi="Arial" w:cs="Arial"/>
                <w:sz w:val="20"/>
                <w:szCs w:val="20"/>
                <w:lang w:val="en-US"/>
              </w:rPr>
              <w:t xml:space="preserve">does not </w:t>
            </w:r>
            <w:r w:rsidR="004B297E" w:rsidRPr="00F94F22">
              <w:rPr>
                <w:rFonts w:ascii="Arial" w:hAnsi="Arial" w:cs="Arial"/>
                <w:sz w:val="20"/>
                <w:szCs w:val="20"/>
                <w:lang w:val="en-US"/>
              </w:rPr>
              <w:t>enable a</w:t>
            </w:r>
            <w:r w:rsidR="001A2EBC" w:rsidRPr="00F94F22">
              <w:rPr>
                <w:rFonts w:ascii="Arial" w:hAnsi="Arial" w:cs="Arial"/>
                <w:sz w:val="20"/>
                <w:szCs w:val="20"/>
                <w:lang w:val="en-US"/>
              </w:rPr>
              <w:t xml:space="preserve"> </w:t>
            </w:r>
            <w:r w:rsidR="00814622" w:rsidRPr="00F94F22">
              <w:rPr>
                <w:rFonts w:ascii="Arial" w:hAnsi="Arial" w:cs="Arial"/>
                <w:sz w:val="20"/>
                <w:szCs w:val="20"/>
                <w:lang w:val="en-US"/>
              </w:rPr>
              <w:t xml:space="preserve">comprehensive </w:t>
            </w:r>
            <w:r w:rsidR="004E3FE9" w:rsidRPr="00F94F22">
              <w:rPr>
                <w:rFonts w:ascii="Arial" w:hAnsi="Arial" w:cs="Arial"/>
                <w:sz w:val="20"/>
                <w:szCs w:val="20"/>
                <w:lang w:val="en-US"/>
              </w:rPr>
              <w:t>assess</w:t>
            </w:r>
            <w:r w:rsidR="00814622" w:rsidRPr="00F94F22">
              <w:rPr>
                <w:rFonts w:ascii="Arial" w:hAnsi="Arial" w:cs="Arial"/>
                <w:sz w:val="20"/>
                <w:szCs w:val="20"/>
                <w:lang w:val="en-US"/>
              </w:rPr>
              <w:t xml:space="preserve">ment of </w:t>
            </w:r>
            <w:r w:rsidR="004E3FE9" w:rsidRPr="00F94F22">
              <w:rPr>
                <w:rFonts w:ascii="Arial" w:hAnsi="Arial" w:cs="Arial"/>
                <w:sz w:val="20"/>
                <w:szCs w:val="20"/>
                <w:lang w:val="en-US"/>
              </w:rPr>
              <w:t>potential impacts on groundwater dependent ecosystems</w:t>
            </w:r>
            <w:r w:rsidR="0012677E" w:rsidRPr="00F94F22">
              <w:rPr>
                <w:rFonts w:ascii="Arial" w:hAnsi="Arial" w:cs="Arial"/>
                <w:sz w:val="20"/>
                <w:szCs w:val="20"/>
                <w:lang w:val="en-US"/>
              </w:rPr>
              <w:t>,</w:t>
            </w:r>
            <w:r w:rsidR="00EB67EB" w:rsidRPr="00F94F22">
              <w:rPr>
                <w:rFonts w:ascii="Arial" w:hAnsi="Arial" w:cs="Arial"/>
                <w:sz w:val="20"/>
                <w:szCs w:val="20"/>
                <w:lang w:val="en-US"/>
              </w:rPr>
              <w:t xml:space="preserve"> particularly those that have not been </w:t>
            </w:r>
            <w:proofErr w:type="spellStart"/>
            <w:r w:rsidR="004B297E" w:rsidRPr="00F94F22">
              <w:rPr>
                <w:rFonts w:ascii="Arial" w:hAnsi="Arial" w:cs="Arial"/>
                <w:sz w:val="20"/>
                <w:szCs w:val="20"/>
                <w:lang w:val="en-US"/>
              </w:rPr>
              <w:t>itemised</w:t>
            </w:r>
            <w:proofErr w:type="spellEnd"/>
            <w:r w:rsidR="00EB67EB" w:rsidRPr="00F94F22">
              <w:rPr>
                <w:rFonts w:ascii="Arial" w:hAnsi="Arial" w:cs="Arial"/>
                <w:sz w:val="20"/>
                <w:szCs w:val="20"/>
                <w:lang w:val="en-US"/>
              </w:rPr>
              <w:t xml:space="preserve"> in </w:t>
            </w:r>
            <w:r w:rsidR="004F261C" w:rsidRPr="00F94F22">
              <w:rPr>
                <w:rFonts w:ascii="Arial" w:hAnsi="Arial" w:cs="Arial"/>
                <w:sz w:val="20"/>
                <w:szCs w:val="20"/>
                <w:lang w:val="en-US"/>
              </w:rPr>
              <w:t>the Underground</w:t>
            </w:r>
            <w:r w:rsidR="004F261C" w:rsidRPr="005759BE">
              <w:rPr>
                <w:rFonts w:ascii="Arial" w:hAnsi="Arial" w:cs="Arial"/>
                <w:sz w:val="20"/>
                <w:szCs w:val="20"/>
                <w:lang w:val="en-US"/>
              </w:rPr>
              <w:t xml:space="preserve"> Water Impact Report (QWC, 2012)</w:t>
            </w:r>
            <w:r w:rsidR="004F261C" w:rsidRPr="005759BE">
              <w:rPr>
                <w:rFonts w:ascii="Arial" w:hAnsi="Arial" w:cs="Arial"/>
                <w:color w:val="000000" w:themeColor="text1"/>
                <w:sz w:val="20"/>
                <w:szCs w:val="20"/>
                <w:vertAlign w:val="superscript"/>
                <w:lang w:val="en-US"/>
              </w:rPr>
              <w:t xml:space="preserve"> 2</w:t>
            </w:r>
            <w:r w:rsidR="004F261C" w:rsidRPr="005759BE">
              <w:rPr>
                <w:rFonts w:ascii="Arial" w:hAnsi="Arial" w:cs="Arial"/>
                <w:sz w:val="20"/>
                <w:szCs w:val="20"/>
                <w:lang w:val="en-US"/>
              </w:rPr>
              <w:t>. Confidence in the conclusions and management measures proposed in the SEIS would be improved by integrating existing knowledge wit</w:t>
            </w:r>
            <w:r w:rsidR="00BD2BD9" w:rsidRPr="005759BE">
              <w:rPr>
                <w:rFonts w:ascii="Arial" w:hAnsi="Arial" w:cs="Arial"/>
                <w:sz w:val="20"/>
                <w:szCs w:val="20"/>
                <w:lang w:val="en-US"/>
              </w:rPr>
              <w:t>h the result</w:t>
            </w:r>
            <w:r w:rsidR="00BD2BD9" w:rsidRPr="006F4902">
              <w:rPr>
                <w:rFonts w:ascii="Arial" w:hAnsi="Arial" w:cs="Arial"/>
                <w:sz w:val="20"/>
                <w:szCs w:val="20"/>
                <w:lang w:val="en-US"/>
              </w:rPr>
              <w:t>s of field</w:t>
            </w:r>
            <w:r w:rsidR="00814622" w:rsidRPr="006F4902">
              <w:rPr>
                <w:rFonts w:ascii="Arial" w:hAnsi="Arial" w:cs="Arial"/>
                <w:sz w:val="20"/>
                <w:szCs w:val="20"/>
                <w:lang w:val="en-US"/>
              </w:rPr>
              <w:t>-</w:t>
            </w:r>
            <w:r w:rsidR="00BD2BD9" w:rsidRPr="006F4902">
              <w:rPr>
                <w:rFonts w:ascii="Arial" w:hAnsi="Arial" w:cs="Arial"/>
                <w:sz w:val="20"/>
                <w:szCs w:val="20"/>
                <w:lang w:val="en-US"/>
              </w:rPr>
              <w:t>based validation and assessment</w:t>
            </w:r>
            <w:r w:rsidR="004F261C">
              <w:rPr>
                <w:rFonts w:ascii="Arial" w:hAnsi="Arial" w:cs="Arial"/>
                <w:sz w:val="20"/>
                <w:szCs w:val="20"/>
                <w:lang w:val="en-US"/>
              </w:rPr>
              <w:t xml:space="preserve">, and using </w:t>
            </w:r>
            <w:r w:rsidR="00FD2BB4" w:rsidRPr="009C6A3F">
              <w:rPr>
                <w:rFonts w:ascii="Arial" w:hAnsi="Arial" w:cs="Arial"/>
                <w:sz w:val="20"/>
                <w:szCs w:val="20"/>
              </w:rPr>
              <w:t>the updated groundwater model to explicitly assess potential cumulative impacts on groundwater dependent ecosystems</w:t>
            </w:r>
            <w:r w:rsidR="00BD2BD9">
              <w:rPr>
                <w:rFonts w:ascii="Arial" w:hAnsi="Arial" w:cs="Arial"/>
                <w:sz w:val="20"/>
                <w:szCs w:val="20"/>
              </w:rPr>
              <w:t>.</w:t>
            </w:r>
            <w:r w:rsidR="0074758F">
              <w:rPr>
                <w:rFonts w:ascii="Arial" w:hAnsi="Arial" w:cs="Arial"/>
                <w:sz w:val="20"/>
                <w:szCs w:val="20"/>
              </w:rPr>
              <w:t xml:space="preserve"> The following </w:t>
            </w:r>
            <w:r w:rsidR="00BD2BD9">
              <w:rPr>
                <w:rFonts w:ascii="Arial" w:hAnsi="Arial" w:cs="Arial"/>
                <w:sz w:val="20"/>
                <w:szCs w:val="20"/>
              </w:rPr>
              <w:t xml:space="preserve">specific </w:t>
            </w:r>
            <w:r w:rsidR="00904ACA">
              <w:rPr>
                <w:rFonts w:ascii="Arial" w:hAnsi="Arial" w:cs="Arial"/>
                <w:sz w:val="20"/>
                <w:szCs w:val="20"/>
              </w:rPr>
              <w:t>activities</w:t>
            </w:r>
            <w:r w:rsidR="00BD2BD9">
              <w:rPr>
                <w:rFonts w:ascii="Arial" w:hAnsi="Arial" w:cs="Arial"/>
                <w:sz w:val="20"/>
                <w:szCs w:val="20"/>
              </w:rPr>
              <w:t xml:space="preserve"> are recommended:</w:t>
            </w:r>
          </w:p>
          <w:p w:rsidR="00745DE9" w:rsidRPr="009C6A3F" w:rsidRDefault="00587CC7" w:rsidP="0065150B">
            <w:pPr>
              <w:pStyle w:val="ListNumber"/>
              <w:numPr>
                <w:ilvl w:val="1"/>
                <w:numId w:val="8"/>
              </w:numPr>
              <w:spacing w:after="160"/>
              <w:ind w:left="850" w:hanging="357"/>
              <w:rPr>
                <w:rFonts w:ascii="Arial" w:hAnsi="Arial" w:cs="Arial"/>
                <w:sz w:val="20"/>
                <w:szCs w:val="20"/>
              </w:rPr>
            </w:pPr>
            <w:r>
              <w:rPr>
                <w:rFonts w:ascii="Arial" w:hAnsi="Arial" w:cs="Arial"/>
                <w:sz w:val="20"/>
                <w:szCs w:val="20"/>
              </w:rPr>
              <w:t>Conduct a</w:t>
            </w:r>
            <w:r w:rsidR="00277C31">
              <w:rPr>
                <w:rFonts w:ascii="Arial" w:hAnsi="Arial" w:cs="Arial"/>
                <w:sz w:val="20"/>
                <w:szCs w:val="20"/>
              </w:rPr>
              <w:t xml:space="preserve"> r</w:t>
            </w:r>
            <w:r w:rsidR="0074758F">
              <w:rPr>
                <w:rFonts w:ascii="Arial" w:hAnsi="Arial" w:cs="Arial"/>
                <w:sz w:val="20"/>
                <w:szCs w:val="20"/>
              </w:rPr>
              <w:t xml:space="preserve">evised </w:t>
            </w:r>
            <w:r w:rsidR="00A97306">
              <w:rPr>
                <w:rFonts w:ascii="Arial" w:hAnsi="Arial" w:cs="Arial"/>
                <w:sz w:val="20"/>
                <w:szCs w:val="20"/>
              </w:rPr>
              <w:t xml:space="preserve">cumulative </w:t>
            </w:r>
            <w:r>
              <w:rPr>
                <w:rFonts w:ascii="Arial" w:hAnsi="Arial" w:cs="Arial"/>
                <w:sz w:val="20"/>
                <w:szCs w:val="20"/>
              </w:rPr>
              <w:t xml:space="preserve">impact </w:t>
            </w:r>
            <w:r w:rsidR="00FD2BB4" w:rsidRPr="009C6A3F">
              <w:rPr>
                <w:rFonts w:ascii="Arial" w:hAnsi="Arial" w:cs="Arial"/>
                <w:sz w:val="20"/>
                <w:szCs w:val="20"/>
              </w:rPr>
              <w:t>assessment</w:t>
            </w:r>
            <w:r>
              <w:rPr>
                <w:rFonts w:ascii="Arial" w:hAnsi="Arial" w:cs="Arial"/>
                <w:sz w:val="20"/>
                <w:szCs w:val="20"/>
              </w:rPr>
              <w:t xml:space="preserve"> which integrates groundwater model outputs with known and potential groundwater dependent ecosystems and presents the outputs in map form. </w:t>
            </w:r>
            <w:r w:rsidR="00914177">
              <w:rPr>
                <w:rFonts w:ascii="Arial" w:hAnsi="Arial" w:cs="Arial"/>
                <w:sz w:val="20"/>
                <w:szCs w:val="20"/>
              </w:rPr>
              <w:t xml:space="preserve">Maps should clearly identify </w:t>
            </w:r>
            <w:r>
              <w:rPr>
                <w:rFonts w:ascii="Arial" w:hAnsi="Arial" w:cs="Arial"/>
                <w:sz w:val="20"/>
                <w:szCs w:val="20"/>
              </w:rPr>
              <w:t xml:space="preserve">potentially impacted </w:t>
            </w:r>
            <w:r w:rsidR="00914177">
              <w:rPr>
                <w:rFonts w:ascii="Arial" w:hAnsi="Arial" w:cs="Arial"/>
                <w:sz w:val="20"/>
                <w:szCs w:val="20"/>
              </w:rPr>
              <w:t>ecosystems;</w:t>
            </w:r>
            <w:r w:rsidR="001533D2">
              <w:rPr>
                <w:rFonts w:ascii="Arial" w:hAnsi="Arial" w:cs="Arial"/>
                <w:sz w:val="20"/>
                <w:szCs w:val="20"/>
              </w:rPr>
              <w:t xml:space="preserve">  </w:t>
            </w:r>
          </w:p>
          <w:p w:rsidR="002C041A" w:rsidRPr="00BD2BD9" w:rsidRDefault="00587CC7" w:rsidP="0065150B">
            <w:pPr>
              <w:pStyle w:val="ListNumber"/>
              <w:numPr>
                <w:ilvl w:val="1"/>
                <w:numId w:val="8"/>
              </w:numPr>
              <w:spacing w:after="160"/>
              <w:ind w:left="850" w:hanging="357"/>
              <w:rPr>
                <w:rFonts w:ascii="Arial" w:hAnsi="Arial" w:cs="Arial"/>
                <w:sz w:val="20"/>
                <w:szCs w:val="20"/>
              </w:rPr>
            </w:pPr>
            <w:r>
              <w:rPr>
                <w:rFonts w:ascii="Arial" w:hAnsi="Arial" w:cs="Arial"/>
                <w:sz w:val="20"/>
                <w:szCs w:val="20"/>
              </w:rPr>
              <w:t>Inclusion of a confidence interval assessment for localised groundwater drawdown impacts</w:t>
            </w:r>
            <w:r w:rsidR="00A67D0F">
              <w:rPr>
                <w:rFonts w:ascii="Arial" w:hAnsi="Arial" w:cs="Arial"/>
                <w:sz w:val="20"/>
                <w:szCs w:val="20"/>
              </w:rPr>
              <w:t>;</w:t>
            </w:r>
          </w:p>
          <w:p w:rsidR="00B4376B" w:rsidRDefault="00832575" w:rsidP="0065150B">
            <w:pPr>
              <w:pStyle w:val="ListNumber"/>
              <w:numPr>
                <w:ilvl w:val="1"/>
                <w:numId w:val="8"/>
              </w:numPr>
              <w:spacing w:after="160"/>
              <w:ind w:left="850" w:hanging="357"/>
              <w:rPr>
                <w:rFonts w:ascii="Arial" w:hAnsi="Arial" w:cs="Arial"/>
                <w:sz w:val="20"/>
                <w:szCs w:val="20"/>
              </w:rPr>
            </w:pPr>
            <w:r>
              <w:rPr>
                <w:rFonts w:ascii="Arial" w:hAnsi="Arial" w:cs="Arial"/>
                <w:sz w:val="20"/>
                <w:szCs w:val="20"/>
              </w:rPr>
              <w:t>To confirm the</w:t>
            </w:r>
            <w:r w:rsidRPr="00832575">
              <w:rPr>
                <w:rFonts w:ascii="Arial" w:hAnsi="Arial" w:cs="Arial"/>
                <w:sz w:val="20"/>
                <w:szCs w:val="20"/>
              </w:rPr>
              <w:t xml:space="preserve"> source aquifer for Spring Complex 584</w:t>
            </w:r>
            <w:r>
              <w:rPr>
                <w:rFonts w:ascii="Arial" w:hAnsi="Arial" w:cs="Arial"/>
                <w:sz w:val="20"/>
                <w:szCs w:val="20"/>
              </w:rPr>
              <w:t>, con</w:t>
            </w:r>
            <w:r w:rsidR="006D143E">
              <w:rPr>
                <w:rFonts w:ascii="Arial" w:hAnsi="Arial" w:cs="Arial"/>
                <w:sz w:val="20"/>
                <w:szCs w:val="20"/>
              </w:rPr>
              <w:t xml:space="preserve">sider the results of </w:t>
            </w:r>
            <w:r w:rsidR="008A4CDC">
              <w:rPr>
                <w:rFonts w:ascii="Arial" w:hAnsi="Arial" w:cs="Arial"/>
                <w:sz w:val="20"/>
                <w:szCs w:val="20"/>
              </w:rPr>
              <w:t>a</w:t>
            </w:r>
            <w:r w:rsidR="00B4376B">
              <w:rPr>
                <w:rFonts w:ascii="Arial" w:hAnsi="Arial" w:cs="Arial"/>
                <w:sz w:val="20"/>
                <w:szCs w:val="20"/>
              </w:rPr>
              <w:t>dditional field investigations recommended by KCB (2012)</w:t>
            </w:r>
            <w:r w:rsidR="00B35768" w:rsidRPr="0062054E">
              <w:rPr>
                <w:rFonts w:ascii="Arial" w:hAnsi="Arial" w:cs="Arial"/>
                <w:color w:val="000000" w:themeColor="text1"/>
                <w:sz w:val="20"/>
                <w:szCs w:val="20"/>
                <w:vertAlign w:val="superscript"/>
              </w:rPr>
              <w:t xml:space="preserve"> </w:t>
            </w:r>
            <w:r w:rsidR="00B35768">
              <w:rPr>
                <w:rFonts w:ascii="Arial" w:hAnsi="Arial" w:cs="Arial"/>
                <w:color w:val="000000" w:themeColor="text1"/>
                <w:sz w:val="20"/>
                <w:szCs w:val="20"/>
                <w:vertAlign w:val="superscript"/>
              </w:rPr>
              <w:t>3</w:t>
            </w:r>
            <w:r w:rsidR="00B4376B">
              <w:rPr>
                <w:rFonts w:ascii="Arial" w:hAnsi="Arial" w:cs="Arial"/>
                <w:sz w:val="20"/>
                <w:szCs w:val="20"/>
              </w:rPr>
              <w:t xml:space="preserve"> </w:t>
            </w:r>
            <w:r w:rsidR="006D143E">
              <w:rPr>
                <w:rFonts w:ascii="Arial" w:hAnsi="Arial" w:cs="Arial"/>
                <w:sz w:val="20"/>
                <w:szCs w:val="20"/>
              </w:rPr>
              <w:t>as soon as they become available</w:t>
            </w:r>
            <w:r w:rsidR="00B4376B">
              <w:rPr>
                <w:rFonts w:ascii="Arial" w:hAnsi="Arial" w:cs="Arial"/>
                <w:sz w:val="20"/>
                <w:szCs w:val="20"/>
              </w:rPr>
              <w:t>;</w:t>
            </w:r>
          </w:p>
          <w:p w:rsidR="00A67D0F" w:rsidRPr="00A67D0F" w:rsidRDefault="00A67D0F" w:rsidP="0065150B">
            <w:pPr>
              <w:pStyle w:val="ListNumber"/>
              <w:numPr>
                <w:ilvl w:val="1"/>
                <w:numId w:val="8"/>
              </w:numPr>
              <w:spacing w:after="160"/>
              <w:ind w:left="850" w:hanging="357"/>
              <w:rPr>
                <w:rFonts w:ascii="Arial" w:hAnsi="Arial" w:cs="Arial"/>
                <w:sz w:val="20"/>
                <w:szCs w:val="20"/>
              </w:rPr>
            </w:pPr>
            <w:r>
              <w:rPr>
                <w:rFonts w:ascii="Arial" w:hAnsi="Arial" w:cs="Arial"/>
                <w:sz w:val="20"/>
                <w:szCs w:val="20"/>
              </w:rPr>
              <w:t xml:space="preserve">Field-based investigations </w:t>
            </w:r>
            <w:r w:rsidRPr="00A67D0F">
              <w:rPr>
                <w:rFonts w:ascii="Arial" w:hAnsi="Arial" w:cs="Arial"/>
                <w:sz w:val="20"/>
                <w:szCs w:val="20"/>
              </w:rPr>
              <w:t xml:space="preserve">to assess the </w:t>
            </w:r>
            <w:proofErr w:type="spellStart"/>
            <w:r w:rsidRPr="00A67D0F">
              <w:rPr>
                <w:rFonts w:ascii="Arial" w:hAnsi="Arial" w:cs="Arial"/>
                <w:sz w:val="20"/>
                <w:szCs w:val="20"/>
              </w:rPr>
              <w:t>hydrogeological</w:t>
            </w:r>
            <w:proofErr w:type="spellEnd"/>
            <w:r w:rsidRPr="00A67D0F">
              <w:rPr>
                <w:rFonts w:ascii="Arial" w:hAnsi="Arial" w:cs="Arial"/>
                <w:sz w:val="20"/>
                <w:szCs w:val="20"/>
              </w:rPr>
              <w:t xml:space="preserve"> and ecological characteristics of potentially impacted watercourse springs</w:t>
            </w:r>
            <w:r w:rsidR="00521F3C">
              <w:rPr>
                <w:rFonts w:ascii="Arial" w:hAnsi="Arial" w:cs="Arial"/>
                <w:sz w:val="20"/>
                <w:szCs w:val="20"/>
              </w:rPr>
              <w:t>;</w:t>
            </w:r>
            <w:r>
              <w:rPr>
                <w:rFonts w:ascii="Arial" w:hAnsi="Arial" w:cs="Arial"/>
                <w:sz w:val="20"/>
                <w:szCs w:val="20"/>
              </w:rPr>
              <w:t xml:space="preserve"> </w:t>
            </w:r>
          </w:p>
          <w:p w:rsidR="00A15A0C" w:rsidRPr="00F94F22" w:rsidRDefault="00F628CE" w:rsidP="0065150B">
            <w:pPr>
              <w:pStyle w:val="ListNumber"/>
              <w:numPr>
                <w:ilvl w:val="1"/>
                <w:numId w:val="8"/>
              </w:numPr>
              <w:spacing w:after="160"/>
              <w:ind w:left="850" w:hanging="357"/>
              <w:rPr>
                <w:rFonts w:ascii="Arial" w:hAnsi="Arial" w:cs="Arial"/>
                <w:sz w:val="20"/>
                <w:szCs w:val="20"/>
              </w:rPr>
            </w:pPr>
            <w:r>
              <w:rPr>
                <w:rFonts w:ascii="Arial" w:hAnsi="Arial" w:cs="Arial"/>
                <w:sz w:val="20"/>
                <w:szCs w:val="20"/>
              </w:rPr>
              <w:t xml:space="preserve">Inclusion of the </w:t>
            </w:r>
            <w:r w:rsidR="00FA3298" w:rsidRPr="00935815">
              <w:rPr>
                <w:rFonts w:ascii="Arial" w:hAnsi="Arial" w:cs="Arial"/>
                <w:sz w:val="20"/>
                <w:szCs w:val="20"/>
              </w:rPr>
              <w:t xml:space="preserve">potential groundwater dependent ecosystems identified by </w:t>
            </w:r>
            <w:proofErr w:type="spellStart"/>
            <w:r w:rsidR="00A15A0C" w:rsidRPr="00935815">
              <w:rPr>
                <w:rFonts w:ascii="Arial" w:hAnsi="Arial" w:cs="Arial"/>
                <w:sz w:val="20"/>
                <w:szCs w:val="20"/>
              </w:rPr>
              <w:t>Halcrow</w:t>
            </w:r>
            <w:proofErr w:type="spellEnd"/>
            <w:r w:rsidR="00B35768">
              <w:rPr>
                <w:rFonts w:ascii="Arial" w:hAnsi="Arial" w:cs="Arial"/>
                <w:sz w:val="20"/>
                <w:szCs w:val="20"/>
              </w:rPr>
              <w:t xml:space="preserve"> in </w:t>
            </w:r>
            <w:r w:rsidR="00FA3298" w:rsidRPr="00935815">
              <w:rPr>
                <w:rFonts w:ascii="Arial" w:hAnsi="Arial" w:cs="Arial"/>
                <w:sz w:val="20"/>
                <w:szCs w:val="20"/>
              </w:rPr>
              <w:t>2012 and 2013</w:t>
            </w:r>
            <w:r w:rsidR="00B35768">
              <w:rPr>
                <w:rFonts w:ascii="Arial" w:hAnsi="Arial" w:cs="Arial"/>
                <w:sz w:val="20"/>
                <w:szCs w:val="20"/>
              </w:rPr>
              <w:t xml:space="preserve"> (as referenced in the SEIS</w:t>
            </w:r>
            <w:r w:rsidR="00FA3298" w:rsidRPr="00935815">
              <w:rPr>
                <w:rFonts w:ascii="Arial" w:hAnsi="Arial" w:cs="Arial"/>
                <w:sz w:val="20"/>
                <w:szCs w:val="20"/>
              </w:rPr>
              <w:t>)</w:t>
            </w:r>
            <w:r>
              <w:rPr>
                <w:rFonts w:ascii="Arial" w:hAnsi="Arial" w:cs="Arial"/>
                <w:sz w:val="20"/>
                <w:szCs w:val="20"/>
              </w:rPr>
              <w:t xml:space="preserve"> in the revised cumulative impact </w:t>
            </w:r>
            <w:r w:rsidR="00423D25">
              <w:rPr>
                <w:rFonts w:ascii="Arial" w:hAnsi="Arial" w:cs="Arial"/>
                <w:sz w:val="20"/>
                <w:szCs w:val="20"/>
              </w:rPr>
              <w:t xml:space="preserve">assessment </w:t>
            </w:r>
            <w:r>
              <w:rPr>
                <w:rFonts w:ascii="Arial" w:hAnsi="Arial" w:cs="Arial"/>
                <w:sz w:val="20"/>
                <w:szCs w:val="20"/>
              </w:rPr>
              <w:t xml:space="preserve">recommended in </w:t>
            </w:r>
            <w:r w:rsidR="00CF041B">
              <w:rPr>
                <w:rFonts w:ascii="Arial" w:hAnsi="Arial" w:cs="Arial"/>
                <w:sz w:val="20"/>
                <w:szCs w:val="20"/>
              </w:rPr>
              <w:t>paragraph</w:t>
            </w:r>
            <w:r>
              <w:rPr>
                <w:rFonts w:ascii="Arial" w:hAnsi="Arial" w:cs="Arial"/>
                <w:sz w:val="20"/>
                <w:szCs w:val="20"/>
              </w:rPr>
              <w:t xml:space="preserve"> </w:t>
            </w:r>
            <w:r w:rsidR="00DF1D57">
              <w:rPr>
                <w:rFonts w:ascii="Arial" w:hAnsi="Arial" w:cs="Arial"/>
                <w:sz w:val="20"/>
                <w:szCs w:val="20"/>
              </w:rPr>
              <w:t>5</w:t>
            </w:r>
            <w:r>
              <w:rPr>
                <w:rFonts w:ascii="Arial" w:hAnsi="Arial" w:cs="Arial"/>
                <w:sz w:val="20"/>
                <w:szCs w:val="20"/>
              </w:rPr>
              <w:t>(a)</w:t>
            </w:r>
            <w:r w:rsidR="00B8374D">
              <w:rPr>
                <w:rFonts w:ascii="Arial" w:hAnsi="Arial" w:cs="Arial"/>
                <w:sz w:val="20"/>
                <w:szCs w:val="20"/>
              </w:rPr>
              <w:t xml:space="preserve"> </w:t>
            </w:r>
            <w:r w:rsidR="00B8374D" w:rsidRPr="00F94F22">
              <w:rPr>
                <w:rFonts w:ascii="Arial" w:hAnsi="Arial" w:cs="Arial"/>
                <w:sz w:val="20"/>
                <w:szCs w:val="20"/>
              </w:rPr>
              <w:t>above</w:t>
            </w:r>
            <w:r w:rsidR="00A15A0C" w:rsidRPr="00F94F22">
              <w:rPr>
                <w:rFonts w:ascii="Arial" w:hAnsi="Arial" w:cs="Arial"/>
                <w:sz w:val="20"/>
                <w:szCs w:val="20"/>
              </w:rPr>
              <w:t>.</w:t>
            </w:r>
            <w:r w:rsidR="00935815" w:rsidRPr="00F94F22">
              <w:rPr>
                <w:rFonts w:ascii="Arial" w:hAnsi="Arial" w:cs="Arial"/>
                <w:sz w:val="20"/>
                <w:szCs w:val="20"/>
              </w:rPr>
              <w:t xml:space="preserve"> The results of field-based investigations to validate the groundwater dependency of these ecosystems should be incorporated into the proponent</w:t>
            </w:r>
            <w:r w:rsidR="00521F3C" w:rsidRPr="00F94F22">
              <w:rPr>
                <w:rFonts w:ascii="Arial" w:hAnsi="Arial" w:cs="Arial"/>
                <w:sz w:val="20"/>
                <w:szCs w:val="20"/>
              </w:rPr>
              <w:t>’</w:t>
            </w:r>
            <w:r w:rsidR="00935815" w:rsidRPr="00F94F22">
              <w:rPr>
                <w:rFonts w:ascii="Arial" w:hAnsi="Arial" w:cs="Arial"/>
                <w:sz w:val="20"/>
                <w:szCs w:val="20"/>
              </w:rPr>
              <w:t xml:space="preserve">s </w:t>
            </w:r>
            <w:r w:rsidR="00521F3C" w:rsidRPr="00F94F22">
              <w:rPr>
                <w:rFonts w:ascii="Arial" w:hAnsi="Arial" w:cs="Arial"/>
                <w:sz w:val="20"/>
                <w:szCs w:val="20"/>
              </w:rPr>
              <w:t>(and OGIA</w:t>
            </w:r>
            <w:r w:rsidR="0012677E" w:rsidRPr="00F94F22">
              <w:rPr>
                <w:rFonts w:ascii="Arial" w:hAnsi="Arial" w:cs="Arial"/>
                <w:sz w:val="20"/>
                <w:szCs w:val="20"/>
              </w:rPr>
              <w:t>’s</w:t>
            </w:r>
            <w:r w:rsidR="00521F3C" w:rsidRPr="00F94F22">
              <w:rPr>
                <w:rFonts w:ascii="Arial" w:hAnsi="Arial" w:cs="Arial"/>
                <w:sz w:val="20"/>
                <w:szCs w:val="20"/>
              </w:rPr>
              <w:t xml:space="preserve">) </w:t>
            </w:r>
            <w:r w:rsidR="00935815" w:rsidRPr="00F94F22">
              <w:rPr>
                <w:rFonts w:ascii="Arial" w:hAnsi="Arial" w:cs="Arial"/>
                <w:sz w:val="20"/>
                <w:szCs w:val="20"/>
              </w:rPr>
              <w:t>groundwater model as soon as they become available;</w:t>
            </w:r>
          </w:p>
          <w:p w:rsidR="00E94733" w:rsidRPr="00F94F22" w:rsidRDefault="00A67D0F" w:rsidP="0065150B">
            <w:pPr>
              <w:pStyle w:val="ListNumber"/>
              <w:numPr>
                <w:ilvl w:val="1"/>
                <w:numId w:val="8"/>
              </w:numPr>
              <w:spacing w:after="160"/>
              <w:ind w:left="850" w:hanging="357"/>
              <w:rPr>
                <w:rFonts w:ascii="Arial" w:hAnsi="Arial" w:cs="Arial"/>
                <w:sz w:val="20"/>
                <w:szCs w:val="20"/>
              </w:rPr>
            </w:pPr>
            <w:r w:rsidRPr="00F94F22">
              <w:rPr>
                <w:rFonts w:ascii="Arial" w:hAnsi="Arial" w:cs="Arial"/>
                <w:sz w:val="20"/>
                <w:szCs w:val="20"/>
              </w:rPr>
              <w:t xml:space="preserve">Incorporation of </w:t>
            </w:r>
            <w:r w:rsidR="00814622" w:rsidRPr="00F94F22">
              <w:rPr>
                <w:rFonts w:ascii="Arial" w:hAnsi="Arial" w:cs="Arial"/>
                <w:sz w:val="20"/>
                <w:szCs w:val="20"/>
              </w:rPr>
              <w:t>data</w:t>
            </w:r>
            <w:r w:rsidR="00E94733" w:rsidRPr="00F94F22">
              <w:rPr>
                <w:rFonts w:ascii="Arial" w:hAnsi="Arial" w:cs="Arial"/>
                <w:sz w:val="20"/>
                <w:szCs w:val="20"/>
              </w:rPr>
              <w:t xml:space="preserve"> from the Queensland Department of Environment and Heritage Protection’s groundwater dependent ecosystem mapping dataset;</w:t>
            </w:r>
          </w:p>
          <w:p w:rsidR="00AB0BEB" w:rsidRPr="00F94F22" w:rsidRDefault="00AB0BEB" w:rsidP="0065150B">
            <w:pPr>
              <w:pStyle w:val="ListNumber"/>
              <w:numPr>
                <w:ilvl w:val="1"/>
                <w:numId w:val="8"/>
              </w:numPr>
              <w:spacing w:after="160"/>
              <w:ind w:left="850" w:hanging="357"/>
              <w:rPr>
                <w:rFonts w:ascii="Arial" w:hAnsi="Arial" w:cs="Arial"/>
                <w:sz w:val="20"/>
                <w:szCs w:val="20"/>
              </w:rPr>
            </w:pPr>
            <w:r w:rsidRPr="00F94F22">
              <w:rPr>
                <w:rFonts w:ascii="Arial" w:hAnsi="Arial" w:cs="Arial"/>
                <w:sz w:val="20"/>
                <w:szCs w:val="20"/>
              </w:rPr>
              <w:t>Identification of predicted changes in stream connecti</w:t>
            </w:r>
            <w:r w:rsidR="005B17A4" w:rsidRPr="00F94F22">
              <w:rPr>
                <w:rFonts w:ascii="Arial" w:hAnsi="Arial" w:cs="Arial"/>
                <w:sz w:val="20"/>
                <w:szCs w:val="20"/>
              </w:rPr>
              <w:t>vity with the underlying aquifer</w:t>
            </w:r>
            <w:r w:rsidRPr="00F94F22">
              <w:rPr>
                <w:rFonts w:ascii="Arial" w:hAnsi="Arial" w:cs="Arial"/>
                <w:sz w:val="20"/>
                <w:szCs w:val="20"/>
              </w:rPr>
              <w:t xml:space="preserve">; for example, where groundwater drawdown may cause a ‘low gaining’ reach to become a ‘losing’ reach;  </w:t>
            </w:r>
          </w:p>
          <w:p w:rsidR="00AB0BEB" w:rsidRPr="00F94F22" w:rsidRDefault="00AE63B9" w:rsidP="0065150B">
            <w:pPr>
              <w:pStyle w:val="ListNumber"/>
              <w:numPr>
                <w:ilvl w:val="1"/>
                <w:numId w:val="8"/>
              </w:numPr>
              <w:spacing w:after="160"/>
              <w:ind w:left="850" w:hanging="357"/>
              <w:rPr>
                <w:rFonts w:ascii="Arial" w:hAnsi="Arial" w:cs="Arial"/>
                <w:sz w:val="20"/>
                <w:szCs w:val="20"/>
              </w:rPr>
            </w:pPr>
            <w:r w:rsidRPr="00F94F22">
              <w:rPr>
                <w:rFonts w:ascii="Arial" w:hAnsi="Arial" w:cs="Arial"/>
                <w:sz w:val="20"/>
                <w:szCs w:val="20"/>
              </w:rPr>
              <w:t xml:space="preserve">Review the </w:t>
            </w:r>
            <w:r w:rsidR="00E94733" w:rsidRPr="00F94F22">
              <w:rPr>
                <w:rFonts w:ascii="Arial" w:hAnsi="Arial" w:cs="Arial"/>
                <w:sz w:val="20"/>
                <w:szCs w:val="20"/>
              </w:rPr>
              <w:t xml:space="preserve">assumption </w:t>
            </w:r>
            <w:r w:rsidR="00D70239" w:rsidRPr="00F94F22">
              <w:rPr>
                <w:rFonts w:ascii="Arial" w:hAnsi="Arial" w:cs="Arial"/>
                <w:sz w:val="20"/>
                <w:szCs w:val="20"/>
              </w:rPr>
              <w:t xml:space="preserve">that losing streams do not support </w:t>
            </w:r>
            <w:r w:rsidRPr="00F94F22">
              <w:rPr>
                <w:rFonts w:ascii="Arial" w:hAnsi="Arial" w:cs="Arial"/>
                <w:sz w:val="20"/>
                <w:szCs w:val="20"/>
              </w:rPr>
              <w:t xml:space="preserve">groundwater dependent ecosystems, </w:t>
            </w:r>
            <w:r w:rsidR="00EA6241" w:rsidRPr="00F94F22">
              <w:rPr>
                <w:rFonts w:ascii="Arial" w:hAnsi="Arial" w:cs="Arial"/>
                <w:sz w:val="20"/>
                <w:szCs w:val="20"/>
              </w:rPr>
              <w:t xml:space="preserve">as this </w:t>
            </w:r>
            <w:r w:rsidR="00E94733" w:rsidRPr="00F94F22">
              <w:rPr>
                <w:rFonts w:ascii="Arial" w:hAnsi="Arial" w:cs="Arial"/>
                <w:sz w:val="20"/>
                <w:szCs w:val="20"/>
              </w:rPr>
              <w:t xml:space="preserve">does not account for ecosystems that </w:t>
            </w:r>
            <w:r w:rsidR="00D70239" w:rsidRPr="00F94F22">
              <w:rPr>
                <w:rFonts w:ascii="Arial" w:hAnsi="Arial" w:cs="Arial"/>
                <w:sz w:val="20"/>
                <w:szCs w:val="20"/>
              </w:rPr>
              <w:t xml:space="preserve">may </w:t>
            </w:r>
            <w:r w:rsidR="00EB7367" w:rsidRPr="00F94F22">
              <w:rPr>
                <w:rFonts w:ascii="Arial" w:hAnsi="Arial" w:cs="Arial"/>
                <w:sz w:val="20"/>
                <w:szCs w:val="20"/>
              </w:rPr>
              <w:t>rely on sub-su</w:t>
            </w:r>
            <w:r w:rsidR="00AB0BEB" w:rsidRPr="00F94F22">
              <w:rPr>
                <w:rFonts w:ascii="Arial" w:hAnsi="Arial" w:cs="Arial"/>
                <w:sz w:val="20"/>
                <w:szCs w:val="20"/>
              </w:rPr>
              <w:t>rface expression of groundwater</w:t>
            </w:r>
            <w:r w:rsidR="006D143E" w:rsidRPr="00F94F22">
              <w:rPr>
                <w:rFonts w:ascii="Arial" w:hAnsi="Arial" w:cs="Arial"/>
                <w:sz w:val="20"/>
                <w:szCs w:val="20"/>
              </w:rPr>
              <w:t xml:space="preserve">. Assess potential impacts on non-spring based </w:t>
            </w:r>
            <w:r w:rsidR="00C867D3" w:rsidRPr="00F94F22">
              <w:rPr>
                <w:rFonts w:ascii="Arial" w:hAnsi="Arial" w:cs="Arial"/>
                <w:sz w:val="20"/>
                <w:szCs w:val="20"/>
              </w:rPr>
              <w:t>ecosystems with a moderate to high potential for interaction with the sub</w:t>
            </w:r>
            <w:r w:rsidR="00B8374D" w:rsidRPr="00F94F22">
              <w:rPr>
                <w:rFonts w:ascii="Arial" w:hAnsi="Arial" w:cs="Arial"/>
                <w:sz w:val="20"/>
                <w:szCs w:val="20"/>
              </w:rPr>
              <w:t>-</w:t>
            </w:r>
            <w:r w:rsidR="00C867D3" w:rsidRPr="00F94F22">
              <w:rPr>
                <w:rFonts w:ascii="Arial" w:hAnsi="Arial" w:cs="Arial"/>
                <w:sz w:val="20"/>
                <w:szCs w:val="20"/>
              </w:rPr>
              <w:t xml:space="preserve">surface expression of groundwater </w:t>
            </w:r>
            <w:r w:rsidR="006D143E" w:rsidRPr="00F94F22">
              <w:rPr>
                <w:rFonts w:ascii="Arial" w:hAnsi="Arial" w:cs="Arial"/>
                <w:sz w:val="20"/>
                <w:szCs w:val="20"/>
              </w:rPr>
              <w:t>prior to commencement of production</w:t>
            </w:r>
            <w:r w:rsidR="00AB0BEB" w:rsidRPr="00F94F22">
              <w:rPr>
                <w:rFonts w:ascii="Arial" w:hAnsi="Arial" w:cs="Arial"/>
                <w:sz w:val="20"/>
                <w:szCs w:val="20"/>
              </w:rPr>
              <w:t>;</w:t>
            </w:r>
          </w:p>
          <w:p w:rsidR="00867C1C" w:rsidRPr="00F94F22" w:rsidRDefault="00867C1C" w:rsidP="0065150B">
            <w:pPr>
              <w:pStyle w:val="ListNumber"/>
              <w:numPr>
                <w:ilvl w:val="1"/>
                <w:numId w:val="8"/>
              </w:numPr>
              <w:spacing w:after="160"/>
              <w:ind w:left="850" w:hanging="357"/>
              <w:rPr>
                <w:rFonts w:ascii="Arial" w:hAnsi="Arial" w:cs="Arial"/>
                <w:sz w:val="20"/>
                <w:szCs w:val="20"/>
              </w:rPr>
            </w:pPr>
            <w:r w:rsidRPr="00F94F22">
              <w:rPr>
                <w:rFonts w:ascii="Arial" w:hAnsi="Arial" w:cs="Arial"/>
                <w:sz w:val="20"/>
                <w:szCs w:val="20"/>
              </w:rPr>
              <w:t>Conduct</w:t>
            </w:r>
            <w:r w:rsidR="00D15D2E" w:rsidRPr="00F94F22">
              <w:rPr>
                <w:rFonts w:ascii="Arial" w:hAnsi="Arial" w:cs="Arial"/>
                <w:sz w:val="20"/>
                <w:szCs w:val="20"/>
              </w:rPr>
              <w:t xml:space="preserve"> </w:t>
            </w:r>
            <w:r w:rsidRPr="00F94F22">
              <w:rPr>
                <w:rFonts w:ascii="Arial" w:hAnsi="Arial" w:cs="Arial"/>
                <w:sz w:val="20"/>
                <w:szCs w:val="20"/>
              </w:rPr>
              <w:t>a program of field-based investigation</w:t>
            </w:r>
            <w:r w:rsidR="00423D25" w:rsidRPr="00F94F22">
              <w:rPr>
                <w:rFonts w:ascii="Arial" w:hAnsi="Arial" w:cs="Arial"/>
                <w:sz w:val="20"/>
                <w:szCs w:val="20"/>
              </w:rPr>
              <w:t>s</w:t>
            </w:r>
            <w:r w:rsidRPr="00F94F22">
              <w:rPr>
                <w:rFonts w:ascii="Arial" w:hAnsi="Arial" w:cs="Arial"/>
                <w:sz w:val="20"/>
                <w:szCs w:val="20"/>
              </w:rPr>
              <w:t xml:space="preserve"> to determine the groundwater-dependency of ecosystem</w:t>
            </w:r>
            <w:r w:rsidR="005B17A4" w:rsidRPr="00F94F22">
              <w:rPr>
                <w:rFonts w:ascii="Arial" w:hAnsi="Arial" w:cs="Arial"/>
                <w:sz w:val="20"/>
                <w:szCs w:val="20"/>
              </w:rPr>
              <w:t>s</w:t>
            </w:r>
            <w:r w:rsidRPr="00F94F22">
              <w:rPr>
                <w:rFonts w:ascii="Arial" w:hAnsi="Arial" w:cs="Arial"/>
                <w:sz w:val="20"/>
                <w:szCs w:val="20"/>
              </w:rPr>
              <w:t>, where uncertainty exists; and</w:t>
            </w:r>
          </w:p>
          <w:p w:rsidR="00A15A0C" w:rsidRPr="00F94F22" w:rsidRDefault="00A92DCF" w:rsidP="0065150B">
            <w:pPr>
              <w:pStyle w:val="ListNumber"/>
              <w:numPr>
                <w:ilvl w:val="1"/>
                <w:numId w:val="8"/>
              </w:numPr>
              <w:spacing w:after="160"/>
              <w:ind w:left="850" w:hanging="357"/>
              <w:rPr>
                <w:rFonts w:ascii="Arial" w:hAnsi="Arial" w:cs="Arial"/>
                <w:sz w:val="20"/>
                <w:szCs w:val="20"/>
              </w:rPr>
            </w:pPr>
            <w:r w:rsidRPr="00F94F22">
              <w:rPr>
                <w:rFonts w:ascii="Arial" w:hAnsi="Arial" w:cs="Arial"/>
                <w:sz w:val="20"/>
                <w:szCs w:val="20"/>
              </w:rPr>
              <w:lastRenderedPageBreak/>
              <w:t>Ensur</w:t>
            </w:r>
            <w:r w:rsidR="001A62AC" w:rsidRPr="00F94F22">
              <w:rPr>
                <w:rFonts w:ascii="Arial" w:hAnsi="Arial" w:cs="Arial"/>
                <w:sz w:val="20"/>
                <w:szCs w:val="20"/>
              </w:rPr>
              <w:t>e</w:t>
            </w:r>
            <w:r w:rsidRPr="00F94F22">
              <w:rPr>
                <w:rFonts w:ascii="Arial" w:hAnsi="Arial" w:cs="Arial"/>
                <w:sz w:val="20"/>
                <w:szCs w:val="20"/>
              </w:rPr>
              <w:t xml:space="preserve"> that the </w:t>
            </w:r>
            <w:r w:rsidR="002942A7" w:rsidRPr="00F94F22">
              <w:rPr>
                <w:rFonts w:ascii="Arial" w:hAnsi="Arial" w:cs="Arial"/>
                <w:sz w:val="20"/>
                <w:szCs w:val="20"/>
              </w:rPr>
              <w:t xml:space="preserve">groundwater monitoring </w:t>
            </w:r>
            <w:r w:rsidR="0082694D" w:rsidRPr="00F94F22">
              <w:rPr>
                <w:rFonts w:ascii="Arial" w:hAnsi="Arial" w:cs="Arial"/>
                <w:sz w:val="20"/>
                <w:szCs w:val="20"/>
              </w:rPr>
              <w:t xml:space="preserve">and management </w:t>
            </w:r>
            <w:r w:rsidR="002942A7" w:rsidRPr="00F94F22">
              <w:rPr>
                <w:rFonts w:ascii="Arial" w:hAnsi="Arial" w:cs="Arial"/>
                <w:sz w:val="20"/>
                <w:szCs w:val="20"/>
              </w:rPr>
              <w:t xml:space="preserve">program </w:t>
            </w:r>
            <w:r w:rsidR="00B8374D" w:rsidRPr="00F94F22">
              <w:rPr>
                <w:rFonts w:ascii="Arial" w:hAnsi="Arial" w:cs="Arial"/>
                <w:sz w:val="20"/>
                <w:szCs w:val="20"/>
              </w:rPr>
              <w:t>allows for</w:t>
            </w:r>
            <w:r w:rsidR="002942A7" w:rsidRPr="00F94F22">
              <w:rPr>
                <w:rFonts w:ascii="Arial" w:hAnsi="Arial" w:cs="Arial"/>
                <w:sz w:val="20"/>
                <w:szCs w:val="20"/>
              </w:rPr>
              <w:t xml:space="preserve"> early detection of potential impacts on </w:t>
            </w:r>
            <w:r w:rsidRPr="00F94F22">
              <w:rPr>
                <w:rFonts w:ascii="Arial" w:hAnsi="Arial" w:cs="Arial"/>
                <w:sz w:val="20"/>
                <w:szCs w:val="20"/>
              </w:rPr>
              <w:t>groundwater dependent ecosystems and contains adequate management responses.</w:t>
            </w:r>
            <w:r w:rsidR="005230BB" w:rsidRPr="00F94F22">
              <w:rPr>
                <w:rFonts w:ascii="Arial" w:hAnsi="Arial" w:cs="Arial"/>
                <w:sz w:val="20"/>
                <w:szCs w:val="20"/>
              </w:rPr>
              <w:t xml:space="preserve"> As a precautionary measure, the monitoring program should extend to Lake Broadwater and the Long</w:t>
            </w:r>
            <w:r w:rsidR="00D15D2E" w:rsidRPr="00F94F22">
              <w:rPr>
                <w:rFonts w:ascii="Arial" w:hAnsi="Arial" w:cs="Arial"/>
                <w:sz w:val="20"/>
                <w:szCs w:val="20"/>
              </w:rPr>
              <w:t xml:space="preserve"> S</w:t>
            </w:r>
            <w:r w:rsidR="005230BB" w:rsidRPr="00F94F22">
              <w:rPr>
                <w:rFonts w:ascii="Arial" w:hAnsi="Arial" w:cs="Arial"/>
                <w:sz w:val="20"/>
                <w:szCs w:val="20"/>
              </w:rPr>
              <w:t>wamp wetland</w:t>
            </w:r>
            <w:r w:rsidR="00521F3C" w:rsidRPr="00F94F22">
              <w:rPr>
                <w:rFonts w:ascii="Arial" w:hAnsi="Arial" w:cs="Arial"/>
                <w:sz w:val="20"/>
                <w:szCs w:val="20"/>
              </w:rPr>
              <w:t xml:space="preserve"> to confirm </w:t>
            </w:r>
            <w:r w:rsidR="00B8374D" w:rsidRPr="00F94F22">
              <w:rPr>
                <w:rFonts w:ascii="Arial" w:hAnsi="Arial" w:cs="Arial"/>
                <w:sz w:val="20"/>
                <w:szCs w:val="20"/>
              </w:rPr>
              <w:t xml:space="preserve">any dependence on </w:t>
            </w:r>
            <w:r w:rsidR="00521F3C" w:rsidRPr="00F94F22">
              <w:rPr>
                <w:rFonts w:ascii="Arial" w:hAnsi="Arial" w:cs="Arial"/>
                <w:sz w:val="20"/>
                <w:szCs w:val="20"/>
              </w:rPr>
              <w:t>groundwater</w:t>
            </w:r>
            <w:r w:rsidR="005230BB" w:rsidRPr="00F94F22">
              <w:rPr>
                <w:rFonts w:ascii="Arial" w:hAnsi="Arial" w:cs="Arial"/>
                <w:sz w:val="20"/>
                <w:szCs w:val="20"/>
              </w:rPr>
              <w:t>.</w:t>
            </w:r>
          </w:p>
          <w:p w:rsidR="002D45A0" w:rsidRPr="003402C4" w:rsidRDefault="002D45A0" w:rsidP="002D45A0">
            <w:pPr>
              <w:pStyle w:val="ListNumber"/>
              <w:numPr>
                <w:ilvl w:val="0"/>
                <w:numId w:val="8"/>
              </w:numPr>
              <w:spacing w:after="200"/>
              <w:rPr>
                <w:rFonts w:ascii="Arial" w:hAnsi="Arial" w:cs="Arial"/>
                <w:sz w:val="20"/>
                <w:szCs w:val="20"/>
              </w:rPr>
            </w:pPr>
            <w:r w:rsidRPr="002D45A0">
              <w:rPr>
                <w:rFonts w:ascii="Arial" w:hAnsi="Arial" w:cs="Arial"/>
                <w:i/>
                <w:sz w:val="20"/>
                <w:szCs w:val="20"/>
              </w:rPr>
              <w:t>Water balance</w:t>
            </w:r>
            <w:r w:rsidRPr="005759BE">
              <w:rPr>
                <w:rFonts w:ascii="Arial" w:hAnsi="Arial" w:cs="Arial"/>
                <w:sz w:val="20"/>
                <w:szCs w:val="20"/>
              </w:rPr>
              <w:t xml:space="preserve">: </w:t>
            </w:r>
            <w:r w:rsidR="004F261C" w:rsidRPr="005759BE">
              <w:rPr>
                <w:rFonts w:ascii="Arial" w:hAnsi="Arial" w:cs="Arial"/>
                <w:sz w:val="20"/>
                <w:szCs w:val="20"/>
                <w:lang w:val="en-US"/>
              </w:rPr>
              <w:t>A regional</w:t>
            </w:r>
            <w:r w:rsidRPr="00CA0310">
              <w:rPr>
                <w:rFonts w:ascii="Arial" w:hAnsi="Arial" w:cs="Arial"/>
                <w:sz w:val="20"/>
                <w:szCs w:val="20"/>
                <w:lang w:val="en-US"/>
              </w:rPr>
              <w:t xml:space="preserve"> water balance should be developed for the major river basins and sub-basins</w:t>
            </w:r>
            <w:r>
              <w:rPr>
                <w:rFonts w:ascii="Arial" w:hAnsi="Arial" w:cs="Arial"/>
                <w:sz w:val="20"/>
                <w:szCs w:val="20"/>
                <w:lang w:val="en-US"/>
              </w:rPr>
              <w:t xml:space="preserve"> in the development area. The water balance should </w:t>
            </w:r>
            <w:r w:rsidRPr="00CA0310">
              <w:rPr>
                <w:rFonts w:ascii="Arial" w:hAnsi="Arial" w:cs="Arial"/>
                <w:sz w:val="20"/>
                <w:szCs w:val="20"/>
                <w:lang w:val="en-US"/>
              </w:rPr>
              <w:t>quantif</w:t>
            </w:r>
            <w:r>
              <w:rPr>
                <w:rFonts w:ascii="Arial" w:hAnsi="Arial" w:cs="Arial"/>
                <w:sz w:val="20"/>
                <w:szCs w:val="20"/>
                <w:lang w:val="en-US"/>
              </w:rPr>
              <w:t>y</w:t>
            </w:r>
            <w:r w:rsidRPr="00CA0310">
              <w:rPr>
                <w:rFonts w:ascii="Arial" w:hAnsi="Arial" w:cs="Arial"/>
                <w:sz w:val="20"/>
                <w:szCs w:val="20"/>
                <w:lang w:val="en-US"/>
              </w:rPr>
              <w:t xml:space="preserve"> significant point source and diffuse inputs, outputs, exchanges of water between surface water and groundwater, and demonstrate</w:t>
            </w:r>
            <w:r>
              <w:rPr>
                <w:rFonts w:ascii="Arial" w:hAnsi="Arial" w:cs="Arial"/>
                <w:sz w:val="20"/>
                <w:szCs w:val="20"/>
                <w:lang w:val="en-US"/>
              </w:rPr>
              <w:t xml:space="preserve"> </w:t>
            </w:r>
            <w:r w:rsidRPr="00CA0310">
              <w:rPr>
                <w:rFonts w:ascii="Arial" w:hAnsi="Arial" w:cs="Arial"/>
                <w:sz w:val="20"/>
                <w:szCs w:val="20"/>
                <w:lang w:val="en-US"/>
              </w:rPr>
              <w:t xml:space="preserve">how the regional surface water system will interact with the proposed </w:t>
            </w:r>
            <w:proofErr w:type="spellStart"/>
            <w:r w:rsidRPr="00CA0310">
              <w:rPr>
                <w:rFonts w:ascii="Arial" w:hAnsi="Arial" w:cs="Arial"/>
                <w:sz w:val="20"/>
                <w:szCs w:val="20"/>
                <w:lang w:val="en-US"/>
              </w:rPr>
              <w:t>Surat</w:t>
            </w:r>
            <w:proofErr w:type="spellEnd"/>
            <w:r w:rsidRPr="00CA0310">
              <w:rPr>
                <w:rFonts w:ascii="Arial" w:hAnsi="Arial" w:cs="Arial"/>
                <w:sz w:val="20"/>
                <w:szCs w:val="20"/>
                <w:lang w:val="en-US"/>
              </w:rPr>
              <w:t xml:space="preserve"> Gas Project and other regional </w:t>
            </w:r>
            <w:r>
              <w:rPr>
                <w:rFonts w:ascii="Arial" w:hAnsi="Arial" w:cs="Arial"/>
                <w:sz w:val="20"/>
                <w:szCs w:val="20"/>
                <w:lang w:val="en-US"/>
              </w:rPr>
              <w:t>coal seam gas a</w:t>
            </w:r>
            <w:r w:rsidRPr="00CA0310">
              <w:rPr>
                <w:rFonts w:ascii="Arial" w:hAnsi="Arial" w:cs="Arial"/>
                <w:sz w:val="20"/>
                <w:szCs w:val="20"/>
                <w:lang w:val="en-US"/>
              </w:rPr>
              <w:t>nd coal mining developments</w:t>
            </w:r>
            <w:r>
              <w:rPr>
                <w:rFonts w:ascii="Arial" w:hAnsi="Arial" w:cs="Arial"/>
                <w:sz w:val="20"/>
                <w:szCs w:val="20"/>
                <w:lang w:val="en-US"/>
              </w:rPr>
              <w:t xml:space="preserve">. </w:t>
            </w:r>
            <w:r w:rsidR="003F0DFE">
              <w:rPr>
                <w:rFonts w:ascii="Arial" w:hAnsi="Arial" w:cs="Arial"/>
                <w:sz w:val="20"/>
                <w:szCs w:val="20"/>
                <w:lang w:val="en-US"/>
              </w:rPr>
              <w:t>In this regard, it is noted that g</w:t>
            </w:r>
            <w:r w:rsidR="003F0DFE" w:rsidRPr="005759BE">
              <w:rPr>
                <w:rFonts w:ascii="Arial" w:hAnsi="Arial" w:cs="Arial"/>
                <w:sz w:val="20"/>
                <w:szCs w:val="20"/>
                <w:lang w:val="en-US"/>
              </w:rPr>
              <w:t>roundwater drawdown may change the connection status of a water course where the water table is close to the riverbed elevation. This may affect the regional surface water balance.</w:t>
            </w:r>
            <w:r w:rsidR="00E356A6">
              <w:rPr>
                <w:rFonts w:ascii="Arial" w:hAnsi="Arial" w:cs="Arial"/>
                <w:sz w:val="20"/>
                <w:szCs w:val="20"/>
                <w:lang w:val="en-US"/>
              </w:rPr>
              <w:t xml:space="preserve"> </w:t>
            </w:r>
            <w:r w:rsidRPr="00187634">
              <w:rPr>
                <w:rFonts w:ascii="Arial" w:hAnsi="Arial" w:cs="Arial"/>
                <w:sz w:val="20"/>
                <w:szCs w:val="20"/>
                <w:lang w:val="en-US"/>
              </w:rPr>
              <w:t xml:space="preserve">Once the location of infrastructure is known, a site-specific water balance </w:t>
            </w:r>
            <w:r w:rsidR="00423D25">
              <w:rPr>
                <w:rFonts w:ascii="Arial" w:hAnsi="Arial" w:cs="Arial"/>
                <w:sz w:val="20"/>
                <w:szCs w:val="20"/>
                <w:lang w:val="en-US"/>
              </w:rPr>
              <w:t xml:space="preserve">would aid in the </w:t>
            </w:r>
            <w:r w:rsidRPr="00187634">
              <w:rPr>
                <w:rFonts w:ascii="Arial" w:hAnsi="Arial" w:cs="Arial"/>
                <w:sz w:val="20"/>
                <w:szCs w:val="20"/>
                <w:lang w:val="en-US"/>
              </w:rPr>
              <w:t>assess</w:t>
            </w:r>
            <w:r w:rsidR="00423D25">
              <w:rPr>
                <w:rFonts w:ascii="Arial" w:hAnsi="Arial" w:cs="Arial"/>
                <w:sz w:val="20"/>
                <w:szCs w:val="20"/>
                <w:lang w:val="en-US"/>
              </w:rPr>
              <w:t>ment of</w:t>
            </w:r>
            <w:r w:rsidRPr="00187634">
              <w:rPr>
                <w:rFonts w:ascii="Arial" w:hAnsi="Arial" w:cs="Arial"/>
                <w:sz w:val="20"/>
                <w:szCs w:val="20"/>
                <w:lang w:val="en-US"/>
              </w:rPr>
              <w:t xml:space="preserve"> </w:t>
            </w:r>
            <w:proofErr w:type="spellStart"/>
            <w:r w:rsidRPr="00187634">
              <w:rPr>
                <w:rFonts w:ascii="Arial" w:hAnsi="Arial" w:cs="Arial"/>
                <w:sz w:val="20"/>
                <w:szCs w:val="20"/>
                <w:lang w:val="en-US"/>
              </w:rPr>
              <w:t>localised</w:t>
            </w:r>
            <w:proofErr w:type="spellEnd"/>
            <w:r w:rsidRPr="00187634">
              <w:rPr>
                <w:rFonts w:ascii="Arial" w:hAnsi="Arial" w:cs="Arial"/>
                <w:sz w:val="20"/>
                <w:szCs w:val="20"/>
                <w:lang w:val="en-US"/>
              </w:rPr>
              <w:t xml:space="preserve"> changes to the storage or flow of water, and inform</w:t>
            </w:r>
            <w:r w:rsidR="009E10CA">
              <w:rPr>
                <w:rFonts w:ascii="Arial" w:hAnsi="Arial" w:cs="Arial"/>
                <w:sz w:val="20"/>
                <w:szCs w:val="20"/>
                <w:lang w:val="en-US"/>
              </w:rPr>
              <w:t xml:space="preserve"> the</w:t>
            </w:r>
            <w:r w:rsidRPr="00187634">
              <w:rPr>
                <w:rFonts w:ascii="Arial" w:hAnsi="Arial" w:cs="Arial"/>
                <w:sz w:val="20"/>
                <w:szCs w:val="20"/>
                <w:lang w:val="en-US"/>
              </w:rPr>
              <w:t xml:space="preserve"> development of the water management strategy.</w:t>
            </w:r>
            <w:r w:rsidR="003F0DFE">
              <w:rPr>
                <w:rFonts w:ascii="Arial" w:hAnsi="Arial" w:cs="Arial"/>
                <w:sz w:val="20"/>
                <w:szCs w:val="20"/>
                <w:lang w:val="en-US"/>
              </w:rPr>
              <w:t xml:space="preserve"> </w:t>
            </w:r>
          </w:p>
          <w:p w:rsidR="004F5A83" w:rsidRDefault="00A15A0C" w:rsidP="004F5A83">
            <w:pPr>
              <w:pStyle w:val="ListNumber"/>
              <w:numPr>
                <w:ilvl w:val="0"/>
                <w:numId w:val="8"/>
              </w:numPr>
              <w:spacing w:after="200"/>
              <w:ind w:left="426"/>
              <w:rPr>
                <w:rFonts w:ascii="Arial" w:hAnsi="Arial" w:cs="Arial"/>
                <w:sz w:val="20"/>
                <w:szCs w:val="20"/>
                <w:lang w:val="en-US"/>
              </w:rPr>
            </w:pPr>
            <w:r w:rsidRPr="00187634">
              <w:rPr>
                <w:rFonts w:ascii="Arial" w:hAnsi="Arial" w:cs="Arial"/>
                <w:i/>
                <w:sz w:val="20"/>
                <w:szCs w:val="20"/>
                <w:lang w:val="en-US"/>
              </w:rPr>
              <w:t>Water quality and aquatic ecology</w:t>
            </w:r>
            <w:r w:rsidR="0032438E" w:rsidRPr="00187634">
              <w:rPr>
                <w:rFonts w:ascii="Arial" w:hAnsi="Arial" w:cs="Arial"/>
                <w:sz w:val="20"/>
                <w:szCs w:val="20"/>
                <w:lang w:val="en-US"/>
              </w:rPr>
              <w:t xml:space="preserve">: </w:t>
            </w:r>
            <w:r w:rsidR="00521F3C">
              <w:rPr>
                <w:rFonts w:ascii="Arial" w:hAnsi="Arial" w:cs="Arial"/>
                <w:sz w:val="20"/>
                <w:szCs w:val="20"/>
                <w:lang w:val="en-US"/>
              </w:rPr>
              <w:t>W</w:t>
            </w:r>
            <w:r w:rsidR="00CA0310" w:rsidRPr="00187634">
              <w:rPr>
                <w:rFonts w:ascii="Arial" w:hAnsi="Arial" w:cs="Arial"/>
                <w:sz w:val="20"/>
                <w:szCs w:val="20"/>
                <w:lang w:val="en-US"/>
              </w:rPr>
              <w:t xml:space="preserve">hilst </w:t>
            </w:r>
            <w:r w:rsidR="004F5A83" w:rsidRPr="004F5A83">
              <w:rPr>
                <w:rFonts w:ascii="Arial" w:hAnsi="Arial" w:cs="Arial"/>
                <w:bCs/>
                <w:sz w:val="20"/>
                <w:szCs w:val="20"/>
                <w:lang w:val="en-US"/>
              </w:rPr>
              <w:t>s</w:t>
            </w:r>
            <w:r w:rsidR="004F5A83" w:rsidRPr="004F5A83">
              <w:rPr>
                <w:rFonts w:ascii="Arial" w:hAnsi="Arial" w:cs="Arial"/>
                <w:sz w:val="20"/>
                <w:szCs w:val="20"/>
                <w:lang w:val="en-US" w:eastAsia="en-AU"/>
              </w:rPr>
              <w:t>ampling methods for the surveys conducted for the SEIS appear appropriate, the</w:t>
            </w:r>
            <w:r w:rsidR="004F5A83" w:rsidRPr="004F5A83">
              <w:rPr>
                <w:rFonts w:ascii="Arial" w:hAnsi="Arial" w:cs="Arial"/>
                <w:bCs/>
                <w:sz w:val="20"/>
                <w:szCs w:val="20"/>
                <w:lang w:val="en-US"/>
              </w:rPr>
              <w:t xml:space="preserve"> overall survey effort does not provide an adequate basis for </w:t>
            </w:r>
            <w:proofErr w:type="spellStart"/>
            <w:r w:rsidR="004F5A83" w:rsidRPr="004F5A83">
              <w:rPr>
                <w:rFonts w:ascii="Arial" w:hAnsi="Arial" w:cs="Arial"/>
                <w:bCs/>
                <w:sz w:val="20"/>
                <w:szCs w:val="20"/>
                <w:lang w:val="en-US"/>
              </w:rPr>
              <w:t>characterisat</w:t>
            </w:r>
            <w:r w:rsidR="004F5A83" w:rsidRPr="002D45A0">
              <w:rPr>
                <w:rFonts w:ascii="Arial" w:hAnsi="Arial" w:cs="Arial"/>
                <w:bCs/>
                <w:sz w:val="20"/>
                <w:szCs w:val="20"/>
                <w:lang w:val="en-US"/>
              </w:rPr>
              <w:t>ion</w:t>
            </w:r>
            <w:proofErr w:type="spellEnd"/>
            <w:r w:rsidR="004F5A83" w:rsidRPr="002D45A0">
              <w:rPr>
                <w:rFonts w:ascii="Arial" w:hAnsi="Arial" w:cs="Arial"/>
                <w:bCs/>
                <w:sz w:val="20"/>
                <w:szCs w:val="20"/>
                <w:lang w:val="en-US"/>
              </w:rPr>
              <w:t xml:space="preserve"> of baseline water q</w:t>
            </w:r>
            <w:r w:rsidR="004F5A83" w:rsidRPr="004F5A83">
              <w:rPr>
                <w:rFonts w:ascii="Arial" w:hAnsi="Arial" w:cs="Arial"/>
                <w:bCs/>
                <w:sz w:val="20"/>
                <w:szCs w:val="20"/>
                <w:lang w:val="en-US"/>
              </w:rPr>
              <w:t xml:space="preserve">uality and ecological conditions across the </w:t>
            </w:r>
            <w:r w:rsidR="00F93BCB">
              <w:rPr>
                <w:rFonts w:ascii="Arial" w:hAnsi="Arial" w:cs="Arial"/>
                <w:bCs/>
                <w:sz w:val="20"/>
                <w:szCs w:val="20"/>
                <w:lang w:val="en-US"/>
              </w:rPr>
              <w:t>proposed project’s</w:t>
            </w:r>
            <w:r w:rsidR="004F5A83" w:rsidRPr="004F5A83">
              <w:rPr>
                <w:rFonts w:ascii="Arial" w:hAnsi="Arial" w:cs="Arial"/>
                <w:bCs/>
                <w:sz w:val="20"/>
                <w:szCs w:val="20"/>
                <w:lang w:val="en-US"/>
              </w:rPr>
              <w:t xml:space="preserve"> area of influence. In relation to the additional sampling proposed in the SEIS, </w:t>
            </w:r>
            <w:r w:rsidR="004F261C" w:rsidRPr="005B17A4">
              <w:rPr>
                <w:rFonts w:ascii="Arial" w:hAnsi="Arial" w:cs="Arial"/>
                <w:bCs/>
                <w:sz w:val="20"/>
                <w:szCs w:val="20"/>
                <w:lang w:val="en-US"/>
              </w:rPr>
              <w:t>t</w:t>
            </w:r>
            <w:r w:rsidR="00BF6531">
              <w:rPr>
                <w:rFonts w:ascii="Arial" w:hAnsi="Arial" w:cs="Arial"/>
                <w:bCs/>
                <w:sz w:val="20"/>
                <w:szCs w:val="20"/>
                <w:lang w:val="en-US"/>
              </w:rPr>
              <w:t xml:space="preserve">he Committee suggests that: </w:t>
            </w:r>
          </w:p>
          <w:p w:rsidR="004F5A83" w:rsidRPr="00F94F22" w:rsidRDefault="004F5A83" w:rsidP="004F5A83">
            <w:pPr>
              <w:pStyle w:val="ListNumber"/>
              <w:numPr>
                <w:ilvl w:val="1"/>
                <w:numId w:val="8"/>
              </w:numPr>
              <w:spacing w:after="200"/>
              <w:ind w:left="851"/>
              <w:rPr>
                <w:rFonts w:ascii="Arial" w:hAnsi="Arial" w:cs="Arial"/>
                <w:sz w:val="20"/>
                <w:szCs w:val="20"/>
              </w:rPr>
            </w:pPr>
            <w:r w:rsidRPr="002D45A0">
              <w:rPr>
                <w:rFonts w:ascii="Arial" w:hAnsi="Arial" w:cs="Arial"/>
                <w:sz w:val="20"/>
                <w:szCs w:val="20"/>
                <w:lang w:val="en-US"/>
              </w:rPr>
              <w:t xml:space="preserve">Additional representative ecological </w:t>
            </w:r>
            <w:proofErr w:type="spellStart"/>
            <w:r w:rsidRPr="002D45A0">
              <w:rPr>
                <w:rFonts w:ascii="Arial" w:hAnsi="Arial" w:cs="Arial"/>
                <w:sz w:val="20"/>
                <w:szCs w:val="20"/>
                <w:lang w:val="en-US"/>
              </w:rPr>
              <w:t>monit</w:t>
            </w:r>
            <w:r w:rsidR="00A15A0C" w:rsidRPr="002D45A0">
              <w:rPr>
                <w:rFonts w:ascii="Arial" w:hAnsi="Arial" w:cs="Arial"/>
                <w:sz w:val="20"/>
                <w:szCs w:val="20"/>
              </w:rPr>
              <w:t>oring</w:t>
            </w:r>
            <w:proofErr w:type="spellEnd"/>
            <w:r w:rsidR="00A15A0C" w:rsidRPr="002D45A0">
              <w:rPr>
                <w:rFonts w:ascii="Arial" w:hAnsi="Arial" w:cs="Arial"/>
                <w:sz w:val="20"/>
                <w:szCs w:val="20"/>
              </w:rPr>
              <w:t xml:space="preserve"> sites are surveyed to improve confidence in the baseline characterisation </w:t>
            </w:r>
            <w:r w:rsidR="00867C1C" w:rsidRPr="002D45A0">
              <w:rPr>
                <w:rFonts w:ascii="Arial" w:hAnsi="Arial" w:cs="Arial"/>
                <w:sz w:val="20"/>
                <w:szCs w:val="20"/>
              </w:rPr>
              <w:t xml:space="preserve">and </w:t>
            </w:r>
            <w:r w:rsidR="00187634" w:rsidRPr="002D45A0">
              <w:rPr>
                <w:rFonts w:ascii="Arial" w:hAnsi="Arial" w:cs="Arial"/>
                <w:sz w:val="20"/>
                <w:szCs w:val="20"/>
              </w:rPr>
              <w:t xml:space="preserve">the </w:t>
            </w:r>
            <w:r w:rsidR="00867C1C" w:rsidRPr="002D45A0">
              <w:rPr>
                <w:rFonts w:ascii="Arial" w:hAnsi="Arial" w:cs="Arial"/>
                <w:sz w:val="20"/>
                <w:szCs w:val="20"/>
              </w:rPr>
              <w:t xml:space="preserve">allocated </w:t>
            </w:r>
            <w:r w:rsidR="00867C1C" w:rsidRPr="00F94F22">
              <w:rPr>
                <w:rFonts w:ascii="Arial" w:hAnsi="Arial" w:cs="Arial"/>
                <w:sz w:val="20"/>
                <w:szCs w:val="20"/>
              </w:rPr>
              <w:t>sensitivity class</w:t>
            </w:r>
            <w:r w:rsidR="005B17A4" w:rsidRPr="00F94F22">
              <w:rPr>
                <w:rFonts w:ascii="Arial" w:hAnsi="Arial" w:cs="Arial"/>
                <w:sz w:val="20"/>
                <w:szCs w:val="20"/>
              </w:rPr>
              <w:t>es</w:t>
            </w:r>
            <w:r w:rsidR="00867C1C" w:rsidRPr="00F94F22">
              <w:rPr>
                <w:rFonts w:ascii="Arial" w:hAnsi="Arial" w:cs="Arial"/>
                <w:sz w:val="20"/>
                <w:szCs w:val="20"/>
              </w:rPr>
              <w:t xml:space="preserve"> </w:t>
            </w:r>
            <w:r w:rsidR="00A15A0C" w:rsidRPr="00F94F22">
              <w:rPr>
                <w:rFonts w:ascii="Arial" w:hAnsi="Arial" w:cs="Arial"/>
                <w:sz w:val="20"/>
                <w:szCs w:val="20"/>
              </w:rPr>
              <w:t>of aquatic ecosystems</w:t>
            </w:r>
            <w:r w:rsidR="00CA0310" w:rsidRPr="00F94F22">
              <w:rPr>
                <w:rFonts w:ascii="Arial" w:hAnsi="Arial" w:cs="Arial"/>
                <w:sz w:val="20"/>
                <w:szCs w:val="20"/>
              </w:rPr>
              <w:t xml:space="preserve">; </w:t>
            </w:r>
            <w:r w:rsidR="00A15A0C" w:rsidRPr="00F94F22">
              <w:rPr>
                <w:rFonts w:ascii="Arial" w:hAnsi="Arial" w:cs="Arial"/>
                <w:sz w:val="20"/>
                <w:szCs w:val="20"/>
              </w:rPr>
              <w:t xml:space="preserve">particularly </w:t>
            </w:r>
            <w:r w:rsidR="00CA0310" w:rsidRPr="00F94F22">
              <w:rPr>
                <w:rFonts w:ascii="Arial" w:hAnsi="Arial" w:cs="Arial"/>
                <w:sz w:val="20"/>
                <w:szCs w:val="20"/>
              </w:rPr>
              <w:t xml:space="preserve">for </w:t>
            </w:r>
            <w:r w:rsidR="00A15A0C" w:rsidRPr="00F94F22">
              <w:rPr>
                <w:rFonts w:ascii="Arial" w:hAnsi="Arial" w:cs="Arial"/>
                <w:sz w:val="20"/>
                <w:szCs w:val="20"/>
              </w:rPr>
              <w:t xml:space="preserve">the Dawson River, upper Balonne River and Border Rivers catchments; </w:t>
            </w:r>
          </w:p>
          <w:p w:rsidR="004F5A83" w:rsidRPr="00F94F22" w:rsidRDefault="00187634" w:rsidP="004F5A83">
            <w:pPr>
              <w:pStyle w:val="ListNumber"/>
              <w:numPr>
                <w:ilvl w:val="1"/>
                <w:numId w:val="8"/>
              </w:numPr>
              <w:spacing w:after="200"/>
              <w:ind w:left="851"/>
              <w:rPr>
                <w:rFonts w:ascii="Arial" w:hAnsi="Arial" w:cs="Arial"/>
                <w:sz w:val="20"/>
                <w:szCs w:val="20"/>
              </w:rPr>
            </w:pPr>
            <w:r w:rsidRPr="00F94F22">
              <w:rPr>
                <w:rFonts w:ascii="Arial" w:hAnsi="Arial" w:cs="Arial"/>
                <w:sz w:val="20"/>
                <w:szCs w:val="20"/>
              </w:rPr>
              <w:t>S</w:t>
            </w:r>
            <w:r w:rsidR="00A15A0C" w:rsidRPr="00F94F22">
              <w:rPr>
                <w:rFonts w:ascii="Arial" w:hAnsi="Arial" w:cs="Arial"/>
                <w:sz w:val="20"/>
                <w:szCs w:val="20"/>
              </w:rPr>
              <w:t xml:space="preserve">easonal and multi-year sampling is </w:t>
            </w:r>
            <w:r w:rsidR="002D45A0" w:rsidRPr="00F94F22">
              <w:rPr>
                <w:rFonts w:ascii="Arial" w:hAnsi="Arial" w:cs="Arial"/>
                <w:sz w:val="20"/>
                <w:szCs w:val="20"/>
              </w:rPr>
              <w:t>completed</w:t>
            </w:r>
            <w:r w:rsidR="00A15A0C" w:rsidRPr="00F94F22">
              <w:rPr>
                <w:rFonts w:ascii="Arial" w:hAnsi="Arial" w:cs="Arial"/>
                <w:sz w:val="20"/>
                <w:szCs w:val="20"/>
              </w:rPr>
              <w:t xml:space="preserve"> prior to commencement of construction activities to gain an understanding of baseline intra and inter-annual variability of </w:t>
            </w:r>
            <w:r w:rsidR="005B17A4" w:rsidRPr="00F94F22">
              <w:rPr>
                <w:rFonts w:ascii="Arial" w:hAnsi="Arial" w:cs="Arial"/>
                <w:sz w:val="20"/>
                <w:szCs w:val="20"/>
              </w:rPr>
              <w:t xml:space="preserve">water quality and </w:t>
            </w:r>
            <w:r w:rsidR="00A15A0C" w:rsidRPr="00F94F22">
              <w:rPr>
                <w:rFonts w:ascii="Arial" w:hAnsi="Arial" w:cs="Arial"/>
                <w:sz w:val="20"/>
                <w:szCs w:val="20"/>
              </w:rPr>
              <w:t>ecological systems in these water courses; and</w:t>
            </w:r>
          </w:p>
          <w:p w:rsidR="004F5A83" w:rsidRPr="00F94F22" w:rsidRDefault="00187634" w:rsidP="004F5A83">
            <w:pPr>
              <w:pStyle w:val="ListNumber"/>
              <w:numPr>
                <w:ilvl w:val="1"/>
                <w:numId w:val="8"/>
              </w:numPr>
              <w:spacing w:after="200"/>
              <w:ind w:left="851"/>
              <w:rPr>
                <w:rFonts w:ascii="Arial" w:hAnsi="Arial" w:cs="Arial"/>
                <w:b/>
                <w:sz w:val="20"/>
                <w:szCs w:val="20"/>
              </w:rPr>
            </w:pPr>
            <w:r w:rsidRPr="00F94F22">
              <w:rPr>
                <w:rFonts w:ascii="Arial" w:hAnsi="Arial" w:cs="Arial"/>
                <w:sz w:val="20"/>
                <w:szCs w:val="20"/>
              </w:rPr>
              <w:t>W</w:t>
            </w:r>
            <w:r w:rsidR="00A15A0C" w:rsidRPr="00F94F22">
              <w:rPr>
                <w:rFonts w:ascii="Arial" w:hAnsi="Arial" w:cs="Arial"/>
                <w:sz w:val="20"/>
                <w:szCs w:val="20"/>
              </w:rPr>
              <w:t xml:space="preserve">ater quality and aquatic ecology baseline sampling extends a sufficient distance downstream from discharge locations to enable impacts on aquatic ecosystems to be identified and compared with </w:t>
            </w:r>
            <w:r w:rsidR="00867C1C" w:rsidRPr="00F94F22">
              <w:rPr>
                <w:rFonts w:ascii="Arial" w:hAnsi="Arial" w:cs="Arial"/>
                <w:sz w:val="20"/>
                <w:szCs w:val="20"/>
              </w:rPr>
              <w:t xml:space="preserve">reference or background </w:t>
            </w:r>
            <w:r w:rsidR="00A15A0C" w:rsidRPr="00F94F22">
              <w:rPr>
                <w:rFonts w:ascii="Arial" w:hAnsi="Arial" w:cs="Arial"/>
                <w:sz w:val="20"/>
                <w:szCs w:val="20"/>
              </w:rPr>
              <w:t>conditions along the length of any mixing zones</w:t>
            </w:r>
            <w:r w:rsidR="00E32C22" w:rsidRPr="00F94F22">
              <w:rPr>
                <w:rFonts w:ascii="Arial" w:hAnsi="Arial" w:cs="Arial"/>
                <w:sz w:val="20"/>
                <w:szCs w:val="20"/>
              </w:rPr>
              <w:t>.</w:t>
            </w:r>
            <w:r w:rsidR="00A15A0C" w:rsidRPr="00F94F22">
              <w:rPr>
                <w:rFonts w:ascii="Arial" w:hAnsi="Arial" w:cs="Arial"/>
                <w:sz w:val="20"/>
                <w:szCs w:val="20"/>
              </w:rPr>
              <w:t xml:space="preserve"> </w:t>
            </w:r>
          </w:p>
          <w:p w:rsidR="002A6929" w:rsidRPr="00F12B5D" w:rsidRDefault="00A15A0C" w:rsidP="004F5A83">
            <w:pPr>
              <w:pStyle w:val="ListNumber"/>
              <w:numPr>
                <w:ilvl w:val="0"/>
                <w:numId w:val="8"/>
              </w:numPr>
              <w:spacing w:after="200"/>
              <w:ind w:left="426"/>
              <w:rPr>
                <w:rFonts w:ascii="Arial" w:hAnsi="Arial" w:cs="Arial"/>
                <w:sz w:val="20"/>
                <w:szCs w:val="20"/>
                <w:lang w:val="en-US"/>
              </w:rPr>
            </w:pPr>
            <w:r w:rsidRPr="00F12B5D">
              <w:rPr>
                <w:rFonts w:ascii="Arial" w:hAnsi="Arial" w:cs="Arial"/>
                <w:i/>
                <w:sz w:val="20"/>
                <w:szCs w:val="20"/>
                <w:lang w:val="en-US"/>
              </w:rPr>
              <w:t>Cumulative impacts</w:t>
            </w:r>
            <w:r w:rsidR="0089527E" w:rsidRPr="00F12B5D">
              <w:rPr>
                <w:rFonts w:ascii="Arial" w:hAnsi="Arial" w:cs="Arial"/>
                <w:sz w:val="20"/>
                <w:szCs w:val="20"/>
                <w:lang w:val="en-US"/>
              </w:rPr>
              <w:t>:</w:t>
            </w:r>
            <w:r w:rsidR="00E32C22" w:rsidRPr="00F12B5D">
              <w:rPr>
                <w:rFonts w:ascii="Arial" w:hAnsi="Arial" w:cs="Arial"/>
                <w:sz w:val="20"/>
                <w:szCs w:val="20"/>
                <w:lang w:val="en-US"/>
              </w:rPr>
              <w:t xml:space="preserve"> </w:t>
            </w:r>
            <w:r w:rsidR="0092755A" w:rsidRPr="00F12B5D">
              <w:rPr>
                <w:rFonts w:ascii="Arial" w:hAnsi="Arial" w:cs="Arial"/>
                <w:sz w:val="20"/>
                <w:szCs w:val="20"/>
                <w:lang w:val="en-US"/>
              </w:rPr>
              <w:t xml:space="preserve"> </w:t>
            </w:r>
            <w:r w:rsidR="004F261C" w:rsidRPr="00F12B5D">
              <w:rPr>
                <w:rFonts w:ascii="Arial" w:hAnsi="Arial" w:cs="Arial"/>
                <w:sz w:val="20"/>
                <w:szCs w:val="20"/>
                <w:lang w:val="en-US"/>
              </w:rPr>
              <w:t>Given the combined scale and potential impacts of the current coal seam gas developments in the region (Santos</w:t>
            </w:r>
            <w:r w:rsidR="00F66114">
              <w:rPr>
                <w:rFonts w:ascii="Arial" w:hAnsi="Arial" w:cs="Arial"/>
                <w:sz w:val="20"/>
                <w:szCs w:val="20"/>
                <w:lang w:val="en-US"/>
              </w:rPr>
              <w:t xml:space="preserve">, </w:t>
            </w:r>
            <w:r w:rsidR="004F261C" w:rsidRPr="00F12B5D">
              <w:rPr>
                <w:rFonts w:ascii="Arial" w:hAnsi="Arial" w:cs="Arial"/>
                <w:sz w:val="20"/>
                <w:szCs w:val="20"/>
                <w:lang w:val="en-US"/>
              </w:rPr>
              <w:t>EPBC 2008/4059</w:t>
            </w:r>
            <w:r w:rsidR="00F66114">
              <w:rPr>
                <w:rFonts w:ascii="Arial" w:hAnsi="Arial" w:cs="Arial"/>
                <w:sz w:val="20"/>
                <w:szCs w:val="20"/>
                <w:lang w:val="en-US"/>
              </w:rPr>
              <w:t>;</w:t>
            </w:r>
            <w:r w:rsidR="004F261C" w:rsidRPr="00F12B5D">
              <w:rPr>
                <w:rFonts w:ascii="Arial" w:hAnsi="Arial" w:cs="Arial"/>
                <w:sz w:val="20"/>
                <w:szCs w:val="20"/>
                <w:lang w:val="en-US"/>
              </w:rPr>
              <w:t xml:space="preserve"> Australia Pacific LNG</w:t>
            </w:r>
            <w:r w:rsidR="00F66114">
              <w:rPr>
                <w:rFonts w:ascii="Arial" w:hAnsi="Arial" w:cs="Arial"/>
                <w:sz w:val="20"/>
                <w:szCs w:val="20"/>
                <w:lang w:val="en-US"/>
              </w:rPr>
              <w:t>,</w:t>
            </w:r>
            <w:r w:rsidR="004F261C" w:rsidRPr="00F12B5D">
              <w:rPr>
                <w:rFonts w:ascii="Arial" w:hAnsi="Arial" w:cs="Arial"/>
                <w:sz w:val="20"/>
                <w:szCs w:val="20"/>
                <w:lang w:val="en-US"/>
              </w:rPr>
              <w:t xml:space="preserve"> EPBC 2009/4974</w:t>
            </w:r>
            <w:r w:rsidR="00F66114">
              <w:rPr>
                <w:rFonts w:ascii="Arial" w:hAnsi="Arial" w:cs="Arial"/>
                <w:sz w:val="20"/>
                <w:szCs w:val="20"/>
                <w:lang w:val="en-US"/>
              </w:rPr>
              <w:t>;</w:t>
            </w:r>
            <w:r w:rsidR="004F261C" w:rsidRPr="00F12B5D">
              <w:rPr>
                <w:rFonts w:ascii="Arial" w:hAnsi="Arial" w:cs="Arial"/>
                <w:sz w:val="20"/>
                <w:szCs w:val="20"/>
                <w:lang w:val="en-US"/>
              </w:rPr>
              <w:t xml:space="preserve"> and Queensland Gas Company</w:t>
            </w:r>
            <w:r w:rsidR="00F66114">
              <w:rPr>
                <w:rFonts w:ascii="Arial" w:hAnsi="Arial" w:cs="Arial"/>
                <w:sz w:val="20"/>
                <w:szCs w:val="20"/>
                <w:lang w:val="en-US"/>
              </w:rPr>
              <w:t>,</w:t>
            </w:r>
            <w:r w:rsidR="004F261C" w:rsidRPr="00F12B5D">
              <w:rPr>
                <w:rFonts w:ascii="Arial" w:hAnsi="Arial" w:cs="Arial"/>
                <w:sz w:val="20"/>
                <w:szCs w:val="20"/>
                <w:lang w:val="en-US"/>
              </w:rPr>
              <w:t xml:space="preserve"> EPBC 2008/4398)</w:t>
            </w:r>
            <w:r w:rsidR="002A6929" w:rsidRPr="00F12B5D">
              <w:rPr>
                <w:rFonts w:ascii="Arial" w:hAnsi="Arial" w:cs="Arial"/>
                <w:sz w:val="20"/>
                <w:szCs w:val="20"/>
                <w:lang w:val="en-US"/>
              </w:rPr>
              <w:t xml:space="preserve">, the Committee </w:t>
            </w:r>
            <w:r w:rsidR="00C31ADF" w:rsidRPr="00F12B5D">
              <w:rPr>
                <w:rFonts w:ascii="Arial" w:hAnsi="Arial" w:cs="Arial"/>
                <w:sz w:val="20"/>
                <w:szCs w:val="20"/>
                <w:lang w:val="en-US"/>
              </w:rPr>
              <w:t>notes</w:t>
            </w:r>
            <w:r w:rsidR="002A6929" w:rsidRPr="00F12B5D">
              <w:rPr>
                <w:rFonts w:ascii="Arial" w:hAnsi="Arial" w:cs="Arial"/>
                <w:sz w:val="20"/>
                <w:szCs w:val="20"/>
                <w:lang w:val="en-US"/>
              </w:rPr>
              <w:t>:</w:t>
            </w:r>
          </w:p>
          <w:p w:rsidR="00C24044" w:rsidRPr="00F12B5D" w:rsidRDefault="00513AB1" w:rsidP="00F66114">
            <w:pPr>
              <w:pStyle w:val="ListNumber"/>
              <w:numPr>
                <w:ilvl w:val="1"/>
                <w:numId w:val="8"/>
              </w:numPr>
              <w:spacing w:after="200"/>
              <w:ind w:left="851"/>
              <w:rPr>
                <w:rFonts w:ascii="Arial" w:hAnsi="Arial" w:cs="Arial"/>
                <w:sz w:val="20"/>
                <w:szCs w:val="20"/>
                <w:lang w:val="en-US"/>
              </w:rPr>
            </w:pPr>
            <w:r w:rsidRPr="00F12B5D">
              <w:rPr>
                <w:rFonts w:ascii="Arial" w:hAnsi="Arial" w:cs="Arial"/>
                <w:sz w:val="20"/>
                <w:szCs w:val="20"/>
                <w:lang w:val="en-US"/>
              </w:rPr>
              <w:t>T</w:t>
            </w:r>
            <w:r w:rsidR="002A6929" w:rsidRPr="00F12B5D">
              <w:rPr>
                <w:rFonts w:ascii="Arial" w:hAnsi="Arial" w:cs="Arial"/>
                <w:sz w:val="20"/>
                <w:szCs w:val="20"/>
                <w:lang w:val="en-US"/>
              </w:rPr>
              <w:t>his development will contribute to the cumulative impacts of three already approved projects that represent a</w:t>
            </w:r>
            <w:r w:rsidR="00DD3041">
              <w:rPr>
                <w:rFonts w:ascii="Arial" w:hAnsi="Arial" w:cs="Arial"/>
                <w:sz w:val="20"/>
                <w:szCs w:val="20"/>
                <w:lang w:val="en-US"/>
              </w:rPr>
              <w:t xml:space="preserve"> significant</w:t>
            </w:r>
            <w:r w:rsidR="002A6929" w:rsidRPr="00F12B5D">
              <w:rPr>
                <w:rFonts w:ascii="Arial" w:hAnsi="Arial" w:cs="Arial"/>
                <w:sz w:val="20"/>
                <w:szCs w:val="20"/>
                <w:lang w:val="en-US"/>
              </w:rPr>
              <w:t xml:space="preserve"> perturbation of the hydro</w:t>
            </w:r>
            <w:r w:rsidR="00C24044" w:rsidRPr="00F12B5D">
              <w:rPr>
                <w:rFonts w:ascii="Arial" w:hAnsi="Arial" w:cs="Arial"/>
                <w:sz w:val="20"/>
                <w:szCs w:val="20"/>
                <w:lang w:val="en-US"/>
              </w:rPr>
              <w:t>logic</w:t>
            </w:r>
            <w:r w:rsidR="00C31ADF" w:rsidRPr="00F12B5D">
              <w:rPr>
                <w:rFonts w:ascii="Arial" w:hAnsi="Arial" w:cs="Arial"/>
                <w:sz w:val="20"/>
                <w:szCs w:val="20"/>
                <w:lang w:val="en-US"/>
              </w:rPr>
              <w:t>al balance.</w:t>
            </w:r>
            <w:r w:rsidR="00C24044" w:rsidRPr="00F12B5D">
              <w:rPr>
                <w:rFonts w:ascii="Arial" w:hAnsi="Arial" w:cs="Arial"/>
                <w:sz w:val="20"/>
                <w:szCs w:val="20"/>
                <w:lang w:val="en-US"/>
              </w:rPr>
              <w:t xml:space="preserve"> </w:t>
            </w:r>
            <w:r w:rsidR="0087556B" w:rsidRPr="00F12B5D">
              <w:rPr>
                <w:rFonts w:ascii="Arial" w:hAnsi="Arial" w:cs="Arial"/>
                <w:sz w:val="20"/>
                <w:szCs w:val="20"/>
                <w:lang w:val="en-US"/>
              </w:rPr>
              <w:t xml:space="preserve">Understanding cumulative impacts is especially important for determining the full extent of impacts on the </w:t>
            </w:r>
            <w:proofErr w:type="spellStart"/>
            <w:r w:rsidR="0087556B" w:rsidRPr="00F12B5D">
              <w:rPr>
                <w:rFonts w:ascii="Arial" w:hAnsi="Arial" w:cs="Arial"/>
                <w:sz w:val="20"/>
                <w:szCs w:val="20"/>
                <w:lang w:val="en-US"/>
              </w:rPr>
              <w:t>Condamine</w:t>
            </w:r>
            <w:proofErr w:type="spellEnd"/>
            <w:r w:rsidR="0087556B" w:rsidRPr="00F12B5D">
              <w:rPr>
                <w:rFonts w:ascii="Arial" w:hAnsi="Arial" w:cs="Arial"/>
                <w:sz w:val="20"/>
                <w:szCs w:val="20"/>
                <w:lang w:val="en-US"/>
              </w:rPr>
              <w:t xml:space="preserve"> Alluvium</w:t>
            </w:r>
            <w:r w:rsidR="00C31ADF" w:rsidRPr="00F12B5D">
              <w:rPr>
                <w:rFonts w:ascii="Arial" w:hAnsi="Arial" w:cs="Arial"/>
                <w:sz w:val="20"/>
                <w:szCs w:val="20"/>
                <w:lang w:val="en-US"/>
              </w:rPr>
              <w:t>;</w:t>
            </w:r>
          </w:p>
          <w:p w:rsidR="0087556B" w:rsidRPr="00F12B5D" w:rsidRDefault="0087556B" w:rsidP="00F66114">
            <w:pPr>
              <w:pStyle w:val="ListNumber"/>
              <w:numPr>
                <w:ilvl w:val="1"/>
                <w:numId w:val="8"/>
              </w:numPr>
              <w:spacing w:after="200"/>
              <w:ind w:left="851"/>
              <w:rPr>
                <w:rFonts w:ascii="Arial" w:hAnsi="Arial" w:cs="Arial"/>
                <w:sz w:val="20"/>
                <w:szCs w:val="20"/>
                <w:lang w:val="en-US"/>
              </w:rPr>
            </w:pPr>
            <w:r w:rsidRPr="00F12B5D">
              <w:rPr>
                <w:rFonts w:ascii="Arial" w:hAnsi="Arial" w:cs="Arial"/>
                <w:sz w:val="20"/>
                <w:szCs w:val="20"/>
                <w:lang w:val="en-US"/>
              </w:rPr>
              <w:t xml:space="preserve">Given that the proponent predicts that generation of co-produced water from coal seam gas developments in the </w:t>
            </w:r>
            <w:proofErr w:type="spellStart"/>
            <w:r w:rsidRPr="00F12B5D">
              <w:rPr>
                <w:rFonts w:ascii="Arial" w:hAnsi="Arial" w:cs="Arial"/>
                <w:sz w:val="20"/>
                <w:szCs w:val="20"/>
                <w:lang w:val="en-US"/>
              </w:rPr>
              <w:t>Surat</w:t>
            </w:r>
            <w:proofErr w:type="spellEnd"/>
            <w:r w:rsidRPr="00F12B5D">
              <w:rPr>
                <w:rFonts w:ascii="Arial" w:hAnsi="Arial" w:cs="Arial"/>
                <w:sz w:val="20"/>
                <w:szCs w:val="20"/>
                <w:lang w:val="en-US"/>
              </w:rPr>
              <w:t xml:space="preserve"> Basin is currently expected to peak at </w:t>
            </w:r>
            <w:r w:rsidR="00CE49D9">
              <w:rPr>
                <w:rFonts w:ascii="Arial" w:hAnsi="Arial" w:cs="Arial"/>
                <w:sz w:val="20"/>
                <w:szCs w:val="20"/>
                <w:lang w:val="en-US"/>
              </w:rPr>
              <w:t>approximately 550 ML/d i</w:t>
            </w:r>
            <w:r w:rsidRPr="00F12B5D">
              <w:rPr>
                <w:rFonts w:ascii="Arial" w:hAnsi="Arial" w:cs="Arial"/>
                <w:sz w:val="20"/>
                <w:szCs w:val="20"/>
                <w:lang w:val="en-US"/>
              </w:rPr>
              <w:t>n 2015</w:t>
            </w:r>
            <w:r w:rsidR="0027197B">
              <w:rPr>
                <w:rFonts w:ascii="Arial" w:hAnsi="Arial" w:cs="Arial"/>
                <w:sz w:val="20"/>
                <w:szCs w:val="20"/>
                <w:lang w:val="en-US"/>
              </w:rPr>
              <w:t>*</w:t>
            </w:r>
            <w:r w:rsidRPr="00F12B5D">
              <w:rPr>
                <w:rFonts w:ascii="Arial" w:hAnsi="Arial" w:cs="Arial"/>
                <w:sz w:val="20"/>
                <w:szCs w:val="20"/>
                <w:lang w:val="en-US"/>
              </w:rPr>
              <w:t xml:space="preserve">, cumulative impacts to surface water and dependent ecosystems </w:t>
            </w:r>
            <w:r w:rsidR="000B4B9E" w:rsidRPr="00F12B5D">
              <w:rPr>
                <w:rFonts w:ascii="Arial" w:hAnsi="Arial" w:cs="Arial"/>
                <w:sz w:val="20"/>
                <w:szCs w:val="20"/>
                <w:lang w:val="en-US"/>
              </w:rPr>
              <w:t>are likely to</w:t>
            </w:r>
            <w:r w:rsidRPr="00F12B5D">
              <w:rPr>
                <w:rFonts w:ascii="Arial" w:hAnsi="Arial" w:cs="Arial"/>
                <w:sz w:val="20"/>
                <w:szCs w:val="20"/>
                <w:lang w:val="en-US"/>
              </w:rPr>
              <w:t xml:space="preserve"> be significant and adverse if co-produced water and brine are not considered and managed across the </w:t>
            </w:r>
            <w:proofErr w:type="spellStart"/>
            <w:r w:rsidRPr="00F12B5D">
              <w:rPr>
                <w:rFonts w:ascii="Arial" w:hAnsi="Arial" w:cs="Arial"/>
                <w:sz w:val="20"/>
                <w:szCs w:val="20"/>
                <w:lang w:val="en-US"/>
              </w:rPr>
              <w:t>Surat</w:t>
            </w:r>
            <w:proofErr w:type="spellEnd"/>
            <w:r w:rsidRPr="00F12B5D">
              <w:rPr>
                <w:rFonts w:ascii="Arial" w:hAnsi="Arial" w:cs="Arial"/>
                <w:sz w:val="20"/>
                <w:szCs w:val="20"/>
                <w:lang w:val="en-US"/>
              </w:rPr>
              <w:t xml:space="preserve"> Basin</w:t>
            </w:r>
            <w:r w:rsidR="00C31ADF" w:rsidRPr="00F12B5D">
              <w:rPr>
                <w:rFonts w:ascii="Arial" w:hAnsi="Arial" w:cs="Arial"/>
                <w:sz w:val="20"/>
                <w:szCs w:val="20"/>
                <w:lang w:val="en-US"/>
              </w:rPr>
              <w:t xml:space="preserve"> in an integrated manner;</w:t>
            </w:r>
          </w:p>
          <w:p w:rsidR="004F5A83" w:rsidRPr="00F12B5D" w:rsidRDefault="004F261C" w:rsidP="00F66114">
            <w:pPr>
              <w:pStyle w:val="ListNumber"/>
              <w:numPr>
                <w:ilvl w:val="1"/>
                <w:numId w:val="8"/>
              </w:numPr>
              <w:spacing w:after="200"/>
              <w:ind w:left="851"/>
              <w:rPr>
                <w:rFonts w:ascii="Arial" w:hAnsi="Arial" w:cs="Arial"/>
                <w:sz w:val="20"/>
                <w:szCs w:val="20"/>
                <w:lang w:val="en-US"/>
              </w:rPr>
            </w:pPr>
            <w:r w:rsidRPr="00F12B5D">
              <w:rPr>
                <w:rFonts w:ascii="Arial" w:hAnsi="Arial" w:cs="Arial"/>
                <w:sz w:val="20"/>
                <w:szCs w:val="20"/>
                <w:lang w:val="en-US"/>
              </w:rPr>
              <w:t>To increase confidence</w:t>
            </w:r>
            <w:r w:rsidR="00692CA8" w:rsidRPr="00F12B5D">
              <w:rPr>
                <w:rFonts w:ascii="Arial" w:hAnsi="Arial" w:cs="Arial"/>
                <w:sz w:val="20"/>
                <w:szCs w:val="20"/>
                <w:lang w:val="en-US"/>
              </w:rPr>
              <w:t xml:space="preserve"> in the predictions,</w:t>
            </w:r>
            <w:r w:rsidRPr="00F12B5D">
              <w:rPr>
                <w:rFonts w:ascii="Arial" w:hAnsi="Arial" w:cs="Arial"/>
                <w:sz w:val="20"/>
                <w:szCs w:val="20"/>
                <w:lang w:val="en-US"/>
              </w:rPr>
              <w:t xml:space="preserve"> consideration should be given to the development of an integrated assessment of cumulative impacts on surface water and groundwater resources, and dependent ecosystems, incorporating relevant activities and impacts from all existing and proposed coal seam gas and mining developments in the region</w:t>
            </w:r>
            <w:r w:rsidR="00C31ADF" w:rsidRPr="00F12B5D">
              <w:rPr>
                <w:rFonts w:ascii="Arial" w:hAnsi="Arial" w:cs="Arial"/>
                <w:sz w:val="20"/>
                <w:szCs w:val="20"/>
                <w:lang w:val="en-US"/>
              </w:rPr>
              <w:t>; and</w:t>
            </w:r>
          </w:p>
          <w:p w:rsidR="00C31ADF" w:rsidRPr="00F12B5D" w:rsidRDefault="00EC4CD0" w:rsidP="00F66114">
            <w:pPr>
              <w:pStyle w:val="ListNumber"/>
              <w:numPr>
                <w:ilvl w:val="1"/>
                <w:numId w:val="8"/>
              </w:numPr>
              <w:spacing w:after="200"/>
              <w:ind w:left="851"/>
              <w:rPr>
                <w:rFonts w:ascii="Arial" w:hAnsi="Arial" w:cs="Arial"/>
                <w:sz w:val="20"/>
                <w:szCs w:val="20"/>
                <w:lang w:val="en-US"/>
              </w:rPr>
            </w:pPr>
            <w:r>
              <w:rPr>
                <w:rFonts w:ascii="Arial" w:hAnsi="Arial" w:cs="Arial"/>
                <w:sz w:val="20"/>
                <w:szCs w:val="20"/>
                <w:lang w:val="en-US"/>
              </w:rPr>
              <w:t>Collaboration on data and monitoring between all coal seam gas and</w:t>
            </w:r>
            <w:r w:rsidR="00CE49D9">
              <w:rPr>
                <w:rFonts w:ascii="Arial" w:hAnsi="Arial" w:cs="Arial"/>
                <w:sz w:val="20"/>
                <w:szCs w:val="20"/>
                <w:lang w:val="en-US"/>
              </w:rPr>
              <w:t xml:space="preserve"> coal </w:t>
            </w:r>
            <w:r w:rsidR="00C31ADF" w:rsidRPr="00F12B5D">
              <w:rPr>
                <w:rFonts w:ascii="Arial" w:hAnsi="Arial" w:cs="Arial"/>
                <w:sz w:val="20"/>
                <w:szCs w:val="20"/>
                <w:lang w:val="en-US"/>
              </w:rPr>
              <w:t xml:space="preserve">mine operators in the </w:t>
            </w:r>
            <w:proofErr w:type="spellStart"/>
            <w:r w:rsidR="00C31ADF" w:rsidRPr="00F12B5D">
              <w:rPr>
                <w:rFonts w:ascii="Arial" w:hAnsi="Arial" w:cs="Arial"/>
                <w:sz w:val="20"/>
                <w:szCs w:val="20"/>
                <w:lang w:val="en-US"/>
              </w:rPr>
              <w:t>Surat</w:t>
            </w:r>
            <w:proofErr w:type="spellEnd"/>
            <w:r w:rsidR="00C31ADF" w:rsidRPr="00F12B5D">
              <w:rPr>
                <w:rFonts w:ascii="Arial" w:hAnsi="Arial" w:cs="Arial"/>
                <w:sz w:val="20"/>
                <w:szCs w:val="20"/>
                <w:lang w:val="en-US"/>
              </w:rPr>
              <w:t xml:space="preserve"> Basin would facilitate assessment of cumulative impacts at a site and regional level. </w:t>
            </w:r>
          </w:p>
          <w:p w:rsidR="00940C31" w:rsidRPr="00F94F22" w:rsidRDefault="00A15A0C" w:rsidP="00940C31">
            <w:pPr>
              <w:pStyle w:val="ListNumber"/>
              <w:numPr>
                <w:ilvl w:val="0"/>
                <w:numId w:val="8"/>
              </w:numPr>
              <w:spacing w:after="120"/>
              <w:ind w:left="426"/>
              <w:rPr>
                <w:rFonts w:ascii="Arial" w:hAnsi="Arial" w:cs="Arial"/>
                <w:bCs/>
                <w:sz w:val="20"/>
                <w:szCs w:val="20"/>
              </w:rPr>
            </w:pPr>
            <w:r w:rsidRPr="00C31ADF">
              <w:rPr>
                <w:rFonts w:ascii="Arial" w:hAnsi="Arial" w:cs="Arial"/>
                <w:i/>
                <w:sz w:val="20"/>
                <w:szCs w:val="20"/>
                <w:lang w:val="en-US"/>
              </w:rPr>
              <w:t xml:space="preserve">Discharge </w:t>
            </w:r>
            <w:r w:rsidR="00E32C22" w:rsidRPr="00C31ADF">
              <w:rPr>
                <w:rFonts w:ascii="Arial" w:hAnsi="Arial" w:cs="Arial"/>
                <w:i/>
                <w:sz w:val="20"/>
                <w:szCs w:val="20"/>
                <w:lang w:val="en-US"/>
              </w:rPr>
              <w:t>S</w:t>
            </w:r>
            <w:r w:rsidRPr="00C31ADF">
              <w:rPr>
                <w:rFonts w:ascii="Arial" w:hAnsi="Arial" w:cs="Arial"/>
                <w:i/>
                <w:sz w:val="20"/>
                <w:szCs w:val="20"/>
                <w:lang w:val="en-US"/>
              </w:rPr>
              <w:t>trategy</w:t>
            </w:r>
            <w:r w:rsidR="00E32C22" w:rsidRPr="00C31ADF">
              <w:rPr>
                <w:rFonts w:ascii="Arial" w:hAnsi="Arial" w:cs="Arial"/>
                <w:sz w:val="20"/>
                <w:szCs w:val="20"/>
                <w:lang w:val="en-US"/>
              </w:rPr>
              <w:t xml:space="preserve">: </w:t>
            </w:r>
            <w:r w:rsidR="004F261C" w:rsidRPr="00C31ADF">
              <w:rPr>
                <w:rFonts w:ascii="Arial" w:hAnsi="Arial" w:cs="Arial"/>
                <w:sz w:val="20"/>
                <w:szCs w:val="20"/>
                <w:lang w:val="en-US"/>
              </w:rPr>
              <w:t xml:space="preserve">The </w:t>
            </w:r>
            <w:r w:rsidR="00520DEE">
              <w:rPr>
                <w:rFonts w:ascii="Arial" w:hAnsi="Arial" w:cs="Arial"/>
                <w:sz w:val="20"/>
                <w:szCs w:val="20"/>
                <w:lang w:val="en-US"/>
              </w:rPr>
              <w:t>D</w:t>
            </w:r>
            <w:r w:rsidR="004F261C" w:rsidRPr="00C31ADF">
              <w:rPr>
                <w:rFonts w:ascii="Arial" w:hAnsi="Arial" w:cs="Arial"/>
                <w:sz w:val="20"/>
                <w:szCs w:val="20"/>
                <w:lang w:val="en-US"/>
              </w:rPr>
              <w:t xml:space="preserve">ischarge </w:t>
            </w:r>
            <w:r w:rsidR="00520DEE">
              <w:rPr>
                <w:rFonts w:ascii="Arial" w:hAnsi="Arial" w:cs="Arial"/>
                <w:sz w:val="20"/>
                <w:szCs w:val="20"/>
                <w:lang w:val="en-US"/>
              </w:rPr>
              <w:t>S</w:t>
            </w:r>
            <w:r w:rsidR="004F261C" w:rsidRPr="00C31ADF">
              <w:rPr>
                <w:rFonts w:ascii="Arial" w:hAnsi="Arial" w:cs="Arial"/>
                <w:sz w:val="20"/>
                <w:szCs w:val="20"/>
                <w:lang w:val="en-US"/>
              </w:rPr>
              <w:t xml:space="preserve">trategy </w:t>
            </w:r>
            <w:r w:rsidR="00022C2D" w:rsidRPr="00C31ADF">
              <w:rPr>
                <w:rFonts w:ascii="Arial" w:hAnsi="Arial" w:cs="Arial"/>
                <w:sz w:val="20"/>
                <w:szCs w:val="20"/>
                <w:lang w:val="en-US"/>
              </w:rPr>
              <w:t xml:space="preserve">has not been </w:t>
            </w:r>
            <w:proofErr w:type="spellStart"/>
            <w:r w:rsidR="00022C2D" w:rsidRPr="00C31ADF">
              <w:rPr>
                <w:rFonts w:ascii="Arial" w:hAnsi="Arial" w:cs="Arial"/>
                <w:sz w:val="20"/>
                <w:szCs w:val="20"/>
                <w:lang w:val="en-US"/>
              </w:rPr>
              <w:t>finalised</w:t>
            </w:r>
            <w:proofErr w:type="spellEnd"/>
            <w:r w:rsidR="00022C2D" w:rsidRPr="00C31ADF">
              <w:rPr>
                <w:rFonts w:ascii="Arial" w:hAnsi="Arial" w:cs="Arial"/>
                <w:sz w:val="20"/>
                <w:szCs w:val="20"/>
                <w:lang w:val="en-US"/>
              </w:rPr>
              <w:t xml:space="preserve">. </w:t>
            </w:r>
            <w:r w:rsidR="004F261C" w:rsidRPr="00C31ADF">
              <w:rPr>
                <w:rFonts w:ascii="Arial" w:hAnsi="Arial" w:cs="Arial"/>
                <w:sz w:val="20"/>
                <w:szCs w:val="20"/>
                <w:lang w:val="en-US"/>
              </w:rPr>
              <w:t>Analysis of</w:t>
            </w:r>
            <w:r w:rsidR="001A2EBC" w:rsidRPr="00C31ADF">
              <w:rPr>
                <w:rFonts w:ascii="Arial" w:hAnsi="Arial" w:cs="Arial"/>
                <w:sz w:val="20"/>
                <w:szCs w:val="20"/>
                <w:lang w:val="en-US"/>
              </w:rPr>
              <w:t xml:space="preserve"> </w:t>
            </w:r>
            <w:r w:rsidR="00E32C22" w:rsidRPr="00C31ADF">
              <w:rPr>
                <w:rFonts w:ascii="Arial" w:hAnsi="Arial" w:cs="Arial"/>
                <w:sz w:val="20"/>
                <w:szCs w:val="20"/>
                <w:lang w:val="en-US"/>
              </w:rPr>
              <w:t xml:space="preserve">the proponent’s </w:t>
            </w:r>
            <w:r w:rsidR="006836DC">
              <w:rPr>
                <w:rFonts w:ascii="Arial" w:hAnsi="Arial" w:cs="Arial"/>
                <w:sz w:val="20"/>
                <w:szCs w:val="20"/>
                <w:lang w:val="en-US"/>
              </w:rPr>
              <w:t xml:space="preserve">preliminary </w:t>
            </w:r>
            <w:r w:rsidR="00E32C22" w:rsidRPr="00C31ADF">
              <w:rPr>
                <w:rFonts w:ascii="Arial" w:hAnsi="Arial" w:cs="Arial"/>
                <w:sz w:val="20"/>
                <w:szCs w:val="20"/>
                <w:lang w:val="en-US"/>
              </w:rPr>
              <w:t xml:space="preserve">water management </w:t>
            </w:r>
            <w:r w:rsidR="006836DC">
              <w:rPr>
                <w:rFonts w:ascii="Arial" w:hAnsi="Arial" w:cs="Arial"/>
                <w:sz w:val="20"/>
                <w:szCs w:val="20"/>
                <w:lang w:val="en-US"/>
              </w:rPr>
              <w:t>studies</w:t>
            </w:r>
            <w:r w:rsidR="00E32C22" w:rsidRPr="00C31ADF">
              <w:rPr>
                <w:rFonts w:ascii="Arial" w:hAnsi="Arial" w:cs="Arial"/>
                <w:sz w:val="20"/>
                <w:szCs w:val="20"/>
                <w:lang w:val="en-US"/>
              </w:rPr>
              <w:t xml:space="preserve"> are </w:t>
            </w:r>
            <w:proofErr w:type="gramStart"/>
            <w:r w:rsidR="00E32C22" w:rsidRPr="00C31ADF">
              <w:rPr>
                <w:rFonts w:ascii="Arial" w:hAnsi="Arial" w:cs="Arial"/>
                <w:sz w:val="20"/>
                <w:szCs w:val="20"/>
                <w:lang w:val="en-US"/>
              </w:rPr>
              <w:t>provided</w:t>
            </w:r>
            <w:r w:rsidR="00F9552D">
              <w:rPr>
                <w:rFonts w:ascii="Arial" w:hAnsi="Arial" w:cs="Arial"/>
                <w:sz w:val="20"/>
                <w:szCs w:val="20"/>
                <w:lang w:val="en-US"/>
              </w:rPr>
              <w:t xml:space="preserve"> </w:t>
            </w:r>
            <w:r w:rsidR="00E32C22" w:rsidRPr="00C31ADF">
              <w:rPr>
                <w:rFonts w:ascii="Arial" w:hAnsi="Arial" w:cs="Arial"/>
                <w:sz w:val="20"/>
                <w:szCs w:val="20"/>
                <w:lang w:val="en-US"/>
              </w:rPr>
              <w:t xml:space="preserve"> in</w:t>
            </w:r>
            <w:proofErr w:type="gramEnd"/>
            <w:r w:rsidR="00E32C22" w:rsidRPr="00C31ADF">
              <w:rPr>
                <w:rFonts w:ascii="Arial" w:hAnsi="Arial" w:cs="Arial"/>
                <w:sz w:val="20"/>
                <w:szCs w:val="20"/>
                <w:lang w:val="en-US"/>
              </w:rPr>
              <w:t xml:space="preserve"> the responses to Questions 2 and 3</w:t>
            </w:r>
            <w:r w:rsidR="00E32C22" w:rsidRPr="00C31ADF">
              <w:rPr>
                <w:rFonts w:ascii="Arial" w:hAnsi="Arial" w:cs="Arial"/>
                <w:bCs/>
                <w:sz w:val="20"/>
                <w:szCs w:val="20"/>
                <w:lang w:val="en-US"/>
              </w:rPr>
              <w:t>.</w:t>
            </w:r>
          </w:p>
          <w:p w:rsidR="00EE2BBA" w:rsidRPr="00F94F22" w:rsidRDefault="00DC325B" w:rsidP="00BB5662">
            <w:pPr>
              <w:pStyle w:val="Default"/>
              <w:spacing w:before="240" w:after="200" w:line="276" w:lineRule="auto"/>
              <w:rPr>
                <w:rFonts w:ascii="Arial" w:eastAsia="Times New Roman" w:hAnsi="Arial" w:cs="Arial"/>
                <w:color w:val="auto"/>
                <w:sz w:val="20"/>
                <w:szCs w:val="20"/>
                <w:lang w:eastAsia="en-US"/>
              </w:rPr>
            </w:pPr>
            <w:r w:rsidRPr="00F94F22">
              <w:rPr>
                <w:rFonts w:ascii="Arial" w:hAnsi="Arial" w:cs="Arial"/>
                <w:i/>
                <w:sz w:val="20"/>
                <w:szCs w:val="20"/>
              </w:rPr>
              <w:t>Question 2</w:t>
            </w:r>
            <w:r w:rsidR="00BB5662" w:rsidRPr="00F94F22">
              <w:rPr>
                <w:rFonts w:ascii="Arial" w:hAnsi="Arial" w:cs="Arial"/>
                <w:i/>
                <w:sz w:val="20"/>
                <w:szCs w:val="20"/>
              </w:rPr>
              <w:t>(a)</w:t>
            </w:r>
            <w:r w:rsidRPr="00F94F22">
              <w:rPr>
                <w:rFonts w:ascii="Arial" w:hAnsi="Arial" w:cs="Arial"/>
                <w:i/>
                <w:sz w:val="20"/>
                <w:szCs w:val="20"/>
              </w:rPr>
              <w:t>:</w:t>
            </w:r>
            <w:r w:rsidR="00BB5662" w:rsidRPr="00F94F22">
              <w:rPr>
                <w:rFonts w:ascii="Arial" w:eastAsia="Times New Roman" w:hAnsi="Arial" w:cs="Arial"/>
                <w:color w:val="auto"/>
                <w:sz w:val="20"/>
                <w:szCs w:val="20"/>
                <w:lang w:eastAsia="en-US"/>
              </w:rPr>
              <w:t xml:space="preserve"> </w:t>
            </w:r>
            <w:r w:rsidR="009E10CA" w:rsidRPr="00F94F22">
              <w:rPr>
                <w:rFonts w:ascii="Arial" w:eastAsia="Times New Roman" w:hAnsi="Arial" w:cs="Arial"/>
                <w:i/>
                <w:color w:val="auto"/>
                <w:sz w:val="20"/>
                <w:szCs w:val="20"/>
                <w:lang w:eastAsia="en-US"/>
              </w:rPr>
              <w:t>Are the mitigation and management measures committed to by the proponent in the supplementary EIS adequate?</w:t>
            </w:r>
            <w:r w:rsidR="009E10CA" w:rsidRPr="00F94F22">
              <w:rPr>
                <w:rFonts w:ascii="Arial" w:eastAsia="Times New Roman" w:hAnsi="Arial" w:cs="Arial"/>
                <w:color w:val="auto"/>
                <w:sz w:val="20"/>
                <w:szCs w:val="20"/>
                <w:lang w:eastAsia="en-US"/>
              </w:rPr>
              <w:t xml:space="preserve"> </w:t>
            </w:r>
            <w:r w:rsidR="009E10CA" w:rsidRPr="00F94F22">
              <w:rPr>
                <w:rFonts w:ascii="Arial" w:eastAsia="Times New Roman" w:hAnsi="Arial" w:cs="Arial"/>
                <w:i/>
                <w:color w:val="auto"/>
                <w:sz w:val="20"/>
                <w:szCs w:val="20"/>
                <w:lang w:eastAsia="en-US"/>
              </w:rPr>
              <w:t>In particular:</w:t>
            </w:r>
            <w:r w:rsidR="009E10CA" w:rsidRPr="00F94F22">
              <w:rPr>
                <w:rFonts w:ascii="Arial" w:eastAsia="Times New Roman" w:hAnsi="Arial" w:cs="Arial"/>
                <w:color w:val="auto"/>
                <w:sz w:val="20"/>
                <w:szCs w:val="20"/>
                <w:lang w:eastAsia="en-US"/>
              </w:rPr>
              <w:t xml:space="preserve"> </w:t>
            </w:r>
            <w:r w:rsidR="00BB5662" w:rsidRPr="00F94F22">
              <w:rPr>
                <w:rFonts w:ascii="Arial" w:eastAsia="Times New Roman" w:hAnsi="Arial" w:cs="Arial"/>
                <w:i/>
                <w:color w:val="auto"/>
                <w:sz w:val="20"/>
                <w:szCs w:val="20"/>
                <w:lang w:eastAsia="en-US"/>
              </w:rPr>
              <w:t xml:space="preserve">Is the proposed investigative program that will help quantify the connectivity between the Condamine Alluvium and Walloon Coal Measures adequate to determine the magnitude of </w:t>
            </w:r>
            <w:proofErr w:type="spellStart"/>
            <w:r w:rsidR="00BB5662" w:rsidRPr="00F94F22">
              <w:rPr>
                <w:rFonts w:ascii="Arial" w:eastAsia="Times New Roman" w:hAnsi="Arial" w:cs="Arial"/>
                <w:i/>
                <w:color w:val="auto"/>
                <w:sz w:val="20"/>
                <w:szCs w:val="20"/>
                <w:lang w:eastAsia="en-US"/>
              </w:rPr>
              <w:t>hydrogeological</w:t>
            </w:r>
            <w:proofErr w:type="spellEnd"/>
            <w:r w:rsidR="00BB5662" w:rsidRPr="00F94F22">
              <w:rPr>
                <w:rFonts w:ascii="Arial" w:eastAsia="Times New Roman" w:hAnsi="Arial" w:cs="Arial"/>
                <w:i/>
                <w:color w:val="auto"/>
                <w:sz w:val="20"/>
                <w:szCs w:val="20"/>
                <w:lang w:eastAsia="en-US"/>
              </w:rPr>
              <w:t xml:space="preserve"> connections between them</w:t>
            </w:r>
            <w:r w:rsidR="001B318A" w:rsidRPr="00F94F22">
              <w:rPr>
                <w:rFonts w:ascii="Arial" w:eastAsia="Times New Roman" w:hAnsi="Arial" w:cs="Arial"/>
                <w:i/>
                <w:color w:val="auto"/>
                <w:sz w:val="20"/>
                <w:szCs w:val="20"/>
                <w:lang w:eastAsia="en-US"/>
              </w:rPr>
              <w:t>?</w:t>
            </w:r>
          </w:p>
          <w:p w:rsidR="00D63595" w:rsidRPr="00F94F22" w:rsidRDefault="00D63595" w:rsidP="006875DD">
            <w:pPr>
              <w:pStyle w:val="ListNumber"/>
              <w:numPr>
                <w:ilvl w:val="0"/>
                <w:numId w:val="8"/>
              </w:numPr>
              <w:spacing w:after="200"/>
              <w:ind w:left="426" w:hanging="426"/>
              <w:rPr>
                <w:rFonts w:ascii="Arial" w:hAnsi="Arial" w:cs="Arial"/>
                <w:sz w:val="20"/>
                <w:szCs w:val="20"/>
                <w:lang w:val="en-US"/>
              </w:rPr>
            </w:pPr>
            <w:r w:rsidRPr="00F94F22">
              <w:rPr>
                <w:rFonts w:ascii="Arial" w:hAnsi="Arial" w:cs="Arial"/>
                <w:sz w:val="20"/>
                <w:szCs w:val="20"/>
                <w:lang w:val="en-US"/>
              </w:rPr>
              <w:t xml:space="preserve">Based on the information </w:t>
            </w:r>
            <w:r w:rsidR="0081162C" w:rsidRPr="00F94F22">
              <w:rPr>
                <w:rFonts w:ascii="Arial" w:hAnsi="Arial" w:cs="Arial"/>
                <w:sz w:val="20"/>
                <w:szCs w:val="20"/>
                <w:lang w:val="en-US"/>
              </w:rPr>
              <w:t xml:space="preserve">available to the Committee and </w:t>
            </w:r>
            <w:r w:rsidRPr="00F94F22">
              <w:rPr>
                <w:rFonts w:ascii="Arial" w:hAnsi="Arial" w:cs="Arial"/>
                <w:sz w:val="20"/>
                <w:szCs w:val="20"/>
                <w:lang w:val="en-US"/>
              </w:rPr>
              <w:t xml:space="preserve">presented in the SEIS, </w:t>
            </w:r>
            <w:r w:rsidR="0081162C" w:rsidRPr="00F94F22">
              <w:rPr>
                <w:rFonts w:ascii="Arial" w:hAnsi="Arial" w:cs="Arial"/>
                <w:sz w:val="20"/>
                <w:szCs w:val="20"/>
                <w:lang w:val="en-US"/>
              </w:rPr>
              <w:t xml:space="preserve">it </w:t>
            </w:r>
            <w:r w:rsidR="004B297E" w:rsidRPr="00F94F22">
              <w:rPr>
                <w:rFonts w:ascii="Arial" w:hAnsi="Arial" w:cs="Arial"/>
                <w:sz w:val="20"/>
                <w:szCs w:val="20"/>
                <w:lang w:val="en-US"/>
              </w:rPr>
              <w:t xml:space="preserve">appears </w:t>
            </w:r>
            <w:r w:rsidRPr="00F94F22">
              <w:rPr>
                <w:rFonts w:ascii="Arial" w:hAnsi="Arial" w:cs="Arial"/>
                <w:sz w:val="20"/>
                <w:szCs w:val="20"/>
                <w:lang w:val="en-US"/>
              </w:rPr>
              <w:t xml:space="preserve">that the </w:t>
            </w:r>
            <w:proofErr w:type="spellStart"/>
            <w:r w:rsidR="00CF5681" w:rsidRPr="00F94F22">
              <w:rPr>
                <w:rFonts w:ascii="Arial" w:hAnsi="Arial" w:cs="Arial"/>
                <w:sz w:val="20"/>
                <w:szCs w:val="20"/>
                <w:lang w:val="en-US"/>
              </w:rPr>
              <w:t>Condamine</w:t>
            </w:r>
            <w:proofErr w:type="spellEnd"/>
            <w:r w:rsidR="00CF5681" w:rsidRPr="00F94F22">
              <w:rPr>
                <w:rFonts w:ascii="Arial" w:hAnsi="Arial" w:cs="Arial"/>
                <w:sz w:val="20"/>
                <w:szCs w:val="20"/>
                <w:lang w:val="en-US"/>
              </w:rPr>
              <w:t xml:space="preserve"> Interconnectivity Research P</w:t>
            </w:r>
            <w:r w:rsidRPr="00F94F22">
              <w:rPr>
                <w:rFonts w:ascii="Arial" w:hAnsi="Arial" w:cs="Arial"/>
                <w:sz w:val="20"/>
                <w:szCs w:val="20"/>
                <w:lang w:val="en-US"/>
              </w:rPr>
              <w:t xml:space="preserve">roject </w:t>
            </w:r>
            <w:r w:rsidR="004B297E" w:rsidRPr="00F94F22">
              <w:rPr>
                <w:rFonts w:ascii="Arial" w:hAnsi="Arial" w:cs="Arial"/>
                <w:sz w:val="20"/>
                <w:szCs w:val="20"/>
                <w:lang w:val="en-US"/>
              </w:rPr>
              <w:t>is appropriate to</w:t>
            </w:r>
            <w:r w:rsidRPr="00F94F22">
              <w:rPr>
                <w:rFonts w:ascii="Arial" w:hAnsi="Arial" w:cs="Arial"/>
                <w:sz w:val="20"/>
                <w:szCs w:val="20"/>
                <w:lang w:val="en-US"/>
              </w:rPr>
              <w:t xml:space="preserve"> determine the magnitude of </w:t>
            </w:r>
            <w:proofErr w:type="spellStart"/>
            <w:r w:rsidRPr="00F94F22">
              <w:rPr>
                <w:rFonts w:ascii="Arial" w:hAnsi="Arial" w:cs="Arial"/>
                <w:sz w:val="20"/>
                <w:szCs w:val="20"/>
                <w:lang w:val="en-US"/>
              </w:rPr>
              <w:lastRenderedPageBreak/>
              <w:t>hydrogeological</w:t>
            </w:r>
            <w:proofErr w:type="spellEnd"/>
            <w:r w:rsidRPr="00F94F22">
              <w:rPr>
                <w:rFonts w:ascii="Arial" w:hAnsi="Arial" w:cs="Arial"/>
                <w:sz w:val="20"/>
                <w:szCs w:val="20"/>
                <w:lang w:val="en-US"/>
              </w:rPr>
              <w:t xml:space="preserve"> connection between the </w:t>
            </w:r>
            <w:proofErr w:type="spellStart"/>
            <w:r w:rsidRPr="00F94F22">
              <w:rPr>
                <w:rFonts w:ascii="Arial" w:hAnsi="Arial" w:cs="Arial"/>
                <w:sz w:val="20"/>
                <w:szCs w:val="20"/>
                <w:lang w:val="en-US"/>
              </w:rPr>
              <w:t>Condamine</w:t>
            </w:r>
            <w:proofErr w:type="spellEnd"/>
            <w:r w:rsidRPr="00F94F22">
              <w:rPr>
                <w:rFonts w:ascii="Arial" w:hAnsi="Arial" w:cs="Arial"/>
                <w:sz w:val="20"/>
                <w:szCs w:val="20"/>
                <w:lang w:val="en-US"/>
              </w:rPr>
              <w:t xml:space="preserve"> Alluvium and the W</w:t>
            </w:r>
            <w:r w:rsidR="005F2B65" w:rsidRPr="00F94F22">
              <w:rPr>
                <w:rFonts w:ascii="Arial" w:hAnsi="Arial" w:cs="Arial"/>
                <w:sz w:val="20"/>
                <w:szCs w:val="20"/>
                <w:lang w:val="en-US"/>
              </w:rPr>
              <w:t>alloon Coal Measures</w:t>
            </w:r>
            <w:r w:rsidRPr="00F94F22">
              <w:rPr>
                <w:rFonts w:ascii="Arial" w:hAnsi="Arial" w:cs="Arial"/>
                <w:sz w:val="20"/>
                <w:szCs w:val="20"/>
                <w:lang w:val="en-US"/>
              </w:rPr>
              <w:t xml:space="preserve">. </w:t>
            </w:r>
            <w:r w:rsidR="007D2B3E" w:rsidRPr="00F94F22">
              <w:rPr>
                <w:rFonts w:ascii="Arial" w:hAnsi="Arial" w:cs="Arial"/>
                <w:sz w:val="20"/>
                <w:szCs w:val="20"/>
                <w:lang w:val="en-US"/>
              </w:rPr>
              <w:t>It is recommended that c</w:t>
            </w:r>
            <w:r w:rsidRPr="00F94F22">
              <w:rPr>
                <w:rFonts w:ascii="Arial" w:hAnsi="Arial" w:cs="Arial"/>
                <w:sz w:val="20"/>
                <w:szCs w:val="20"/>
                <w:lang w:val="en-US"/>
              </w:rPr>
              <w:t xml:space="preserve">onnectivity between these formations </w:t>
            </w:r>
            <w:r w:rsidR="00867C1C" w:rsidRPr="00F94F22">
              <w:rPr>
                <w:rFonts w:ascii="Arial" w:hAnsi="Arial" w:cs="Arial"/>
                <w:sz w:val="20"/>
                <w:szCs w:val="20"/>
                <w:lang w:val="en-US"/>
              </w:rPr>
              <w:t>is</w:t>
            </w:r>
            <w:r w:rsidRPr="00F94F22">
              <w:rPr>
                <w:rFonts w:ascii="Arial" w:hAnsi="Arial" w:cs="Arial"/>
                <w:sz w:val="20"/>
                <w:szCs w:val="20"/>
                <w:lang w:val="en-US"/>
              </w:rPr>
              <w:t xml:space="preserve"> subject to ongoing assessment and review based on monitoring data collected by the proponent.</w:t>
            </w:r>
            <w:r w:rsidR="004B297E" w:rsidRPr="00F94F22">
              <w:rPr>
                <w:rFonts w:ascii="Arial" w:hAnsi="Arial" w:cs="Arial"/>
                <w:sz w:val="20"/>
                <w:szCs w:val="20"/>
                <w:lang w:val="en-US"/>
              </w:rPr>
              <w:t xml:space="preserve"> The results of this study will be fundamental </w:t>
            </w:r>
            <w:r w:rsidR="00F12B5D">
              <w:rPr>
                <w:rFonts w:ascii="Arial" w:hAnsi="Arial" w:cs="Arial"/>
                <w:sz w:val="20"/>
                <w:szCs w:val="20"/>
                <w:lang w:val="en-US"/>
              </w:rPr>
              <w:t>to</w:t>
            </w:r>
            <w:r w:rsidR="004B297E" w:rsidRPr="00F94F22">
              <w:rPr>
                <w:rFonts w:ascii="Arial" w:hAnsi="Arial" w:cs="Arial"/>
                <w:sz w:val="20"/>
                <w:szCs w:val="20"/>
                <w:lang w:val="en-US"/>
              </w:rPr>
              <w:t xml:space="preserve"> determining the impacts on the </w:t>
            </w:r>
            <w:r w:rsidR="00D64D5E">
              <w:rPr>
                <w:rFonts w:ascii="Arial" w:hAnsi="Arial" w:cs="Arial"/>
                <w:sz w:val="20"/>
                <w:szCs w:val="20"/>
                <w:lang w:val="en-US"/>
              </w:rPr>
              <w:t xml:space="preserve">water resources within the </w:t>
            </w:r>
            <w:proofErr w:type="spellStart"/>
            <w:r w:rsidR="004B297E" w:rsidRPr="00F94F22">
              <w:rPr>
                <w:rFonts w:ascii="Arial" w:hAnsi="Arial" w:cs="Arial"/>
                <w:sz w:val="20"/>
                <w:szCs w:val="20"/>
                <w:lang w:val="en-US"/>
              </w:rPr>
              <w:t>Condamine</w:t>
            </w:r>
            <w:proofErr w:type="spellEnd"/>
            <w:r w:rsidR="004B297E" w:rsidRPr="00F94F22">
              <w:rPr>
                <w:rFonts w:ascii="Arial" w:hAnsi="Arial" w:cs="Arial"/>
                <w:sz w:val="20"/>
                <w:szCs w:val="20"/>
                <w:lang w:val="en-US"/>
              </w:rPr>
              <w:t xml:space="preserve"> Alluvium.</w:t>
            </w:r>
          </w:p>
          <w:p w:rsidR="004F5A83" w:rsidRPr="00F94F22" w:rsidRDefault="00BB5662" w:rsidP="00BB5662">
            <w:pPr>
              <w:pStyle w:val="ListNumber"/>
              <w:numPr>
                <w:ilvl w:val="0"/>
                <w:numId w:val="0"/>
              </w:numPr>
              <w:spacing w:before="240" w:after="200"/>
              <w:rPr>
                <w:rFonts w:ascii="Arial" w:hAnsi="Arial" w:cs="Arial"/>
                <w:i/>
                <w:sz w:val="20"/>
                <w:szCs w:val="20"/>
              </w:rPr>
            </w:pPr>
            <w:r w:rsidRPr="00F94F22">
              <w:rPr>
                <w:rFonts w:ascii="Arial" w:hAnsi="Arial" w:cs="Arial"/>
                <w:i/>
                <w:sz w:val="20"/>
                <w:szCs w:val="20"/>
              </w:rPr>
              <w:t>Question 2(b):</w:t>
            </w:r>
            <w:r w:rsidRPr="00F94F22">
              <w:rPr>
                <w:rFonts w:ascii="Arial" w:hAnsi="Arial" w:cs="Arial"/>
                <w:sz w:val="20"/>
                <w:szCs w:val="20"/>
              </w:rPr>
              <w:t xml:space="preserve"> </w:t>
            </w:r>
            <w:r w:rsidRPr="00F94F22">
              <w:rPr>
                <w:rFonts w:ascii="Arial" w:hAnsi="Arial" w:cs="Arial"/>
                <w:i/>
                <w:sz w:val="20"/>
                <w:szCs w:val="20"/>
              </w:rPr>
              <w:t>Are the measures proposed to manage discharge into waterways adequate?</w:t>
            </w:r>
          </w:p>
          <w:p w:rsidR="00D63595" w:rsidRPr="00D52E9E" w:rsidRDefault="004B297E" w:rsidP="002C4BCB">
            <w:pPr>
              <w:pStyle w:val="ListNumber"/>
              <w:numPr>
                <w:ilvl w:val="0"/>
                <w:numId w:val="8"/>
              </w:numPr>
              <w:spacing w:after="200"/>
              <w:ind w:left="426" w:hanging="426"/>
              <w:rPr>
                <w:rFonts w:ascii="Arial" w:hAnsi="Arial" w:cs="Arial"/>
                <w:sz w:val="20"/>
                <w:szCs w:val="20"/>
                <w:lang w:val="en-US"/>
              </w:rPr>
            </w:pPr>
            <w:r w:rsidRPr="00F94F22">
              <w:rPr>
                <w:rFonts w:ascii="Arial" w:hAnsi="Arial" w:cs="Arial"/>
                <w:sz w:val="20"/>
                <w:szCs w:val="20"/>
                <w:lang w:val="en-US"/>
              </w:rPr>
              <w:t xml:space="preserve">As the Discharge Strategy has not been </w:t>
            </w:r>
            <w:proofErr w:type="spellStart"/>
            <w:r w:rsidRPr="00F94F22">
              <w:rPr>
                <w:rFonts w:ascii="Arial" w:hAnsi="Arial" w:cs="Arial"/>
                <w:sz w:val="20"/>
                <w:szCs w:val="20"/>
                <w:lang w:val="en-US"/>
              </w:rPr>
              <w:t>finalised</w:t>
            </w:r>
            <w:proofErr w:type="spellEnd"/>
            <w:r w:rsidRPr="00F94F22">
              <w:rPr>
                <w:rFonts w:ascii="Arial" w:hAnsi="Arial" w:cs="Arial"/>
                <w:sz w:val="20"/>
                <w:szCs w:val="20"/>
                <w:lang w:val="en-US"/>
              </w:rPr>
              <w:t xml:space="preserve">, the adequacy of proposed measures to manage discharge cannot be evaluated. </w:t>
            </w:r>
            <w:r w:rsidR="00532A7D">
              <w:rPr>
                <w:rFonts w:ascii="Arial" w:hAnsi="Arial" w:cs="Arial"/>
                <w:sz w:val="20"/>
                <w:szCs w:val="20"/>
                <w:lang w:val="en-US"/>
              </w:rPr>
              <w:t xml:space="preserve">The </w:t>
            </w:r>
            <w:r w:rsidR="00D63595" w:rsidRPr="00F94F22">
              <w:rPr>
                <w:rFonts w:ascii="Arial" w:hAnsi="Arial" w:cs="Arial"/>
                <w:sz w:val="20"/>
                <w:szCs w:val="20"/>
                <w:lang w:val="en-US"/>
              </w:rPr>
              <w:t>Discharge Strategy</w:t>
            </w:r>
            <w:r w:rsidR="005F2B65">
              <w:rPr>
                <w:rFonts w:ascii="Arial" w:hAnsi="Arial" w:cs="Arial"/>
                <w:sz w:val="20"/>
                <w:szCs w:val="20"/>
                <w:lang w:val="en-US"/>
              </w:rPr>
              <w:t xml:space="preserve"> </w:t>
            </w:r>
            <w:r w:rsidR="00703C27">
              <w:rPr>
                <w:rFonts w:ascii="Arial" w:hAnsi="Arial" w:cs="Arial"/>
                <w:sz w:val="20"/>
                <w:szCs w:val="20"/>
                <w:lang w:val="en-US"/>
              </w:rPr>
              <w:t xml:space="preserve">will contain details of </w:t>
            </w:r>
            <w:r w:rsidR="00D63595" w:rsidRPr="00D52E9E">
              <w:rPr>
                <w:rFonts w:ascii="Arial" w:hAnsi="Arial" w:cs="Arial"/>
                <w:sz w:val="20"/>
                <w:szCs w:val="20"/>
                <w:lang w:val="en-US"/>
              </w:rPr>
              <w:t>the quantity, quality and timing of proposed discharges</w:t>
            </w:r>
            <w:r w:rsidR="00532A7D">
              <w:rPr>
                <w:rFonts w:ascii="Arial" w:hAnsi="Arial" w:cs="Arial"/>
                <w:sz w:val="20"/>
                <w:szCs w:val="20"/>
                <w:lang w:val="en-US"/>
              </w:rPr>
              <w:t>. These factors a</w:t>
            </w:r>
            <w:r w:rsidR="00D63595" w:rsidRPr="00D52E9E">
              <w:rPr>
                <w:rFonts w:ascii="Arial" w:hAnsi="Arial" w:cs="Arial"/>
                <w:sz w:val="20"/>
                <w:szCs w:val="20"/>
                <w:lang w:val="en-US"/>
              </w:rPr>
              <w:t xml:space="preserve">re critical </w:t>
            </w:r>
            <w:r w:rsidR="00703C27">
              <w:rPr>
                <w:rFonts w:ascii="Arial" w:hAnsi="Arial" w:cs="Arial"/>
                <w:sz w:val="20"/>
                <w:szCs w:val="20"/>
                <w:lang w:val="en-US"/>
              </w:rPr>
              <w:t xml:space="preserve">for </w:t>
            </w:r>
            <w:r w:rsidR="00D63595" w:rsidRPr="00D52E9E">
              <w:rPr>
                <w:rFonts w:ascii="Arial" w:hAnsi="Arial" w:cs="Arial"/>
                <w:sz w:val="20"/>
                <w:szCs w:val="20"/>
                <w:lang w:val="en-US"/>
              </w:rPr>
              <w:t>assess</w:t>
            </w:r>
            <w:r w:rsidR="00703C27">
              <w:rPr>
                <w:rFonts w:ascii="Arial" w:hAnsi="Arial" w:cs="Arial"/>
                <w:sz w:val="20"/>
                <w:szCs w:val="20"/>
                <w:lang w:val="en-US"/>
              </w:rPr>
              <w:t>ing</w:t>
            </w:r>
            <w:r w:rsidR="00D63595" w:rsidRPr="00D52E9E">
              <w:rPr>
                <w:rFonts w:ascii="Arial" w:hAnsi="Arial" w:cs="Arial"/>
                <w:sz w:val="20"/>
                <w:szCs w:val="20"/>
                <w:lang w:val="en-US"/>
              </w:rPr>
              <w:t xml:space="preserve"> potential impacts on receiving watercourses and ecosystems and for developing measures to avoid or </w:t>
            </w:r>
            <w:proofErr w:type="spellStart"/>
            <w:r w:rsidR="00D63595" w:rsidRPr="00D52E9E">
              <w:rPr>
                <w:rFonts w:ascii="Arial" w:hAnsi="Arial" w:cs="Arial"/>
                <w:sz w:val="20"/>
                <w:szCs w:val="20"/>
                <w:lang w:val="en-US"/>
              </w:rPr>
              <w:t>minimise</w:t>
            </w:r>
            <w:proofErr w:type="spellEnd"/>
            <w:r w:rsidR="00D63595" w:rsidRPr="00D52E9E">
              <w:rPr>
                <w:rFonts w:ascii="Arial" w:hAnsi="Arial" w:cs="Arial"/>
                <w:sz w:val="20"/>
                <w:szCs w:val="20"/>
                <w:lang w:val="en-US"/>
              </w:rPr>
              <w:t xml:space="preserve"> adverse outcomes. </w:t>
            </w:r>
            <w:r w:rsidR="001546DC">
              <w:rPr>
                <w:rFonts w:ascii="Arial" w:hAnsi="Arial" w:cs="Arial"/>
                <w:sz w:val="20"/>
                <w:szCs w:val="20"/>
                <w:lang w:val="en-US"/>
              </w:rPr>
              <w:t xml:space="preserve">The following points provide an evaluation of relevant </w:t>
            </w:r>
            <w:r w:rsidR="00D60D0D">
              <w:rPr>
                <w:rFonts w:ascii="Arial" w:hAnsi="Arial" w:cs="Arial"/>
                <w:sz w:val="20"/>
                <w:szCs w:val="20"/>
                <w:lang w:val="en-US"/>
              </w:rPr>
              <w:t xml:space="preserve">preliminary </w:t>
            </w:r>
            <w:r w:rsidR="001546DC">
              <w:rPr>
                <w:rFonts w:ascii="Arial" w:hAnsi="Arial" w:cs="Arial"/>
                <w:sz w:val="20"/>
                <w:szCs w:val="20"/>
                <w:lang w:val="en-US"/>
              </w:rPr>
              <w:t>studies presented in the SEIS.</w:t>
            </w:r>
          </w:p>
          <w:p w:rsidR="005B4307" w:rsidRPr="00D248D7" w:rsidRDefault="00E96335" w:rsidP="002C4BCB">
            <w:pPr>
              <w:pStyle w:val="ListNumber"/>
              <w:numPr>
                <w:ilvl w:val="0"/>
                <w:numId w:val="8"/>
              </w:numPr>
              <w:spacing w:after="200"/>
              <w:ind w:left="426" w:hanging="426"/>
              <w:rPr>
                <w:rFonts w:ascii="Arial" w:hAnsi="Arial" w:cs="Arial"/>
                <w:sz w:val="20"/>
                <w:szCs w:val="20"/>
                <w:lang w:val="en-US"/>
              </w:rPr>
            </w:pPr>
            <w:r w:rsidRPr="00D248D7">
              <w:rPr>
                <w:rFonts w:ascii="Arial" w:hAnsi="Arial" w:cs="Arial"/>
                <w:sz w:val="20"/>
                <w:szCs w:val="20"/>
                <w:lang w:val="en-US"/>
              </w:rPr>
              <w:t>T</w:t>
            </w:r>
            <w:r w:rsidR="005564E9" w:rsidRPr="00D248D7">
              <w:rPr>
                <w:rFonts w:ascii="Arial" w:hAnsi="Arial" w:cs="Arial"/>
                <w:sz w:val="20"/>
                <w:szCs w:val="20"/>
                <w:lang w:val="en-US"/>
              </w:rPr>
              <w:t>he proponent’s Preliminary Environmental Flows Assessment</w:t>
            </w:r>
            <w:r w:rsidR="002C4BCB" w:rsidRPr="00D248D7">
              <w:rPr>
                <w:rFonts w:ascii="Arial" w:hAnsi="Arial" w:cs="Arial"/>
                <w:sz w:val="20"/>
                <w:szCs w:val="20"/>
                <w:lang w:val="en-US"/>
              </w:rPr>
              <w:t>, which forms the initial stage of development for the Discharge Strategy,</w:t>
            </w:r>
            <w:r w:rsidR="005564E9" w:rsidRPr="00D248D7">
              <w:rPr>
                <w:rFonts w:ascii="Arial" w:hAnsi="Arial" w:cs="Arial"/>
                <w:sz w:val="20"/>
                <w:szCs w:val="20"/>
                <w:lang w:val="en-US"/>
              </w:rPr>
              <w:t xml:space="preserve"> </w:t>
            </w:r>
            <w:r w:rsidR="008F2BEA" w:rsidRPr="00D248D7">
              <w:rPr>
                <w:rFonts w:ascii="Arial" w:hAnsi="Arial" w:cs="Arial"/>
                <w:sz w:val="20"/>
                <w:szCs w:val="20"/>
                <w:lang w:val="en-US"/>
              </w:rPr>
              <w:t xml:space="preserve">was </w:t>
            </w:r>
            <w:r w:rsidR="00453418" w:rsidRPr="00D248D7">
              <w:rPr>
                <w:rFonts w:ascii="Arial" w:hAnsi="Arial" w:cs="Arial"/>
                <w:sz w:val="20"/>
                <w:szCs w:val="20"/>
                <w:lang w:val="en-US"/>
              </w:rPr>
              <w:t xml:space="preserve">based on limited hydrological, </w:t>
            </w:r>
            <w:r w:rsidR="008F2BEA" w:rsidRPr="00D248D7">
              <w:rPr>
                <w:rFonts w:ascii="Arial" w:hAnsi="Arial" w:cs="Arial"/>
                <w:sz w:val="20"/>
                <w:szCs w:val="20"/>
                <w:lang w:val="en-US"/>
              </w:rPr>
              <w:t xml:space="preserve">water quality, </w:t>
            </w:r>
            <w:r w:rsidR="005564E9" w:rsidRPr="00D248D7">
              <w:rPr>
                <w:rFonts w:ascii="Arial" w:hAnsi="Arial" w:cs="Arial"/>
                <w:sz w:val="20"/>
                <w:szCs w:val="20"/>
              </w:rPr>
              <w:t xml:space="preserve">and ecological data. </w:t>
            </w:r>
            <w:r w:rsidR="000D5F00" w:rsidRPr="00D248D7">
              <w:rPr>
                <w:rFonts w:ascii="Arial" w:hAnsi="Arial" w:cs="Arial"/>
                <w:sz w:val="20"/>
                <w:szCs w:val="20"/>
              </w:rPr>
              <w:t xml:space="preserve">The SEIS contained recommendations to address these knowledge gaps but in many cases the recommended investigations were not </w:t>
            </w:r>
            <w:r w:rsidR="00B42D53" w:rsidRPr="00D248D7">
              <w:rPr>
                <w:rFonts w:ascii="Arial" w:hAnsi="Arial" w:cs="Arial"/>
                <w:sz w:val="20"/>
                <w:szCs w:val="20"/>
                <w:lang w:val="en-US"/>
              </w:rPr>
              <w:t>incorporated into the proponent’s Strategic Environmental Management Plan.</w:t>
            </w:r>
            <w:r w:rsidR="00CB78BE" w:rsidRPr="00D248D7">
              <w:rPr>
                <w:rFonts w:ascii="Arial" w:hAnsi="Arial" w:cs="Arial"/>
                <w:sz w:val="20"/>
                <w:szCs w:val="20"/>
              </w:rPr>
              <w:t xml:space="preserve"> </w:t>
            </w:r>
            <w:r w:rsidR="006A596E">
              <w:rPr>
                <w:rFonts w:ascii="Arial" w:hAnsi="Arial" w:cs="Arial"/>
                <w:sz w:val="20"/>
                <w:szCs w:val="20"/>
              </w:rPr>
              <w:t>M</w:t>
            </w:r>
            <w:proofErr w:type="spellStart"/>
            <w:r w:rsidR="005B4307" w:rsidRPr="00D248D7">
              <w:rPr>
                <w:rFonts w:ascii="Arial" w:hAnsi="Arial" w:cs="Arial"/>
                <w:sz w:val="20"/>
                <w:szCs w:val="20"/>
                <w:lang w:val="en-US"/>
              </w:rPr>
              <w:t>atter</w:t>
            </w:r>
            <w:r w:rsidR="00446139" w:rsidRPr="00D248D7">
              <w:rPr>
                <w:rFonts w:ascii="Arial" w:hAnsi="Arial" w:cs="Arial"/>
                <w:sz w:val="20"/>
                <w:szCs w:val="20"/>
                <w:lang w:val="en-US"/>
              </w:rPr>
              <w:t>s</w:t>
            </w:r>
            <w:proofErr w:type="spellEnd"/>
            <w:r w:rsidR="00446139" w:rsidRPr="00D248D7">
              <w:rPr>
                <w:rFonts w:ascii="Arial" w:hAnsi="Arial" w:cs="Arial"/>
                <w:sz w:val="20"/>
                <w:szCs w:val="20"/>
                <w:lang w:val="en-US"/>
              </w:rPr>
              <w:t xml:space="preserve"> to be considered in managing </w:t>
            </w:r>
            <w:r w:rsidR="00FE6035">
              <w:rPr>
                <w:rFonts w:ascii="Arial" w:hAnsi="Arial" w:cs="Arial"/>
                <w:sz w:val="20"/>
                <w:szCs w:val="20"/>
                <w:lang w:val="en-US"/>
              </w:rPr>
              <w:t xml:space="preserve">the </w:t>
            </w:r>
            <w:r w:rsidR="005B4307" w:rsidRPr="00D248D7">
              <w:rPr>
                <w:rFonts w:ascii="Arial" w:hAnsi="Arial" w:cs="Arial"/>
                <w:sz w:val="20"/>
                <w:szCs w:val="20"/>
                <w:lang w:val="en-US"/>
              </w:rPr>
              <w:t xml:space="preserve">discharge </w:t>
            </w:r>
            <w:r w:rsidR="00446139" w:rsidRPr="00D248D7">
              <w:rPr>
                <w:rFonts w:ascii="Arial" w:hAnsi="Arial" w:cs="Arial"/>
                <w:sz w:val="20"/>
                <w:szCs w:val="20"/>
                <w:lang w:val="en-US"/>
              </w:rPr>
              <w:t xml:space="preserve">of co-produced water </w:t>
            </w:r>
            <w:r w:rsidR="00146D77" w:rsidRPr="00D248D7">
              <w:rPr>
                <w:rFonts w:ascii="Arial" w:hAnsi="Arial" w:cs="Arial"/>
                <w:sz w:val="20"/>
                <w:szCs w:val="20"/>
                <w:lang w:val="en-US"/>
              </w:rPr>
              <w:t xml:space="preserve">have </w:t>
            </w:r>
            <w:r w:rsidR="005B4307" w:rsidRPr="00D248D7">
              <w:rPr>
                <w:rFonts w:ascii="Arial" w:hAnsi="Arial" w:cs="Arial"/>
                <w:sz w:val="20"/>
                <w:szCs w:val="20"/>
                <w:lang w:val="en-US"/>
              </w:rPr>
              <w:t>been identified at a high level</w:t>
            </w:r>
            <w:r w:rsidR="00446139" w:rsidRPr="00D248D7">
              <w:rPr>
                <w:rFonts w:ascii="Arial" w:hAnsi="Arial" w:cs="Arial"/>
                <w:sz w:val="20"/>
                <w:szCs w:val="20"/>
                <w:lang w:val="en-US"/>
              </w:rPr>
              <w:t xml:space="preserve"> in the proponent’s assessment documentation</w:t>
            </w:r>
            <w:r w:rsidR="009165E1">
              <w:rPr>
                <w:rFonts w:ascii="Arial" w:hAnsi="Arial" w:cs="Arial"/>
                <w:sz w:val="20"/>
                <w:szCs w:val="20"/>
                <w:lang w:val="en-US"/>
              </w:rPr>
              <w:t xml:space="preserve">. </w:t>
            </w:r>
            <w:r w:rsidR="006A596E">
              <w:rPr>
                <w:rFonts w:ascii="Arial" w:hAnsi="Arial" w:cs="Arial"/>
                <w:sz w:val="20"/>
                <w:szCs w:val="20"/>
                <w:lang w:val="en-US"/>
              </w:rPr>
              <w:t>However</w:t>
            </w:r>
            <w:r w:rsidR="000B4452" w:rsidRPr="00D248D7">
              <w:rPr>
                <w:rFonts w:ascii="Arial" w:hAnsi="Arial" w:cs="Arial"/>
                <w:sz w:val="20"/>
                <w:szCs w:val="20"/>
                <w:lang w:val="en-US"/>
              </w:rPr>
              <w:t xml:space="preserve">, </w:t>
            </w:r>
            <w:r w:rsidR="00FE6035">
              <w:rPr>
                <w:rFonts w:ascii="Arial" w:hAnsi="Arial" w:cs="Arial"/>
                <w:sz w:val="20"/>
                <w:szCs w:val="20"/>
                <w:lang w:val="en-US"/>
              </w:rPr>
              <w:t xml:space="preserve">the proposed </w:t>
            </w:r>
            <w:r w:rsidR="005B4307" w:rsidRPr="00D248D7">
              <w:rPr>
                <w:rFonts w:ascii="Arial" w:hAnsi="Arial" w:cs="Arial"/>
                <w:sz w:val="20"/>
                <w:szCs w:val="20"/>
                <w:lang w:val="en-US"/>
              </w:rPr>
              <w:t xml:space="preserve">investigations to fill site-specific knowledge gaps </w:t>
            </w:r>
            <w:r w:rsidR="001A2C3D">
              <w:rPr>
                <w:rFonts w:ascii="Arial" w:hAnsi="Arial" w:cs="Arial"/>
                <w:sz w:val="20"/>
                <w:szCs w:val="20"/>
                <w:lang w:val="en-US"/>
              </w:rPr>
              <w:t>may reveal additional matters for consideration. Further matters may also be identified when t</w:t>
            </w:r>
            <w:r w:rsidR="005B4307" w:rsidRPr="00D248D7">
              <w:rPr>
                <w:rFonts w:ascii="Arial" w:hAnsi="Arial" w:cs="Arial"/>
                <w:sz w:val="20"/>
                <w:szCs w:val="20"/>
                <w:lang w:val="en-US"/>
              </w:rPr>
              <w:t xml:space="preserve">here is more certainty about the volume </w:t>
            </w:r>
            <w:r w:rsidR="00D60D0D" w:rsidRPr="00D248D7">
              <w:rPr>
                <w:rFonts w:ascii="Arial" w:hAnsi="Arial" w:cs="Arial"/>
                <w:sz w:val="20"/>
                <w:szCs w:val="20"/>
                <w:lang w:val="en-US"/>
              </w:rPr>
              <w:t xml:space="preserve">and quality </w:t>
            </w:r>
            <w:r w:rsidR="005B4307" w:rsidRPr="00D248D7">
              <w:rPr>
                <w:rFonts w:ascii="Arial" w:hAnsi="Arial" w:cs="Arial"/>
                <w:sz w:val="20"/>
                <w:szCs w:val="20"/>
                <w:lang w:val="en-US"/>
              </w:rPr>
              <w:t xml:space="preserve">of water that will be discharged. In addition to the matters identified within the SEIS, </w:t>
            </w:r>
            <w:r w:rsidR="0069519A" w:rsidRPr="00D248D7">
              <w:rPr>
                <w:rFonts w:ascii="Arial" w:hAnsi="Arial" w:cs="Arial"/>
                <w:sz w:val="20"/>
                <w:szCs w:val="20"/>
                <w:lang w:val="en-US"/>
              </w:rPr>
              <w:t>consideration should also be given to:</w:t>
            </w:r>
            <w:r w:rsidR="005B4307" w:rsidRPr="00D248D7">
              <w:rPr>
                <w:rFonts w:ascii="Arial" w:hAnsi="Arial" w:cs="Arial"/>
                <w:sz w:val="20"/>
                <w:szCs w:val="20"/>
                <w:lang w:val="en-US"/>
              </w:rPr>
              <w:t xml:space="preserve"> </w:t>
            </w:r>
          </w:p>
          <w:p w:rsidR="005B4307" w:rsidRPr="000979E9" w:rsidRDefault="000B4B9E" w:rsidP="00BC4393">
            <w:pPr>
              <w:pStyle w:val="ListNumber"/>
              <w:numPr>
                <w:ilvl w:val="1"/>
                <w:numId w:val="8"/>
              </w:numPr>
              <w:spacing w:after="200"/>
              <w:ind w:left="851"/>
              <w:rPr>
                <w:rFonts w:ascii="Arial" w:hAnsi="Arial" w:cs="Arial"/>
                <w:sz w:val="20"/>
                <w:szCs w:val="20"/>
              </w:rPr>
            </w:pPr>
            <w:r>
              <w:rPr>
                <w:rFonts w:ascii="Arial" w:hAnsi="Arial" w:cs="Arial"/>
                <w:sz w:val="20"/>
                <w:szCs w:val="20"/>
              </w:rPr>
              <w:t>T</w:t>
            </w:r>
            <w:r w:rsidR="005B4307" w:rsidRPr="000979E9">
              <w:rPr>
                <w:rFonts w:ascii="Arial" w:hAnsi="Arial" w:cs="Arial"/>
                <w:sz w:val="20"/>
                <w:szCs w:val="20"/>
              </w:rPr>
              <w:t xml:space="preserve">he end of valley </w:t>
            </w:r>
            <w:r w:rsidR="0069519A" w:rsidRPr="000979E9">
              <w:rPr>
                <w:rFonts w:ascii="Arial" w:hAnsi="Arial" w:cs="Arial"/>
                <w:sz w:val="20"/>
                <w:szCs w:val="20"/>
              </w:rPr>
              <w:t xml:space="preserve">salinity </w:t>
            </w:r>
            <w:r w:rsidR="005B4307" w:rsidRPr="000979E9">
              <w:rPr>
                <w:rFonts w:ascii="Arial" w:hAnsi="Arial" w:cs="Arial"/>
                <w:sz w:val="20"/>
                <w:szCs w:val="20"/>
              </w:rPr>
              <w:t>targets for the Condamine-Balonne River</w:t>
            </w:r>
            <w:r>
              <w:rPr>
                <w:rFonts w:ascii="Arial" w:hAnsi="Arial" w:cs="Arial"/>
                <w:sz w:val="20"/>
                <w:szCs w:val="20"/>
              </w:rPr>
              <w:t xml:space="preserve"> </w:t>
            </w:r>
            <w:r w:rsidR="00963AF2">
              <w:rPr>
                <w:rFonts w:ascii="Arial" w:hAnsi="Arial" w:cs="Arial"/>
                <w:sz w:val="20"/>
                <w:szCs w:val="20"/>
              </w:rPr>
              <w:t>referred</w:t>
            </w:r>
            <w:r w:rsidR="00A84F54">
              <w:rPr>
                <w:rFonts w:ascii="Arial" w:hAnsi="Arial" w:cs="Arial"/>
                <w:sz w:val="20"/>
                <w:szCs w:val="20"/>
              </w:rPr>
              <w:t xml:space="preserve"> to</w:t>
            </w:r>
            <w:r>
              <w:rPr>
                <w:rFonts w:ascii="Arial" w:hAnsi="Arial" w:cs="Arial"/>
                <w:sz w:val="20"/>
                <w:szCs w:val="20"/>
              </w:rPr>
              <w:t xml:space="preserve"> in </w:t>
            </w:r>
            <w:r w:rsidR="00A84F54">
              <w:rPr>
                <w:rFonts w:ascii="Arial" w:hAnsi="Arial" w:cs="Arial"/>
                <w:sz w:val="20"/>
                <w:szCs w:val="20"/>
              </w:rPr>
              <w:t xml:space="preserve">the </w:t>
            </w:r>
            <w:r>
              <w:rPr>
                <w:rFonts w:ascii="Arial" w:hAnsi="Arial" w:cs="Arial"/>
                <w:sz w:val="20"/>
                <w:szCs w:val="20"/>
              </w:rPr>
              <w:t>Murray Darling Basin Plan</w:t>
            </w:r>
            <w:r w:rsidR="005B4307" w:rsidRPr="000979E9">
              <w:rPr>
                <w:rFonts w:ascii="Arial" w:hAnsi="Arial" w:cs="Arial"/>
                <w:sz w:val="20"/>
                <w:szCs w:val="20"/>
              </w:rPr>
              <w:t xml:space="preserve">; </w:t>
            </w:r>
          </w:p>
          <w:p w:rsidR="005B4307" w:rsidRPr="000B4452" w:rsidRDefault="00BC4393" w:rsidP="00BC4393">
            <w:pPr>
              <w:pStyle w:val="ListNumber"/>
              <w:numPr>
                <w:ilvl w:val="1"/>
                <w:numId w:val="8"/>
              </w:numPr>
              <w:spacing w:after="200"/>
              <w:ind w:left="851"/>
              <w:rPr>
                <w:rFonts w:ascii="Arial" w:hAnsi="Arial" w:cs="Arial"/>
                <w:sz w:val="20"/>
                <w:szCs w:val="20"/>
              </w:rPr>
            </w:pPr>
            <w:r w:rsidRPr="000979E9">
              <w:rPr>
                <w:rFonts w:ascii="Arial" w:hAnsi="Arial" w:cs="Arial"/>
                <w:sz w:val="20"/>
                <w:szCs w:val="20"/>
              </w:rPr>
              <w:t>T</w:t>
            </w:r>
            <w:r w:rsidR="005B4307" w:rsidRPr="000979E9">
              <w:rPr>
                <w:rFonts w:ascii="Arial" w:hAnsi="Arial" w:cs="Arial"/>
                <w:sz w:val="20"/>
                <w:szCs w:val="20"/>
              </w:rPr>
              <w:t>he results of published studies, such as the Queensland Murray Darling Basin Aquatic Co</w:t>
            </w:r>
            <w:r w:rsidR="005B4307" w:rsidRPr="000B4452">
              <w:rPr>
                <w:rFonts w:ascii="Arial" w:hAnsi="Arial" w:cs="Arial"/>
                <w:sz w:val="20"/>
                <w:szCs w:val="20"/>
              </w:rPr>
              <w:t>nservation Assessment (</w:t>
            </w:r>
            <w:r w:rsidR="00A84A37" w:rsidRPr="00A84A37">
              <w:rPr>
                <w:rFonts w:ascii="Arial" w:hAnsi="Arial" w:cs="Arial"/>
                <w:sz w:val="20"/>
                <w:szCs w:val="20"/>
              </w:rPr>
              <w:t>Fielder</w:t>
            </w:r>
            <w:r w:rsidR="00A84A37">
              <w:rPr>
                <w:rFonts w:ascii="Arial" w:hAnsi="Arial" w:cs="Arial"/>
                <w:sz w:val="20"/>
                <w:szCs w:val="20"/>
              </w:rPr>
              <w:t xml:space="preserve"> </w:t>
            </w:r>
            <w:r w:rsidR="004F5A83" w:rsidRPr="004F5A83">
              <w:rPr>
                <w:rFonts w:ascii="Arial" w:hAnsi="Arial" w:cs="Arial"/>
                <w:sz w:val="20"/>
                <w:szCs w:val="20"/>
              </w:rPr>
              <w:t>et al</w:t>
            </w:r>
            <w:r w:rsidR="00A84A37">
              <w:rPr>
                <w:rFonts w:ascii="Arial" w:hAnsi="Arial" w:cs="Arial"/>
                <w:sz w:val="20"/>
                <w:szCs w:val="20"/>
              </w:rPr>
              <w:t xml:space="preserve">, </w:t>
            </w:r>
            <w:r w:rsidR="00A84A37" w:rsidRPr="00A84A37">
              <w:rPr>
                <w:rFonts w:ascii="Arial" w:hAnsi="Arial" w:cs="Arial"/>
                <w:sz w:val="20"/>
                <w:szCs w:val="20"/>
              </w:rPr>
              <w:t>2011</w:t>
            </w:r>
            <w:r w:rsidR="005B4307" w:rsidRPr="000B4452">
              <w:rPr>
                <w:rFonts w:ascii="Arial" w:hAnsi="Arial" w:cs="Arial"/>
                <w:sz w:val="20"/>
                <w:szCs w:val="20"/>
              </w:rPr>
              <w:t>)</w:t>
            </w:r>
            <w:r w:rsidR="004F5A83" w:rsidRPr="0000176D">
              <w:rPr>
                <w:rFonts w:ascii="Arial" w:hAnsi="Arial" w:cs="Arial"/>
                <w:sz w:val="20"/>
                <w:szCs w:val="20"/>
                <w:vertAlign w:val="superscript"/>
              </w:rPr>
              <w:t>4</w:t>
            </w:r>
            <w:r w:rsidR="005B4307" w:rsidRPr="000B4452">
              <w:rPr>
                <w:rFonts w:ascii="Arial" w:hAnsi="Arial" w:cs="Arial"/>
                <w:sz w:val="20"/>
                <w:szCs w:val="20"/>
              </w:rPr>
              <w:t xml:space="preserve">, which identify areas of high aquatic conservation value in the vicinity of proposed discharge locations; </w:t>
            </w:r>
          </w:p>
          <w:p w:rsidR="005B4307" w:rsidRPr="000B4452" w:rsidRDefault="00BC4393" w:rsidP="00BC4393">
            <w:pPr>
              <w:pStyle w:val="ListNumber"/>
              <w:numPr>
                <w:ilvl w:val="1"/>
                <w:numId w:val="8"/>
              </w:numPr>
              <w:spacing w:after="200"/>
              <w:ind w:left="851"/>
              <w:rPr>
                <w:rFonts w:ascii="Arial" w:hAnsi="Arial" w:cs="Arial"/>
                <w:sz w:val="20"/>
                <w:szCs w:val="20"/>
              </w:rPr>
            </w:pPr>
            <w:r>
              <w:rPr>
                <w:rFonts w:ascii="Arial" w:hAnsi="Arial" w:cs="Arial"/>
                <w:sz w:val="20"/>
                <w:szCs w:val="20"/>
              </w:rPr>
              <w:t>C</w:t>
            </w:r>
            <w:r w:rsidR="00A1487E">
              <w:rPr>
                <w:rFonts w:ascii="Arial" w:hAnsi="Arial" w:cs="Arial"/>
                <w:sz w:val="20"/>
                <w:szCs w:val="20"/>
              </w:rPr>
              <w:t xml:space="preserve">onducting </w:t>
            </w:r>
            <w:r w:rsidR="005B4307" w:rsidRPr="000B4452">
              <w:rPr>
                <w:rFonts w:ascii="Arial" w:hAnsi="Arial" w:cs="Arial"/>
                <w:sz w:val="20"/>
                <w:szCs w:val="20"/>
              </w:rPr>
              <w:t>additional water quality testing to enhance understanding of the quality of co-produced water</w:t>
            </w:r>
            <w:r w:rsidR="001255CE">
              <w:rPr>
                <w:rFonts w:ascii="Arial" w:hAnsi="Arial" w:cs="Arial"/>
                <w:sz w:val="20"/>
                <w:szCs w:val="20"/>
              </w:rPr>
              <w:t xml:space="preserve"> across the development area</w:t>
            </w:r>
            <w:r w:rsidR="005B4307" w:rsidRPr="000B4452">
              <w:rPr>
                <w:rFonts w:ascii="Arial" w:hAnsi="Arial" w:cs="Arial"/>
                <w:sz w:val="20"/>
                <w:szCs w:val="20"/>
              </w:rPr>
              <w:t xml:space="preserve">; </w:t>
            </w:r>
          </w:p>
          <w:p w:rsidR="005B4307" w:rsidRPr="00F94F22" w:rsidRDefault="00BC4393" w:rsidP="00BC4393">
            <w:pPr>
              <w:pStyle w:val="ListNumber"/>
              <w:numPr>
                <w:ilvl w:val="1"/>
                <w:numId w:val="8"/>
              </w:numPr>
              <w:spacing w:after="200"/>
              <w:ind w:left="851"/>
              <w:rPr>
                <w:rFonts w:ascii="Arial" w:hAnsi="Arial" w:cs="Arial"/>
                <w:sz w:val="20"/>
                <w:szCs w:val="20"/>
              </w:rPr>
            </w:pPr>
            <w:r w:rsidRPr="00EE6F37">
              <w:rPr>
                <w:rFonts w:ascii="Arial" w:hAnsi="Arial" w:cs="Arial"/>
                <w:sz w:val="20"/>
                <w:szCs w:val="20"/>
              </w:rPr>
              <w:t>T</w:t>
            </w:r>
            <w:r w:rsidR="005B4307" w:rsidRPr="00EE6F37">
              <w:rPr>
                <w:rFonts w:ascii="Arial" w:hAnsi="Arial" w:cs="Arial"/>
                <w:sz w:val="20"/>
                <w:szCs w:val="20"/>
              </w:rPr>
              <w:t xml:space="preserve">he potential for altered flow regimes in receiving waters to increase susceptibility to flood-induced </w:t>
            </w:r>
            <w:r w:rsidR="005B4307" w:rsidRPr="00F94F22">
              <w:rPr>
                <w:rFonts w:ascii="Arial" w:hAnsi="Arial" w:cs="Arial"/>
                <w:sz w:val="20"/>
                <w:szCs w:val="20"/>
              </w:rPr>
              <w:t>erosion of creek channels downstream of discharge points; and</w:t>
            </w:r>
          </w:p>
          <w:p w:rsidR="005B4307" w:rsidRPr="00F94F22" w:rsidRDefault="00BC4393" w:rsidP="00BC4393">
            <w:pPr>
              <w:pStyle w:val="ListNumber"/>
              <w:numPr>
                <w:ilvl w:val="1"/>
                <w:numId w:val="8"/>
              </w:numPr>
              <w:spacing w:after="200"/>
              <w:ind w:left="851"/>
              <w:rPr>
                <w:rFonts w:ascii="Arial" w:hAnsi="Arial" w:cs="Arial"/>
                <w:sz w:val="20"/>
                <w:szCs w:val="20"/>
              </w:rPr>
            </w:pPr>
            <w:r w:rsidRPr="00F94F22">
              <w:rPr>
                <w:rFonts w:ascii="Arial" w:hAnsi="Arial" w:cs="Arial"/>
                <w:sz w:val="20"/>
                <w:szCs w:val="20"/>
              </w:rPr>
              <w:t>P</w:t>
            </w:r>
            <w:r w:rsidR="005B4307" w:rsidRPr="00F94F22">
              <w:rPr>
                <w:rFonts w:ascii="Arial" w:hAnsi="Arial" w:cs="Arial"/>
                <w:sz w:val="20"/>
                <w:szCs w:val="20"/>
              </w:rPr>
              <w:t>otential cumulative impacts with other developments within the catchments of watercourses</w:t>
            </w:r>
            <w:r w:rsidR="00F205E0" w:rsidRPr="00F94F22">
              <w:rPr>
                <w:rFonts w:ascii="Arial" w:hAnsi="Arial" w:cs="Arial"/>
                <w:sz w:val="20"/>
                <w:szCs w:val="20"/>
              </w:rPr>
              <w:t xml:space="preserve"> that will receive co-produced water discharges</w:t>
            </w:r>
            <w:r w:rsidR="005B4307" w:rsidRPr="00F94F22">
              <w:rPr>
                <w:rFonts w:ascii="Arial" w:hAnsi="Arial" w:cs="Arial"/>
                <w:sz w:val="20"/>
                <w:szCs w:val="20"/>
              </w:rPr>
              <w:t xml:space="preserve">. </w:t>
            </w:r>
          </w:p>
          <w:p w:rsidR="00D248D7" w:rsidRPr="000B4452" w:rsidRDefault="00D223DA" w:rsidP="00D248D7">
            <w:pPr>
              <w:pStyle w:val="ListNumber"/>
              <w:numPr>
                <w:ilvl w:val="0"/>
                <w:numId w:val="0"/>
              </w:numPr>
              <w:spacing w:after="200"/>
              <w:ind w:left="426"/>
              <w:rPr>
                <w:rFonts w:ascii="Arial" w:hAnsi="Arial" w:cs="Arial"/>
                <w:sz w:val="20"/>
                <w:szCs w:val="20"/>
              </w:rPr>
            </w:pPr>
            <w:r>
              <w:rPr>
                <w:rFonts w:ascii="Arial" w:hAnsi="Arial" w:cs="Arial"/>
                <w:sz w:val="20"/>
                <w:szCs w:val="20"/>
              </w:rPr>
              <w:t>A</w:t>
            </w:r>
            <w:r w:rsidR="00D248D7" w:rsidRPr="00D248D7">
              <w:rPr>
                <w:rFonts w:ascii="Arial" w:hAnsi="Arial" w:cs="Arial"/>
                <w:sz w:val="20"/>
                <w:szCs w:val="20"/>
              </w:rPr>
              <w:t xml:space="preserve"> consolidated, detailed plan for development </w:t>
            </w:r>
            <w:r w:rsidR="004B770D">
              <w:rPr>
                <w:rFonts w:ascii="Arial" w:hAnsi="Arial" w:cs="Arial"/>
                <w:sz w:val="20"/>
                <w:szCs w:val="20"/>
              </w:rPr>
              <w:t>of</w:t>
            </w:r>
            <w:r w:rsidR="004B770D" w:rsidRPr="00D248D7">
              <w:rPr>
                <w:rFonts w:ascii="Arial" w:hAnsi="Arial" w:cs="Arial"/>
                <w:sz w:val="20"/>
                <w:szCs w:val="20"/>
              </w:rPr>
              <w:t xml:space="preserve"> </w:t>
            </w:r>
            <w:r w:rsidR="00D248D7" w:rsidRPr="00D248D7">
              <w:rPr>
                <w:rFonts w:ascii="Arial" w:hAnsi="Arial" w:cs="Arial"/>
                <w:sz w:val="20"/>
                <w:szCs w:val="20"/>
              </w:rPr>
              <w:t xml:space="preserve">the Discharge Strategy </w:t>
            </w:r>
            <w:r w:rsidR="004F261C" w:rsidRPr="00022C2D">
              <w:rPr>
                <w:rFonts w:ascii="Arial" w:hAnsi="Arial" w:cs="Arial"/>
                <w:sz w:val="20"/>
                <w:szCs w:val="20"/>
              </w:rPr>
              <w:t>needs to be</w:t>
            </w:r>
            <w:r w:rsidR="00D248D7" w:rsidRPr="00D248D7">
              <w:rPr>
                <w:rFonts w:ascii="Arial" w:hAnsi="Arial" w:cs="Arial"/>
                <w:sz w:val="20"/>
                <w:szCs w:val="20"/>
              </w:rPr>
              <w:t xml:space="preserve"> provided</w:t>
            </w:r>
            <w:r>
              <w:rPr>
                <w:rFonts w:ascii="Arial" w:hAnsi="Arial" w:cs="Arial"/>
                <w:sz w:val="20"/>
                <w:szCs w:val="20"/>
              </w:rPr>
              <w:t xml:space="preserve"> and considered as part of the approval process to enable it</w:t>
            </w:r>
            <w:r w:rsidR="00D248D7" w:rsidRPr="00D248D7">
              <w:rPr>
                <w:rFonts w:ascii="Arial" w:hAnsi="Arial" w:cs="Arial"/>
                <w:sz w:val="20"/>
                <w:szCs w:val="20"/>
              </w:rPr>
              <w:t>s scope and methodology</w:t>
            </w:r>
            <w:r>
              <w:rPr>
                <w:rFonts w:ascii="Arial" w:hAnsi="Arial" w:cs="Arial"/>
                <w:sz w:val="20"/>
                <w:szCs w:val="20"/>
              </w:rPr>
              <w:t xml:space="preserve"> to be </w:t>
            </w:r>
            <w:r w:rsidR="00D248D7" w:rsidRPr="00D248D7">
              <w:rPr>
                <w:rFonts w:ascii="Arial" w:hAnsi="Arial" w:cs="Arial"/>
                <w:sz w:val="20"/>
                <w:szCs w:val="20"/>
              </w:rPr>
              <w:t>assessed.</w:t>
            </w:r>
          </w:p>
          <w:p w:rsidR="00D63595" w:rsidRPr="00AE711F" w:rsidRDefault="00CB67E0" w:rsidP="00B43CCF">
            <w:pPr>
              <w:pStyle w:val="ListNumber"/>
              <w:numPr>
                <w:ilvl w:val="0"/>
                <w:numId w:val="8"/>
              </w:numPr>
              <w:spacing w:after="200"/>
              <w:ind w:left="426" w:hanging="426"/>
              <w:rPr>
                <w:rFonts w:ascii="Arial" w:hAnsi="Arial" w:cs="Arial"/>
                <w:sz w:val="20"/>
                <w:szCs w:val="20"/>
                <w:lang w:val="en-US"/>
              </w:rPr>
            </w:pPr>
            <w:r>
              <w:rPr>
                <w:rFonts w:ascii="Arial" w:hAnsi="Arial" w:cs="Arial"/>
                <w:sz w:val="20"/>
                <w:szCs w:val="20"/>
                <w:lang w:val="en-US"/>
              </w:rPr>
              <w:t xml:space="preserve">The SEIS </w:t>
            </w:r>
            <w:r w:rsidR="00077C12">
              <w:rPr>
                <w:rFonts w:ascii="Arial" w:hAnsi="Arial" w:cs="Arial"/>
                <w:sz w:val="20"/>
                <w:szCs w:val="20"/>
                <w:lang w:val="en-US"/>
              </w:rPr>
              <w:t>draws</w:t>
            </w:r>
            <w:r>
              <w:rPr>
                <w:rFonts w:ascii="Arial" w:hAnsi="Arial" w:cs="Arial"/>
                <w:sz w:val="20"/>
                <w:szCs w:val="20"/>
                <w:lang w:val="en-US"/>
              </w:rPr>
              <w:t xml:space="preserve"> a number of conclusions </w:t>
            </w:r>
            <w:r w:rsidR="00DD5598">
              <w:rPr>
                <w:rFonts w:ascii="Arial" w:hAnsi="Arial" w:cs="Arial"/>
                <w:sz w:val="20"/>
                <w:szCs w:val="20"/>
                <w:lang w:val="en-US"/>
              </w:rPr>
              <w:t xml:space="preserve">about potential impacts on </w:t>
            </w:r>
            <w:r w:rsidR="005564E9">
              <w:rPr>
                <w:rFonts w:ascii="Arial" w:hAnsi="Arial" w:cs="Arial"/>
                <w:sz w:val="20"/>
                <w:szCs w:val="20"/>
                <w:lang w:val="en-US"/>
              </w:rPr>
              <w:t xml:space="preserve">channel </w:t>
            </w:r>
            <w:r w:rsidR="00DD5598">
              <w:rPr>
                <w:rFonts w:ascii="Arial" w:hAnsi="Arial" w:cs="Arial"/>
                <w:sz w:val="20"/>
                <w:szCs w:val="20"/>
                <w:lang w:val="en-US"/>
              </w:rPr>
              <w:t xml:space="preserve">geomorphology, water quality </w:t>
            </w:r>
            <w:r w:rsidR="00D60D0D">
              <w:rPr>
                <w:rFonts w:ascii="Arial" w:hAnsi="Arial" w:cs="Arial"/>
                <w:sz w:val="20"/>
                <w:szCs w:val="20"/>
                <w:lang w:val="en-US"/>
              </w:rPr>
              <w:t xml:space="preserve">and aquatic ecology </w:t>
            </w:r>
            <w:r w:rsidR="00DD5598">
              <w:rPr>
                <w:rFonts w:ascii="Arial" w:hAnsi="Arial" w:cs="Arial"/>
                <w:sz w:val="20"/>
                <w:szCs w:val="20"/>
                <w:lang w:val="en-US"/>
              </w:rPr>
              <w:t xml:space="preserve">based on assumptions </w:t>
            </w:r>
            <w:r w:rsidR="008954CC">
              <w:rPr>
                <w:rFonts w:ascii="Arial" w:hAnsi="Arial" w:cs="Arial"/>
                <w:sz w:val="20"/>
                <w:szCs w:val="20"/>
                <w:lang w:val="en-US"/>
              </w:rPr>
              <w:t>about</w:t>
            </w:r>
            <w:r w:rsidR="00DD5598">
              <w:rPr>
                <w:rFonts w:ascii="Arial" w:hAnsi="Arial" w:cs="Arial"/>
                <w:sz w:val="20"/>
                <w:szCs w:val="20"/>
                <w:lang w:val="en-US"/>
              </w:rPr>
              <w:t xml:space="preserve"> the quantity, quality and timing of discharges. </w:t>
            </w:r>
            <w:r w:rsidR="00D63595" w:rsidRPr="00AE711F">
              <w:rPr>
                <w:rFonts w:ascii="Arial" w:hAnsi="Arial" w:cs="Arial"/>
                <w:sz w:val="20"/>
                <w:szCs w:val="20"/>
                <w:lang w:val="en-US"/>
              </w:rPr>
              <w:t xml:space="preserve">However, as the proponent </w:t>
            </w:r>
            <w:r w:rsidR="00755C7A">
              <w:rPr>
                <w:rFonts w:ascii="Arial" w:hAnsi="Arial" w:cs="Arial"/>
                <w:sz w:val="20"/>
                <w:szCs w:val="20"/>
                <w:lang w:val="en-US"/>
              </w:rPr>
              <w:t>has retained the option</w:t>
            </w:r>
            <w:r w:rsidR="00CE49D9">
              <w:rPr>
                <w:rFonts w:ascii="Arial" w:hAnsi="Arial" w:cs="Arial"/>
                <w:sz w:val="20"/>
                <w:szCs w:val="20"/>
                <w:lang w:val="en-US"/>
              </w:rPr>
              <w:t>s</w:t>
            </w:r>
            <w:r w:rsidR="00755C7A">
              <w:rPr>
                <w:rFonts w:ascii="Arial" w:hAnsi="Arial" w:cs="Arial"/>
                <w:sz w:val="20"/>
                <w:szCs w:val="20"/>
                <w:lang w:val="en-US"/>
              </w:rPr>
              <w:t xml:space="preserve"> of </w:t>
            </w:r>
            <w:r w:rsidR="00AB1518">
              <w:rPr>
                <w:rFonts w:ascii="Arial" w:hAnsi="Arial" w:cs="Arial"/>
                <w:sz w:val="20"/>
                <w:szCs w:val="20"/>
                <w:lang w:val="en-US"/>
              </w:rPr>
              <w:t xml:space="preserve">varying </w:t>
            </w:r>
            <w:r w:rsidR="00E42DD9">
              <w:rPr>
                <w:rFonts w:ascii="Arial" w:hAnsi="Arial" w:cs="Arial"/>
                <w:sz w:val="20"/>
                <w:szCs w:val="20"/>
                <w:lang w:val="en-US"/>
              </w:rPr>
              <w:t>discharg</w:t>
            </w:r>
            <w:r w:rsidR="00AB1518">
              <w:rPr>
                <w:rFonts w:ascii="Arial" w:hAnsi="Arial" w:cs="Arial"/>
                <w:sz w:val="20"/>
                <w:szCs w:val="20"/>
                <w:lang w:val="en-US"/>
              </w:rPr>
              <w:t>e rate</w:t>
            </w:r>
            <w:r w:rsidR="00D60D0D">
              <w:rPr>
                <w:rFonts w:ascii="Arial" w:hAnsi="Arial" w:cs="Arial"/>
                <w:sz w:val="20"/>
                <w:szCs w:val="20"/>
                <w:lang w:val="en-US"/>
              </w:rPr>
              <w:t>s</w:t>
            </w:r>
            <w:r w:rsidR="00AB1518">
              <w:rPr>
                <w:rFonts w:ascii="Arial" w:hAnsi="Arial" w:cs="Arial"/>
                <w:sz w:val="20"/>
                <w:szCs w:val="20"/>
                <w:lang w:val="en-US"/>
              </w:rPr>
              <w:t xml:space="preserve"> from those assumed </w:t>
            </w:r>
            <w:r w:rsidR="00E42DD9">
              <w:rPr>
                <w:rFonts w:ascii="Arial" w:hAnsi="Arial" w:cs="Arial"/>
                <w:sz w:val="20"/>
                <w:szCs w:val="20"/>
                <w:lang w:val="en-US"/>
              </w:rPr>
              <w:t xml:space="preserve">and </w:t>
            </w:r>
            <w:r w:rsidR="00755C7A">
              <w:rPr>
                <w:rFonts w:ascii="Arial" w:hAnsi="Arial" w:cs="Arial"/>
                <w:sz w:val="20"/>
                <w:szCs w:val="20"/>
                <w:lang w:val="en-US"/>
              </w:rPr>
              <w:t xml:space="preserve">releasing untreated co-produced water, </w:t>
            </w:r>
            <w:r w:rsidR="00D63595" w:rsidRPr="00AE711F">
              <w:rPr>
                <w:rFonts w:ascii="Arial" w:hAnsi="Arial" w:cs="Arial"/>
                <w:sz w:val="20"/>
                <w:szCs w:val="20"/>
                <w:lang w:val="en-US"/>
              </w:rPr>
              <w:t>the magnitude and downstream extent of impacts, and therefore the environmental assets that may be affected, cannot be accurately determined.</w:t>
            </w:r>
            <w:r w:rsidR="00273F76">
              <w:rPr>
                <w:rFonts w:ascii="Arial" w:hAnsi="Arial" w:cs="Arial"/>
                <w:sz w:val="20"/>
                <w:szCs w:val="20"/>
                <w:lang w:val="en-US"/>
              </w:rPr>
              <w:t xml:space="preserve"> </w:t>
            </w:r>
            <w:r w:rsidR="00E70437">
              <w:rPr>
                <w:rFonts w:ascii="Arial" w:hAnsi="Arial" w:cs="Arial"/>
                <w:sz w:val="20"/>
                <w:szCs w:val="20"/>
                <w:lang w:val="en-US"/>
              </w:rPr>
              <w:t>Management measures that have been developed on the basis of these conclusions may need to be revised if the underlying assumptions prove to be incorrect.</w:t>
            </w:r>
          </w:p>
          <w:p w:rsidR="00D63595" w:rsidRDefault="00E70437" w:rsidP="00B43CCF">
            <w:pPr>
              <w:pStyle w:val="ListNumber"/>
              <w:numPr>
                <w:ilvl w:val="0"/>
                <w:numId w:val="8"/>
              </w:numPr>
              <w:spacing w:after="200"/>
              <w:ind w:left="426" w:hanging="426"/>
              <w:rPr>
                <w:rFonts w:ascii="Arial" w:hAnsi="Arial" w:cs="Arial"/>
                <w:sz w:val="20"/>
                <w:szCs w:val="20"/>
                <w:lang w:val="en-US"/>
              </w:rPr>
            </w:pPr>
            <w:r>
              <w:rPr>
                <w:rFonts w:ascii="Arial" w:hAnsi="Arial" w:cs="Arial"/>
                <w:sz w:val="20"/>
                <w:szCs w:val="20"/>
                <w:lang w:val="en-US"/>
              </w:rPr>
              <w:t>D</w:t>
            </w:r>
            <w:r w:rsidR="00D63595" w:rsidRPr="00755C7A">
              <w:rPr>
                <w:rFonts w:ascii="Arial" w:hAnsi="Arial" w:cs="Arial"/>
                <w:sz w:val="20"/>
                <w:szCs w:val="20"/>
                <w:lang w:val="en-US"/>
              </w:rPr>
              <w:t xml:space="preserve">ischarges </w:t>
            </w:r>
            <w:r w:rsidR="004122E7">
              <w:rPr>
                <w:rFonts w:ascii="Arial" w:hAnsi="Arial" w:cs="Arial"/>
                <w:sz w:val="20"/>
                <w:szCs w:val="20"/>
                <w:lang w:val="en-US"/>
              </w:rPr>
              <w:t>that</w:t>
            </w:r>
            <w:r w:rsidR="00D63595" w:rsidRPr="00755C7A">
              <w:rPr>
                <w:rFonts w:ascii="Arial" w:hAnsi="Arial" w:cs="Arial"/>
                <w:sz w:val="20"/>
                <w:szCs w:val="20"/>
                <w:lang w:val="en-US"/>
              </w:rPr>
              <w:t xml:space="preserve"> change the flow regime of a watercourse have the potential to cause adverse outcomes for aquatic ecosystems</w:t>
            </w:r>
            <w:r w:rsidR="00DE24E1">
              <w:rPr>
                <w:rFonts w:ascii="Arial" w:hAnsi="Arial" w:cs="Arial"/>
                <w:sz w:val="20"/>
                <w:szCs w:val="20"/>
                <w:lang w:val="en-US"/>
              </w:rPr>
              <w:t>,</w:t>
            </w:r>
            <w:r w:rsidR="005D25EB">
              <w:rPr>
                <w:rFonts w:ascii="Arial" w:hAnsi="Arial" w:cs="Arial"/>
                <w:sz w:val="20"/>
                <w:szCs w:val="20"/>
                <w:lang w:val="en-US"/>
              </w:rPr>
              <w:t xml:space="preserve"> particularly those</w:t>
            </w:r>
            <w:r w:rsidR="00D63595" w:rsidRPr="00755C7A">
              <w:rPr>
                <w:rFonts w:ascii="Arial" w:hAnsi="Arial" w:cs="Arial"/>
                <w:sz w:val="20"/>
                <w:szCs w:val="20"/>
                <w:lang w:val="en-US"/>
              </w:rPr>
              <w:t xml:space="preserve"> adapted to season</w:t>
            </w:r>
            <w:r>
              <w:rPr>
                <w:rFonts w:ascii="Arial" w:hAnsi="Arial" w:cs="Arial"/>
                <w:sz w:val="20"/>
                <w:szCs w:val="20"/>
                <w:lang w:val="en-US"/>
              </w:rPr>
              <w:t xml:space="preserve">al periods of low and no flow. </w:t>
            </w:r>
            <w:r w:rsidR="00D63595" w:rsidRPr="00755C7A">
              <w:rPr>
                <w:rFonts w:ascii="Arial" w:hAnsi="Arial" w:cs="Arial"/>
                <w:sz w:val="20"/>
                <w:szCs w:val="20"/>
                <w:lang w:val="en-US"/>
              </w:rPr>
              <w:t>Therefore, discharges that result in a reduced duration or number of natural cease to flow events may not be appropria</w:t>
            </w:r>
            <w:r w:rsidR="004122E7">
              <w:rPr>
                <w:rFonts w:ascii="Arial" w:hAnsi="Arial" w:cs="Arial"/>
                <w:sz w:val="20"/>
                <w:szCs w:val="20"/>
                <w:lang w:val="en-US"/>
              </w:rPr>
              <w:t>te for ephemeral watercourses</w:t>
            </w:r>
            <w:r w:rsidR="000A6A48">
              <w:rPr>
                <w:rFonts w:ascii="Arial" w:hAnsi="Arial" w:cs="Arial"/>
                <w:sz w:val="20"/>
                <w:szCs w:val="20"/>
                <w:lang w:val="en-US"/>
              </w:rPr>
              <w:t>, such as Bottle Tree Creek</w:t>
            </w:r>
            <w:r w:rsidR="004122E7">
              <w:rPr>
                <w:rFonts w:ascii="Arial" w:hAnsi="Arial" w:cs="Arial"/>
                <w:sz w:val="20"/>
                <w:szCs w:val="20"/>
                <w:lang w:val="en-US"/>
              </w:rPr>
              <w:t xml:space="preserve">. </w:t>
            </w:r>
            <w:r w:rsidR="003C10AC">
              <w:rPr>
                <w:rFonts w:ascii="Arial" w:hAnsi="Arial" w:cs="Arial"/>
                <w:sz w:val="20"/>
                <w:szCs w:val="20"/>
                <w:lang w:val="en-US"/>
              </w:rPr>
              <w:t xml:space="preserve">Additionally, </w:t>
            </w:r>
            <w:r w:rsidR="00DE034B">
              <w:rPr>
                <w:rFonts w:ascii="Arial" w:hAnsi="Arial" w:cs="Arial"/>
                <w:sz w:val="20"/>
                <w:szCs w:val="20"/>
                <w:lang w:val="en-US"/>
              </w:rPr>
              <w:t xml:space="preserve">depending on the selected discharge strategy, </w:t>
            </w:r>
            <w:r w:rsidR="00D63595" w:rsidRPr="00755C7A">
              <w:rPr>
                <w:rFonts w:ascii="Arial" w:hAnsi="Arial" w:cs="Arial"/>
                <w:sz w:val="20"/>
                <w:szCs w:val="20"/>
                <w:lang w:val="en-US"/>
              </w:rPr>
              <w:t>aquatic eco</w:t>
            </w:r>
            <w:r w:rsidR="004122E7">
              <w:rPr>
                <w:rFonts w:ascii="Arial" w:hAnsi="Arial" w:cs="Arial"/>
                <w:sz w:val="20"/>
                <w:szCs w:val="20"/>
                <w:lang w:val="en-US"/>
              </w:rPr>
              <w:t>systems</w:t>
            </w:r>
            <w:r w:rsidR="00D63595" w:rsidRPr="00755C7A">
              <w:rPr>
                <w:rFonts w:ascii="Arial" w:hAnsi="Arial" w:cs="Arial"/>
                <w:sz w:val="20"/>
                <w:szCs w:val="20"/>
                <w:lang w:val="en-US"/>
              </w:rPr>
              <w:t xml:space="preserve"> may be significantly impacted </w:t>
            </w:r>
            <w:r w:rsidR="004122E7">
              <w:rPr>
                <w:rFonts w:ascii="Arial" w:hAnsi="Arial" w:cs="Arial"/>
                <w:sz w:val="20"/>
                <w:szCs w:val="20"/>
                <w:lang w:val="en-US"/>
              </w:rPr>
              <w:t>during the propos</w:t>
            </w:r>
            <w:r w:rsidR="005A52ED">
              <w:rPr>
                <w:rFonts w:ascii="Arial" w:hAnsi="Arial" w:cs="Arial"/>
                <w:sz w:val="20"/>
                <w:szCs w:val="20"/>
                <w:lang w:val="en-US"/>
              </w:rPr>
              <w:t>ed project</w:t>
            </w:r>
            <w:r w:rsidR="004122E7">
              <w:rPr>
                <w:rFonts w:ascii="Arial" w:hAnsi="Arial" w:cs="Arial"/>
                <w:sz w:val="20"/>
                <w:szCs w:val="20"/>
                <w:lang w:val="en-US"/>
              </w:rPr>
              <w:t xml:space="preserve">’s operational phase </w:t>
            </w:r>
            <w:r w:rsidR="00D63595" w:rsidRPr="00755C7A">
              <w:rPr>
                <w:rFonts w:ascii="Arial" w:hAnsi="Arial" w:cs="Arial"/>
                <w:sz w:val="20"/>
                <w:szCs w:val="20"/>
                <w:lang w:val="en-US"/>
              </w:rPr>
              <w:t xml:space="preserve">and then again after decommissioning of the project. </w:t>
            </w:r>
            <w:r w:rsidR="00EB70A5">
              <w:rPr>
                <w:rFonts w:ascii="Arial" w:hAnsi="Arial" w:cs="Arial"/>
                <w:sz w:val="20"/>
                <w:szCs w:val="20"/>
                <w:lang w:val="en-US"/>
              </w:rPr>
              <w:t>S</w:t>
            </w:r>
            <w:r w:rsidR="00D830AE">
              <w:rPr>
                <w:rFonts w:ascii="Arial" w:hAnsi="Arial" w:cs="Arial"/>
                <w:sz w:val="20"/>
                <w:szCs w:val="20"/>
                <w:lang w:val="en-US"/>
              </w:rPr>
              <w:t>ite-specific</w:t>
            </w:r>
            <w:r w:rsidR="00EB70A5">
              <w:rPr>
                <w:rFonts w:ascii="Arial" w:hAnsi="Arial" w:cs="Arial"/>
                <w:sz w:val="20"/>
                <w:szCs w:val="20"/>
                <w:lang w:val="en-US"/>
              </w:rPr>
              <w:t xml:space="preserve"> </w:t>
            </w:r>
            <w:r w:rsidR="004122E7">
              <w:rPr>
                <w:rFonts w:ascii="Arial" w:hAnsi="Arial" w:cs="Arial"/>
                <w:sz w:val="20"/>
                <w:szCs w:val="20"/>
                <w:lang w:val="en-US"/>
              </w:rPr>
              <w:t xml:space="preserve">investigation </w:t>
            </w:r>
            <w:r w:rsidR="00F44140">
              <w:rPr>
                <w:rFonts w:ascii="Arial" w:hAnsi="Arial" w:cs="Arial"/>
                <w:sz w:val="20"/>
                <w:szCs w:val="20"/>
                <w:lang w:val="en-US"/>
              </w:rPr>
              <w:t xml:space="preserve">would enable </w:t>
            </w:r>
            <w:r w:rsidR="00D63595" w:rsidRPr="00755C7A">
              <w:rPr>
                <w:rFonts w:ascii="Arial" w:hAnsi="Arial" w:cs="Arial"/>
                <w:sz w:val="20"/>
                <w:szCs w:val="20"/>
                <w:lang w:val="en-US"/>
              </w:rPr>
              <w:t>assess</w:t>
            </w:r>
            <w:r w:rsidR="00F44140">
              <w:rPr>
                <w:rFonts w:ascii="Arial" w:hAnsi="Arial" w:cs="Arial"/>
                <w:sz w:val="20"/>
                <w:szCs w:val="20"/>
                <w:lang w:val="en-US"/>
              </w:rPr>
              <w:t>ment of</w:t>
            </w:r>
            <w:r w:rsidR="00D63595" w:rsidRPr="00755C7A">
              <w:rPr>
                <w:rFonts w:ascii="Arial" w:hAnsi="Arial" w:cs="Arial"/>
                <w:sz w:val="20"/>
                <w:szCs w:val="20"/>
                <w:lang w:val="en-US"/>
              </w:rPr>
              <w:t xml:space="preserve"> the long-term ecological impacts </w:t>
            </w:r>
            <w:r w:rsidR="00D830AE">
              <w:rPr>
                <w:rFonts w:ascii="Arial" w:hAnsi="Arial" w:cs="Arial"/>
                <w:sz w:val="20"/>
                <w:szCs w:val="20"/>
                <w:lang w:val="en-US"/>
              </w:rPr>
              <w:t xml:space="preserve">of flow regime variation </w:t>
            </w:r>
            <w:r w:rsidR="00D63595" w:rsidRPr="00755C7A">
              <w:rPr>
                <w:rFonts w:ascii="Arial" w:hAnsi="Arial" w:cs="Arial"/>
                <w:sz w:val="20"/>
                <w:szCs w:val="20"/>
                <w:lang w:val="en-US"/>
              </w:rPr>
              <w:t>on aquatic ecosystems.</w:t>
            </w:r>
          </w:p>
          <w:p w:rsidR="0062054E" w:rsidRPr="00CD3B2A" w:rsidRDefault="00362FDB" w:rsidP="00B43CCF">
            <w:pPr>
              <w:pStyle w:val="ListNumber"/>
              <w:numPr>
                <w:ilvl w:val="0"/>
                <w:numId w:val="8"/>
              </w:numPr>
              <w:spacing w:after="200"/>
              <w:ind w:left="426" w:hanging="426"/>
              <w:rPr>
                <w:rFonts w:ascii="Arial" w:hAnsi="Arial" w:cs="Arial"/>
                <w:sz w:val="20"/>
                <w:szCs w:val="20"/>
                <w:lang w:val="en-US"/>
              </w:rPr>
            </w:pPr>
            <w:r w:rsidRPr="00CD3B2A">
              <w:rPr>
                <w:rFonts w:ascii="Arial" w:hAnsi="Arial" w:cs="Arial"/>
                <w:sz w:val="20"/>
                <w:szCs w:val="20"/>
                <w:lang w:val="en-US"/>
              </w:rPr>
              <w:t>One EPBC-listed species (</w:t>
            </w:r>
            <w:proofErr w:type="spellStart"/>
            <w:r w:rsidRPr="008954CC">
              <w:rPr>
                <w:rFonts w:ascii="Arial" w:hAnsi="Arial" w:cs="Arial"/>
                <w:i/>
                <w:sz w:val="20"/>
                <w:szCs w:val="20"/>
                <w:lang w:val="en-US"/>
              </w:rPr>
              <w:t>Maccullochella</w:t>
            </w:r>
            <w:proofErr w:type="spellEnd"/>
            <w:r w:rsidRPr="008954CC">
              <w:rPr>
                <w:rFonts w:ascii="Arial" w:hAnsi="Arial" w:cs="Arial"/>
                <w:i/>
                <w:sz w:val="20"/>
                <w:szCs w:val="20"/>
                <w:lang w:val="en-US"/>
              </w:rPr>
              <w:t xml:space="preserve"> </w:t>
            </w:r>
            <w:proofErr w:type="spellStart"/>
            <w:r w:rsidRPr="008954CC">
              <w:rPr>
                <w:rFonts w:ascii="Arial" w:hAnsi="Arial" w:cs="Arial"/>
                <w:i/>
                <w:sz w:val="20"/>
                <w:szCs w:val="20"/>
                <w:lang w:val="en-US"/>
              </w:rPr>
              <w:t>peelii</w:t>
            </w:r>
            <w:proofErr w:type="spellEnd"/>
            <w:r w:rsidRPr="008954CC">
              <w:rPr>
                <w:rFonts w:ascii="Arial" w:hAnsi="Arial" w:cs="Arial"/>
                <w:i/>
                <w:sz w:val="20"/>
                <w:szCs w:val="20"/>
                <w:lang w:val="en-US"/>
              </w:rPr>
              <w:t xml:space="preserve"> </w:t>
            </w:r>
            <w:proofErr w:type="spellStart"/>
            <w:r w:rsidRPr="008954CC">
              <w:rPr>
                <w:rFonts w:ascii="Arial" w:hAnsi="Arial" w:cs="Arial"/>
                <w:i/>
                <w:sz w:val="20"/>
                <w:szCs w:val="20"/>
                <w:lang w:val="en-US"/>
              </w:rPr>
              <w:t>peelii</w:t>
            </w:r>
            <w:proofErr w:type="spellEnd"/>
            <w:r w:rsidRPr="00CD3B2A">
              <w:rPr>
                <w:rFonts w:ascii="Arial" w:hAnsi="Arial" w:cs="Arial"/>
                <w:sz w:val="20"/>
                <w:szCs w:val="20"/>
                <w:lang w:val="en-US"/>
              </w:rPr>
              <w:t xml:space="preserve"> (Murray Cod)) and several other species of conservation significance were recorded downstream of proposed discharge locations</w:t>
            </w:r>
            <w:r w:rsidR="00E565A5" w:rsidRPr="00CD3B2A">
              <w:rPr>
                <w:rFonts w:ascii="Arial" w:hAnsi="Arial" w:cs="Arial"/>
                <w:sz w:val="20"/>
                <w:szCs w:val="20"/>
                <w:lang w:val="en-US"/>
              </w:rPr>
              <w:t xml:space="preserve"> during field investigations conducted for the SEIS</w:t>
            </w:r>
            <w:r w:rsidRPr="00CD3B2A">
              <w:rPr>
                <w:rFonts w:ascii="Arial" w:hAnsi="Arial" w:cs="Arial"/>
                <w:sz w:val="20"/>
                <w:szCs w:val="20"/>
                <w:lang w:val="en-US"/>
              </w:rPr>
              <w:t xml:space="preserve">. </w:t>
            </w:r>
            <w:r w:rsidR="00CC3B34">
              <w:rPr>
                <w:rFonts w:ascii="Arial" w:hAnsi="Arial" w:cs="Arial"/>
                <w:sz w:val="20"/>
                <w:szCs w:val="20"/>
                <w:lang w:val="en-US"/>
              </w:rPr>
              <w:t>T</w:t>
            </w:r>
            <w:r w:rsidR="00D04DE7" w:rsidRPr="00CD3B2A">
              <w:rPr>
                <w:rFonts w:ascii="Arial" w:hAnsi="Arial" w:cs="Arial"/>
                <w:sz w:val="20"/>
                <w:szCs w:val="20"/>
                <w:lang w:val="en-US"/>
              </w:rPr>
              <w:t xml:space="preserve">he </w:t>
            </w:r>
            <w:proofErr w:type="spellStart"/>
            <w:r w:rsidR="00D04DE7" w:rsidRPr="00CD3B2A">
              <w:rPr>
                <w:rFonts w:ascii="Arial" w:hAnsi="Arial" w:cs="Arial"/>
                <w:sz w:val="20"/>
                <w:szCs w:val="20"/>
                <w:lang w:val="en-US"/>
              </w:rPr>
              <w:t>Condamine</w:t>
            </w:r>
            <w:proofErr w:type="spellEnd"/>
            <w:r w:rsidR="00D04DE7" w:rsidRPr="00CD3B2A">
              <w:rPr>
                <w:rFonts w:ascii="Arial" w:hAnsi="Arial" w:cs="Arial"/>
                <w:sz w:val="20"/>
                <w:szCs w:val="20"/>
                <w:lang w:val="en-US"/>
              </w:rPr>
              <w:t xml:space="preserve"> River population of </w:t>
            </w:r>
            <w:proofErr w:type="spellStart"/>
            <w:r w:rsidR="00D04DE7" w:rsidRPr="008954CC">
              <w:rPr>
                <w:rFonts w:ascii="Arial" w:hAnsi="Arial" w:cs="Arial"/>
                <w:i/>
                <w:sz w:val="20"/>
                <w:szCs w:val="20"/>
                <w:lang w:val="en-US"/>
              </w:rPr>
              <w:t>Maccullochella</w:t>
            </w:r>
            <w:proofErr w:type="spellEnd"/>
            <w:r w:rsidR="00D04DE7" w:rsidRPr="008954CC">
              <w:rPr>
                <w:rFonts w:ascii="Arial" w:hAnsi="Arial" w:cs="Arial"/>
                <w:i/>
                <w:sz w:val="20"/>
                <w:szCs w:val="20"/>
                <w:lang w:val="en-US"/>
              </w:rPr>
              <w:t xml:space="preserve"> </w:t>
            </w:r>
            <w:proofErr w:type="spellStart"/>
            <w:r w:rsidR="00D04DE7" w:rsidRPr="008954CC">
              <w:rPr>
                <w:rFonts w:ascii="Arial" w:hAnsi="Arial" w:cs="Arial"/>
                <w:i/>
                <w:sz w:val="20"/>
                <w:szCs w:val="20"/>
                <w:lang w:val="en-US"/>
              </w:rPr>
              <w:t>peelii</w:t>
            </w:r>
            <w:proofErr w:type="spellEnd"/>
            <w:r w:rsidR="00D04DE7" w:rsidRPr="008954CC">
              <w:rPr>
                <w:rFonts w:ascii="Arial" w:hAnsi="Arial" w:cs="Arial"/>
                <w:i/>
                <w:sz w:val="20"/>
                <w:szCs w:val="20"/>
                <w:lang w:val="en-US"/>
              </w:rPr>
              <w:t xml:space="preserve"> </w:t>
            </w:r>
            <w:proofErr w:type="spellStart"/>
            <w:r w:rsidR="00D04DE7" w:rsidRPr="008954CC">
              <w:rPr>
                <w:rFonts w:ascii="Arial" w:hAnsi="Arial" w:cs="Arial"/>
                <w:i/>
                <w:sz w:val="20"/>
                <w:szCs w:val="20"/>
                <w:lang w:val="en-US"/>
              </w:rPr>
              <w:t>peelii</w:t>
            </w:r>
            <w:proofErr w:type="spellEnd"/>
            <w:r w:rsidR="00D04DE7" w:rsidRPr="00CD3B2A">
              <w:rPr>
                <w:rFonts w:ascii="Arial" w:hAnsi="Arial" w:cs="Arial"/>
                <w:sz w:val="20"/>
                <w:szCs w:val="20"/>
                <w:lang w:val="en-US"/>
              </w:rPr>
              <w:t xml:space="preserve"> has been assessed as an ‘important population’ according to the definition provided by the EPBC </w:t>
            </w:r>
            <w:r w:rsidR="00D04DE7" w:rsidRPr="00CD3B2A">
              <w:rPr>
                <w:rFonts w:ascii="Arial" w:hAnsi="Arial" w:cs="Arial"/>
                <w:sz w:val="20"/>
                <w:szCs w:val="20"/>
                <w:lang w:val="en-US"/>
              </w:rPr>
              <w:lastRenderedPageBreak/>
              <w:t xml:space="preserve">Significant Impact Guidelines. </w:t>
            </w:r>
            <w:r w:rsidR="001255CE">
              <w:rPr>
                <w:rFonts w:ascii="Arial" w:hAnsi="Arial" w:cs="Arial"/>
                <w:sz w:val="20"/>
                <w:szCs w:val="20"/>
                <w:lang w:val="en-US"/>
              </w:rPr>
              <w:t>Explicit c</w:t>
            </w:r>
            <w:r w:rsidR="00013039" w:rsidRPr="00CD3B2A">
              <w:rPr>
                <w:rFonts w:ascii="Arial" w:hAnsi="Arial" w:cs="Arial"/>
                <w:sz w:val="20"/>
                <w:szCs w:val="20"/>
                <w:lang w:val="en-US"/>
              </w:rPr>
              <w:t xml:space="preserve">onsideration </w:t>
            </w:r>
            <w:r w:rsidR="00D60D0D">
              <w:rPr>
                <w:rFonts w:ascii="Arial" w:hAnsi="Arial" w:cs="Arial"/>
                <w:sz w:val="20"/>
                <w:szCs w:val="20"/>
                <w:lang w:val="en-US"/>
              </w:rPr>
              <w:t>should be given to t</w:t>
            </w:r>
            <w:r w:rsidR="00013039" w:rsidRPr="00CD3B2A">
              <w:rPr>
                <w:rFonts w:ascii="Arial" w:hAnsi="Arial" w:cs="Arial"/>
                <w:sz w:val="20"/>
                <w:szCs w:val="20"/>
                <w:lang w:val="en-US"/>
              </w:rPr>
              <w:t xml:space="preserve">he </w:t>
            </w:r>
            <w:r w:rsidR="004664A4" w:rsidRPr="00CD3B2A">
              <w:rPr>
                <w:rFonts w:ascii="Arial" w:hAnsi="Arial" w:cs="Arial"/>
                <w:sz w:val="20"/>
                <w:szCs w:val="20"/>
                <w:lang w:val="en-US"/>
              </w:rPr>
              <w:t xml:space="preserve">life-cycle sensitivities of species of conservation significance, as well as the water quality needs of other downstream water users </w:t>
            </w:r>
            <w:r w:rsidR="00D60D0D">
              <w:rPr>
                <w:rFonts w:ascii="Arial" w:hAnsi="Arial" w:cs="Arial"/>
                <w:sz w:val="20"/>
                <w:szCs w:val="20"/>
                <w:lang w:val="en-US"/>
              </w:rPr>
              <w:t xml:space="preserve">to ensure </w:t>
            </w:r>
            <w:r w:rsidR="00077C12">
              <w:rPr>
                <w:rFonts w:ascii="Arial" w:hAnsi="Arial" w:cs="Arial"/>
                <w:sz w:val="20"/>
                <w:szCs w:val="20"/>
                <w:lang w:val="en-US"/>
              </w:rPr>
              <w:t>t</w:t>
            </w:r>
            <w:r w:rsidR="00013039" w:rsidRPr="00CD3B2A">
              <w:rPr>
                <w:rFonts w:ascii="Arial" w:hAnsi="Arial" w:cs="Arial"/>
                <w:sz w:val="20"/>
                <w:szCs w:val="20"/>
                <w:lang w:val="en-US"/>
              </w:rPr>
              <w:t xml:space="preserve">hat </w:t>
            </w:r>
            <w:r w:rsidR="008348A9" w:rsidRPr="00CD3B2A">
              <w:rPr>
                <w:rFonts w:ascii="Arial" w:hAnsi="Arial" w:cs="Arial"/>
                <w:sz w:val="20"/>
                <w:szCs w:val="20"/>
                <w:lang w:val="en-US"/>
              </w:rPr>
              <w:t xml:space="preserve">co-produced water discharges do not result in adverse </w:t>
            </w:r>
            <w:r w:rsidR="00013039" w:rsidRPr="00CD3B2A">
              <w:rPr>
                <w:rFonts w:ascii="Arial" w:hAnsi="Arial" w:cs="Arial"/>
                <w:sz w:val="20"/>
                <w:szCs w:val="20"/>
                <w:lang w:val="en-US"/>
              </w:rPr>
              <w:t xml:space="preserve">impacts on </w:t>
            </w:r>
            <w:r w:rsidR="00504FD4" w:rsidRPr="00CD3B2A">
              <w:rPr>
                <w:rFonts w:ascii="Arial" w:hAnsi="Arial" w:cs="Arial"/>
                <w:sz w:val="20"/>
                <w:szCs w:val="20"/>
                <w:lang w:val="en-US"/>
              </w:rPr>
              <w:t>sensitive receivers</w:t>
            </w:r>
            <w:r w:rsidR="00013039" w:rsidRPr="00CD3B2A">
              <w:rPr>
                <w:rFonts w:ascii="Arial" w:hAnsi="Arial" w:cs="Arial"/>
                <w:sz w:val="20"/>
                <w:szCs w:val="20"/>
                <w:lang w:val="en-US"/>
              </w:rPr>
              <w:t>.</w:t>
            </w:r>
          </w:p>
          <w:p w:rsidR="00BB5662" w:rsidRPr="004F5A83" w:rsidRDefault="00BB5662" w:rsidP="00BB5662">
            <w:pPr>
              <w:pStyle w:val="Default"/>
              <w:spacing w:before="240" w:after="200" w:line="276" w:lineRule="auto"/>
              <w:rPr>
                <w:rFonts w:ascii="Arial" w:eastAsia="Times New Roman" w:hAnsi="Arial" w:cs="Arial"/>
                <w:i/>
                <w:color w:val="auto"/>
                <w:sz w:val="20"/>
                <w:szCs w:val="20"/>
                <w:lang w:eastAsia="en-US"/>
              </w:rPr>
            </w:pPr>
            <w:r w:rsidRPr="00203DF3">
              <w:rPr>
                <w:rFonts w:ascii="Arial" w:hAnsi="Arial" w:cs="Arial"/>
                <w:i/>
                <w:sz w:val="20"/>
                <w:szCs w:val="20"/>
              </w:rPr>
              <w:t>Question 2</w:t>
            </w:r>
            <w:r>
              <w:rPr>
                <w:rFonts w:ascii="Arial" w:hAnsi="Arial" w:cs="Arial"/>
                <w:i/>
                <w:sz w:val="20"/>
                <w:szCs w:val="20"/>
              </w:rPr>
              <w:t>(c)</w:t>
            </w:r>
            <w:r w:rsidRPr="00203DF3">
              <w:rPr>
                <w:rFonts w:ascii="Arial" w:hAnsi="Arial" w:cs="Arial"/>
                <w:i/>
                <w:sz w:val="20"/>
                <w:szCs w:val="20"/>
              </w:rPr>
              <w:t>:</w:t>
            </w:r>
            <w:r>
              <w:rPr>
                <w:rFonts w:ascii="Arial" w:eastAsia="Times New Roman" w:hAnsi="Arial" w:cs="Arial"/>
                <w:color w:val="auto"/>
                <w:sz w:val="20"/>
                <w:szCs w:val="20"/>
                <w:lang w:eastAsia="en-US"/>
              </w:rPr>
              <w:t xml:space="preserve"> </w:t>
            </w:r>
            <w:r w:rsidRPr="004F5A83">
              <w:rPr>
                <w:rFonts w:ascii="Arial" w:eastAsia="Times New Roman" w:hAnsi="Arial" w:cs="Arial"/>
                <w:i/>
                <w:color w:val="auto"/>
                <w:sz w:val="20"/>
                <w:szCs w:val="20"/>
                <w:lang w:eastAsia="en-US"/>
              </w:rPr>
              <w:t>Are brine and salt management measures adequate</w:t>
            </w:r>
            <w:r>
              <w:rPr>
                <w:rFonts w:ascii="Arial" w:eastAsia="Times New Roman" w:hAnsi="Arial" w:cs="Arial"/>
                <w:i/>
                <w:color w:val="auto"/>
                <w:sz w:val="20"/>
                <w:szCs w:val="20"/>
                <w:lang w:eastAsia="en-US"/>
              </w:rPr>
              <w:t>?</w:t>
            </w:r>
          </w:p>
          <w:p w:rsidR="00CD3B2A" w:rsidRDefault="001A16B3" w:rsidP="00677791">
            <w:pPr>
              <w:pStyle w:val="ListNumber"/>
              <w:numPr>
                <w:ilvl w:val="0"/>
                <w:numId w:val="8"/>
              </w:numPr>
              <w:spacing w:after="160"/>
              <w:ind w:left="425" w:hanging="425"/>
              <w:rPr>
                <w:rFonts w:ascii="Arial" w:hAnsi="Arial" w:cs="Arial"/>
                <w:sz w:val="20"/>
                <w:szCs w:val="20"/>
                <w:lang w:val="en-US"/>
              </w:rPr>
            </w:pPr>
            <w:r>
              <w:rPr>
                <w:rFonts w:ascii="Arial" w:hAnsi="Arial" w:cs="Arial"/>
                <w:sz w:val="20"/>
                <w:szCs w:val="20"/>
                <w:lang w:val="en-US"/>
              </w:rPr>
              <w:t>While a</w:t>
            </w:r>
            <w:r w:rsidR="00CF77A3">
              <w:rPr>
                <w:rFonts w:ascii="Arial" w:hAnsi="Arial" w:cs="Arial"/>
                <w:sz w:val="20"/>
                <w:szCs w:val="20"/>
                <w:lang w:val="en-US"/>
              </w:rPr>
              <w:t xml:space="preserve"> </w:t>
            </w:r>
            <w:r w:rsidR="00CD3B2A" w:rsidRPr="00863040">
              <w:rPr>
                <w:rFonts w:ascii="Arial" w:hAnsi="Arial" w:cs="Arial"/>
                <w:sz w:val="20"/>
                <w:szCs w:val="20"/>
                <w:lang w:val="en-US"/>
              </w:rPr>
              <w:t xml:space="preserve">number of </w:t>
            </w:r>
            <w:r w:rsidR="00785858">
              <w:rPr>
                <w:rFonts w:ascii="Arial" w:hAnsi="Arial" w:cs="Arial"/>
                <w:sz w:val="20"/>
                <w:szCs w:val="20"/>
                <w:lang w:val="en-US"/>
              </w:rPr>
              <w:t xml:space="preserve">permanent disposal </w:t>
            </w:r>
            <w:r w:rsidR="006B52B6">
              <w:rPr>
                <w:rFonts w:ascii="Arial" w:hAnsi="Arial" w:cs="Arial"/>
                <w:sz w:val="20"/>
                <w:szCs w:val="20"/>
                <w:lang w:val="en-US"/>
              </w:rPr>
              <w:t>options</w:t>
            </w:r>
            <w:r>
              <w:rPr>
                <w:rFonts w:ascii="Arial" w:hAnsi="Arial" w:cs="Arial"/>
                <w:sz w:val="20"/>
                <w:szCs w:val="20"/>
                <w:lang w:val="en-US"/>
              </w:rPr>
              <w:t xml:space="preserve"> were presented and a preferred beneficial use option </w:t>
            </w:r>
            <w:r w:rsidR="00E94BB0">
              <w:rPr>
                <w:rFonts w:ascii="Arial" w:hAnsi="Arial" w:cs="Arial"/>
                <w:sz w:val="20"/>
                <w:szCs w:val="20"/>
                <w:lang w:val="en-US"/>
              </w:rPr>
              <w:t xml:space="preserve">was </w:t>
            </w:r>
            <w:r>
              <w:rPr>
                <w:rFonts w:ascii="Arial" w:hAnsi="Arial" w:cs="Arial"/>
                <w:sz w:val="20"/>
                <w:szCs w:val="20"/>
                <w:lang w:val="en-US"/>
              </w:rPr>
              <w:t>identified, the proponent’s studies and conclusions in relation to the feasibility of each option w</w:t>
            </w:r>
            <w:r w:rsidR="003B69BB">
              <w:rPr>
                <w:rFonts w:ascii="Arial" w:hAnsi="Arial" w:cs="Arial"/>
                <w:sz w:val="20"/>
                <w:szCs w:val="20"/>
                <w:lang w:val="en-US"/>
              </w:rPr>
              <w:t>ere</w:t>
            </w:r>
            <w:r>
              <w:rPr>
                <w:rFonts w:ascii="Arial" w:hAnsi="Arial" w:cs="Arial"/>
                <w:sz w:val="20"/>
                <w:szCs w:val="20"/>
                <w:lang w:val="en-US"/>
              </w:rPr>
              <w:t xml:space="preserve"> not made available to the Committee for consideration.</w:t>
            </w:r>
            <w:r w:rsidR="00CE49D9">
              <w:rPr>
                <w:rFonts w:ascii="Arial" w:hAnsi="Arial" w:cs="Arial"/>
                <w:sz w:val="20"/>
                <w:szCs w:val="20"/>
                <w:lang w:val="en-US"/>
              </w:rPr>
              <w:t xml:space="preserve"> As such, the SEIS does not provide sufficient information on brine and salt management measures or disposal options to enable a scientifically based analysis of their adequacy to be undertaken.</w:t>
            </w:r>
          </w:p>
          <w:p w:rsidR="00456199" w:rsidRDefault="00CF77A3" w:rsidP="00677791">
            <w:pPr>
              <w:pStyle w:val="ListNumber"/>
              <w:numPr>
                <w:ilvl w:val="0"/>
                <w:numId w:val="8"/>
              </w:numPr>
              <w:spacing w:after="160"/>
              <w:ind w:left="425" w:hanging="425"/>
              <w:rPr>
                <w:rFonts w:ascii="Arial" w:hAnsi="Arial" w:cs="Arial"/>
                <w:sz w:val="20"/>
                <w:szCs w:val="20"/>
                <w:lang w:val="en-US"/>
              </w:rPr>
            </w:pPr>
            <w:r w:rsidRPr="00501FE9">
              <w:rPr>
                <w:rFonts w:ascii="Arial" w:hAnsi="Arial" w:cs="Arial"/>
                <w:sz w:val="20"/>
                <w:szCs w:val="20"/>
                <w:lang w:val="en-US"/>
              </w:rPr>
              <w:t xml:space="preserve">The proponent </w:t>
            </w:r>
            <w:r w:rsidR="006904B4" w:rsidRPr="00501FE9">
              <w:rPr>
                <w:rFonts w:ascii="Arial" w:hAnsi="Arial" w:cs="Arial"/>
                <w:sz w:val="20"/>
                <w:szCs w:val="20"/>
                <w:lang w:val="en-US"/>
              </w:rPr>
              <w:t xml:space="preserve">proposes to design the storage capacity of brine dams to be sufficient until </w:t>
            </w:r>
            <w:r w:rsidR="00010FB9" w:rsidRPr="00501FE9">
              <w:rPr>
                <w:rFonts w:ascii="Arial" w:hAnsi="Arial" w:cs="Arial"/>
                <w:sz w:val="20"/>
                <w:szCs w:val="20"/>
                <w:lang w:val="en-US"/>
              </w:rPr>
              <w:t xml:space="preserve">a feasible </w:t>
            </w:r>
            <w:r w:rsidR="006904B4" w:rsidRPr="00501FE9">
              <w:rPr>
                <w:rFonts w:ascii="Arial" w:hAnsi="Arial" w:cs="Arial"/>
                <w:sz w:val="20"/>
                <w:szCs w:val="20"/>
                <w:lang w:val="en-US"/>
              </w:rPr>
              <w:t>permanent disposal option</w:t>
            </w:r>
            <w:r w:rsidR="00010FB9" w:rsidRPr="00501FE9">
              <w:rPr>
                <w:rFonts w:ascii="Arial" w:hAnsi="Arial" w:cs="Arial"/>
                <w:sz w:val="20"/>
                <w:szCs w:val="20"/>
                <w:lang w:val="en-US"/>
              </w:rPr>
              <w:t xml:space="preserve"> is</w:t>
            </w:r>
            <w:r w:rsidR="006904B4" w:rsidRPr="00501FE9">
              <w:rPr>
                <w:rFonts w:ascii="Arial" w:hAnsi="Arial" w:cs="Arial"/>
                <w:sz w:val="20"/>
                <w:szCs w:val="20"/>
                <w:lang w:val="en-US"/>
              </w:rPr>
              <w:t xml:space="preserve"> </w:t>
            </w:r>
            <w:r w:rsidR="00927A9B" w:rsidRPr="00501FE9">
              <w:rPr>
                <w:rFonts w:ascii="Arial" w:hAnsi="Arial" w:cs="Arial"/>
                <w:sz w:val="20"/>
                <w:szCs w:val="20"/>
                <w:lang w:val="en-US"/>
              </w:rPr>
              <w:t xml:space="preserve">identified and </w:t>
            </w:r>
            <w:r w:rsidR="006904B4" w:rsidRPr="00501FE9">
              <w:rPr>
                <w:rFonts w:ascii="Arial" w:hAnsi="Arial" w:cs="Arial"/>
                <w:sz w:val="20"/>
                <w:szCs w:val="20"/>
                <w:lang w:val="en-US"/>
              </w:rPr>
              <w:t>operational</w:t>
            </w:r>
            <w:r w:rsidRPr="00501FE9">
              <w:rPr>
                <w:rFonts w:ascii="Arial" w:hAnsi="Arial" w:cs="Arial"/>
                <w:sz w:val="20"/>
                <w:szCs w:val="20"/>
                <w:lang w:val="en-US"/>
              </w:rPr>
              <w:t xml:space="preserve">. </w:t>
            </w:r>
            <w:r w:rsidR="00494F90" w:rsidRPr="00501FE9">
              <w:rPr>
                <w:rFonts w:ascii="Arial" w:hAnsi="Arial" w:cs="Arial"/>
                <w:sz w:val="20"/>
                <w:szCs w:val="20"/>
                <w:lang w:val="en-US"/>
              </w:rPr>
              <w:t xml:space="preserve">The </w:t>
            </w:r>
            <w:r w:rsidR="00010FB9" w:rsidRPr="00501FE9">
              <w:rPr>
                <w:rFonts w:ascii="Arial" w:hAnsi="Arial" w:cs="Arial"/>
                <w:sz w:val="20"/>
                <w:szCs w:val="20"/>
                <w:lang w:val="en-US"/>
              </w:rPr>
              <w:t xml:space="preserve">proponent’s </w:t>
            </w:r>
            <w:r w:rsidR="00926D95" w:rsidRPr="00501FE9">
              <w:rPr>
                <w:rFonts w:ascii="Arial" w:hAnsi="Arial" w:cs="Arial"/>
                <w:sz w:val="20"/>
                <w:szCs w:val="20"/>
                <w:lang w:val="en-US"/>
              </w:rPr>
              <w:t xml:space="preserve">intention to design dams in accordance with </w:t>
            </w:r>
            <w:r w:rsidR="00010FB9" w:rsidRPr="00501FE9">
              <w:rPr>
                <w:rFonts w:ascii="Arial" w:hAnsi="Arial" w:cs="Arial"/>
                <w:sz w:val="20"/>
                <w:szCs w:val="20"/>
                <w:lang w:val="en-US"/>
              </w:rPr>
              <w:t xml:space="preserve">Queensland Government </w:t>
            </w:r>
            <w:r w:rsidR="00926D95" w:rsidRPr="00501FE9">
              <w:rPr>
                <w:rFonts w:ascii="Arial" w:hAnsi="Arial" w:cs="Arial"/>
                <w:sz w:val="20"/>
                <w:szCs w:val="20"/>
                <w:lang w:val="en-US"/>
              </w:rPr>
              <w:t xml:space="preserve">requirements </w:t>
            </w:r>
            <w:r w:rsidR="00494F90" w:rsidRPr="00501FE9">
              <w:rPr>
                <w:rFonts w:ascii="Arial" w:hAnsi="Arial" w:cs="Arial"/>
                <w:sz w:val="20"/>
                <w:szCs w:val="20"/>
                <w:lang w:val="en-US"/>
              </w:rPr>
              <w:t>is noted</w:t>
            </w:r>
            <w:r w:rsidR="00E94BB0">
              <w:rPr>
                <w:rFonts w:ascii="Arial" w:hAnsi="Arial" w:cs="Arial"/>
                <w:sz w:val="20"/>
                <w:szCs w:val="20"/>
                <w:lang w:val="en-US"/>
              </w:rPr>
              <w:t xml:space="preserve">. </w:t>
            </w:r>
            <w:r w:rsidR="002E723E">
              <w:rPr>
                <w:rFonts w:ascii="Arial" w:hAnsi="Arial" w:cs="Arial"/>
                <w:sz w:val="20"/>
                <w:szCs w:val="20"/>
                <w:lang w:val="en-US"/>
              </w:rPr>
              <w:t>However, d</w:t>
            </w:r>
            <w:proofErr w:type="spellStart"/>
            <w:r w:rsidR="002E723E" w:rsidRPr="005E612E">
              <w:rPr>
                <w:rFonts w:ascii="Arial" w:hAnsi="Arial" w:cs="Arial"/>
                <w:bCs/>
                <w:sz w:val="20"/>
                <w:szCs w:val="20"/>
              </w:rPr>
              <w:t>esign</w:t>
            </w:r>
            <w:proofErr w:type="spellEnd"/>
            <w:r w:rsidR="002E723E" w:rsidRPr="005E612E">
              <w:rPr>
                <w:rFonts w:ascii="Arial" w:hAnsi="Arial" w:cs="Arial"/>
                <w:bCs/>
                <w:sz w:val="20"/>
                <w:szCs w:val="20"/>
              </w:rPr>
              <w:t xml:space="preserve"> details for the brine dams </w:t>
            </w:r>
            <w:r w:rsidR="002E723E">
              <w:rPr>
                <w:rFonts w:ascii="Arial" w:hAnsi="Arial" w:cs="Arial"/>
                <w:bCs/>
                <w:sz w:val="20"/>
                <w:szCs w:val="20"/>
              </w:rPr>
              <w:t xml:space="preserve">are </w:t>
            </w:r>
            <w:r w:rsidR="002E723E" w:rsidRPr="005E612E">
              <w:rPr>
                <w:rFonts w:ascii="Arial" w:hAnsi="Arial" w:cs="Arial"/>
                <w:bCs/>
                <w:sz w:val="20"/>
                <w:szCs w:val="20"/>
              </w:rPr>
              <w:t xml:space="preserve">not provided and are </w:t>
            </w:r>
            <w:r w:rsidR="00982DE1">
              <w:rPr>
                <w:rFonts w:ascii="Arial" w:hAnsi="Arial" w:cs="Arial"/>
                <w:bCs/>
                <w:sz w:val="20"/>
                <w:szCs w:val="20"/>
              </w:rPr>
              <w:t>needed</w:t>
            </w:r>
            <w:r w:rsidR="002E723E" w:rsidRPr="005E612E">
              <w:rPr>
                <w:rFonts w:ascii="Arial" w:hAnsi="Arial" w:cs="Arial"/>
                <w:bCs/>
                <w:sz w:val="20"/>
                <w:szCs w:val="20"/>
              </w:rPr>
              <w:t xml:space="preserve"> to assess capacity, the risk of leakage, breakage and overtopping, and the consequences to downstream </w:t>
            </w:r>
            <w:r w:rsidR="002E723E">
              <w:rPr>
                <w:rFonts w:ascii="Arial" w:hAnsi="Arial" w:cs="Arial"/>
                <w:bCs/>
                <w:sz w:val="20"/>
                <w:szCs w:val="20"/>
              </w:rPr>
              <w:t xml:space="preserve">aquatic ecosystems and </w:t>
            </w:r>
            <w:r w:rsidR="002E723E" w:rsidRPr="005E612E">
              <w:rPr>
                <w:rFonts w:ascii="Arial" w:hAnsi="Arial" w:cs="Arial"/>
                <w:bCs/>
                <w:sz w:val="20"/>
                <w:szCs w:val="20"/>
              </w:rPr>
              <w:t>receptors.</w:t>
            </w:r>
            <w:r w:rsidR="00926D95" w:rsidRPr="00501FE9">
              <w:rPr>
                <w:rFonts w:ascii="Arial" w:hAnsi="Arial" w:cs="Arial"/>
                <w:sz w:val="20"/>
                <w:szCs w:val="20"/>
                <w:lang w:val="en-US"/>
              </w:rPr>
              <w:t xml:space="preserve"> </w:t>
            </w:r>
          </w:p>
          <w:p w:rsidR="00926D95" w:rsidRPr="00456199" w:rsidRDefault="00456199" w:rsidP="00677791">
            <w:pPr>
              <w:pStyle w:val="ListNumber"/>
              <w:numPr>
                <w:ilvl w:val="0"/>
                <w:numId w:val="8"/>
              </w:numPr>
              <w:spacing w:after="160"/>
              <w:ind w:left="425" w:hanging="425"/>
              <w:rPr>
                <w:rFonts w:ascii="Arial" w:hAnsi="Arial" w:cs="Arial"/>
                <w:sz w:val="20"/>
                <w:szCs w:val="20"/>
                <w:lang w:val="en-US"/>
              </w:rPr>
            </w:pPr>
            <w:r>
              <w:rPr>
                <w:rFonts w:ascii="Arial" w:hAnsi="Arial" w:cs="Arial"/>
                <w:sz w:val="20"/>
                <w:szCs w:val="20"/>
                <w:lang w:val="en-US"/>
              </w:rPr>
              <w:t>Based on the large volume</w:t>
            </w:r>
            <w:r w:rsidR="00501FE9" w:rsidRPr="00456199">
              <w:rPr>
                <w:rFonts w:ascii="Arial" w:hAnsi="Arial" w:cs="Arial"/>
                <w:sz w:val="20"/>
                <w:szCs w:val="20"/>
                <w:lang w:val="en-US"/>
              </w:rPr>
              <w:t xml:space="preserve"> of brine </w:t>
            </w:r>
            <w:r w:rsidR="00D60D0D">
              <w:rPr>
                <w:rFonts w:ascii="Arial" w:hAnsi="Arial" w:cs="Arial"/>
                <w:sz w:val="20"/>
                <w:szCs w:val="20"/>
                <w:lang w:val="en-US"/>
              </w:rPr>
              <w:t xml:space="preserve">that would be </w:t>
            </w:r>
            <w:r w:rsidR="00501FE9" w:rsidRPr="00456199">
              <w:rPr>
                <w:rFonts w:ascii="Arial" w:hAnsi="Arial" w:cs="Arial"/>
                <w:sz w:val="20"/>
                <w:szCs w:val="20"/>
                <w:lang w:val="en-US"/>
              </w:rPr>
              <w:t xml:space="preserve">generated and the presence of </w:t>
            </w:r>
            <w:r w:rsidRPr="00456199">
              <w:rPr>
                <w:rFonts w:ascii="Arial" w:hAnsi="Arial" w:cs="Arial"/>
                <w:sz w:val="20"/>
                <w:szCs w:val="20"/>
                <w:lang w:val="en-US"/>
              </w:rPr>
              <w:t xml:space="preserve">drinking water sources and </w:t>
            </w:r>
            <w:r w:rsidR="00501FE9" w:rsidRPr="00456199">
              <w:rPr>
                <w:rFonts w:ascii="Arial" w:hAnsi="Arial" w:cs="Arial"/>
                <w:sz w:val="20"/>
                <w:szCs w:val="20"/>
                <w:lang w:val="en-US"/>
              </w:rPr>
              <w:t>species of conservation significance downstream of proposed brine storage areas, stringent in-built environmental controls</w:t>
            </w:r>
            <w:r>
              <w:rPr>
                <w:rFonts w:ascii="Arial" w:hAnsi="Arial" w:cs="Arial"/>
                <w:sz w:val="20"/>
                <w:szCs w:val="20"/>
                <w:lang w:val="en-US"/>
              </w:rPr>
              <w:t>,</w:t>
            </w:r>
            <w:r w:rsidR="00501FE9" w:rsidRPr="00456199">
              <w:rPr>
                <w:rFonts w:ascii="Arial" w:hAnsi="Arial" w:cs="Arial"/>
                <w:sz w:val="20"/>
                <w:szCs w:val="20"/>
                <w:lang w:val="en-US"/>
              </w:rPr>
              <w:t xml:space="preserve"> monitoring</w:t>
            </w:r>
            <w:r>
              <w:rPr>
                <w:rFonts w:ascii="Arial" w:hAnsi="Arial" w:cs="Arial"/>
                <w:sz w:val="20"/>
                <w:szCs w:val="20"/>
                <w:lang w:val="en-US"/>
              </w:rPr>
              <w:t xml:space="preserve"> and inspection</w:t>
            </w:r>
            <w:r w:rsidR="00501FE9" w:rsidRPr="00456199">
              <w:rPr>
                <w:rFonts w:ascii="Arial" w:hAnsi="Arial" w:cs="Arial"/>
                <w:sz w:val="20"/>
                <w:szCs w:val="20"/>
                <w:lang w:val="en-US"/>
              </w:rPr>
              <w:t xml:space="preserve"> systems</w:t>
            </w:r>
            <w:r w:rsidR="00972260">
              <w:rPr>
                <w:rFonts w:ascii="Arial" w:hAnsi="Arial" w:cs="Arial"/>
                <w:sz w:val="20"/>
                <w:szCs w:val="20"/>
                <w:lang w:val="en-US"/>
              </w:rPr>
              <w:t>, and emergency response procedures</w:t>
            </w:r>
            <w:r w:rsidR="00501FE9" w:rsidRPr="00456199">
              <w:rPr>
                <w:rFonts w:ascii="Arial" w:hAnsi="Arial" w:cs="Arial"/>
                <w:sz w:val="20"/>
                <w:szCs w:val="20"/>
                <w:lang w:val="en-US"/>
              </w:rPr>
              <w:t xml:space="preserve"> are recommended.</w:t>
            </w:r>
            <w:r w:rsidRPr="00456199">
              <w:rPr>
                <w:rFonts w:ascii="Arial" w:hAnsi="Arial" w:cs="Arial"/>
                <w:sz w:val="20"/>
                <w:szCs w:val="20"/>
                <w:lang w:val="en-US"/>
              </w:rPr>
              <w:t xml:space="preserve"> </w:t>
            </w:r>
            <w:r w:rsidR="00926D95" w:rsidRPr="00456199">
              <w:rPr>
                <w:rFonts w:ascii="Arial" w:hAnsi="Arial" w:cs="Arial"/>
                <w:sz w:val="20"/>
                <w:szCs w:val="20"/>
                <w:lang w:val="en-US"/>
              </w:rPr>
              <w:t>In addition to monitoring of groundwater in the vicinity of brine and salt storage areas</w:t>
            </w:r>
            <w:r w:rsidR="00501FE9" w:rsidRPr="00456199">
              <w:rPr>
                <w:rFonts w:ascii="Arial" w:hAnsi="Arial" w:cs="Arial"/>
                <w:sz w:val="20"/>
                <w:szCs w:val="20"/>
                <w:lang w:val="en-US"/>
              </w:rPr>
              <w:t xml:space="preserve"> as a leak detection measure</w:t>
            </w:r>
            <w:r w:rsidR="00926D95" w:rsidRPr="00456199">
              <w:rPr>
                <w:rFonts w:ascii="Arial" w:hAnsi="Arial" w:cs="Arial"/>
                <w:sz w:val="20"/>
                <w:szCs w:val="20"/>
                <w:lang w:val="en-US"/>
              </w:rPr>
              <w:t xml:space="preserve">, </w:t>
            </w:r>
            <w:r>
              <w:rPr>
                <w:rFonts w:ascii="Arial" w:hAnsi="Arial" w:cs="Arial"/>
                <w:sz w:val="20"/>
                <w:szCs w:val="20"/>
                <w:lang w:val="en-US"/>
              </w:rPr>
              <w:t xml:space="preserve">management measures should include </w:t>
            </w:r>
            <w:r w:rsidR="00972260">
              <w:rPr>
                <w:rFonts w:ascii="Arial" w:hAnsi="Arial" w:cs="Arial"/>
                <w:sz w:val="20"/>
                <w:szCs w:val="20"/>
                <w:lang w:val="en-US"/>
              </w:rPr>
              <w:t xml:space="preserve">routine </w:t>
            </w:r>
            <w:r>
              <w:rPr>
                <w:rFonts w:ascii="Arial" w:hAnsi="Arial" w:cs="Arial"/>
                <w:sz w:val="20"/>
                <w:szCs w:val="20"/>
                <w:lang w:val="en-US"/>
              </w:rPr>
              <w:t xml:space="preserve">monitoring of </w:t>
            </w:r>
            <w:r w:rsidR="00926D95" w:rsidRPr="00456199">
              <w:rPr>
                <w:rFonts w:ascii="Arial" w:hAnsi="Arial" w:cs="Arial"/>
                <w:sz w:val="20"/>
                <w:szCs w:val="20"/>
                <w:lang w:val="en-US"/>
              </w:rPr>
              <w:t xml:space="preserve">surface water quality upstream and downstream of </w:t>
            </w:r>
            <w:r w:rsidR="006B52B6" w:rsidRPr="00456199">
              <w:rPr>
                <w:rFonts w:ascii="Arial" w:hAnsi="Arial" w:cs="Arial"/>
                <w:sz w:val="20"/>
                <w:szCs w:val="20"/>
                <w:lang w:val="en-US"/>
              </w:rPr>
              <w:t>containment</w:t>
            </w:r>
            <w:r w:rsidR="00926D95" w:rsidRPr="00456199">
              <w:rPr>
                <w:rFonts w:ascii="Arial" w:hAnsi="Arial" w:cs="Arial"/>
                <w:sz w:val="20"/>
                <w:szCs w:val="20"/>
                <w:lang w:val="en-US"/>
              </w:rPr>
              <w:t xml:space="preserve"> areas, and soils down-wind of salt storage areas.</w:t>
            </w:r>
          </w:p>
          <w:p w:rsidR="00EE2BBA" w:rsidRPr="00C25E62" w:rsidRDefault="00D63595" w:rsidP="00677791">
            <w:pPr>
              <w:pStyle w:val="ListNumber"/>
              <w:numPr>
                <w:ilvl w:val="0"/>
                <w:numId w:val="8"/>
              </w:numPr>
              <w:spacing w:after="160"/>
              <w:ind w:left="425" w:hanging="425"/>
              <w:rPr>
                <w:rFonts w:ascii="Arial" w:hAnsi="Arial" w:cs="Arial"/>
                <w:sz w:val="20"/>
                <w:szCs w:val="20"/>
                <w:lang w:val="en-US"/>
              </w:rPr>
            </w:pPr>
            <w:r w:rsidRPr="00926D95">
              <w:rPr>
                <w:rFonts w:ascii="Arial" w:hAnsi="Arial" w:cs="Arial"/>
                <w:sz w:val="20"/>
                <w:szCs w:val="20"/>
                <w:lang w:val="en-US"/>
              </w:rPr>
              <w:t xml:space="preserve">Given the significant risks to the environment and adjacent stakeholders in the event that brine and salt are not appropriately managed in this landscape, </w:t>
            </w:r>
            <w:r w:rsidR="001858B7">
              <w:rPr>
                <w:rFonts w:ascii="Arial" w:hAnsi="Arial" w:cs="Arial"/>
                <w:sz w:val="20"/>
                <w:szCs w:val="20"/>
                <w:lang w:val="en-US"/>
              </w:rPr>
              <w:t>it is recommended</w:t>
            </w:r>
            <w:r w:rsidRPr="00926D95">
              <w:rPr>
                <w:rFonts w:ascii="Arial" w:hAnsi="Arial" w:cs="Arial"/>
                <w:sz w:val="20"/>
                <w:szCs w:val="20"/>
                <w:lang w:val="en-US"/>
              </w:rPr>
              <w:t xml:space="preserve"> that a </w:t>
            </w:r>
            <w:r w:rsidR="004F261C" w:rsidRPr="005759BE">
              <w:rPr>
                <w:rFonts w:ascii="Arial" w:hAnsi="Arial" w:cs="Arial"/>
                <w:sz w:val="20"/>
                <w:szCs w:val="20"/>
                <w:lang w:val="en-US"/>
              </w:rPr>
              <w:t>selected</w:t>
            </w:r>
            <w:r w:rsidR="001A2EBC" w:rsidRPr="005759BE">
              <w:rPr>
                <w:rFonts w:ascii="Arial" w:hAnsi="Arial" w:cs="Arial"/>
                <w:sz w:val="20"/>
                <w:szCs w:val="20"/>
                <w:lang w:val="en-US"/>
              </w:rPr>
              <w:t xml:space="preserve"> </w:t>
            </w:r>
            <w:r w:rsidRPr="005759BE">
              <w:rPr>
                <w:rFonts w:ascii="Arial" w:hAnsi="Arial" w:cs="Arial"/>
                <w:sz w:val="20"/>
                <w:szCs w:val="20"/>
                <w:lang w:val="en-US"/>
              </w:rPr>
              <w:t xml:space="preserve">option for </w:t>
            </w:r>
            <w:r w:rsidR="004F261C" w:rsidRPr="005759BE">
              <w:rPr>
                <w:rFonts w:ascii="Arial" w:hAnsi="Arial" w:cs="Arial"/>
                <w:sz w:val="20"/>
                <w:szCs w:val="20"/>
                <w:lang w:val="en-US"/>
              </w:rPr>
              <w:t>permanent</w:t>
            </w:r>
            <w:r w:rsidR="001A2EBC" w:rsidRPr="005759BE">
              <w:rPr>
                <w:rFonts w:ascii="Arial" w:hAnsi="Arial" w:cs="Arial"/>
                <w:sz w:val="20"/>
                <w:szCs w:val="20"/>
                <w:lang w:val="en-US"/>
              </w:rPr>
              <w:t xml:space="preserve"> </w:t>
            </w:r>
            <w:r w:rsidRPr="005759BE">
              <w:rPr>
                <w:rFonts w:ascii="Arial" w:hAnsi="Arial" w:cs="Arial"/>
                <w:sz w:val="20"/>
                <w:szCs w:val="20"/>
                <w:lang w:val="en-US"/>
              </w:rPr>
              <w:t xml:space="preserve">disposal of waste brine and salt is </w:t>
            </w:r>
            <w:r w:rsidR="001858B7" w:rsidRPr="005759BE">
              <w:rPr>
                <w:rFonts w:ascii="Arial" w:hAnsi="Arial" w:cs="Arial"/>
                <w:sz w:val="20"/>
                <w:szCs w:val="20"/>
                <w:lang w:val="en-US"/>
              </w:rPr>
              <w:t xml:space="preserve">identified and all relevant arrangements and permits are </w:t>
            </w:r>
            <w:proofErr w:type="spellStart"/>
            <w:r w:rsidR="001858B7" w:rsidRPr="005759BE">
              <w:rPr>
                <w:rFonts w:ascii="Arial" w:hAnsi="Arial" w:cs="Arial"/>
                <w:sz w:val="20"/>
                <w:szCs w:val="20"/>
                <w:lang w:val="en-US"/>
              </w:rPr>
              <w:t>finalised</w:t>
            </w:r>
            <w:proofErr w:type="spellEnd"/>
            <w:r w:rsidR="001858B7" w:rsidRPr="005759BE">
              <w:rPr>
                <w:rFonts w:ascii="Arial" w:hAnsi="Arial" w:cs="Arial"/>
                <w:sz w:val="20"/>
                <w:szCs w:val="20"/>
                <w:lang w:val="en-US"/>
              </w:rPr>
              <w:t xml:space="preserve"> </w:t>
            </w:r>
            <w:r w:rsidRPr="005759BE">
              <w:rPr>
                <w:rFonts w:ascii="Arial" w:hAnsi="Arial" w:cs="Arial"/>
                <w:sz w:val="20"/>
                <w:szCs w:val="20"/>
                <w:lang w:val="en-US"/>
              </w:rPr>
              <w:t xml:space="preserve">before </w:t>
            </w:r>
            <w:r w:rsidR="004F261C" w:rsidRPr="005759BE">
              <w:rPr>
                <w:rFonts w:ascii="Arial" w:hAnsi="Arial" w:cs="Arial"/>
                <w:sz w:val="20"/>
                <w:szCs w:val="20"/>
                <w:lang w:val="en-US"/>
              </w:rPr>
              <w:t>brine is produced</w:t>
            </w:r>
            <w:r w:rsidRPr="005759BE">
              <w:rPr>
                <w:rFonts w:ascii="Arial" w:hAnsi="Arial" w:cs="Arial"/>
                <w:sz w:val="20"/>
                <w:szCs w:val="20"/>
                <w:lang w:val="en-US"/>
              </w:rPr>
              <w:t>.</w:t>
            </w:r>
            <w:r w:rsidRPr="00926D95">
              <w:rPr>
                <w:rFonts w:ascii="Arial" w:hAnsi="Arial" w:cs="Arial"/>
                <w:sz w:val="20"/>
                <w:szCs w:val="20"/>
                <w:lang w:val="en-US"/>
              </w:rPr>
              <w:t xml:space="preserve"> Options analysis should include an assessment of the impacts of feasible disposal strategies and identification of mitigation and management measures to avoid or reduce impacts to acceptable levels for the selected option. </w:t>
            </w:r>
            <w:proofErr w:type="spellStart"/>
            <w:r w:rsidRPr="00926D95">
              <w:rPr>
                <w:rFonts w:ascii="Arial" w:hAnsi="Arial" w:cs="Arial"/>
                <w:sz w:val="20"/>
                <w:szCs w:val="20"/>
                <w:lang w:val="en-US"/>
              </w:rPr>
              <w:t>Ecotoxicity</w:t>
            </w:r>
            <w:proofErr w:type="spellEnd"/>
            <w:r w:rsidRPr="00926D95">
              <w:rPr>
                <w:rFonts w:ascii="Arial" w:hAnsi="Arial" w:cs="Arial"/>
                <w:sz w:val="20"/>
                <w:szCs w:val="20"/>
                <w:lang w:val="en-US"/>
              </w:rPr>
              <w:t xml:space="preserve"> testing to evaluate the impacts of brine disposal options may be </w:t>
            </w:r>
            <w:r w:rsidR="00982DE1">
              <w:rPr>
                <w:rFonts w:ascii="Arial" w:hAnsi="Arial" w:cs="Arial"/>
                <w:sz w:val="20"/>
                <w:szCs w:val="20"/>
                <w:lang w:val="en-US"/>
              </w:rPr>
              <w:t>neede</w:t>
            </w:r>
            <w:r w:rsidRPr="00926D95">
              <w:rPr>
                <w:rFonts w:ascii="Arial" w:hAnsi="Arial" w:cs="Arial"/>
                <w:sz w:val="20"/>
                <w:szCs w:val="20"/>
                <w:lang w:val="en-US"/>
              </w:rPr>
              <w:t>d.</w:t>
            </w:r>
          </w:p>
          <w:p w:rsidR="00401BBA" w:rsidRPr="00276513" w:rsidRDefault="004F5A83" w:rsidP="00EA6CE5">
            <w:pPr>
              <w:pStyle w:val="Default"/>
              <w:spacing w:after="200" w:line="276" w:lineRule="auto"/>
              <w:rPr>
                <w:rFonts w:ascii="Arial" w:eastAsia="Times New Roman" w:hAnsi="Arial" w:cs="Arial"/>
                <w:i/>
                <w:color w:val="auto"/>
                <w:sz w:val="20"/>
                <w:szCs w:val="20"/>
                <w:lang w:eastAsia="en-US"/>
              </w:rPr>
            </w:pPr>
            <w:r w:rsidRPr="004F5A83">
              <w:rPr>
                <w:rFonts w:ascii="Arial" w:eastAsia="Times New Roman" w:hAnsi="Arial" w:cs="Arial"/>
                <w:i/>
                <w:color w:val="auto"/>
                <w:sz w:val="20"/>
                <w:szCs w:val="20"/>
                <w:lang w:eastAsia="en-US"/>
              </w:rPr>
              <w:t>Question 3: Does the Committee recommend any further water</w:t>
            </w:r>
            <w:r w:rsidR="00F44140">
              <w:rPr>
                <w:rFonts w:ascii="Arial" w:eastAsia="Times New Roman" w:hAnsi="Arial" w:cs="Arial"/>
                <w:i/>
                <w:color w:val="auto"/>
                <w:sz w:val="20"/>
                <w:szCs w:val="20"/>
                <w:lang w:eastAsia="en-US"/>
              </w:rPr>
              <w:t>-</w:t>
            </w:r>
            <w:r w:rsidRPr="004F5A83">
              <w:rPr>
                <w:rFonts w:ascii="Arial" w:eastAsia="Times New Roman" w:hAnsi="Arial" w:cs="Arial"/>
                <w:i/>
                <w:color w:val="auto"/>
                <w:sz w:val="20"/>
                <w:szCs w:val="20"/>
                <w:lang w:eastAsia="en-US"/>
              </w:rPr>
              <w:t>related measures to mitigate and manage impacts, and enhance the protection of matters of national environmental significance?</w:t>
            </w:r>
          </w:p>
          <w:p w:rsidR="00D60D0D" w:rsidRPr="00FE6035" w:rsidRDefault="00A6477C" w:rsidP="00FE6035">
            <w:pPr>
              <w:pStyle w:val="Default"/>
              <w:spacing w:after="200"/>
              <w:rPr>
                <w:rFonts w:ascii="Arial" w:eastAsia="Times New Roman" w:hAnsi="Arial" w:cs="Arial"/>
                <w:color w:val="auto"/>
                <w:sz w:val="20"/>
                <w:szCs w:val="20"/>
                <w:lang w:val="en-US" w:eastAsia="en-US"/>
              </w:rPr>
            </w:pPr>
            <w:r w:rsidRPr="00FE6035">
              <w:rPr>
                <w:rFonts w:ascii="Arial" w:eastAsia="Times New Roman" w:hAnsi="Arial" w:cs="Arial"/>
                <w:color w:val="auto"/>
                <w:sz w:val="20"/>
                <w:szCs w:val="20"/>
                <w:lang w:val="en-US" w:eastAsia="en-US"/>
              </w:rPr>
              <w:t>In addition to the recommendations provided elsewhere in this advice, t</w:t>
            </w:r>
            <w:r w:rsidR="00D60D0D" w:rsidRPr="00FE6035">
              <w:rPr>
                <w:rFonts w:ascii="Arial" w:eastAsia="Times New Roman" w:hAnsi="Arial" w:cs="Arial"/>
                <w:color w:val="auto"/>
                <w:sz w:val="20"/>
                <w:szCs w:val="20"/>
                <w:lang w:val="en-US" w:eastAsia="en-US"/>
              </w:rPr>
              <w:t>he following measures</w:t>
            </w:r>
            <w:r w:rsidR="00F44140" w:rsidRPr="00FE6035">
              <w:rPr>
                <w:rFonts w:ascii="Arial" w:eastAsia="Times New Roman" w:hAnsi="Arial" w:cs="Arial"/>
                <w:color w:val="auto"/>
                <w:sz w:val="20"/>
                <w:szCs w:val="20"/>
                <w:lang w:val="en-US" w:eastAsia="en-US"/>
              </w:rPr>
              <w:t xml:space="preserve"> would</w:t>
            </w:r>
            <w:r w:rsidR="00D60D0D" w:rsidRPr="00FE6035">
              <w:rPr>
                <w:rFonts w:ascii="Arial" w:eastAsia="Times New Roman" w:hAnsi="Arial" w:cs="Arial"/>
                <w:color w:val="auto"/>
                <w:sz w:val="20"/>
                <w:szCs w:val="20"/>
                <w:lang w:val="en-US" w:eastAsia="en-US"/>
              </w:rPr>
              <w:t xml:space="preserve"> enhance protection for matters of national environmental significance</w:t>
            </w:r>
            <w:r w:rsidR="00F44140" w:rsidRPr="00FE6035">
              <w:rPr>
                <w:rFonts w:ascii="Arial" w:eastAsia="Times New Roman" w:hAnsi="Arial" w:cs="Arial"/>
                <w:color w:val="auto"/>
                <w:sz w:val="20"/>
                <w:szCs w:val="20"/>
                <w:lang w:val="en-US" w:eastAsia="en-US"/>
              </w:rPr>
              <w:t xml:space="preserve">: </w:t>
            </w:r>
          </w:p>
          <w:p w:rsidR="00D63595" w:rsidRPr="00F94F22" w:rsidRDefault="00D92581" w:rsidP="00677791">
            <w:pPr>
              <w:pStyle w:val="ListNumber"/>
              <w:numPr>
                <w:ilvl w:val="0"/>
                <w:numId w:val="8"/>
              </w:numPr>
              <w:spacing w:after="180"/>
              <w:ind w:left="425" w:hanging="357"/>
              <w:rPr>
                <w:rFonts w:ascii="Arial" w:hAnsi="Arial" w:cs="Arial"/>
                <w:sz w:val="20"/>
                <w:szCs w:val="20"/>
                <w:lang w:val="en-US"/>
              </w:rPr>
            </w:pPr>
            <w:proofErr w:type="spellStart"/>
            <w:r w:rsidRPr="00F94F22">
              <w:rPr>
                <w:rFonts w:ascii="Arial" w:hAnsi="Arial" w:cs="Arial"/>
                <w:i/>
                <w:sz w:val="20"/>
                <w:szCs w:val="20"/>
                <w:lang w:val="en-US"/>
              </w:rPr>
              <w:t>Rheodytes</w:t>
            </w:r>
            <w:proofErr w:type="spellEnd"/>
            <w:r w:rsidRPr="00F94F22">
              <w:rPr>
                <w:rFonts w:ascii="Arial" w:hAnsi="Arial" w:cs="Arial"/>
                <w:i/>
                <w:sz w:val="20"/>
                <w:szCs w:val="20"/>
                <w:lang w:val="en-US"/>
              </w:rPr>
              <w:t xml:space="preserve"> </w:t>
            </w:r>
            <w:proofErr w:type="spellStart"/>
            <w:r w:rsidRPr="00F94F22">
              <w:rPr>
                <w:rFonts w:ascii="Arial" w:hAnsi="Arial" w:cs="Arial"/>
                <w:i/>
                <w:sz w:val="20"/>
                <w:szCs w:val="20"/>
                <w:lang w:val="en-US"/>
              </w:rPr>
              <w:t>leukops</w:t>
            </w:r>
            <w:proofErr w:type="spellEnd"/>
            <w:r w:rsidRPr="00F94F22">
              <w:rPr>
                <w:rFonts w:ascii="Arial" w:hAnsi="Arial" w:cs="Arial"/>
                <w:sz w:val="20"/>
                <w:szCs w:val="20"/>
                <w:lang w:val="en-US"/>
              </w:rPr>
              <w:t xml:space="preserve"> (Fitzroy River Turtle): </w:t>
            </w:r>
            <w:r w:rsidR="00052ECC" w:rsidRPr="00F94F22">
              <w:rPr>
                <w:rFonts w:ascii="Arial" w:hAnsi="Arial" w:cs="Arial"/>
                <w:sz w:val="20"/>
                <w:szCs w:val="20"/>
                <w:lang w:val="en-US"/>
              </w:rPr>
              <w:t>Provide e</w:t>
            </w:r>
            <w:r w:rsidR="00D345E5" w:rsidRPr="00F94F22">
              <w:rPr>
                <w:rFonts w:ascii="Arial" w:hAnsi="Arial" w:cs="Arial"/>
                <w:sz w:val="20"/>
                <w:szCs w:val="20"/>
                <w:lang w:val="en-US"/>
              </w:rPr>
              <w:t>vidence</w:t>
            </w:r>
            <w:r w:rsidR="00052ECC" w:rsidRPr="00F94F22">
              <w:rPr>
                <w:rFonts w:ascii="Arial" w:hAnsi="Arial" w:cs="Arial"/>
                <w:sz w:val="20"/>
                <w:szCs w:val="20"/>
                <w:lang w:val="en-US"/>
              </w:rPr>
              <w:t>-</w:t>
            </w:r>
            <w:r w:rsidR="00D345E5" w:rsidRPr="00F94F22">
              <w:rPr>
                <w:rFonts w:ascii="Arial" w:hAnsi="Arial" w:cs="Arial"/>
                <w:sz w:val="20"/>
                <w:szCs w:val="20"/>
                <w:lang w:val="en-US"/>
              </w:rPr>
              <w:t xml:space="preserve">based </w:t>
            </w:r>
            <w:r w:rsidR="00115C70" w:rsidRPr="00F94F22">
              <w:rPr>
                <w:rFonts w:ascii="Arial" w:hAnsi="Arial" w:cs="Arial"/>
                <w:sz w:val="20"/>
                <w:szCs w:val="20"/>
                <w:lang w:val="en-US"/>
              </w:rPr>
              <w:t xml:space="preserve">justification </w:t>
            </w:r>
            <w:r w:rsidR="00D345E5" w:rsidRPr="00F94F22">
              <w:rPr>
                <w:rFonts w:ascii="Arial" w:hAnsi="Arial" w:cs="Arial"/>
                <w:sz w:val="20"/>
                <w:szCs w:val="20"/>
                <w:lang w:val="en-US"/>
              </w:rPr>
              <w:t xml:space="preserve">to support the </w:t>
            </w:r>
            <w:r w:rsidR="00052ECC" w:rsidRPr="00F94F22">
              <w:rPr>
                <w:rFonts w:ascii="Arial" w:hAnsi="Arial" w:cs="Arial"/>
                <w:sz w:val="20"/>
                <w:szCs w:val="20"/>
                <w:lang w:val="en-US"/>
              </w:rPr>
              <w:t xml:space="preserve">proponent’s </w:t>
            </w:r>
            <w:r w:rsidR="00D345E5" w:rsidRPr="00F94F22">
              <w:rPr>
                <w:rFonts w:ascii="Arial" w:hAnsi="Arial" w:cs="Arial"/>
                <w:sz w:val="20"/>
                <w:szCs w:val="20"/>
                <w:lang w:val="en-US"/>
              </w:rPr>
              <w:t xml:space="preserve">conclusion that </w:t>
            </w:r>
            <w:r w:rsidR="00115C70" w:rsidRPr="00F94F22">
              <w:rPr>
                <w:rFonts w:ascii="Arial" w:hAnsi="Arial" w:cs="Arial"/>
                <w:sz w:val="20"/>
                <w:szCs w:val="20"/>
                <w:lang w:val="en-US"/>
              </w:rPr>
              <w:t xml:space="preserve">this species is not present within the proposed development’s area of influence. </w:t>
            </w:r>
            <w:r w:rsidR="001C36A1" w:rsidRPr="00F94F22">
              <w:rPr>
                <w:rFonts w:ascii="Arial" w:hAnsi="Arial" w:cs="Arial"/>
                <w:sz w:val="20"/>
                <w:szCs w:val="20"/>
                <w:lang w:val="en-US"/>
              </w:rPr>
              <w:t xml:space="preserve"> Current conclusions were based on limited field investigations in the Dawson River catchment and did not appear to consider the </w:t>
            </w:r>
            <w:r w:rsidRPr="00F94F22">
              <w:rPr>
                <w:rFonts w:ascii="Arial" w:hAnsi="Arial" w:cs="Arial"/>
                <w:sz w:val="20"/>
                <w:szCs w:val="20"/>
                <w:lang w:val="en-US"/>
              </w:rPr>
              <w:t>noted potential for this species to occur in the upper Dawson River by URS (2010)</w:t>
            </w:r>
            <w:r w:rsidR="00C90F76" w:rsidRPr="00F94F22">
              <w:rPr>
                <w:rFonts w:ascii="Arial" w:hAnsi="Arial" w:cs="Arial"/>
                <w:color w:val="000000" w:themeColor="text1"/>
                <w:sz w:val="20"/>
                <w:szCs w:val="20"/>
                <w:vertAlign w:val="superscript"/>
              </w:rPr>
              <w:t>5</w:t>
            </w:r>
            <w:r w:rsidRPr="00F94F22">
              <w:rPr>
                <w:rFonts w:ascii="Arial" w:hAnsi="Arial" w:cs="Arial"/>
                <w:sz w:val="20"/>
                <w:szCs w:val="20"/>
                <w:lang w:val="en-US"/>
              </w:rPr>
              <w:t xml:space="preserve"> </w:t>
            </w:r>
            <w:r w:rsidR="001C36A1" w:rsidRPr="00F94F22">
              <w:rPr>
                <w:rFonts w:ascii="Arial" w:hAnsi="Arial" w:cs="Arial"/>
                <w:sz w:val="20"/>
                <w:szCs w:val="20"/>
                <w:lang w:val="en-US"/>
              </w:rPr>
              <w:t xml:space="preserve">or </w:t>
            </w:r>
            <w:r w:rsidRPr="00F94F22">
              <w:rPr>
                <w:rFonts w:ascii="Arial" w:hAnsi="Arial" w:cs="Arial"/>
                <w:sz w:val="20"/>
                <w:szCs w:val="20"/>
                <w:lang w:val="en-US"/>
              </w:rPr>
              <w:t xml:space="preserve">the potential for Roche Creek and </w:t>
            </w:r>
            <w:proofErr w:type="spellStart"/>
            <w:r w:rsidRPr="00F94F22">
              <w:rPr>
                <w:rFonts w:ascii="Arial" w:hAnsi="Arial" w:cs="Arial"/>
                <w:sz w:val="20"/>
                <w:szCs w:val="20"/>
                <w:lang w:val="en-US"/>
              </w:rPr>
              <w:t>Juandah</w:t>
            </w:r>
            <w:proofErr w:type="spellEnd"/>
            <w:r w:rsidRPr="00F94F22">
              <w:rPr>
                <w:rFonts w:ascii="Arial" w:hAnsi="Arial" w:cs="Arial"/>
                <w:sz w:val="20"/>
                <w:szCs w:val="20"/>
                <w:lang w:val="en-US"/>
              </w:rPr>
              <w:t xml:space="preserve"> Creek to support groundwater dependent ecosystems</w:t>
            </w:r>
            <w:r w:rsidR="00115C70" w:rsidRPr="00F94F22">
              <w:rPr>
                <w:rFonts w:ascii="Arial" w:hAnsi="Arial" w:cs="Arial"/>
                <w:sz w:val="20"/>
                <w:szCs w:val="20"/>
                <w:lang w:val="en-US"/>
              </w:rPr>
              <w:t xml:space="preserve">. </w:t>
            </w:r>
            <w:r w:rsidR="00F7619A" w:rsidRPr="00F94F22">
              <w:rPr>
                <w:rFonts w:ascii="Arial" w:hAnsi="Arial" w:cs="Arial"/>
                <w:sz w:val="20"/>
                <w:szCs w:val="20"/>
                <w:lang w:val="en-US"/>
              </w:rPr>
              <w:t xml:space="preserve"> </w:t>
            </w:r>
            <w:r w:rsidR="00D63595" w:rsidRPr="00F94F22">
              <w:rPr>
                <w:rFonts w:ascii="Arial" w:hAnsi="Arial" w:cs="Arial"/>
                <w:sz w:val="20"/>
                <w:szCs w:val="20"/>
                <w:lang w:val="en-US"/>
              </w:rPr>
              <w:t>The habitat assessment should include consideration of potential habitat that may be affected by groundwater drawdown, subsidence and/or downstream impacts of infrastructure development and maintenance</w:t>
            </w:r>
            <w:r w:rsidR="00016EF9" w:rsidRPr="00F94F22">
              <w:rPr>
                <w:rFonts w:ascii="Arial" w:hAnsi="Arial" w:cs="Arial"/>
                <w:sz w:val="20"/>
                <w:szCs w:val="20"/>
                <w:lang w:val="en-US"/>
              </w:rPr>
              <w:t>, including where these extend</w:t>
            </w:r>
            <w:r w:rsidR="00D63595" w:rsidRPr="00F94F22">
              <w:rPr>
                <w:rFonts w:ascii="Arial" w:hAnsi="Arial" w:cs="Arial"/>
                <w:sz w:val="20"/>
                <w:szCs w:val="20"/>
                <w:lang w:val="en-US"/>
              </w:rPr>
              <w:t xml:space="preserve"> beyond the proponent’s petroleum tenure boundaries. Field-based investigations </w:t>
            </w:r>
            <w:r w:rsidR="005001A3" w:rsidRPr="00F94F22">
              <w:rPr>
                <w:rFonts w:ascii="Arial" w:hAnsi="Arial" w:cs="Arial"/>
                <w:sz w:val="20"/>
                <w:szCs w:val="20"/>
                <w:lang w:val="en-US"/>
              </w:rPr>
              <w:t>are</w:t>
            </w:r>
            <w:r w:rsidR="00D63595" w:rsidRPr="00F94F22">
              <w:rPr>
                <w:rFonts w:ascii="Arial" w:hAnsi="Arial" w:cs="Arial"/>
                <w:sz w:val="20"/>
                <w:szCs w:val="20"/>
                <w:lang w:val="en-US"/>
              </w:rPr>
              <w:t xml:space="preserve"> </w:t>
            </w:r>
            <w:r w:rsidR="00982DE1" w:rsidRPr="00F94F22">
              <w:rPr>
                <w:rFonts w:ascii="Arial" w:hAnsi="Arial" w:cs="Arial"/>
                <w:sz w:val="20"/>
                <w:szCs w:val="20"/>
                <w:lang w:val="en-US"/>
              </w:rPr>
              <w:t>neede</w:t>
            </w:r>
            <w:r w:rsidR="00D63595" w:rsidRPr="00F94F22">
              <w:rPr>
                <w:rFonts w:ascii="Arial" w:hAnsi="Arial" w:cs="Arial"/>
                <w:sz w:val="20"/>
                <w:szCs w:val="20"/>
                <w:lang w:val="en-US"/>
              </w:rPr>
              <w:t>d</w:t>
            </w:r>
            <w:r w:rsidR="005001A3" w:rsidRPr="00F94F22">
              <w:rPr>
                <w:rFonts w:ascii="Arial" w:hAnsi="Arial" w:cs="Arial"/>
                <w:sz w:val="20"/>
                <w:szCs w:val="20"/>
                <w:lang w:val="en-US"/>
              </w:rPr>
              <w:t xml:space="preserve"> where </w:t>
            </w:r>
            <w:r w:rsidR="00F14456" w:rsidRPr="00F94F22">
              <w:rPr>
                <w:rFonts w:ascii="Arial" w:hAnsi="Arial" w:cs="Arial"/>
                <w:sz w:val="20"/>
                <w:szCs w:val="20"/>
                <w:lang w:val="en-US"/>
              </w:rPr>
              <w:t xml:space="preserve">there is </w:t>
            </w:r>
            <w:r w:rsidR="005001A3" w:rsidRPr="00F94F22">
              <w:rPr>
                <w:rFonts w:ascii="Arial" w:hAnsi="Arial" w:cs="Arial"/>
                <w:sz w:val="20"/>
                <w:szCs w:val="20"/>
                <w:lang w:val="en-US"/>
              </w:rPr>
              <w:t>uncertainty about the presence of this species</w:t>
            </w:r>
            <w:r w:rsidR="00D63595" w:rsidRPr="00F94F22">
              <w:rPr>
                <w:rFonts w:ascii="Arial" w:hAnsi="Arial" w:cs="Arial"/>
                <w:sz w:val="20"/>
                <w:szCs w:val="20"/>
                <w:lang w:val="en-US"/>
              </w:rPr>
              <w:t>.</w:t>
            </w:r>
          </w:p>
          <w:p w:rsidR="00D63595" w:rsidRPr="00D92581" w:rsidRDefault="002F49C2" w:rsidP="00677791">
            <w:pPr>
              <w:pStyle w:val="ListNumber"/>
              <w:numPr>
                <w:ilvl w:val="0"/>
                <w:numId w:val="8"/>
              </w:numPr>
              <w:spacing w:after="180"/>
              <w:ind w:left="425" w:hanging="357"/>
              <w:rPr>
                <w:rFonts w:ascii="Arial" w:hAnsi="Arial" w:cs="Arial"/>
                <w:sz w:val="20"/>
                <w:szCs w:val="20"/>
                <w:lang w:val="en-US"/>
              </w:rPr>
            </w:pPr>
            <w:proofErr w:type="spellStart"/>
            <w:r w:rsidRPr="002F49C2">
              <w:rPr>
                <w:rFonts w:ascii="Arial" w:hAnsi="Arial" w:cs="Arial"/>
                <w:i/>
                <w:sz w:val="20"/>
                <w:szCs w:val="20"/>
                <w:lang w:val="en-US"/>
              </w:rPr>
              <w:t>Maccullochella</w:t>
            </w:r>
            <w:proofErr w:type="spellEnd"/>
            <w:r w:rsidRPr="002F49C2">
              <w:rPr>
                <w:rFonts w:ascii="Arial" w:hAnsi="Arial" w:cs="Arial"/>
                <w:i/>
                <w:sz w:val="20"/>
                <w:szCs w:val="20"/>
                <w:lang w:val="en-US"/>
              </w:rPr>
              <w:t xml:space="preserve"> </w:t>
            </w:r>
            <w:proofErr w:type="spellStart"/>
            <w:r w:rsidRPr="002F49C2">
              <w:rPr>
                <w:rFonts w:ascii="Arial" w:hAnsi="Arial" w:cs="Arial"/>
                <w:i/>
                <w:sz w:val="20"/>
                <w:szCs w:val="20"/>
                <w:lang w:val="en-US"/>
              </w:rPr>
              <w:t>peelii</w:t>
            </w:r>
            <w:proofErr w:type="spellEnd"/>
            <w:r w:rsidRPr="002F49C2">
              <w:rPr>
                <w:rFonts w:ascii="Arial" w:hAnsi="Arial" w:cs="Arial"/>
                <w:i/>
                <w:sz w:val="20"/>
                <w:szCs w:val="20"/>
                <w:lang w:val="en-US"/>
              </w:rPr>
              <w:t xml:space="preserve"> </w:t>
            </w:r>
            <w:proofErr w:type="spellStart"/>
            <w:r w:rsidRPr="002F49C2">
              <w:rPr>
                <w:rFonts w:ascii="Arial" w:hAnsi="Arial" w:cs="Arial"/>
                <w:i/>
                <w:sz w:val="20"/>
                <w:szCs w:val="20"/>
                <w:lang w:val="en-US"/>
              </w:rPr>
              <w:t>peelii</w:t>
            </w:r>
            <w:proofErr w:type="spellEnd"/>
            <w:r w:rsidRPr="002F49C2">
              <w:rPr>
                <w:rFonts w:ascii="Arial" w:hAnsi="Arial" w:cs="Arial"/>
                <w:i/>
                <w:sz w:val="20"/>
                <w:szCs w:val="20"/>
                <w:lang w:val="en-US"/>
              </w:rPr>
              <w:t xml:space="preserve"> </w:t>
            </w:r>
            <w:r w:rsidRPr="00D92581">
              <w:rPr>
                <w:rFonts w:ascii="Arial" w:hAnsi="Arial" w:cs="Arial"/>
                <w:sz w:val="20"/>
                <w:szCs w:val="20"/>
                <w:lang w:val="en-US"/>
              </w:rPr>
              <w:t>(Murray Cod)</w:t>
            </w:r>
            <w:r>
              <w:rPr>
                <w:rFonts w:ascii="Arial" w:hAnsi="Arial" w:cs="Arial"/>
                <w:sz w:val="20"/>
                <w:szCs w:val="20"/>
                <w:lang w:val="en-US"/>
              </w:rPr>
              <w:t xml:space="preserve">: </w:t>
            </w:r>
            <w:r w:rsidRPr="00D92581">
              <w:rPr>
                <w:rFonts w:ascii="Arial" w:hAnsi="Arial" w:cs="Arial"/>
                <w:sz w:val="20"/>
                <w:szCs w:val="20"/>
                <w:lang w:val="en-US"/>
              </w:rPr>
              <w:t>When evaluating the proponent’s Discharge Strategy</w:t>
            </w:r>
            <w:r w:rsidRPr="00052ECC">
              <w:rPr>
                <w:rFonts w:ascii="Arial" w:hAnsi="Arial" w:cs="Arial"/>
                <w:sz w:val="20"/>
                <w:szCs w:val="20"/>
                <w:lang w:val="en-US"/>
              </w:rPr>
              <w:t>, afford</w:t>
            </w:r>
            <w:r w:rsidRPr="00D92581">
              <w:rPr>
                <w:rFonts w:ascii="Arial" w:hAnsi="Arial" w:cs="Arial"/>
                <w:sz w:val="20"/>
                <w:szCs w:val="20"/>
                <w:lang w:val="en-US"/>
              </w:rPr>
              <w:t xml:space="preserve"> a high level of protection to the </w:t>
            </w:r>
            <w:proofErr w:type="spellStart"/>
            <w:r w:rsidRPr="00D92581">
              <w:rPr>
                <w:rFonts w:ascii="Arial" w:hAnsi="Arial" w:cs="Arial"/>
                <w:sz w:val="20"/>
                <w:szCs w:val="20"/>
                <w:lang w:val="en-US"/>
              </w:rPr>
              <w:t>Condamine</w:t>
            </w:r>
            <w:proofErr w:type="spellEnd"/>
            <w:r w:rsidRPr="00D92581">
              <w:rPr>
                <w:rFonts w:ascii="Arial" w:hAnsi="Arial" w:cs="Arial"/>
                <w:sz w:val="20"/>
                <w:szCs w:val="20"/>
                <w:lang w:val="en-US"/>
              </w:rPr>
              <w:t xml:space="preserve"> River population of</w:t>
            </w:r>
            <w:r>
              <w:rPr>
                <w:rFonts w:ascii="Arial" w:hAnsi="Arial" w:cs="Arial"/>
                <w:sz w:val="20"/>
                <w:szCs w:val="20"/>
                <w:lang w:val="en-US"/>
              </w:rPr>
              <w:t xml:space="preserve"> this species</w:t>
            </w:r>
            <w:r w:rsidRPr="00D92581">
              <w:rPr>
                <w:rFonts w:ascii="Arial" w:hAnsi="Arial" w:cs="Arial"/>
                <w:sz w:val="20"/>
                <w:szCs w:val="20"/>
                <w:lang w:val="en-US"/>
              </w:rPr>
              <w:t>, given its status as an ‘important population’.</w:t>
            </w:r>
            <w:r w:rsidR="00D63595" w:rsidRPr="00D92581">
              <w:rPr>
                <w:rFonts w:ascii="Arial" w:hAnsi="Arial" w:cs="Arial"/>
                <w:sz w:val="20"/>
                <w:szCs w:val="20"/>
                <w:lang w:val="en-US"/>
              </w:rPr>
              <w:t xml:space="preserve"> </w:t>
            </w:r>
          </w:p>
          <w:p w:rsidR="00D63595" w:rsidRPr="005759BE" w:rsidRDefault="00650F38" w:rsidP="00677791">
            <w:pPr>
              <w:pStyle w:val="ListNumber"/>
              <w:numPr>
                <w:ilvl w:val="0"/>
                <w:numId w:val="8"/>
              </w:numPr>
              <w:spacing w:after="180"/>
              <w:ind w:left="425" w:hanging="357"/>
              <w:rPr>
                <w:rFonts w:ascii="Arial" w:hAnsi="Arial" w:cs="Arial"/>
                <w:sz w:val="20"/>
                <w:szCs w:val="20"/>
                <w:lang w:val="en-US"/>
              </w:rPr>
            </w:pPr>
            <w:proofErr w:type="spellStart"/>
            <w:r w:rsidRPr="00650F38">
              <w:rPr>
                <w:rFonts w:ascii="Arial" w:hAnsi="Arial" w:cs="Arial"/>
                <w:i/>
                <w:sz w:val="20"/>
                <w:szCs w:val="20"/>
                <w:lang w:val="en-US"/>
              </w:rPr>
              <w:t>Rostratula</w:t>
            </w:r>
            <w:proofErr w:type="spellEnd"/>
            <w:r w:rsidRPr="00650F38">
              <w:rPr>
                <w:rFonts w:ascii="Arial" w:hAnsi="Arial" w:cs="Arial"/>
                <w:i/>
                <w:sz w:val="20"/>
                <w:szCs w:val="20"/>
                <w:lang w:val="en-US"/>
              </w:rPr>
              <w:t xml:space="preserve"> </w:t>
            </w:r>
            <w:proofErr w:type="spellStart"/>
            <w:r w:rsidRPr="00650F38">
              <w:rPr>
                <w:rFonts w:ascii="Arial" w:hAnsi="Arial" w:cs="Arial"/>
                <w:i/>
                <w:sz w:val="20"/>
                <w:szCs w:val="20"/>
                <w:lang w:val="en-US"/>
              </w:rPr>
              <w:t>australis</w:t>
            </w:r>
            <w:proofErr w:type="spellEnd"/>
            <w:r w:rsidRPr="00D92581">
              <w:rPr>
                <w:rFonts w:ascii="Arial" w:hAnsi="Arial" w:cs="Arial"/>
                <w:sz w:val="20"/>
                <w:szCs w:val="20"/>
                <w:lang w:val="en-US"/>
              </w:rPr>
              <w:t xml:space="preserve"> (Australian Painted Snipe)</w:t>
            </w:r>
            <w:r>
              <w:rPr>
                <w:rFonts w:ascii="Arial" w:hAnsi="Arial" w:cs="Arial"/>
                <w:sz w:val="20"/>
                <w:szCs w:val="20"/>
                <w:lang w:val="en-US"/>
              </w:rPr>
              <w:t xml:space="preserve">: </w:t>
            </w:r>
            <w:r w:rsidR="00115C70">
              <w:rPr>
                <w:rFonts w:ascii="Arial" w:hAnsi="Arial" w:cs="Arial"/>
                <w:sz w:val="20"/>
                <w:szCs w:val="20"/>
                <w:lang w:val="en-US"/>
              </w:rPr>
              <w:t>Undertake targeted surveys for this spe</w:t>
            </w:r>
            <w:r w:rsidR="00FF1408">
              <w:rPr>
                <w:rFonts w:ascii="Arial" w:hAnsi="Arial" w:cs="Arial"/>
                <w:sz w:val="20"/>
                <w:szCs w:val="20"/>
                <w:lang w:val="en-US"/>
              </w:rPr>
              <w:t>cies in wetlands within the proposed project area to</w:t>
            </w:r>
            <w:r w:rsidR="00250030">
              <w:rPr>
                <w:rFonts w:ascii="Arial" w:hAnsi="Arial" w:cs="Arial"/>
                <w:sz w:val="20"/>
                <w:szCs w:val="20"/>
                <w:lang w:val="en-US"/>
              </w:rPr>
              <w:t xml:space="preserve"> </w:t>
            </w:r>
            <w:r w:rsidR="00D63595" w:rsidRPr="00D92581">
              <w:rPr>
                <w:rFonts w:ascii="Arial" w:hAnsi="Arial" w:cs="Arial"/>
                <w:sz w:val="20"/>
                <w:szCs w:val="20"/>
                <w:lang w:val="en-US"/>
              </w:rPr>
              <w:t xml:space="preserve">identify foraging, </w:t>
            </w:r>
            <w:r w:rsidR="001C2AAD">
              <w:rPr>
                <w:rFonts w:ascii="Arial" w:hAnsi="Arial" w:cs="Arial"/>
                <w:sz w:val="20"/>
                <w:szCs w:val="20"/>
                <w:lang w:val="en-US"/>
              </w:rPr>
              <w:t>roosting and breeding habitat.</w:t>
            </w:r>
            <w:r w:rsidR="00FF1408">
              <w:rPr>
                <w:rFonts w:ascii="Arial" w:hAnsi="Arial" w:cs="Arial"/>
                <w:sz w:val="20"/>
                <w:szCs w:val="20"/>
                <w:lang w:val="en-US"/>
              </w:rPr>
              <w:t xml:space="preserve"> </w:t>
            </w:r>
            <w:r w:rsidR="004F261C" w:rsidRPr="005759BE">
              <w:rPr>
                <w:rFonts w:ascii="Arial" w:hAnsi="Arial" w:cs="Arial"/>
                <w:sz w:val="20"/>
                <w:szCs w:val="20"/>
                <w:lang w:val="en-US"/>
              </w:rPr>
              <w:t>Confirmed foraging, roosting or breeding habitat should be protected from disturbance or changes in water quality that may impact on food sources for this species.</w:t>
            </w:r>
          </w:p>
          <w:p w:rsidR="00016EF9" w:rsidRDefault="00016EF9" w:rsidP="00677791">
            <w:pPr>
              <w:pStyle w:val="ListNumber"/>
              <w:numPr>
                <w:ilvl w:val="0"/>
                <w:numId w:val="8"/>
              </w:numPr>
              <w:spacing w:after="180"/>
              <w:ind w:left="425" w:hanging="357"/>
              <w:rPr>
                <w:rFonts w:ascii="Arial" w:hAnsi="Arial" w:cs="Arial"/>
                <w:sz w:val="20"/>
                <w:szCs w:val="20"/>
                <w:lang w:val="en-US"/>
              </w:rPr>
            </w:pPr>
            <w:r>
              <w:rPr>
                <w:rFonts w:ascii="Arial" w:hAnsi="Arial" w:cs="Arial"/>
                <w:i/>
                <w:sz w:val="20"/>
                <w:szCs w:val="20"/>
                <w:lang w:val="en-US"/>
              </w:rPr>
              <w:t xml:space="preserve">Lake Broadwater and </w:t>
            </w:r>
            <w:r w:rsidRPr="00A03A11">
              <w:rPr>
                <w:rFonts w:ascii="Arial" w:hAnsi="Arial" w:cs="Arial"/>
                <w:i/>
                <w:sz w:val="20"/>
                <w:szCs w:val="20"/>
                <w:lang w:val="en-US"/>
              </w:rPr>
              <w:t>Long</w:t>
            </w:r>
            <w:r>
              <w:rPr>
                <w:rFonts w:ascii="Arial" w:hAnsi="Arial" w:cs="Arial"/>
                <w:i/>
                <w:sz w:val="20"/>
                <w:szCs w:val="20"/>
                <w:lang w:val="en-US"/>
              </w:rPr>
              <w:t xml:space="preserve"> S</w:t>
            </w:r>
            <w:r w:rsidRPr="00A03A11">
              <w:rPr>
                <w:rFonts w:ascii="Arial" w:hAnsi="Arial" w:cs="Arial"/>
                <w:i/>
                <w:sz w:val="20"/>
                <w:szCs w:val="20"/>
                <w:lang w:val="en-US"/>
              </w:rPr>
              <w:t>wamp</w:t>
            </w:r>
            <w:r>
              <w:rPr>
                <w:rFonts w:ascii="Arial" w:hAnsi="Arial" w:cs="Arial"/>
                <w:sz w:val="20"/>
                <w:szCs w:val="20"/>
                <w:lang w:val="en-US"/>
              </w:rPr>
              <w:t xml:space="preserve">: Given </w:t>
            </w:r>
            <w:r w:rsidR="00C25E62">
              <w:rPr>
                <w:rFonts w:ascii="Arial" w:hAnsi="Arial" w:cs="Arial"/>
                <w:sz w:val="20"/>
                <w:szCs w:val="20"/>
                <w:lang w:val="en-US"/>
              </w:rPr>
              <w:t>the</w:t>
            </w:r>
            <w:r>
              <w:rPr>
                <w:rFonts w:ascii="Arial" w:hAnsi="Arial" w:cs="Arial"/>
                <w:sz w:val="20"/>
                <w:szCs w:val="20"/>
                <w:lang w:val="en-US"/>
              </w:rPr>
              <w:t xml:space="preserve"> hydrological connection </w:t>
            </w:r>
            <w:r w:rsidR="00C25E62">
              <w:rPr>
                <w:rFonts w:ascii="Arial" w:hAnsi="Arial" w:cs="Arial"/>
                <w:sz w:val="20"/>
                <w:szCs w:val="20"/>
                <w:lang w:val="en-US"/>
              </w:rPr>
              <w:t xml:space="preserve">between </w:t>
            </w:r>
            <w:r>
              <w:rPr>
                <w:rFonts w:ascii="Arial" w:hAnsi="Arial" w:cs="Arial"/>
                <w:sz w:val="20"/>
                <w:szCs w:val="20"/>
                <w:lang w:val="en-US"/>
              </w:rPr>
              <w:t xml:space="preserve">Lake Broadwater </w:t>
            </w:r>
            <w:r w:rsidR="00C25E62">
              <w:rPr>
                <w:rFonts w:ascii="Arial" w:hAnsi="Arial" w:cs="Arial"/>
                <w:sz w:val="20"/>
                <w:szCs w:val="20"/>
                <w:lang w:val="en-US"/>
              </w:rPr>
              <w:t>and the Long Swamp wetland</w:t>
            </w:r>
            <w:r w:rsidR="00EA6CE5">
              <w:rPr>
                <w:rFonts w:ascii="Arial" w:hAnsi="Arial" w:cs="Arial"/>
                <w:sz w:val="20"/>
                <w:szCs w:val="20"/>
                <w:lang w:val="en-US"/>
              </w:rPr>
              <w:t xml:space="preserve"> </w:t>
            </w:r>
            <w:r w:rsidR="005001A3">
              <w:rPr>
                <w:rFonts w:ascii="Arial" w:hAnsi="Arial" w:cs="Arial"/>
                <w:sz w:val="20"/>
                <w:szCs w:val="20"/>
                <w:lang w:val="en-US"/>
              </w:rPr>
              <w:t xml:space="preserve">and </w:t>
            </w:r>
            <w:r w:rsidR="00EA6CE5">
              <w:rPr>
                <w:rFonts w:ascii="Arial" w:hAnsi="Arial" w:cs="Arial"/>
                <w:sz w:val="20"/>
                <w:szCs w:val="20"/>
                <w:lang w:val="en-US"/>
              </w:rPr>
              <w:t xml:space="preserve">that the latter is a </w:t>
            </w:r>
            <w:r>
              <w:rPr>
                <w:rFonts w:ascii="Arial" w:hAnsi="Arial" w:cs="Arial"/>
                <w:sz w:val="20"/>
                <w:szCs w:val="20"/>
                <w:lang w:val="en-US"/>
              </w:rPr>
              <w:t xml:space="preserve">possible breeding location for </w:t>
            </w:r>
            <w:proofErr w:type="spellStart"/>
            <w:r w:rsidRPr="00A03A11">
              <w:rPr>
                <w:rFonts w:ascii="Arial" w:hAnsi="Arial" w:cs="Arial"/>
                <w:i/>
                <w:sz w:val="20"/>
                <w:szCs w:val="20"/>
                <w:lang w:val="en-US"/>
              </w:rPr>
              <w:t>Rostratula</w:t>
            </w:r>
            <w:proofErr w:type="spellEnd"/>
            <w:r w:rsidRPr="00A03A11">
              <w:rPr>
                <w:rFonts w:ascii="Arial" w:hAnsi="Arial" w:cs="Arial"/>
                <w:i/>
                <w:sz w:val="20"/>
                <w:szCs w:val="20"/>
                <w:lang w:val="en-US"/>
              </w:rPr>
              <w:t xml:space="preserve"> </w:t>
            </w:r>
            <w:proofErr w:type="spellStart"/>
            <w:r w:rsidRPr="00A03A11">
              <w:rPr>
                <w:rFonts w:ascii="Arial" w:hAnsi="Arial" w:cs="Arial"/>
                <w:i/>
                <w:sz w:val="20"/>
                <w:szCs w:val="20"/>
                <w:lang w:val="en-US"/>
              </w:rPr>
              <w:t>australis</w:t>
            </w:r>
            <w:proofErr w:type="spellEnd"/>
            <w:r w:rsidRPr="00A03A11">
              <w:rPr>
                <w:rFonts w:ascii="Arial" w:hAnsi="Arial" w:cs="Arial"/>
                <w:sz w:val="20"/>
                <w:szCs w:val="20"/>
                <w:lang w:val="en-US"/>
              </w:rPr>
              <w:t xml:space="preserve"> (Australian Painted Snipe)</w:t>
            </w:r>
            <w:r>
              <w:rPr>
                <w:rFonts w:ascii="Arial" w:hAnsi="Arial" w:cs="Arial"/>
                <w:sz w:val="20"/>
                <w:szCs w:val="20"/>
                <w:lang w:val="en-US"/>
              </w:rPr>
              <w:t xml:space="preserve">, it is recommended that the Long Swamp wetland is allocated a ‘high’ sensitivity ranking and </w:t>
            </w:r>
            <w:r w:rsidRPr="00A03A11">
              <w:rPr>
                <w:rFonts w:ascii="Arial" w:hAnsi="Arial" w:cs="Arial"/>
                <w:sz w:val="20"/>
                <w:szCs w:val="20"/>
                <w:lang w:val="en-US"/>
              </w:rPr>
              <w:t>that development activities that may impact on the environmental values of this wetland are avoided</w:t>
            </w:r>
            <w:r>
              <w:rPr>
                <w:rFonts w:ascii="Arial" w:hAnsi="Arial" w:cs="Arial"/>
                <w:sz w:val="20"/>
                <w:szCs w:val="20"/>
                <w:lang w:val="en-US"/>
              </w:rPr>
              <w:t>.</w:t>
            </w:r>
            <w:r w:rsidRPr="005468C4">
              <w:rPr>
                <w:rFonts w:ascii="Arial" w:hAnsi="Arial" w:cs="Arial"/>
                <w:sz w:val="20"/>
                <w:szCs w:val="20"/>
                <w:lang w:val="en-US"/>
              </w:rPr>
              <w:t xml:space="preserve"> </w:t>
            </w:r>
            <w:r>
              <w:rPr>
                <w:rFonts w:ascii="Arial" w:hAnsi="Arial" w:cs="Arial"/>
                <w:sz w:val="20"/>
                <w:szCs w:val="20"/>
                <w:lang w:val="en-US"/>
              </w:rPr>
              <w:t>Additionally, the Committee</w:t>
            </w:r>
            <w:r w:rsidRPr="005468C4">
              <w:rPr>
                <w:rFonts w:ascii="Arial" w:hAnsi="Arial" w:cs="Arial"/>
                <w:sz w:val="20"/>
                <w:szCs w:val="20"/>
                <w:lang w:val="en-US"/>
              </w:rPr>
              <w:t xml:space="preserve"> supports the recommendation to assess and avoid potential negative impacts that could change the flood hydrology or geomorphology of Lake Broadwater </w:t>
            </w:r>
            <w:r w:rsidRPr="005468C4">
              <w:rPr>
                <w:rFonts w:ascii="Arial" w:hAnsi="Arial" w:cs="Arial"/>
                <w:sz w:val="20"/>
                <w:szCs w:val="20"/>
                <w:lang w:val="en-US"/>
              </w:rPr>
              <w:lastRenderedPageBreak/>
              <w:t>and suggests that this</w:t>
            </w:r>
            <w:r w:rsidR="00E03520">
              <w:rPr>
                <w:rFonts w:ascii="Arial" w:hAnsi="Arial" w:cs="Arial"/>
                <w:sz w:val="20"/>
                <w:szCs w:val="20"/>
                <w:lang w:val="en-US"/>
              </w:rPr>
              <w:t xml:space="preserve"> </w:t>
            </w:r>
            <w:r w:rsidR="004F261C" w:rsidRPr="005759BE">
              <w:rPr>
                <w:rFonts w:ascii="Arial" w:hAnsi="Arial" w:cs="Arial"/>
                <w:sz w:val="20"/>
                <w:szCs w:val="20"/>
                <w:lang w:val="en-US"/>
              </w:rPr>
              <w:t>requirement</w:t>
            </w:r>
            <w:r w:rsidR="00E03520" w:rsidRPr="005759BE">
              <w:rPr>
                <w:rFonts w:ascii="Arial" w:hAnsi="Arial" w:cs="Arial"/>
                <w:sz w:val="20"/>
                <w:szCs w:val="20"/>
                <w:lang w:val="en-US"/>
              </w:rPr>
              <w:t xml:space="preserve"> </w:t>
            </w:r>
            <w:r w:rsidRPr="005759BE">
              <w:rPr>
                <w:rFonts w:ascii="Arial" w:hAnsi="Arial" w:cs="Arial"/>
                <w:sz w:val="20"/>
                <w:szCs w:val="20"/>
                <w:lang w:val="en-US"/>
              </w:rPr>
              <w:t>is</w:t>
            </w:r>
            <w:r w:rsidRPr="005468C4">
              <w:rPr>
                <w:rFonts w:ascii="Arial" w:hAnsi="Arial" w:cs="Arial"/>
                <w:sz w:val="20"/>
                <w:szCs w:val="20"/>
                <w:lang w:val="en-US"/>
              </w:rPr>
              <w:t xml:space="preserve"> extended to </w:t>
            </w:r>
            <w:r w:rsidR="00EA6CE5">
              <w:rPr>
                <w:rFonts w:ascii="Arial" w:hAnsi="Arial" w:cs="Arial"/>
                <w:sz w:val="20"/>
                <w:szCs w:val="20"/>
                <w:lang w:val="en-US"/>
              </w:rPr>
              <w:t xml:space="preserve">the </w:t>
            </w:r>
            <w:r w:rsidRPr="005468C4">
              <w:rPr>
                <w:rFonts w:ascii="Arial" w:hAnsi="Arial" w:cs="Arial"/>
                <w:sz w:val="20"/>
                <w:szCs w:val="20"/>
                <w:lang w:val="en-US"/>
              </w:rPr>
              <w:t>Long</w:t>
            </w:r>
            <w:r>
              <w:rPr>
                <w:rFonts w:ascii="Arial" w:hAnsi="Arial" w:cs="Arial"/>
                <w:sz w:val="20"/>
                <w:szCs w:val="20"/>
                <w:lang w:val="en-US"/>
              </w:rPr>
              <w:t xml:space="preserve"> S</w:t>
            </w:r>
            <w:r w:rsidRPr="005468C4">
              <w:rPr>
                <w:rFonts w:ascii="Arial" w:hAnsi="Arial" w:cs="Arial"/>
                <w:sz w:val="20"/>
                <w:szCs w:val="20"/>
                <w:lang w:val="en-US"/>
              </w:rPr>
              <w:t>wamp</w:t>
            </w:r>
            <w:r w:rsidR="00EA6CE5">
              <w:rPr>
                <w:rFonts w:ascii="Arial" w:hAnsi="Arial" w:cs="Arial"/>
                <w:sz w:val="20"/>
                <w:szCs w:val="20"/>
                <w:lang w:val="en-US"/>
              </w:rPr>
              <w:t xml:space="preserve"> wetland</w:t>
            </w:r>
            <w:r w:rsidRPr="005468C4">
              <w:rPr>
                <w:rFonts w:ascii="Arial" w:hAnsi="Arial" w:cs="Arial"/>
                <w:sz w:val="20"/>
                <w:szCs w:val="20"/>
                <w:lang w:val="en-US"/>
              </w:rPr>
              <w:t>.</w:t>
            </w:r>
          </w:p>
          <w:p w:rsidR="00D63595" w:rsidRPr="00D92581" w:rsidRDefault="008E35DB" w:rsidP="00EA6CE5">
            <w:pPr>
              <w:pStyle w:val="ListNumber"/>
              <w:numPr>
                <w:ilvl w:val="0"/>
                <w:numId w:val="8"/>
              </w:numPr>
              <w:spacing w:after="200"/>
              <w:ind w:left="426"/>
              <w:rPr>
                <w:rFonts w:ascii="Arial" w:hAnsi="Arial" w:cs="Arial"/>
                <w:sz w:val="20"/>
                <w:szCs w:val="20"/>
                <w:lang w:eastAsia="en-AU"/>
              </w:rPr>
            </w:pPr>
            <w:r w:rsidRPr="00833128">
              <w:rPr>
                <w:rFonts w:ascii="Arial" w:hAnsi="Arial" w:cs="Arial"/>
                <w:i/>
                <w:sz w:val="20"/>
                <w:szCs w:val="20"/>
                <w:lang w:val="en-US"/>
              </w:rPr>
              <w:t xml:space="preserve">Sensitivity </w:t>
            </w:r>
            <w:r w:rsidR="00CB7F70">
              <w:rPr>
                <w:rFonts w:ascii="Arial" w:hAnsi="Arial" w:cs="Arial"/>
                <w:i/>
                <w:sz w:val="20"/>
                <w:szCs w:val="20"/>
                <w:lang w:val="en-US"/>
              </w:rPr>
              <w:t>c</w:t>
            </w:r>
            <w:r w:rsidRPr="00833128">
              <w:rPr>
                <w:rFonts w:ascii="Arial" w:hAnsi="Arial" w:cs="Arial"/>
                <w:i/>
                <w:sz w:val="20"/>
                <w:szCs w:val="20"/>
                <w:lang w:val="en-US"/>
              </w:rPr>
              <w:t>lassification</w:t>
            </w:r>
            <w:r>
              <w:rPr>
                <w:rFonts w:ascii="Arial" w:hAnsi="Arial" w:cs="Arial"/>
                <w:sz w:val="20"/>
                <w:szCs w:val="20"/>
                <w:lang w:val="en-US"/>
              </w:rPr>
              <w:t xml:space="preserve">: </w:t>
            </w:r>
            <w:r w:rsidR="00D63595" w:rsidRPr="00D92581">
              <w:rPr>
                <w:rFonts w:ascii="Arial" w:hAnsi="Arial" w:cs="Arial"/>
                <w:sz w:val="20"/>
                <w:szCs w:val="20"/>
                <w:lang w:val="en-US"/>
              </w:rPr>
              <w:t xml:space="preserve">While </w:t>
            </w:r>
            <w:r w:rsidR="00C15ADC">
              <w:rPr>
                <w:rFonts w:ascii="Arial" w:hAnsi="Arial" w:cs="Arial"/>
                <w:sz w:val="20"/>
                <w:szCs w:val="20"/>
                <w:lang w:val="en-US"/>
              </w:rPr>
              <w:t xml:space="preserve">the proponent’s sensitivity </w:t>
            </w:r>
            <w:r w:rsidR="00D63595" w:rsidRPr="00D92581">
              <w:rPr>
                <w:rFonts w:ascii="Arial" w:hAnsi="Arial" w:cs="Arial"/>
                <w:sz w:val="20"/>
                <w:szCs w:val="20"/>
                <w:lang w:val="en-US"/>
              </w:rPr>
              <w:t>classification system is useful at a regional scale</w:t>
            </w:r>
            <w:r w:rsidR="00D63595" w:rsidRPr="00F12B5D">
              <w:rPr>
                <w:rFonts w:ascii="Arial" w:hAnsi="Arial" w:cs="Arial"/>
                <w:sz w:val="20"/>
                <w:szCs w:val="20"/>
                <w:lang w:val="en-US"/>
              </w:rPr>
              <w:t>, it does not adequately capture the</w:t>
            </w:r>
            <w:r w:rsidR="00D63595" w:rsidRPr="00D92581">
              <w:rPr>
                <w:rFonts w:ascii="Arial" w:hAnsi="Arial" w:cs="Arial"/>
                <w:sz w:val="20"/>
                <w:szCs w:val="20"/>
                <w:lang w:val="en-US"/>
              </w:rPr>
              <w:t xml:space="preserve"> variety of environmental values at the </w:t>
            </w:r>
            <w:proofErr w:type="gramStart"/>
            <w:r w:rsidR="00D63595" w:rsidRPr="00D92581">
              <w:rPr>
                <w:rFonts w:ascii="Arial" w:hAnsi="Arial" w:cs="Arial"/>
                <w:sz w:val="20"/>
                <w:szCs w:val="20"/>
                <w:lang w:val="en-US"/>
              </w:rPr>
              <w:t>site level nor</w:t>
            </w:r>
            <w:proofErr w:type="gramEnd"/>
            <w:r w:rsidR="00D63595" w:rsidRPr="00D92581">
              <w:rPr>
                <w:rFonts w:ascii="Arial" w:hAnsi="Arial" w:cs="Arial"/>
                <w:sz w:val="20"/>
                <w:szCs w:val="20"/>
                <w:lang w:val="en-US"/>
              </w:rPr>
              <w:t xml:space="preserve"> account for the connect</w:t>
            </w:r>
            <w:r>
              <w:rPr>
                <w:rFonts w:ascii="Arial" w:hAnsi="Arial" w:cs="Arial"/>
                <w:sz w:val="20"/>
                <w:szCs w:val="20"/>
                <w:lang w:val="en-US"/>
              </w:rPr>
              <w:t>edness</w:t>
            </w:r>
            <w:r w:rsidR="00D63595" w:rsidRPr="00D92581">
              <w:rPr>
                <w:rFonts w:ascii="Arial" w:hAnsi="Arial" w:cs="Arial"/>
                <w:sz w:val="20"/>
                <w:szCs w:val="20"/>
                <w:lang w:val="en-US"/>
              </w:rPr>
              <w:t xml:space="preserve"> or inherently variable nature of water resources and their dependent ecosystems. These issues are of significance as sensitivity classifications have been used as the basis for application of management and mitigation measures</w:t>
            </w:r>
            <w:r w:rsidR="00C15ADC">
              <w:rPr>
                <w:rFonts w:ascii="Arial" w:hAnsi="Arial" w:cs="Arial"/>
                <w:sz w:val="20"/>
                <w:szCs w:val="20"/>
                <w:lang w:val="en-US"/>
              </w:rPr>
              <w:t xml:space="preserve">. </w:t>
            </w:r>
            <w:r w:rsidR="00343D10">
              <w:rPr>
                <w:rFonts w:ascii="Arial" w:hAnsi="Arial" w:cs="Arial"/>
                <w:sz w:val="20"/>
                <w:szCs w:val="20"/>
                <w:lang w:val="en-US"/>
              </w:rPr>
              <w:t xml:space="preserve">The ability of this classification system to protect environmental values would be improved by: </w:t>
            </w:r>
          </w:p>
          <w:p w:rsidR="00016EF9" w:rsidRDefault="00016EF9" w:rsidP="00FC4D6F">
            <w:pPr>
              <w:pStyle w:val="ListNumber"/>
              <w:numPr>
                <w:ilvl w:val="1"/>
                <w:numId w:val="8"/>
              </w:numPr>
              <w:spacing w:after="160"/>
              <w:ind w:left="992" w:hanging="357"/>
              <w:rPr>
                <w:rFonts w:ascii="Arial" w:hAnsi="Arial" w:cs="Arial"/>
                <w:sz w:val="20"/>
                <w:szCs w:val="20"/>
              </w:rPr>
            </w:pPr>
            <w:r>
              <w:rPr>
                <w:rFonts w:ascii="Arial" w:hAnsi="Arial" w:cs="Arial"/>
                <w:sz w:val="20"/>
                <w:szCs w:val="20"/>
              </w:rPr>
              <w:t xml:space="preserve">Undertaking the additional baseline surveys discussed in </w:t>
            </w:r>
            <w:r w:rsidR="00CF041B">
              <w:rPr>
                <w:rFonts w:ascii="Arial" w:hAnsi="Arial" w:cs="Arial"/>
                <w:sz w:val="20"/>
                <w:szCs w:val="20"/>
              </w:rPr>
              <w:t>paragraph</w:t>
            </w:r>
            <w:r>
              <w:rPr>
                <w:rFonts w:ascii="Arial" w:hAnsi="Arial" w:cs="Arial"/>
                <w:sz w:val="20"/>
                <w:szCs w:val="20"/>
              </w:rPr>
              <w:t xml:space="preserve"> </w:t>
            </w:r>
            <w:r w:rsidR="00CF041B">
              <w:rPr>
                <w:rFonts w:ascii="Arial" w:hAnsi="Arial" w:cs="Arial"/>
                <w:sz w:val="20"/>
                <w:szCs w:val="20"/>
              </w:rPr>
              <w:t>7</w:t>
            </w:r>
            <w:r>
              <w:rPr>
                <w:rFonts w:ascii="Arial" w:hAnsi="Arial" w:cs="Arial"/>
                <w:sz w:val="20"/>
                <w:szCs w:val="20"/>
              </w:rPr>
              <w:t xml:space="preserve"> of this advice;</w:t>
            </w:r>
          </w:p>
          <w:p w:rsidR="00D63595" w:rsidRPr="00C15ADC" w:rsidRDefault="00016EF9" w:rsidP="00FC4D6F">
            <w:pPr>
              <w:pStyle w:val="ListNumber"/>
              <w:numPr>
                <w:ilvl w:val="1"/>
                <w:numId w:val="8"/>
              </w:numPr>
              <w:spacing w:after="160"/>
              <w:ind w:left="992" w:hanging="357"/>
              <w:rPr>
                <w:rFonts w:ascii="Arial" w:hAnsi="Arial" w:cs="Arial"/>
                <w:sz w:val="20"/>
                <w:szCs w:val="20"/>
              </w:rPr>
            </w:pPr>
            <w:r>
              <w:rPr>
                <w:rFonts w:ascii="Arial" w:hAnsi="Arial" w:cs="Arial"/>
                <w:sz w:val="20"/>
                <w:szCs w:val="20"/>
              </w:rPr>
              <w:t>P</w:t>
            </w:r>
            <w:r w:rsidR="00D63595" w:rsidRPr="00C15ADC">
              <w:rPr>
                <w:rFonts w:ascii="Arial" w:hAnsi="Arial" w:cs="Arial"/>
                <w:sz w:val="20"/>
                <w:szCs w:val="20"/>
              </w:rPr>
              <w:t xml:space="preserve">roviding evidence from published literature to support the adopted sensitivity criteria and banding thresholds; </w:t>
            </w:r>
          </w:p>
          <w:p w:rsidR="00D63595" w:rsidRPr="00C15ADC" w:rsidRDefault="00016EF9" w:rsidP="00FC4D6F">
            <w:pPr>
              <w:pStyle w:val="ListNumber"/>
              <w:numPr>
                <w:ilvl w:val="1"/>
                <w:numId w:val="8"/>
              </w:numPr>
              <w:spacing w:after="160"/>
              <w:ind w:left="992" w:hanging="357"/>
              <w:rPr>
                <w:rFonts w:ascii="Arial" w:hAnsi="Arial" w:cs="Arial"/>
                <w:sz w:val="20"/>
                <w:szCs w:val="20"/>
              </w:rPr>
            </w:pPr>
            <w:r>
              <w:rPr>
                <w:rFonts w:ascii="Arial" w:hAnsi="Arial" w:cs="Arial"/>
                <w:sz w:val="20"/>
                <w:szCs w:val="20"/>
              </w:rPr>
              <w:t>M</w:t>
            </w:r>
            <w:r w:rsidR="00D63595" w:rsidRPr="00C15ADC">
              <w:rPr>
                <w:rFonts w:ascii="Arial" w:hAnsi="Arial" w:cs="Arial"/>
                <w:sz w:val="20"/>
                <w:szCs w:val="20"/>
              </w:rPr>
              <w:t>ore clearly linking the environmental value with the sensitivity criteria;</w:t>
            </w:r>
          </w:p>
          <w:p w:rsidR="00D63595" w:rsidRPr="00C15ADC" w:rsidRDefault="00016EF9" w:rsidP="00FC4D6F">
            <w:pPr>
              <w:pStyle w:val="ListNumber"/>
              <w:numPr>
                <w:ilvl w:val="1"/>
                <w:numId w:val="8"/>
              </w:numPr>
              <w:spacing w:after="160"/>
              <w:ind w:left="992" w:hanging="357"/>
              <w:rPr>
                <w:rFonts w:ascii="Arial" w:hAnsi="Arial" w:cs="Arial"/>
                <w:sz w:val="20"/>
                <w:szCs w:val="20"/>
              </w:rPr>
            </w:pPr>
            <w:r>
              <w:rPr>
                <w:rFonts w:ascii="Arial" w:hAnsi="Arial" w:cs="Arial"/>
                <w:sz w:val="20"/>
                <w:szCs w:val="20"/>
              </w:rPr>
              <w:t>I</w:t>
            </w:r>
            <w:r w:rsidR="00D63595" w:rsidRPr="00C15ADC">
              <w:rPr>
                <w:rFonts w:ascii="Arial" w:hAnsi="Arial" w:cs="Arial"/>
                <w:sz w:val="20"/>
                <w:szCs w:val="20"/>
              </w:rPr>
              <w:t>ncorporating the findings of published studies that identify areas of high aquatic conservation value, such as the</w:t>
            </w:r>
            <w:r w:rsidR="00407AC8">
              <w:rPr>
                <w:rFonts w:ascii="Arial" w:hAnsi="Arial" w:cs="Arial"/>
                <w:sz w:val="20"/>
                <w:szCs w:val="20"/>
              </w:rPr>
              <w:t xml:space="preserve"> Queensland Murray Darling Basin Aquatic Conservation Assessment (Fielder </w:t>
            </w:r>
            <w:r w:rsidR="00407AC8" w:rsidRPr="00407AC8">
              <w:rPr>
                <w:rFonts w:ascii="Arial" w:hAnsi="Arial" w:cs="Arial"/>
                <w:i/>
                <w:sz w:val="20"/>
                <w:szCs w:val="20"/>
              </w:rPr>
              <w:t>et al,</w:t>
            </w:r>
            <w:r w:rsidR="00407AC8">
              <w:rPr>
                <w:rFonts w:ascii="Arial" w:hAnsi="Arial" w:cs="Arial"/>
                <w:sz w:val="20"/>
                <w:szCs w:val="20"/>
              </w:rPr>
              <w:t xml:space="preserve"> 2011)</w:t>
            </w:r>
            <w:r w:rsidR="00047612">
              <w:rPr>
                <w:rFonts w:ascii="Arial" w:hAnsi="Arial" w:cs="Arial"/>
                <w:color w:val="000000" w:themeColor="text1"/>
                <w:sz w:val="20"/>
                <w:szCs w:val="20"/>
                <w:vertAlign w:val="superscript"/>
              </w:rPr>
              <w:t>4</w:t>
            </w:r>
            <w:r w:rsidR="00407AC8">
              <w:rPr>
                <w:rFonts w:ascii="Arial" w:hAnsi="Arial" w:cs="Arial"/>
                <w:sz w:val="20"/>
                <w:szCs w:val="20"/>
              </w:rPr>
              <w:t xml:space="preserve"> </w:t>
            </w:r>
            <w:r w:rsidR="00D63595" w:rsidRPr="00C15ADC">
              <w:rPr>
                <w:rFonts w:ascii="Arial" w:hAnsi="Arial" w:cs="Arial"/>
                <w:sz w:val="20"/>
                <w:szCs w:val="20"/>
              </w:rPr>
              <w:t>and areas designed as ‘high ecological value’ (HEV) in the Dawson River Sub-basin Environmental Values and Water Quality Objectives plan (DEHP, 2011)</w:t>
            </w:r>
            <w:r w:rsidR="00C90F76">
              <w:rPr>
                <w:rFonts w:ascii="Arial" w:hAnsi="Arial" w:cs="Arial"/>
                <w:color w:val="000000" w:themeColor="text1"/>
                <w:sz w:val="20"/>
                <w:szCs w:val="20"/>
                <w:vertAlign w:val="superscript"/>
              </w:rPr>
              <w:t>6</w:t>
            </w:r>
            <w:r w:rsidR="00D63595" w:rsidRPr="00C15ADC">
              <w:rPr>
                <w:rFonts w:ascii="Arial" w:hAnsi="Arial" w:cs="Arial"/>
                <w:sz w:val="20"/>
                <w:szCs w:val="20"/>
              </w:rPr>
              <w:t>;</w:t>
            </w:r>
          </w:p>
          <w:p w:rsidR="00D63595" w:rsidRPr="00C15ADC" w:rsidRDefault="00016EF9" w:rsidP="00FC4D6F">
            <w:pPr>
              <w:pStyle w:val="ListNumber"/>
              <w:numPr>
                <w:ilvl w:val="1"/>
                <w:numId w:val="8"/>
              </w:numPr>
              <w:spacing w:after="160"/>
              <w:ind w:left="992" w:hanging="357"/>
              <w:rPr>
                <w:rFonts w:ascii="Arial" w:hAnsi="Arial" w:cs="Arial"/>
                <w:sz w:val="20"/>
                <w:szCs w:val="20"/>
              </w:rPr>
            </w:pPr>
            <w:r>
              <w:rPr>
                <w:rFonts w:ascii="Arial" w:hAnsi="Arial" w:cs="Arial"/>
                <w:sz w:val="20"/>
                <w:szCs w:val="20"/>
              </w:rPr>
              <w:t>R</w:t>
            </w:r>
            <w:r w:rsidR="00D63595" w:rsidRPr="00C15ADC">
              <w:rPr>
                <w:rFonts w:ascii="Arial" w:hAnsi="Arial" w:cs="Arial"/>
                <w:sz w:val="20"/>
                <w:szCs w:val="20"/>
              </w:rPr>
              <w:t>esolving the discrepancy betwe</w:t>
            </w:r>
            <w:r w:rsidR="00407AC8">
              <w:rPr>
                <w:rFonts w:ascii="Arial" w:hAnsi="Arial" w:cs="Arial"/>
                <w:sz w:val="20"/>
                <w:szCs w:val="20"/>
              </w:rPr>
              <w:t>en sensitivities given to water</w:t>
            </w:r>
            <w:r w:rsidR="00D63595" w:rsidRPr="00C15ADC">
              <w:rPr>
                <w:rFonts w:ascii="Arial" w:hAnsi="Arial" w:cs="Arial"/>
                <w:sz w:val="20"/>
                <w:szCs w:val="20"/>
              </w:rPr>
              <w:t>course types and the ecological communities that live within them</w:t>
            </w:r>
            <w:r w:rsidR="00407AC8">
              <w:rPr>
                <w:rFonts w:ascii="Arial" w:hAnsi="Arial" w:cs="Arial"/>
                <w:sz w:val="20"/>
                <w:szCs w:val="20"/>
              </w:rPr>
              <w:t xml:space="preserve">; </w:t>
            </w:r>
          </w:p>
          <w:p w:rsidR="0081162C" w:rsidRPr="0081162C" w:rsidRDefault="00016EF9" w:rsidP="00FC4D6F">
            <w:pPr>
              <w:pStyle w:val="ListNumber"/>
              <w:numPr>
                <w:ilvl w:val="1"/>
                <w:numId w:val="8"/>
              </w:numPr>
              <w:spacing w:after="160"/>
              <w:ind w:left="992" w:hanging="357"/>
              <w:rPr>
                <w:rFonts w:ascii="Arial" w:hAnsi="Arial" w:cs="Arial"/>
                <w:sz w:val="20"/>
                <w:szCs w:val="20"/>
              </w:rPr>
            </w:pPr>
            <w:r>
              <w:rPr>
                <w:rFonts w:ascii="Arial" w:hAnsi="Arial" w:cs="Arial"/>
                <w:sz w:val="20"/>
                <w:szCs w:val="20"/>
              </w:rPr>
              <w:t>A</w:t>
            </w:r>
            <w:r w:rsidR="00D63595" w:rsidRPr="00C15ADC">
              <w:rPr>
                <w:rFonts w:ascii="Arial" w:hAnsi="Arial" w:cs="Arial"/>
                <w:sz w:val="20"/>
                <w:szCs w:val="20"/>
              </w:rPr>
              <w:t>mending the criteria to reflect the understanding that resilience to change is dependent on the type of change that is experienced and the environmental</w:t>
            </w:r>
            <w:r w:rsidR="00407AC8">
              <w:rPr>
                <w:rFonts w:ascii="Arial" w:hAnsi="Arial" w:cs="Arial"/>
                <w:sz w:val="20"/>
                <w:szCs w:val="20"/>
              </w:rPr>
              <w:t xml:space="preserve"> value that is being measured</w:t>
            </w:r>
            <w:r w:rsidR="0081162C">
              <w:rPr>
                <w:rFonts w:ascii="Arial" w:hAnsi="Arial" w:cs="Arial"/>
                <w:sz w:val="20"/>
                <w:szCs w:val="20"/>
              </w:rPr>
              <w:t xml:space="preserve">. </w:t>
            </w:r>
            <w:r w:rsidR="0081162C" w:rsidRPr="0081162C">
              <w:rPr>
                <w:rFonts w:ascii="Arial" w:hAnsi="Arial" w:cs="Arial"/>
                <w:sz w:val="20"/>
                <w:szCs w:val="20"/>
              </w:rPr>
              <w:t>For example, ecosystems adapted to ephemeral water courses may be more resilient to some degradation in water quality but are likely to be less resilient to changes that turn the ephemeral flow regime into a perennial flow regime; and</w:t>
            </w:r>
          </w:p>
          <w:p w:rsidR="00745DEE" w:rsidRPr="00F94F22" w:rsidRDefault="00016EF9" w:rsidP="00FC4D6F">
            <w:pPr>
              <w:pStyle w:val="ListNumber"/>
              <w:numPr>
                <w:ilvl w:val="1"/>
                <w:numId w:val="8"/>
              </w:numPr>
              <w:spacing w:after="160"/>
              <w:ind w:left="992" w:hanging="357"/>
              <w:rPr>
                <w:rFonts w:ascii="Arial" w:hAnsi="Arial" w:cs="Arial"/>
                <w:sz w:val="20"/>
                <w:szCs w:val="20"/>
              </w:rPr>
            </w:pPr>
            <w:r w:rsidRPr="00F94F22">
              <w:rPr>
                <w:rFonts w:ascii="Arial" w:hAnsi="Arial" w:cs="Arial"/>
                <w:sz w:val="20"/>
                <w:szCs w:val="20"/>
              </w:rPr>
              <w:t>D</w:t>
            </w:r>
            <w:r w:rsidR="00D63595" w:rsidRPr="00F94F22">
              <w:rPr>
                <w:rFonts w:ascii="Arial" w:hAnsi="Arial" w:cs="Arial"/>
                <w:sz w:val="20"/>
                <w:szCs w:val="20"/>
              </w:rPr>
              <w:t>eveloping a process to allocate sensitivity class</w:t>
            </w:r>
            <w:r w:rsidR="00F14456" w:rsidRPr="00F94F22">
              <w:rPr>
                <w:rFonts w:ascii="Arial" w:hAnsi="Arial" w:cs="Arial"/>
                <w:sz w:val="20"/>
                <w:szCs w:val="20"/>
              </w:rPr>
              <w:t>es</w:t>
            </w:r>
            <w:r w:rsidR="00D63595" w:rsidRPr="00F94F22">
              <w:rPr>
                <w:rFonts w:ascii="Arial" w:hAnsi="Arial" w:cs="Arial"/>
                <w:sz w:val="20"/>
                <w:szCs w:val="20"/>
              </w:rPr>
              <w:t xml:space="preserve"> and assess the significance of impacts at an appropriate scale for development of site-based management, mitigation and monitoring measures for each environment value/asset.</w:t>
            </w:r>
          </w:p>
          <w:p w:rsidR="00D63595" w:rsidRPr="00A03A11" w:rsidRDefault="00D63595" w:rsidP="00EA6CE5">
            <w:pPr>
              <w:pStyle w:val="ListNumber"/>
              <w:numPr>
                <w:ilvl w:val="0"/>
                <w:numId w:val="8"/>
              </w:numPr>
              <w:spacing w:after="200"/>
              <w:ind w:left="426"/>
              <w:rPr>
                <w:rFonts w:ascii="Arial" w:hAnsi="Arial" w:cs="Arial"/>
                <w:sz w:val="20"/>
                <w:szCs w:val="20"/>
                <w:lang w:val="en-US"/>
              </w:rPr>
            </w:pPr>
            <w:r w:rsidRPr="002C6E5E">
              <w:rPr>
                <w:rFonts w:ascii="Arial" w:hAnsi="Arial" w:cs="Arial"/>
                <w:i/>
                <w:sz w:val="20"/>
                <w:szCs w:val="20"/>
                <w:lang w:val="en-US"/>
              </w:rPr>
              <w:t>Flood</w:t>
            </w:r>
            <w:r w:rsidR="002C6E5E">
              <w:rPr>
                <w:rFonts w:ascii="Arial" w:hAnsi="Arial" w:cs="Arial"/>
                <w:i/>
                <w:sz w:val="20"/>
                <w:szCs w:val="20"/>
                <w:lang w:val="en-US"/>
              </w:rPr>
              <w:t xml:space="preserve">ing: </w:t>
            </w:r>
            <w:r w:rsidR="002C6E5E" w:rsidRPr="00F12B5D">
              <w:rPr>
                <w:rFonts w:ascii="Arial" w:hAnsi="Arial" w:cs="Arial"/>
                <w:sz w:val="20"/>
                <w:szCs w:val="20"/>
                <w:lang w:val="en-US"/>
              </w:rPr>
              <w:t xml:space="preserve">The </w:t>
            </w:r>
            <w:r w:rsidR="007D1AC4" w:rsidRPr="00F12B5D">
              <w:rPr>
                <w:rFonts w:ascii="Arial" w:hAnsi="Arial" w:cs="Arial"/>
                <w:sz w:val="20"/>
                <w:szCs w:val="20"/>
                <w:lang w:val="en-US"/>
              </w:rPr>
              <w:t>SEIS</w:t>
            </w:r>
            <w:r w:rsidR="002C6E5E" w:rsidRPr="00F12B5D">
              <w:rPr>
                <w:rFonts w:ascii="Arial" w:hAnsi="Arial" w:cs="Arial"/>
                <w:sz w:val="20"/>
                <w:szCs w:val="20"/>
                <w:lang w:val="en-US"/>
              </w:rPr>
              <w:t xml:space="preserve"> </w:t>
            </w:r>
            <w:r w:rsidR="00B07CBB" w:rsidRPr="00F12B5D">
              <w:rPr>
                <w:rFonts w:ascii="Arial" w:hAnsi="Arial" w:cs="Arial"/>
                <w:sz w:val="20"/>
                <w:szCs w:val="20"/>
                <w:lang w:val="en-US"/>
              </w:rPr>
              <w:t>has not comprehensively c</w:t>
            </w:r>
            <w:r w:rsidRPr="00F12B5D">
              <w:rPr>
                <w:rFonts w:ascii="Arial" w:hAnsi="Arial" w:cs="Arial"/>
                <w:sz w:val="20"/>
                <w:szCs w:val="20"/>
                <w:lang w:val="en-US"/>
              </w:rPr>
              <w:t xml:space="preserve">onsidered </w:t>
            </w:r>
            <w:r w:rsidR="002C6E5E" w:rsidRPr="00F12B5D">
              <w:rPr>
                <w:rFonts w:ascii="Arial" w:hAnsi="Arial" w:cs="Arial"/>
                <w:sz w:val="20"/>
                <w:szCs w:val="20"/>
                <w:lang w:val="en-US"/>
              </w:rPr>
              <w:t>flood</w:t>
            </w:r>
            <w:r w:rsidRPr="00F12B5D">
              <w:rPr>
                <w:rFonts w:ascii="Arial" w:hAnsi="Arial" w:cs="Arial"/>
                <w:sz w:val="20"/>
                <w:szCs w:val="20"/>
                <w:lang w:val="en-US"/>
              </w:rPr>
              <w:t xml:space="preserve"> risks to the environment or adjacent landholders arising from development of project infrastructure. </w:t>
            </w:r>
            <w:r w:rsidR="00E03520" w:rsidRPr="00F12B5D">
              <w:rPr>
                <w:rFonts w:ascii="Arial" w:hAnsi="Arial" w:cs="Arial"/>
                <w:sz w:val="20"/>
                <w:szCs w:val="20"/>
                <w:lang w:val="en-US"/>
              </w:rPr>
              <w:t xml:space="preserve">A </w:t>
            </w:r>
            <w:r w:rsidR="007D1AC4" w:rsidRPr="00F12B5D">
              <w:rPr>
                <w:rFonts w:ascii="Arial" w:hAnsi="Arial" w:cs="Arial"/>
                <w:sz w:val="20"/>
                <w:szCs w:val="20"/>
                <w:lang w:val="en-US"/>
              </w:rPr>
              <w:t xml:space="preserve">comprehensive flood study, which </w:t>
            </w:r>
            <w:r w:rsidRPr="00F12B5D">
              <w:rPr>
                <w:rFonts w:ascii="Arial" w:hAnsi="Arial" w:cs="Arial"/>
                <w:sz w:val="20"/>
                <w:szCs w:val="20"/>
                <w:lang w:val="en-US"/>
              </w:rPr>
              <w:t>incorporat</w:t>
            </w:r>
            <w:r w:rsidR="002C6E5E" w:rsidRPr="00F12B5D">
              <w:rPr>
                <w:rFonts w:ascii="Arial" w:hAnsi="Arial" w:cs="Arial"/>
                <w:sz w:val="20"/>
                <w:szCs w:val="20"/>
                <w:lang w:val="en-US"/>
              </w:rPr>
              <w:t>es</w:t>
            </w:r>
            <w:r w:rsidRPr="00F12B5D">
              <w:rPr>
                <w:rFonts w:ascii="Arial" w:hAnsi="Arial" w:cs="Arial"/>
                <w:sz w:val="20"/>
                <w:szCs w:val="20"/>
                <w:lang w:val="en-US"/>
              </w:rPr>
              <w:t xml:space="preserve"> all elements of the proposed development that may change flood path</w:t>
            </w:r>
            <w:r w:rsidR="00F14456" w:rsidRPr="00F12B5D">
              <w:rPr>
                <w:rFonts w:ascii="Arial" w:hAnsi="Arial" w:cs="Arial"/>
                <w:sz w:val="20"/>
                <w:szCs w:val="20"/>
                <w:lang w:val="en-US"/>
              </w:rPr>
              <w:t>s</w:t>
            </w:r>
            <w:r w:rsidRPr="00F12B5D">
              <w:rPr>
                <w:rFonts w:ascii="Arial" w:hAnsi="Arial" w:cs="Arial"/>
                <w:sz w:val="20"/>
                <w:szCs w:val="20"/>
                <w:lang w:val="en-US"/>
              </w:rPr>
              <w:t xml:space="preserve">, duration and </w:t>
            </w:r>
            <w:r w:rsidR="002121E1" w:rsidRPr="00F12B5D">
              <w:rPr>
                <w:rFonts w:ascii="Arial" w:hAnsi="Arial" w:cs="Arial"/>
                <w:sz w:val="20"/>
                <w:szCs w:val="20"/>
                <w:lang w:val="en-US"/>
              </w:rPr>
              <w:t>spatial</w:t>
            </w:r>
            <w:r w:rsidRPr="00A03A11">
              <w:rPr>
                <w:rFonts w:ascii="Arial" w:hAnsi="Arial" w:cs="Arial"/>
                <w:sz w:val="20"/>
                <w:szCs w:val="20"/>
                <w:lang w:val="en-US"/>
              </w:rPr>
              <w:t xml:space="preserve"> extent</w:t>
            </w:r>
            <w:r w:rsidR="002C6E5E">
              <w:rPr>
                <w:rFonts w:ascii="Arial" w:hAnsi="Arial" w:cs="Arial"/>
                <w:sz w:val="20"/>
                <w:szCs w:val="20"/>
                <w:lang w:val="en-US"/>
              </w:rPr>
              <w:t xml:space="preserve"> and identifies potential impacts on</w:t>
            </w:r>
            <w:r w:rsidR="00646AEB">
              <w:rPr>
                <w:rFonts w:ascii="Arial" w:hAnsi="Arial" w:cs="Arial"/>
                <w:sz w:val="20"/>
                <w:szCs w:val="20"/>
                <w:lang w:val="en-US"/>
              </w:rPr>
              <w:t xml:space="preserve"> the environment or adjacent landholders</w:t>
            </w:r>
            <w:r w:rsidR="00E03520">
              <w:rPr>
                <w:rFonts w:ascii="Arial" w:hAnsi="Arial" w:cs="Arial"/>
                <w:sz w:val="20"/>
                <w:szCs w:val="20"/>
                <w:lang w:val="en-US"/>
              </w:rPr>
              <w:t xml:space="preserve"> is </w:t>
            </w:r>
            <w:r w:rsidR="004F261C" w:rsidRPr="005759BE">
              <w:rPr>
                <w:rFonts w:ascii="Arial" w:hAnsi="Arial" w:cs="Arial"/>
                <w:sz w:val="20"/>
                <w:szCs w:val="20"/>
                <w:lang w:val="en-US"/>
              </w:rPr>
              <w:t>needed to deal with these risks</w:t>
            </w:r>
            <w:r w:rsidR="007D1AC4" w:rsidRPr="005759BE">
              <w:rPr>
                <w:rFonts w:ascii="Arial" w:hAnsi="Arial" w:cs="Arial"/>
                <w:sz w:val="20"/>
                <w:szCs w:val="20"/>
                <w:lang w:val="en-US"/>
              </w:rPr>
              <w:t>.</w:t>
            </w:r>
            <w:r w:rsidR="007D1AC4">
              <w:rPr>
                <w:rFonts w:ascii="Arial" w:hAnsi="Arial" w:cs="Arial"/>
                <w:sz w:val="20"/>
                <w:szCs w:val="20"/>
                <w:lang w:val="en-US"/>
              </w:rPr>
              <w:t xml:space="preserve"> </w:t>
            </w:r>
            <w:r w:rsidRPr="00A03A11">
              <w:rPr>
                <w:rFonts w:ascii="Arial" w:hAnsi="Arial" w:cs="Arial"/>
                <w:sz w:val="20"/>
                <w:szCs w:val="20"/>
                <w:lang w:val="en-US"/>
              </w:rPr>
              <w:t xml:space="preserve">Flood </w:t>
            </w:r>
            <w:proofErr w:type="spellStart"/>
            <w:r w:rsidRPr="00A03A11">
              <w:rPr>
                <w:rFonts w:ascii="Arial" w:hAnsi="Arial" w:cs="Arial"/>
                <w:sz w:val="20"/>
                <w:szCs w:val="20"/>
                <w:lang w:val="en-US"/>
              </w:rPr>
              <w:t>modelling</w:t>
            </w:r>
            <w:proofErr w:type="spellEnd"/>
            <w:r w:rsidRPr="00A03A11">
              <w:rPr>
                <w:rFonts w:ascii="Arial" w:hAnsi="Arial" w:cs="Arial"/>
                <w:sz w:val="20"/>
                <w:szCs w:val="20"/>
                <w:lang w:val="en-US"/>
              </w:rPr>
              <w:t xml:space="preserve"> </w:t>
            </w:r>
            <w:r w:rsidR="00E953AF">
              <w:rPr>
                <w:rFonts w:ascii="Arial" w:hAnsi="Arial" w:cs="Arial"/>
                <w:sz w:val="20"/>
                <w:szCs w:val="20"/>
                <w:lang w:val="en-US"/>
              </w:rPr>
              <w:t>to</w:t>
            </w:r>
            <w:r w:rsidRPr="00A03A11">
              <w:rPr>
                <w:rFonts w:ascii="Arial" w:hAnsi="Arial" w:cs="Arial"/>
                <w:sz w:val="20"/>
                <w:szCs w:val="20"/>
                <w:lang w:val="en-US"/>
              </w:rPr>
              <w:t xml:space="preserve"> the 1:1000 year </w:t>
            </w:r>
            <w:r w:rsidR="00E2607F">
              <w:rPr>
                <w:rFonts w:ascii="Arial" w:hAnsi="Arial" w:cs="Arial"/>
                <w:sz w:val="20"/>
                <w:szCs w:val="20"/>
                <w:lang w:val="en-US"/>
              </w:rPr>
              <w:t>a</w:t>
            </w:r>
            <w:r w:rsidR="00EA6CE5">
              <w:rPr>
                <w:rFonts w:ascii="Arial" w:hAnsi="Arial" w:cs="Arial"/>
                <w:sz w:val="20"/>
                <w:szCs w:val="20"/>
                <w:lang w:val="en-US"/>
              </w:rPr>
              <w:t xml:space="preserve">verage </w:t>
            </w:r>
            <w:r w:rsidR="00E2607F">
              <w:rPr>
                <w:rFonts w:ascii="Arial" w:hAnsi="Arial" w:cs="Arial"/>
                <w:sz w:val="20"/>
                <w:szCs w:val="20"/>
                <w:lang w:val="en-US"/>
              </w:rPr>
              <w:t>r</w:t>
            </w:r>
            <w:r w:rsidR="00EA6CE5">
              <w:rPr>
                <w:rFonts w:ascii="Arial" w:hAnsi="Arial" w:cs="Arial"/>
                <w:sz w:val="20"/>
                <w:szCs w:val="20"/>
                <w:lang w:val="en-US"/>
              </w:rPr>
              <w:t xml:space="preserve">ecurrence </w:t>
            </w:r>
            <w:r w:rsidR="00E2607F">
              <w:rPr>
                <w:rFonts w:ascii="Arial" w:hAnsi="Arial" w:cs="Arial"/>
                <w:sz w:val="20"/>
                <w:szCs w:val="20"/>
                <w:lang w:val="en-US"/>
              </w:rPr>
              <w:t>i</w:t>
            </w:r>
            <w:r w:rsidR="00EA6CE5">
              <w:rPr>
                <w:rFonts w:ascii="Arial" w:hAnsi="Arial" w:cs="Arial"/>
                <w:sz w:val="20"/>
                <w:szCs w:val="20"/>
                <w:lang w:val="en-US"/>
              </w:rPr>
              <w:t>nterval</w:t>
            </w:r>
            <w:r w:rsidRPr="00A03A11">
              <w:rPr>
                <w:rFonts w:ascii="Arial" w:hAnsi="Arial" w:cs="Arial"/>
                <w:sz w:val="20"/>
                <w:szCs w:val="20"/>
                <w:lang w:val="en-US"/>
              </w:rPr>
              <w:t xml:space="preserve"> event </w:t>
            </w:r>
            <w:r w:rsidR="00E953AF">
              <w:rPr>
                <w:rFonts w:ascii="Arial" w:hAnsi="Arial" w:cs="Arial"/>
                <w:sz w:val="20"/>
                <w:szCs w:val="20"/>
                <w:lang w:val="en-US"/>
              </w:rPr>
              <w:t xml:space="preserve">should be conducted </w:t>
            </w:r>
            <w:r w:rsidRPr="00A03A11">
              <w:rPr>
                <w:rFonts w:ascii="Arial" w:hAnsi="Arial" w:cs="Arial"/>
                <w:sz w:val="20"/>
                <w:szCs w:val="20"/>
                <w:lang w:val="en-US"/>
              </w:rPr>
              <w:t xml:space="preserve">and project infrastructure with the potential to cause significant contamination, such as raw co-produced water and brine dams, should be protected from these events.  </w:t>
            </w:r>
          </w:p>
          <w:p w:rsidR="00D63595" w:rsidRPr="005468C4" w:rsidRDefault="00E9309C" w:rsidP="00EA6CE5">
            <w:pPr>
              <w:pStyle w:val="ListNumber"/>
              <w:numPr>
                <w:ilvl w:val="0"/>
                <w:numId w:val="8"/>
              </w:numPr>
              <w:spacing w:after="200"/>
              <w:ind w:left="426"/>
              <w:rPr>
                <w:rFonts w:ascii="Arial" w:hAnsi="Arial" w:cs="Arial"/>
                <w:sz w:val="20"/>
                <w:szCs w:val="20"/>
                <w:lang w:val="en-US"/>
              </w:rPr>
            </w:pPr>
            <w:r>
              <w:rPr>
                <w:rFonts w:ascii="Arial" w:hAnsi="Arial" w:cs="Arial"/>
                <w:sz w:val="20"/>
                <w:szCs w:val="20"/>
                <w:lang w:val="en-US"/>
              </w:rPr>
              <w:t xml:space="preserve">In addition to the management measures identified elsewhere in this advice, the </w:t>
            </w:r>
            <w:r w:rsidR="00213B61">
              <w:rPr>
                <w:rFonts w:ascii="Arial" w:hAnsi="Arial" w:cs="Arial"/>
                <w:sz w:val="20"/>
                <w:szCs w:val="20"/>
                <w:lang w:val="en-US"/>
              </w:rPr>
              <w:t xml:space="preserve">Committee suggests </w:t>
            </w:r>
            <w:r w:rsidR="00213B61" w:rsidRPr="005759BE">
              <w:rPr>
                <w:rFonts w:ascii="Arial" w:hAnsi="Arial" w:cs="Arial"/>
                <w:sz w:val="20"/>
                <w:szCs w:val="20"/>
                <w:lang w:val="en-US"/>
              </w:rPr>
              <w:t xml:space="preserve">that </w:t>
            </w:r>
            <w:r w:rsidR="004F261C" w:rsidRPr="005759BE">
              <w:rPr>
                <w:rFonts w:ascii="Arial" w:hAnsi="Arial" w:cs="Arial"/>
                <w:sz w:val="20"/>
                <w:szCs w:val="20"/>
                <w:lang w:val="en-US"/>
              </w:rPr>
              <w:t>the</w:t>
            </w:r>
            <w:r w:rsidR="00E03520" w:rsidRPr="005759BE">
              <w:rPr>
                <w:rFonts w:ascii="Arial" w:hAnsi="Arial" w:cs="Arial"/>
                <w:sz w:val="20"/>
                <w:szCs w:val="20"/>
                <w:lang w:val="en-US"/>
              </w:rPr>
              <w:t xml:space="preserve"> </w:t>
            </w:r>
            <w:r w:rsidR="00D63595" w:rsidRPr="005759BE">
              <w:rPr>
                <w:rFonts w:ascii="Arial" w:hAnsi="Arial" w:cs="Arial"/>
                <w:sz w:val="20"/>
                <w:szCs w:val="20"/>
                <w:lang w:val="en-US"/>
              </w:rPr>
              <w:t>S</w:t>
            </w:r>
            <w:r w:rsidRPr="005759BE">
              <w:rPr>
                <w:rFonts w:ascii="Arial" w:hAnsi="Arial" w:cs="Arial"/>
                <w:sz w:val="20"/>
                <w:szCs w:val="20"/>
                <w:lang w:val="en-US"/>
              </w:rPr>
              <w:t>trategic</w:t>
            </w:r>
            <w:r>
              <w:rPr>
                <w:rFonts w:ascii="Arial" w:hAnsi="Arial" w:cs="Arial"/>
                <w:sz w:val="20"/>
                <w:szCs w:val="20"/>
                <w:lang w:val="en-US"/>
              </w:rPr>
              <w:t xml:space="preserve"> </w:t>
            </w:r>
            <w:r w:rsidR="00D63595" w:rsidRPr="005468C4">
              <w:rPr>
                <w:rFonts w:ascii="Arial" w:hAnsi="Arial" w:cs="Arial"/>
                <w:sz w:val="20"/>
                <w:szCs w:val="20"/>
                <w:lang w:val="en-US"/>
              </w:rPr>
              <w:t>E</w:t>
            </w:r>
            <w:r>
              <w:rPr>
                <w:rFonts w:ascii="Arial" w:hAnsi="Arial" w:cs="Arial"/>
                <w:sz w:val="20"/>
                <w:szCs w:val="20"/>
                <w:lang w:val="en-US"/>
              </w:rPr>
              <w:t xml:space="preserve">nvironmental </w:t>
            </w:r>
            <w:r w:rsidR="00D63595" w:rsidRPr="005468C4">
              <w:rPr>
                <w:rFonts w:ascii="Arial" w:hAnsi="Arial" w:cs="Arial"/>
                <w:sz w:val="20"/>
                <w:szCs w:val="20"/>
                <w:lang w:val="en-US"/>
              </w:rPr>
              <w:t>M</w:t>
            </w:r>
            <w:r>
              <w:rPr>
                <w:rFonts w:ascii="Arial" w:hAnsi="Arial" w:cs="Arial"/>
                <w:sz w:val="20"/>
                <w:szCs w:val="20"/>
                <w:lang w:val="en-US"/>
              </w:rPr>
              <w:t xml:space="preserve">anagement </w:t>
            </w:r>
            <w:r w:rsidR="00D63595" w:rsidRPr="005468C4">
              <w:rPr>
                <w:rFonts w:ascii="Arial" w:hAnsi="Arial" w:cs="Arial"/>
                <w:sz w:val="20"/>
                <w:szCs w:val="20"/>
                <w:lang w:val="en-US"/>
              </w:rPr>
              <w:t>P</w:t>
            </w:r>
            <w:r>
              <w:rPr>
                <w:rFonts w:ascii="Arial" w:hAnsi="Arial" w:cs="Arial"/>
                <w:sz w:val="20"/>
                <w:szCs w:val="20"/>
                <w:lang w:val="en-US"/>
              </w:rPr>
              <w:t xml:space="preserve">lan </w:t>
            </w:r>
            <w:r w:rsidR="00213B61">
              <w:rPr>
                <w:rFonts w:ascii="Arial" w:hAnsi="Arial" w:cs="Arial"/>
                <w:sz w:val="20"/>
                <w:szCs w:val="20"/>
                <w:lang w:val="en-US"/>
              </w:rPr>
              <w:t xml:space="preserve">addresses the following points: </w:t>
            </w:r>
          </w:p>
          <w:p w:rsidR="00D63595" w:rsidRPr="00E9309C" w:rsidRDefault="00505B0B" w:rsidP="00FC4D6F">
            <w:pPr>
              <w:pStyle w:val="ListNumber"/>
              <w:numPr>
                <w:ilvl w:val="1"/>
                <w:numId w:val="8"/>
              </w:numPr>
              <w:spacing w:after="160"/>
              <w:ind w:left="992" w:hanging="357"/>
              <w:rPr>
                <w:rFonts w:ascii="Arial" w:hAnsi="Arial" w:cs="Arial"/>
                <w:sz w:val="20"/>
                <w:szCs w:val="20"/>
              </w:rPr>
            </w:pPr>
            <w:r w:rsidRPr="00505B0B">
              <w:rPr>
                <w:rFonts w:ascii="Arial" w:hAnsi="Arial" w:cs="Arial"/>
                <w:sz w:val="20"/>
                <w:szCs w:val="20"/>
              </w:rPr>
              <w:t>P</w:t>
            </w:r>
            <w:r w:rsidR="000D2505" w:rsidRPr="00505B0B">
              <w:rPr>
                <w:rFonts w:ascii="Arial" w:hAnsi="Arial" w:cs="Arial"/>
                <w:sz w:val="20"/>
                <w:szCs w:val="20"/>
              </w:rPr>
              <w:t>rohibiting</w:t>
            </w:r>
            <w:r w:rsidR="002C1255" w:rsidRPr="00505B0B">
              <w:rPr>
                <w:rFonts w:ascii="Arial" w:hAnsi="Arial" w:cs="Arial"/>
                <w:sz w:val="20"/>
                <w:szCs w:val="20"/>
              </w:rPr>
              <w:t xml:space="preserve"> the use of</w:t>
            </w:r>
            <w:r w:rsidR="002C1255">
              <w:rPr>
                <w:rFonts w:ascii="Arial" w:hAnsi="Arial" w:cs="Arial"/>
                <w:sz w:val="20"/>
                <w:szCs w:val="20"/>
              </w:rPr>
              <w:t xml:space="preserve"> untreated co-produced water for </w:t>
            </w:r>
            <w:r w:rsidR="002C1255" w:rsidRPr="00E9309C">
              <w:rPr>
                <w:rFonts w:ascii="Arial" w:hAnsi="Arial" w:cs="Arial"/>
                <w:sz w:val="20"/>
                <w:szCs w:val="20"/>
              </w:rPr>
              <w:t>dust suppression on areas subject to long-term land disturbance</w:t>
            </w:r>
            <w:r w:rsidR="002C1255">
              <w:rPr>
                <w:rFonts w:ascii="Arial" w:hAnsi="Arial" w:cs="Arial"/>
                <w:sz w:val="20"/>
                <w:szCs w:val="20"/>
              </w:rPr>
              <w:t>, such as the central gas processing facilities, d</w:t>
            </w:r>
            <w:r w:rsidR="00D63595" w:rsidRPr="00E9309C">
              <w:rPr>
                <w:rFonts w:ascii="Arial" w:hAnsi="Arial" w:cs="Arial"/>
                <w:sz w:val="20"/>
                <w:szCs w:val="20"/>
              </w:rPr>
              <w:t xml:space="preserve">ue to the potential for salt </w:t>
            </w:r>
            <w:r w:rsidR="00047612">
              <w:rPr>
                <w:rFonts w:ascii="Arial" w:hAnsi="Arial" w:cs="Arial"/>
                <w:sz w:val="20"/>
                <w:szCs w:val="20"/>
              </w:rPr>
              <w:t xml:space="preserve">and other contaminant </w:t>
            </w:r>
            <w:r w:rsidR="00D63595" w:rsidRPr="00E9309C">
              <w:rPr>
                <w:rFonts w:ascii="Arial" w:hAnsi="Arial" w:cs="Arial"/>
                <w:sz w:val="20"/>
                <w:szCs w:val="20"/>
              </w:rPr>
              <w:t>build up and subsequent erosion and deposition in waterways</w:t>
            </w:r>
            <w:r w:rsidR="00E9309C">
              <w:rPr>
                <w:rFonts w:ascii="Arial" w:hAnsi="Arial" w:cs="Arial"/>
                <w:sz w:val="20"/>
                <w:szCs w:val="20"/>
              </w:rPr>
              <w:t xml:space="preserve">; </w:t>
            </w:r>
          </w:p>
          <w:p w:rsidR="00D63595" w:rsidRPr="00E9309C" w:rsidRDefault="004F261C" w:rsidP="00FC4D6F">
            <w:pPr>
              <w:pStyle w:val="ListNumber"/>
              <w:numPr>
                <w:ilvl w:val="1"/>
                <w:numId w:val="8"/>
              </w:numPr>
              <w:spacing w:after="160"/>
              <w:ind w:left="992" w:hanging="357"/>
              <w:rPr>
                <w:rFonts w:ascii="Arial" w:hAnsi="Arial" w:cs="Arial"/>
                <w:sz w:val="20"/>
                <w:szCs w:val="20"/>
              </w:rPr>
            </w:pPr>
            <w:r w:rsidRPr="00022C2D">
              <w:rPr>
                <w:rFonts w:ascii="Arial" w:hAnsi="Arial" w:cs="Arial"/>
                <w:sz w:val="20"/>
                <w:szCs w:val="20"/>
              </w:rPr>
              <w:t>Inspecting</w:t>
            </w:r>
            <w:r w:rsidR="00E03520">
              <w:rPr>
                <w:rFonts w:ascii="Arial" w:hAnsi="Arial" w:cs="Arial"/>
                <w:sz w:val="20"/>
                <w:szCs w:val="20"/>
              </w:rPr>
              <w:t xml:space="preserve"> e</w:t>
            </w:r>
            <w:r w:rsidR="00D63595" w:rsidRPr="00E9309C">
              <w:rPr>
                <w:rFonts w:ascii="Arial" w:hAnsi="Arial" w:cs="Arial"/>
                <w:sz w:val="20"/>
                <w:szCs w:val="20"/>
              </w:rPr>
              <w:t xml:space="preserve">rosion and sediment controls on a regular basis to ensure that they are in place and effective in the event of unforeseen rainfall </w:t>
            </w:r>
            <w:r w:rsidR="00BC1BA5">
              <w:rPr>
                <w:rFonts w:ascii="Arial" w:hAnsi="Arial" w:cs="Arial"/>
                <w:sz w:val="20"/>
                <w:szCs w:val="20"/>
              </w:rPr>
              <w:t xml:space="preserve">or storm </w:t>
            </w:r>
            <w:r w:rsidR="00D63595" w:rsidRPr="00E9309C">
              <w:rPr>
                <w:rFonts w:ascii="Arial" w:hAnsi="Arial" w:cs="Arial"/>
                <w:sz w:val="20"/>
                <w:szCs w:val="20"/>
              </w:rPr>
              <w:t>events;</w:t>
            </w:r>
          </w:p>
          <w:p w:rsidR="00D63595" w:rsidRPr="00E9309C" w:rsidRDefault="004F261C" w:rsidP="00FC4D6F">
            <w:pPr>
              <w:pStyle w:val="ListNumber"/>
              <w:numPr>
                <w:ilvl w:val="1"/>
                <w:numId w:val="8"/>
              </w:numPr>
              <w:spacing w:after="160"/>
              <w:ind w:left="992" w:hanging="357"/>
              <w:rPr>
                <w:rFonts w:ascii="Arial" w:hAnsi="Arial" w:cs="Arial"/>
                <w:sz w:val="20"/>
                <w:szCs w:val="20"/>
              </w:rPr>
            </w:pPr>
            <w:r w:rsidRPr="00022C2D">
              <w:rPr>
                <w:rFonts w:ascii="Arial" w:hAnsi="Arial" w:cs="Arial"/>
                <w:sz w:val="20"/>
                <w:szCs w:val="20"/>
              </w:rPr>
              <w:t>Including p</w:t>
            </w:r>
            <w:r w:rsidR="00D63595" w:rsidRPr="00022C2D">
              <w:rPr>
                <w:rFonts w:ascii="Arial" w:hAnsi="Arial" w:cs="Arial"/>
                <w:sz w:val="20"/>
                <w:szCs w:val="20"/>
              </w:rPr>
              <w:t>erformance</w:t>
            </w:r>
            <w:r w:rsidR="00D63595" w:rsidRPr="00E9309C">
              <w:rPr>
                <w:rFonts w:ascii="Arial" w:hAnsi="Arial" w:cs="Arial"/>
                <w:sz w:val="20"/>
                <w:szCs w:val="20"/>
              </w:rPr>
              <w:t xml:space="preserve"> criteria for aquatic ecology </w:t>
            </w:r>
            <w:r w:rsidR="00F61127">
              <w:rPr>
                <w:rFonts w:ascii="Arial" w:hAnsi="Arial" w:cs="Arial"/>
                <w:sz w:val="20"/>
                <w:szCs w:val="20"/>
              </w:rPr>
              <w:t>to</w:t>
            </w:r>
            <w:r w:rsidR="00D63595" w:rsidRPr="00E9309C">
              <w:rPr>
                <w:rFonts w:ascii="Arial" w:hAnsi="Arial" w:cs="Arial"/>
                <w:sz w:val="20"/>
                <w:szCs w:val="20"/>
              </w:rPr>
              <w:t xml:space="preserve"> reflect the intent for no adverse impacts on species and/or populations of conservation </w:t>
            </w:r>
            <w:r w:rsidR="00BC1BA5">
              <w:rPr>
                <w:rFonts w:ascii="Arial" w:hAnsi="Arial" w:cs="Arial"/>
                <w:sz w:val="20"/>
                <w:szCs w:val="20"/>
              </w:rPr>
              <w:t>significance</w:t>
            </w:r>
            <w:r w:rsidR="00D63595" w:rsidRPr="00E9309C">
              <w:rPr>
                <w:rFonts w:ascii="Arial" w:hAnsi="Arial" w:cs="Arial"/>
                <w:sz w:val="20"/>
                <w:szCs w:val="20"/>
              </w:rPr>
              <w:t>;</w:t>
            </w:r>
          </w:p>
          <w:p w:rsidR="00D63595" w:rsidRPr="00E9309C" w:rsidRDefault="00505B0B" w:rsidP="00FC4D6F">
            <w:pPr>
              <w:pStyle w:val="ListNumber"/>
              <w:numPr>
                <w:ilvl w:val="1"/>
                <w:numId w:val="8"/>
              </w:numPr>
              <w:spacing w:after="160"/>
              <w:ind w:left="992" w:hanging="357"/>
              <w:rPr>
                <w:rFonts w:ascii="Arial" w:hAnsi="Arial" w:cs="Arial"/>
                <w:sz w:val="20"/>
                <w:szCs w:val="20"/>
              </w:rPr>
            </w:pPr>
            <w:r>
              <w:rPr>
                <w:rFonts w:ascii="Arial" w:hAnsi="Arial" w:cs="Arial"/>
                <w:sz w:val="20"/>
                <w:szCs w:val="20"/>
              </w:rPr>
              <w:t>Monitoring of a</w:t>
            </w:r>
            <w:r w:rsidR="00D63595" w:rsidRPr="00E9309C">
              <w:rPr>
                <w:rFonts w:ascii="Arial" w:hAnsi="Arial" w:cs="Arial"/>
                <w:sz w:val="20"/>
                <w:szCs w:val="20"/>
              </w:rPr>
              <w:t xml:space="preserve">quatic </w:t>
            </w:r>
            <w:r>
              <w:rPr>
                <w:rFonts w:ascii="Arial" w:hAnsi="Arial" w:cs="Arial"/>
                <w:sz w:val="20"/>
                <w:szCs w:val="20"/>
              </w:rPr>
              <w:t>ecosystems</w:t>
            </w:r>
            <w:r w:rsidR="00D63595" w:rsidRPr="00E9309C">
              <w:rPr>
                <w:rFonts w:ascii="Arial" w:hAnsi="Arial" w:cs="Arial"/>
                <w:sz w:val="20"/>
                <w:szCs w:val="20"/>
              </w:rPr>
              <w:t xml:space="preserve"> </w:t>
            </w:r>
            <w:r w:rsidR="00D63595" w:rsidRPr="00022C2D">
              <w:rPr>
                <w:rFonts w:ascii="Arial" w:hAnsi="Arial" w:cs="Arial"/>
                <w:sz w:val="20"/>
                <w:szCs w:val="20"/>
              </w:rPr>
              <w:t>n</w:t>
            </w:r>
            <w:r w:rsidR="00D63595" w:rsidRPr="00E9309C">
              <w:rPr>
                <w:rFonts w:ascii="Arial" w:hAnsi="Arial" w:cs="Arial"/>
                <w:sz w:val="20"/>
                <w:szCs w:val="20"/>
              </w:rPr>
              <w:t xml:space="preserve">ot be limited to water treatment facilities but should reflect the </w:t>
            </w:r>
            <w:r w:rsidR="00900BB4">
              <w:rPr>
                <w:rFonts w:ascii="Arial" w:hAnsi="Arial" w:cs="Arial"/>
                <w:sz w:val="20"/>
                <w:szCs w:val="20"/>
              </w:rPr>
              <w:t>proposed project</w:t>
            </w:r>
            <w:r w:rsidR="00D63595" w:rsidRPr="00E9309C">
              <w:rPr>
                <w:rFonts w:ascii="Arial" w:hAnsi="Arial" w:cs="Arial"/>
                <w:sz w:val="20"/>
                <w:szCs w:val="20"/>
              </w:rPr>
              <w:t xml:space="preserve">’s potential impacts from subsidence, groundwater drawdown, gas </w:t>
            </w:r>
            <w:r>
              <w:rPr>
                <w:rFonts w:ascii="Arial" w:hAnsi="Arial" w:cs="Arial"/>
                <w:sz w:val="20"/>
                <w:szCs w:val="20"/>
              </w:rPr>
              <w:t xml:space="preserve">migration </w:t>
            </w:r>
            <w:r w:rsidR="00D63595" w:rsidRPr="00E9309C">
              <w:rPr>
                <w:rFonts w:ascii="Arial" w:hAnsi="Arial" w:cs="Arial"/>
                <w:sz w:val="20"/>
                <w:szCs w:val="20"/>
              </w:rPr>
              <w:t xml:space="preserve">due to depressurisation, infrastructure development, </w:t>
            </w:r>
            <w:r w:rsidR="00BC1BA5">
              <w:rPr>
                <w:rFonts w:ascii="Arial" w:hAnsi="Arial" w:cs="Arial"/>
                <w:sz w:val="20"/>
                <w:szCs w:val="20"/>
              </w:rPr>
              <w:t xml:space="preserve">and </w:t>
            </w:r>
            <w:r w:rsidR="00D63595" w:rsidRPr="00E9309C">
              <w:rPr>
                <w:rFonts w:ascii="Arial" w:hAnsi="Arial" w:cs="Arial"/>
                <w:sz w:val="20"/>
                <w:szCs w:val="20"/>
              </w:rPr>
              <w:t>other discharges, for example fr</w:t>
            </w:r>
            <w:r w:rsidR="00ED0E67">
              <w:rPr>
                <w:rFonts w:ascii="Arial" w:hAnsi="Arial" w:cs="Arial"/>
                <w:sz w:val="20"/>
                <w:szCs w:val="20"/>
              </w:rPr>
              <w:t>om sewage treatment facilities</w:t>
            </w:r>
            <w:r w:rsidR="00D63595" w:rsidRPr="00E9309C">
              <w:rPr>
                <w:rFonts w:ascii="Arial" w:hAnsi="Arial" w:cs="Arial"/>
                <w:sz w:val="20"/>
                <w:szCs w:val="20"/>
              </w:rPr>
              <w:t xml:space="preserve">; </w:t>
            </w:r>
          </w:p>
          <w:p w:rsidR="00D63595" w:rsidRPr="00E9309C" w:rsidRDefault="00ED0E67" w:rsidP="00FC4D6F">
            <w:pPr>
              <w:pStyle w:val="ListNumber"/>
              <w:numPr>
                <w:ilvl w:val="1"/>
                <w:numId w:val="8"/>
              </w:numPr>
              <w:spacing w:after="160"/>
              <w:ind w:left="992" w:hanging="357"/>
              <w:rPr>
                <w:rFonts w:ascii="Arial" w:hAnsi="Arial" w:cs="Arial"/>
                <w:sz w:val="20"/>
                <w:szCs w:val="20"/>
              </w:rPr>
            </w:pPr>
            <w:r>
              <w:rPr>
                <w:rFonts w:ascii="Arial" w:hAnsi="Arial" w:cs="Arial"/>
                <w:sz w:val="20"/>
                <w:szCs w:val="20"/>
              </w:rPr>
              <w:t>M</w:t>
            </w:r>
            <w:r w:rsidR="00D63595" w:rsidRPr="00E9309C">
              <w:rPr>
                <w:rFonts w:ascii="Arial" w:hAnsi="Arial" w:cs="Arial"/>
                <w:sz w:val="20"/>
                <w:szCs w:val="20"/>
              </w:rPr>
              <w:t>onitoring of water intended for disposal</w:t>
            </w:r>
            <w:r w:rsidR="00BC1BA5">
              <w:rPr>
                <w:rFonts w:ascii="Arial" w:hAnsi="Arial" w:cs="Arial"/>
                <w:sz w:val="20"/>
                <w:szCs w:val="20"/>
              </w:rPr>
              <w:t xml:space="preserve"> and/or </w:t>
            </w:r>
            <w:r w:rsidR="00D63595" w:rsidRPr="00E9309C">
              <w:rPr>
                <w:rFonts w:ascii="Arial" w:hAnsi="Arial" w:cs="Arial"/>
                <w:sz w:val="20"/>
                <w:szCs w:val="20"/>
              </w:rPr>
              <w:t xml:space="preserve">beneficial use options to ensure that it is fit for purpose prior to release. </w:t>
            </w:r>
            <w:r>
              <w:rPr>
                <w:rFonts w:ascii="Arial" w:hAnsi="Arial" w:cs="Arial"/>
                <w:sz w:val="20"/>
                <w:szCs w:val="20"/>
              </w:rPr>
              <w:t>It is</w:t>
            </w:r>
            <w:r w:rsidR="00D63595" w:rsidRPr="00E9309C">
              <w:rPr>
                <w:rFonts w:ascii="Arial" w:hAnsi="Arial" w:cs="Arial"/>
                <w:sz w:val="20"/>
                <w:szCs w:val="20"/>
              </w:rPr>
              <w:t xml:space="preserve"> recognise</w:t>
            </w:r>
            <w:r>
              <w:rPr>
                <w:rFonts w:ascii="Arial" w:hAnsi="Arial" w:cs="Arial"/>
                <w:sz w:val="20"/>
                <w:szCs w:val="20"/>
              </w:rPr>
              <w:t>d</w:t>
            </w:r>
            <w:r w:rsidR="00D63595" w:rsidRPr="00E9309C">
              <w:rPr>
                <w:rFonts w:ascii="Arial" w:hAnsi="Arial" w:cs="Arial"/>
                <w:sz w:val="20"/>
                <w:szCs w:val="20"/>
              </w:rPr>
              <w:t xml:space="preserve"> that different qualities of water may be </w:t>
            </w:r>
            <w:r w:rsidR="00982DE1">
              <w:rPr>
                <w:rFonts w:ascii="Arial" w:hAnsi="Arial" w:cs="Arial"/>
                <w:sz w:val="20"/>
                <w:szCs w:val="20"/>
              </w:rPr>
              <w:t>neede</w:t>
            </w:r>
            <w:r w:rsidR="00D63595" w:rsidRPr="00E9309C">
              <w:rPr>
                <w:rFonts w:ascii="Arial" w:hAnsi="Arial" w:cs="Arial"/>
                <w:sz w:val="20"/>
                <w:szCs w:val="20"/>
              </w:rPr>
              <w:t xml:space="preserve">d for different reuse </w:t>
            </w:r>
            <w:r>
              <w:rPr>
                <w:rFonts w:ascii="Arial" w:hAnsi="Arial" w:cs="Arial"/>
                <w:sz w:val="20"/>
                <w:szCs w:val="20"/>
              </w:rPr>
              <w:t>or</w:t>
            </w:r>
            <w:r w:rsidR="00D63595" w:rsidRPr="00E9309C">
              <w:rPr>
                <w:rFonts w:ascii="Arial" w:hAnsi="Arial" w:cs="Arial"/>
                <w:sz w:val="20"/>
                <w:szCs w:val="20"/>
              </w:rPr>
              <w:t xml:space="preserve"> disposal options and </w:t>
            </w:r>
            <w:r>
              <w:rPr>
                <w:rFonts w:ascii="Arial" w:hAnsi="Arial" w:cs="Arial"/>
                <w:sz w:val="20"/>
                <w:szCs w:val="20"/>
              </w:rPr>
              <w:t xml:space="preserve">it is recommended </w:t>
            </w:r>
            <w:r w:rsidR="00D63595" w:rsidRPr="00E9309C">
              <w:rPr>
                <w:rFonts w:ascii="Arial" w:hAnsi="Arial" w:cs="Arial"/>
                <w:sz w:val="20"/>
                <w:szCs w:val="20"/>
              </w:rPr>
              <w:t xml:space="preserve">that </w:t>
            </w:r>
            <w:r w:rsidR="00364285">
              <w:rPr>
                <w:rFonts w:ascii="Arial" w:hAnsi="Arial" w:cs="Arial"/>
                <w:sz w:val="20"/>
                <w:szCs w:val="20"/>
              </w:rPr>
              <w:t>these differences are</w:t>
            </w:r>
            <w:r w:rsidR="00D63595" w:rsidRPr="00E9309C">
              <w:rPr>
                <w:rFonts w:ascii="Arial" w:hAnsi="Arial" w:cs="Arial"/>
                <w:sz w:val="20"/>
                <w:szCs w:val="20"/>
              </w:rPr>
              <w:t xml:space="preserve"> taken into account during detailed design of the water treatment facilities;</w:t>
            </w:r>
            <w:r>
              <w:rPr>
                <w:rFonts w:ascii="Arial" w:hAnsi="Arial" w:cs="Arial"/>
                <w:sz w:val="20"/>
                <w:szCs w:val="20"/>
              </w:rPr>
              <w:t xml:space="preserve"> and </w:t>
            </w:r>
          </w:p>
          <w:p w:rsidR="00D63595" w:rsidRPr="00E9309C" w:rsidRDefault="00E81F62" w:rsidP="00FC4D6F">
            <w:pPr>
              <w:pStyle w:val="ListNumber"/>
              <w:numPr>
                <w:ilvl w:val="1"/>
                <w:numId w:val="8"/>
              </w:numPr>
              <w:spacing w:after="160"/>
              <w:ind w:left="992" w:hanging="357"/>
              <w:rPr>
                <w:rFonts w:ascii="Arial" w:hAnsi="Arial" w:cs="Arial"/>
                <w:sz w:val="20"/>
                <w:szCs w:val="20"/>
              </w:rPr>
            </w:pPr>
            <w:r>
              <w:rPr>
                <w:rFonts w:ascii="Arial" w:hAnsi="Arial" w:cs="Arial"/>
                <w:sz w:val="20"/>
                <w:szCs w:val="20"/>
              </w:rPr>
              <w:t>Publicly r</w:t>
            </w:r>
            <w:r w:rsidR="00E03520">
              <w:rPr>
                <w:rFonts w:ascii="Arial" w:hAnsi="Arial" w:cs="Arial"/>
                <w:sz w:val="20"/>
                <w:szCs w:val="20"/>
              </w:rPr>
              <w:t>eleasing</w:t>
            </w:r>
            <w:r w:rsidR="00D63595" w:rsidRPr="00E9309C">
              <w:rPr>
                <w:rFonts w:ascii="Arial" w:hAnsi="Arial" w:cs="Arial"/>
                <w:sz w:val="20"/>
                <w:szCs w:val="20"/>
              </w:rPr>
              <w:t xml:space="preserve"> monitoring results to facilitate a greater understanding of regional and cumulative impacts and provide community confidence in the effectiveness of the proponent</w:t>
            </w:r>
            <w:r w:rsidR="00A305A8" w:rsidRPr="00E9309C">
              <w:rPr>
                <w:rFonts w:ascii="Arial" w:hAnsi="Arial" w:cs="Arial"/>
                <w:sz w:val="20"/>
                <w:szCs w:val="20"/>
              </w:rPr>
              <w:t>’</w:t>
            </w:r>
            <w:r w:rsidR="00D63595" w:rsidRPr="00E9309C">
              <w:rPr>
                <w:rFonts w:ascii="Arial" w:hAnsi="Arial" w:cs="Arial"/>
                <w:sz w:val="20"/>
                <w:szCs w:val="20"/>
              </w:rPr>
              <w:t xml:space="preserve">s </w:t>
            </w:r>
            <w:r w:rsidR="00D63595" w:rsidRPr="00E9309C">
              <w:rPr>
                <w:rFonts w:ascii="Arial" w:hAnsi="Arial" w:cs="Arial"/>
                <w:sz w:val="20"/>
                <w:szCs w:val="20"/>
              </w:rPr>
              <w:lastRenderedPageBreak/>
              <w:t>mitigation and management measures.</w:t>
            </w:r>
          </w:p>
          <w:p w:rsidR="00401BBA" w:rsidRPr="00EA6CE5" w:rsidRDefault="00401BBA" w:rsidP="0000176D">
            <w:pPr>
              <w:pStyle w:val="Default"/>
              <w:spacing w:before="240" w:after="200" w:line="276" w:lineRule="auto"/>
              <w:rPr>
                <w:rFonts w:ascii="Arial" w:eastAsia="Times New Roman" w:hAnsi="Arial" w:cs="Arial"/>
                <w:i/>
                <w:color w:val="auto"/>
                <w:sz w:val="20"/>
                <w:szCs w:val="20"/>
                <w:lang w:eastAsia="en-US"/>
              </w:rPr>
            </w:pPr>
            <w:r w:rsidRPr="00EA6CE5">
              <w:rPr>
                <w:rFonts w:ascii="Arial" w:eastAsia="Times New Roman" w:hAnsi="Arial" w:cs="Arial"/>
                <w:i/>
                <w:color w:val="auto"/>
                <w:sz w:val="20"/>
                <w:szCs w:val="20"/>
                <w:lang w:eastAsia="en-US"/>
              </w:rPr>
              <w:t>Question 4: Has Arrow Energy identified the matters that would need to be considered in managing the proposed discharge into waterways?</w:t>
            </w:r>
          </w:p>
          <w:p w:rsidR="001251E5" w:rsidRPr="00EA6CE5" w:rsidRDefault="00B12478" w:rsidP="00FA4827">
            <w:pPr>
              <w:pStyle w:val="ListNumber"/>
              <w:numPr>
                <w:ilvl w:val="0"/>
                <w:numId w:val="8"/>
              </w:numPr>
              <w:spacing w:after="200"/>
              <w:ind w:left="426" w:hanging="426"/>
              <w:rPr>
                <w:rFonts w:ascii="Arial" w:hAnsi="Arial" w:cs="Arial"/>
                <w:sz w:val="20"/>
                <w:szCs w:val="20"/>
              </w:rPr>
            </w:pPr>
            <w:r>
              <w:rPr>
                <w:rFonts w:ascii="Arial" w:hAnsi="Arial" w:cs="Arial"/>
                <w:sz w:val="20"/>
                <w:szCs w:val="20"/>
                <w:lang w:val="en-US"/>
              </w:rPr>
              <w:t xml:space="preserve">As noted in the response to Question 2(b), the </w:t>
            </w:r>
            <w:r w:rsidR="00B67304">
              <w:rPr>
                <w:rFonts w:ascii="Arial" w:hAnsi="Arial" w:cs="Arial"/>
                <w:sz w:val="20"/>
                <w:szCs w:val="20"/>
                <w:lang w:val="en-US"/>
              </w:rPr>
              <w:t>m</w:t>
            </w:r>
            <w:r w:rsidR="00B67304" w:rsidRPr="00755C7A">
              <w:rPr>
                <w:rFonts w:ascii="Arial" w:hAnsi="Arial" w:cs="Arial"/>
                <w:sz w:val="20"/>
                <w:szCs w:val="20"/>
                <w:lang w:val="en-US"/>
              </w:rPr>
              <w:t xml:space="preserve">atters to be considered in managing the proposed discharge into waterways </w:t>
            </w:r>
            <w:r w:rsidR="00EA6CE5">
              <w:rPr>
                <w:rFonts w:ascii="Arial" w:hAnsi="Arial" w:cs="Arial"/>
                <w:sz w:val="20"/>
                <w:szCs w:val="20"/>
                <w:lang w:val="en-US"/>
              </w:rPr>
              <w:t xml:space="preserve">have </w:t>
            </w:r>
            <w:r w:rsidR="00B67304" w:rsidRPr="00755C7A">
              <w:rPr>
                <w:rFonts w:ascii="Arial" w:hAnsi="Arial" w:cs="Arial"/>
                <w:sz w:val="20"/>
                <w:szCs w:val="20"/>
                <w:lang w:val="en-US"/>
              </w:rPr>
              <w:t xml:space="preserve">been identified at a high level in the </w:t>
            </w:r>
            <w:r w:rsidR="00B67304">
              <w:rPr>
                <w:rFonts w:ascii="Arial" w:hAnsi="Arial" w:cs="Arial"/>
                <w:sz w:val="20"/>
                <w:szCs w:val="20"/>
                <w:lang w:val="en-US"/>
              </w:rPr>
              <w:t>SEIS</w:t>
            </w:r>
            <w:r w:rsidR="00EC6204">
              <w:rPr>
                <w:rFonts w:ascii="Arial" w:hAnsi="Arial" w:cs="Arial"/>
                <w:sz w:val="20"/>
                <w:szCs w:val="20"/>
                <w:lang w:val="en-US"/>
              </w:rPr>
              <w:t xml:space="preserve"> and </w:t>
            </w:r>
            <w:r w:rsidR="00364285">
              <w:rPr>
                <w:rFonts w:ascii="Arial" w:hAnsi="Arial" w:cs="Arial"/>
                <w:sz w:val="20"/>
                <w:szCs w:val="20"/>
                <w:lang w:val="en-US"/>
              </w:rPr>
              <w:t xml:space="preserve">the Committee </w:t>
            </w:r>
            <w:r w:rsidR="00EC6204">
              <w:rPr>
                <w:rFonts w:ascii="Arial" w:hAnsi="Arial" w:cs="Arial"/>
                <w:sz w:val="20"/>
                <w:szCs w:val="20"/>
                <w:lang w:val="en-US"/>
              </w:rPr>
              <w:t xml:space="preserve">recommends that the additional matters noted in </w:t>
            </w:r>
            <w:r w:rsidR="00CF041B">
              <w:rPr>
                <w:rFonts w:ascii="Arial" w:hAnsi="Arial" w:cs="Arial"/>
                <w:sz w:val="20"/>
                <w:szCs w:val="20"/>
                <w:lang w:val="en-US"/>
              </w:rPr>
              <w:t xml:space="preserve">paragraph </w:t>
            </w:r>
            <w:r w:rsidR="00EC6204">
              <w:rPr>
                <w:rFonts w:ascii="Arial" w:hAnsi="Arial" w:cs="Arial"/>
                <w:sz w:val="20"/>
                <w:szCs w:val="20"/>
                <w:lang w:val="en-US"/>
              </w:rPr>
              <w:t>1</w:t>
            </w:r>
            <w:r w:rsidR="005938D9">
              <w:rPr>
                <w:rFonts w:ascii="Arial" w:hAnsi="Arial" w:cs="Arial"/>
                <w:sz w:val="20"/>
                <w:szCs w:val="20"/>
                <w:lang w:val="en-US"/>
              </w:rPr>
              <w:t>2</w:t>
            </w:r>
            <w:r w:rsidR="00EC6204">
              <w:rPr>
                <w:rFonts w:ascii="Arial" w:hAnsi="Arial" w:cs="Arial"/>
                <w:sz w:val="20"/>
                <w:szCs w:val="20"/>
                <w:lang w:val="en-US"/>
              </w:rPr>
              <w:t xml:space="preserve"> are considered during development of the Discharge Strategy. A</w:t>
            </w:r>
            <w:r w:rsidR="00B67304" w:rsidRPr="00755C7A">
              <w:rPr>
                <w:rFonts w:ascii="Arial" w:hAnsi="Arial" w:cs="Arial"/>
                <w:sz w:val="20"/>
                <w:szCs w:val="20"/>
                <w:lang w:val="en-US"/>
              </w:rPr>
              <w:t>dditional matters may be identified as</w:t>
            </w:r>
            <w:r w:rsidR="00BC1BA5">
              <w:rPr>
                <w:rFonts w:ascii="Arial" w:hAnsi="Arial" w:cs="Arial"/>
                <w:sz w:val="20"/>
                <w:szCs w:val="20"/>
                <w:lang w:val="en-US"/>
              </w:rPr>
              <w:t xml:space="preserve"> </w:t>
            </w:r>
            <w:r w:rsidR="00A56E17">
              <w:rPr>
                <w:rFonts w:ascii="Arial" w:hAnsi="Arial" w:cs="Arial"/>
                <w:sz w:val="20"/>
                <w:szCs w:val="20"/>
                <w:lang w:val="en-US"/>
              </w:rPr>
              <w:t xml:space="preserve">further </w:t>
            </w:r>
            <w:r w:rsidR="00BC1BA5">
              <w:rPr>
                <w:rFonts w:ascii="Arial" w:hAnsi="Arial" w:cs="Arial"/>
                <w:sz w:val="20"/>
                <w:szCs w:val="20"/>
                <w:lang w:val="en-US"/>
              </w:rPr>
              <w:t>baseline surveying is conducted,</w:t>
            </w:r>
            <w:r w:rsidR="00B67304" w:rsidRPr="00755C7A">
              <w:rPr>
                <w:rFonts w:ascii="Arial" w:hAnsi="Arial" w:cs="Arial"/>
                <w:sz w:val="20"/>
                <w:szCs w:val="20"/>
                <w:lang w:val="en-US"/>
              </w:rPr>
              <w:t xml:space="preserve"> investigations to fill site-specific knowledge gaps are completed and there is more certainty about the </w:t>
            </w:r>
            <w:r w:rsidR="00EC6204">
              <w:rPr>
                <w:rFonts w:ascii="Arial" w:hAnsi="Arial" w:cs="Arial"/>
                <w:sz w:val="20"/>
                <w:szCs w:val="20"/>
                <w:lang w:val="en-US"/>
              </w:rPr>
              <w:t xml:space="preserve">quality and </w:t>
            </w:r>
            <w:r w:rsidR="00B67304" w:rsidRPr="00755C7A">
              <w:rPr>
                <w:rFonts w:ascii="Arial" w:hAnsi="Arial" w:cs="Arial"/>
                <w:sz w:val="20"/>
                <w:szCs w:val="20"/>
                <w:lang w:val="en-US"/>
              </w:rPr>
              <w:t xml:space="preserve">volume of water that will be discharged. </w:t>
            </w:r>
          </w:p>
          <w:p w:rsidR="00805E42" w:rsidRPr="00EA6CE5" w:rsidRDefault="00401BBA" w:rsidP="0000176D">
            <w:pPr>
              <w:pStyle w:val="ListNumber"/>
              <w:numPr>
                <w:ilvl w:val="0"/>
                <w:numId w:val="0"/>
              </w:numPr>
              <w:spacing w:before="240" w:after="200"/>
              <w:rPr>
                <w:rFonts w:ascii="Arial" w:hAnsi="Arial" w:cs="Arial"/>
                <w:i/>
                <w:sz w:val="20"/>
                <w:szCs w:val="20"/>
              </w:rPr>
            </w:pPr>
            <w:r w:rsidRPr="00EA6CE5">
              <w:rPr>
                <w:rFonts w:ascii="Arial" w:hAnsi="Arial" w:cs="Arial"/>
                <w:i/>
                <w:sz w:val="20"/>
                <w:szCs w:val="20"/>
              </w:rPr>
              <w:t>Question 5: Is the suite of mitigation measures proposed adequate to protect identified waterway values at and downstream of the discharge sites?</w:t>
            </w:r>
          </w:p>
          <w:p w:rsidR="00805E42" w:rsidRPr="00F801BD" w:rsidRDefault="0043647E" w:rsidP="00FA4827">
            <w:pPr>
              <w:pStyle w:val="ListNumber"/>
              <w:numPr>
                <w:ilvl w:val="0"/>
                <w:numId w:val="8"/>
              </w:numPr>
              <w:spacing w:after="200"/>
              <w:ind w:left="426" w:hanging="426"/>
              <w:rPr>
                <w:rFonts w:ascii="Arial" w:hAnsi="Arial" w:cs="Arial"/>
                <w:sz w:val="20"/>
                <w:szCs w:val="20"/>
                <w:lang w:val="en-US"/>
              </w:rPr>
            </w:pPr>
            <w:r w:rsidRPr="00F801BD">
              <w:rPr>
                <w:rFonts w:ascii="Arial" w:hAnsi="Arial" w:cs="Arial"/>
                <w:sz w:val="20"/>
                <w:szCs w:val="20"/>
                <w:lang w:val="en-US"/>
              </w:rPr>
              <w:t>The SEIS does not provide sufficient information on the quantity, quality or timing of co-produced water discharges to enable a r</w:t>
            </w:r>
            <w:r w:rsidR="00EA75CA" w:rsidRPr="00F801BD">
              <w:rPr>
                <w:rFonts w:ascii="Arial" w:hAnsi="Arial" w:cs="Arial"/>
                <w:sz w:val="20"/>
                <w:szCs w:val="20"/>
                <w:lang w:val="en-US"/>
              </w:rPr>
              <w:t xml:space="preserve">obust, scientific evaluation of </w:t>
            </w:r>
            <w:r w:rsidRPr="00F801BD">
              <w:rPr>
                <w:rFonts w:ascii="Arial" w:hAnsi="Arial" w:cs="Arial"/>
                <w:sz w:val="20"/>
                <w:szCs w:val="20"/>
                <w:lang w:val="en-US"/>
              </w:rPr>
              <w:t xml:space="preserve">the ability of proposed </w:t>
            </w:r>
            <w:r w:rsidR="00EA75CA" w:rsidRPr="00F801BD">
              <w:rPr>
                <w:rFonts w:ascii="Arial" w:hAnsi="Arial" w:cs="Arial"/>
                <w:sz w:val="20"/>
                <w:szCs w:val="20"/>
                <w:lang w:val="en-US"/>
              </w:rPr>
              <w:t>mitigation measures</w:t>
            </w:r>
            <w:r w:rsidRPr="00F801BD">
              <w:rPr>
                <w:rFonts w:ascii="Arial" w:hAnsi="Arial" w:cs="Arial"/>
                <w:sz w:val="20"/>
                <w:szCs w:val="20"/>
                <w:lang w:val="en-US"/>
              </w:rPr>
              <w:t xml:space="preserve"> to protect downstream waterway values. However, it is noted that a number of sensitive receivers have been identified downstream of discharge sites including drinking water sources and species of </w:t>
            </w:r>
            <w:r w:rsidR="00BC1BA5">
              <w:rPr>
                <w:rFonts w:ascii="Arial" w:hAnsi="Arial" w:cs="Arial"/>
                <w:sz w:val="20"/>
                <w:szCs w:val="20"/>
                <w:lang w:val="en-US"/>
              </w:rPr>
              <w:t xml:space="preserve">national and regional </w:t>
            </w:r>
            <w:r w:rsidRPr="00F801BD">
              <w:rPr>
                <w:rFonts w:ascii="Arial" w:hAnsi="Arial" w:cs="Arial"/>
                <w:sz w:val="20"/>
                <w:szCs w:val="20"/>
                <w:lang w:val="en-US"/>
              </w:rPr>
              <w:t xml:space="preserve">conservation significance. </w:t>
            </w:r>
            <w:r w:rsidR="00F801BD" w:rsidRPr="00F801BD">
              <w:rPr>
                <w:rFonts w:ascii="Arial" w:hAnsi="Arial" w:cs="Arial"/>
                <w:sz w:val="20"/>
                <w:szCs w:val="20"/>
                <w:lang w:val="en-US"/>
              </w:rPr>
              <w:t xml:space="preserve">Acting on the recommendations contained in this </w:t>
            </w:r>
            <w:r w:rsidR="00BC1BA5">
              <w:rPr>
                <w:rFonts w:ascii="Arial" w:hAnsi="Arial" w:cs="Arial"/>
                <w:sz w:val="20"/>
                <w:szCs w:val="20"/>
                <w:lang w:val="en-US"/>
              </w:rPr>
              <w:t>a</w:t>
            </w:r>
            <w:r w:rsidR="00F801BD" w:rsidRPr="00F801BD">
              <w:rPr>
                <w:rFonts w:ascii="Arial" w:hAnsi="Arial" w:cs="Arial"/>
                <w:sz w:val="20"/>
                <w:szCs w:val="20"/>
                <w:lang w:val="en-US"/>
              </w:rPr>
              <w:t xml:space="preserve">dvice will provide a higher level of protection for waterway values downstream of discharge sites.  In particular, early </w:t>
            </w:r>
            <w:r w:rsidR="00BC1BA5">
              <w:rPr>
                <w:rFonts w:ascii="Arial" w:hAnsi="Arial" w:cs="Arial"/>
                <w:sz w:val="20"/>
                <w:szCs w:val="20"/>
                <w:lang w:val="en-US"/>
              </w:rPr>
              <w:t xml:space="preserve">consolidation and </w:t>
            </w:r>
            <w:r w:rsidR="00F801BD" w:rsidRPr="00F801BD">
              <w:rPr>
                <w:rFonts w:ascii="Arial" w:hAnsi="Arial" w:cs="Arial"/>
                <w:sz w:val="20"/>
                <w:szCs w:val="20"/>
                <w:lang w:val="en-US"/>
              </w:rPr>
              <w:t xml:space="preserve">evaluation of the methods and activities proposed for developing the Discharge </w:t>
            </w:r>
            <w:r w:rsidR="00F801BD" w:rsidRPr="00525B87">
              <w:rPr>
                <w:rFonts w:ascii="Arial" w:hAnsi="Arial" w:cs="Arial"/>
                <w:sz w:val="20"/>
                <w:szCs w:val="20"/>
                <w:lang w:val="en-US"/>
              </w:rPr>
              <w:t xml:space="preserve">Strategy </w:t>
            </w:r>
            <w:r w:rsidR="00F14456" w:rsidRPr="00525B87">
              <w:rPr>
                <w:rFonts w:ascii="Arial" w:hAnsi="Arial" w:cs="Arial"/>
                <w:sz w:val="20"/>
                <w:szCs w:val="20"/>
                <w:lang w:val="en-US"/>
              </w:rPr>
              <w:t>are</w:t>
            </w:r>
            <w:r w:rsidR="00F801BD" w:rsidRPr="00F801BD">
              <w:rPr>
                <w:rFonts w:ascii="Arial" w:hAnsi="Arial" w:cs="Arial"/>
                <w:sz w:val="20"/>
                <w:szCs w:val="20"/>
                <w:lang w:val="en-US"/>
              </w:rPr>
              <w:t xml:space="preserve"> needed.</w:t>
            </w:r>
          </w:p>
          <w:p w:rsidR="00401BBA" w:rsidRPr="00DB4AAC" w:rsidRDefault="005468C4" w:rsidP="00FA4827">
            <w:pPr>
              <w:pStyle w:val="ListNumber"/>
              <w:numPr>
                <w:ilvl w:val="0"/>
                <w:numId w:val="8"/>
              </w:numPr>
              <w:spacing w:after="200"/>
              <w:ind w:left="426" w:hanging="426"/>
              <w:rPr>
                <w:rFonts w:ascii="Arial" w:hAnsi="Arial" w:cs="Arial"/>
                <w:sz w:val="20"/>
                <w:szCs w:val="20"/>
              </w:rPr>
            </w:pPr>
            <w:r w:rsidRPr="00F801BD">
              <w:rPr>
                <w:rFonts w:ascii="Arial" w:hAnsi="Arial" w:cs="Arial"/>
                <w:sz w:val="20"/>
                <w:szCs w:val="20"/>
                <w:lang w:val="en-US"/>
              </w:rPr>
              <w:t>The Committee notes that the Northern Inland Catchment and the Clarence-</w:t>
            </w:r>
            <w:proofErr w:type="spellStart"/>
            <w:r w:rsidRPr="00F801BD">
              <w:rPr>
                <w:rFonts w:ascii="Arial" w:hAnsi="Arial" w:cs="Arial"/>
                <w:sz w:val="20"/>
                <w:szCs w:val="20"/>
                <w:lang w:val="en-US"/>
              </w:rPr>
              <w:t>Moreton</w:t>
            </w:r>
            <w:proofErr w:type="spellEnd"/>
            <w:r w:rsidRPr="00F801BD">
              <w:rPr>
                <w:rFonts w:ascii="Arial" w:hAnsi="Arial" w:cs="Arial"/>
                <w:sz w:val="20"/>
                <w:szCs w:val="20"/>
                <w:lang w:val="en-US"/>
              </w:rPr>
              <w:t xml:space="preserve"> Basin have been identified as Bioregional Assessments priority regions. Given that the propos</w:t>
            </w:r>
            <w:r w:rsidR="00211FAB">
              <w:rPr>
                <w:rFonts w:ascii="Arial" w:hAnsi="Arial" w:cs="Arial"/>
                <w:sz w:val="20"/>
                <w:szCs w:val="20"/>
                <w:lang w:val="en-US"/>
              </w:rPr>
              <w:t>ed project</w:t>
            </w:r>
            <w:r w:rsidRPr="00F801BD">
              <w:rPr>
                <w:rFonts w:ascii="Arial" w:hAnsi="Arial" w:cs="Arial"/>
                <w:sz w:val="20"/>
                <w:szCs w:val="20"/>
                <w:lang w:val="en-US"/>
              </w:rPr>
              <w:t xml:space="preserve"> is located within this region, the Committee considers that data and relevant information from this project should be made accessible for these Bioregional Assessments.</w:t>
            </w:r>
            <w:r w:rsidRPr="00DB4AAC">
              <w:rPr>
                <w:rFonts w:ascii="Arial" w:hAnsi="Arial" w:cs="Arial"/>
                <w:sz w:val="20"/>
                <w:szCs w:val="20"/>
              </w:rPr>
              <w:t xml:space="preserve">   </w:t>
            </w:r>
          </w:p>
        </w:tc>
      </w:tr>
      <w:tr w:rsidR="00062A46" w:rsidRPr="00B451D3" w:rsidTr="00DC325B">
        <w:trPr>
          <w:trHeight w:val="19"/>
        </w:trPr>
        <w:tc>
          <w:tcPr>
            <w:tcW w:w="1809" w:type="dxa"/>
            <w:tcBorders>
              <w:top w:val="single" w:sz="4" w:space="0" w:color="auto"/>
              <w:bottom w:val="single" w:sz="4" w:space="0" w:color="auto"/>
            </w:tcBorders>
          </w:tcPr>
          <w:p w:rsidR="00062A46" w:rsidRDefault="00062A46" w:rsidP="00062A46">
            <w:pPr>
              <w:pStyle w:val="tablelabel"/>
              <w:spacing w:line="276" w:lineRule="auto"/>
              <w:rPr>
                <w:rFonts w:cs="Arial"/>
                <w:sz w:val="20"/>
              </w:rPr>
            </w:pPr>
            <w:r>
              <w:rPr>
                <w:rFonts w:cs="Arial"/>
                <w:sz w:val="20"/>
              </w:rPr>
              <w:lastRenderedPageBreak/>
              <w:t>Date of advice</w:t>
            </w:r>
          </w:p>
        </w:tc>
        <w:tc>
          <w:tcPr>
            <w:tcW w:w="8159" w:type="dxa"/>
            <w:tcBorders>
              <w:top w:val="single" w:sz="4" w:space="0" w:color="auto"/>
              <w:bottom w:val="single" w:sz="4" w:space="0" w:color="auto"/>
            </w:tcBorders>
          </w:tcPr>
          <w:p w:rsidR="00062A46" w:rsidRPr="00B451D3" w:rsidRDefault="00C90ACD" w:rsidP="00C90ACD">
            <w:pPr>
              <w:spacing w:line="276" w:lineRule="auto"/>
              <w:rPr>
                <w:rFonts w:ascii="Arial" w:hAnsi="Arial" w:cs="Arial"/>
                <w:sz w:val="20"/>
                <w:szCs w:val="20"/>
              </w:rPr>
            </w:pPr>
            <w:r>
              <w:rPr>
                <w:rFonts w:ascii="Arial" w:hAnsi="Arial" w:cs="Arial"/>
                <w:sz w:val="20"/>
                <w:szCs w:val="20"/>
              </w:rPr>
              <w:t>22</w:t>
            </w:r>
            <w:r w:rsidR="00062A46">
              <w:rPr>
                <w:rFonts w:ascii="Arial" w:hAnsi="Arial" w:cs="Arial"/>
                <w:sz w:val="20"/>
                <w:szCs w:val="20"/>
              </w:rPr>
              <w:t xml:space="preserve"> </w:t>
            </w:r>
            <w:r w:rsidR="00354429">
              <w:rPr>
                <w:rFonts w:ascii="Arial" w:hAnsi="Arial" w:cs="Arial"/>
                <w:sz w:val="20"/>
                <w:szCs w:val="20"/>
              </w:rPr>
              <w:t>August</w:t>
            </w:r>
            <w:r w:rsidR="00062A46">
              <w:rPr>
                <w:rFonts w:ascii="Arial" w:hAnsi="Arial" w:cs="Arial"/>
                <w:sz w:val="20"/>
                <w:szCs w:val="20"/>
              </w:rPr>
              <w:t xml:space="preserve"> 2013</w:t>
            </w:r>
          </w:p>
        </w:tc>
      </w:tr>
      <w:tr w:rsidR="00DC325B" w:rsidRPr="00B451D3" w:rsidTr="00DC325B">
        <w:trPr>
          <w:trHeight w:val="19"/>
        </w:trPr>
        <w:tc>
          <w:tcPr>
            <w:tcW w:w="1809" w:type="dxa"/>
            <w:tcBorders>
              <w:top w:val="single" w:sz="4" w:space="0" w:color="auto"/>
              <w:bottom w:val="single" w:sz="4" w:space="0" w:color="auto"/>
            </w:tcBorders>
          </w:tcPr>
          <w:p w:rsidR="00DC325B" w:rsidRDefault="00DC325B" w:rsidP="00DC325B">
            <w:pPr>
              <w:pStyle w:val="tablelabel"/>
              <w:spacing w:line="276" w:lineRule="auto"/>
              <w:rPr>
                <w:rFonts w:cs="Arial"/>
                <w:sz w:val="20"/>
              </w:rPr>
            </w:pPr>
            <w:r>
              <w:rPr>
                <w:rFonts w:cs="Arial"/>
                <w:sz w:val="20"/>
              </w:rPr>
              <w:t>Source documentation available to the Committee in the formulation of this advice</w:t>
            </w:r>
          </w:p>
        </w:tc>
        <w:tc>
          <w:tcPr>
            <w:tcW w:w="8159" w:type="dxa"/>
            <w:tcBorders>
              <w:top w:val="single" w:sz="4" w:space="0" w:color="auto"/>
              <w:bottom w:val="single" w:sz="4" w:space="0" w:color="auto"/>
            </w:tcBorders>
          </w:tcPr>
          <w:p w:rsidR="00DC325B" w:rsidRDefault="000C4A65" w:rsidP="00DC325B">
            <w:pPr>
              <w:pStyle w:val="ListBullet"/>
              <w:rPr>
                <w:rFonts w:ascii="Arial" w:hAnsi="Arial" w:cs="Arial"/>
                <w:bCs/>
                <w:sz w:val="20"/>
                <w:szCs w:val="20"/>
              </w:rPr>
            </w:pPr>
            <w:r>
              <w:rPr>
                <w:rFonts w:ascii="Arial" w:hAnsi="Arial" w:cs="Arial"/>
                <w:sz w:val="20"/>
                <w:szCs w:val="22"/>
              </w:rPr>
              <w:t>Coffe</w:t>
            </w:r>
            <w:r w:rsidR="00A4438C">
              <w:rPr>
                <w:rFonts w:ascii="Arial" w:hAnsi="Arial" w:cs="Arial"/>
                <w:sz w:val="20"/>
                <w:szCs w:val="22"/>
              </w:rPr>
              <w:t>y</w:t>
            </w:r>
            <w:r>
              <w:rPr>
                <w:rFonts w:ascii="Arial" w:hAnsi="Arial" w:cs="Arial"/>
                <w:sz w:val="20"/>
                <w:szCs w:val="22"/>
              </w:rPr>
              <w:t xml:space="preserve"> Environments (2013) Supplementary Environmental Impact Assessment for the Surat Arrow Gas Project, prepared for Arrow Energy Pty Ltd</w:t>
            </w:r>
            <w:r w:rsidR="00B1560E" w:rsidRPr="000C4A65">
              <w:rPr>
                <w:rFonts w:ascii="Arial" w:hAnsi="Arial" w:cs="Arial"/>
                <w:bCs/>
                <w:sz w:val="20"/>
                <w:szCs w:val="20"/>
              </w:rPr>
              <w:t xml:space="preserve"> </w:t>
            </w:r>
          </w:p>
          <w:p w:rsidR="0070176C" w:rsidRPr="001277E4" w:rsidRDefault="0070176C" w:rsidP="00DC325B">
            <w:pPr>
              <w:pStyle w:val="ListBullet"/>
              <w:rPr>
                <w:rFonts w:ascii="Arial" w:hAnsi="Arial" w:cs="Arial"/>
                <w:sz w:val="20"/>
                <w:szCs w:val="22"/>
              </w:rPr>
            </w:pPr>
          </w:p>
          <w:p w:rsidR="00DC325B" w:rsidRPr="000C4A65" w:rsidRDefault="00DC325B" w:rsidP="008D6A19">
            <w:pPr>
              <w:pStyle w:val="ListNumber"/>
              <w:numPr>
                <w:ilvl w:val="0"/>
                <w:numId w:val="0"/>
              </w:numPr>
              <w:spacing w:after="120"/>
              <w:outlineLvl w:val="3"/>
              <w:rPr>
                <w:rFonts w:ascii="Arial" w:hAnsi="Arial" w:cs="Arial"/>
                <w:sz w:val="20"/>
                <w:szCs w:val="20"/>
              </w:rPr>
            </w:pPr>
          </w:p>
        </w:tc>
      </w:tr>
      <w:tr w:rsidR="00805E42" w:rsidRPr="00B451D3" w:rsidTr="00B43322">
        <w:trPr>
          <w:trHeight w:val="4493"/>
        </w:trPr>
        <w:tc>
          <w:tcPr>
            <w:tcW w:w="1809" w:type="dxa"/>
            <w:tcBorders>
              <w:top w:val="single" w:sz="4" w:space="0" w:color="auto"/>
              <w:bottom w:val="single" w:sz="4" w:space="0" w:color="auto"/>
            </w:tcBorders>
          </w:tcPr>
          <w:p w:rsidR="00805E42" w:rsidRDefault="00805E42" w:rsidP="00DC325B">
            <w:pPr>
              <w:pStyle w:val="tablelabel"/>
              <w:spacing w:line="276" w:lineRule="auto"/>
              <w:rPr>
                <w:rFonts w:cs="Arial"/>
                <w:sz w:val="20"/>
              </w:rPr>
            </w:pPr>
            <w:r>
              <w:rPr>
                <w:rFonts w:cs="Arial"/>
                <w:sz w:val="20"/>
              </w:rPr>
              <w:t>References cited within the Committee’s advice</w:t>
            </w:r>
          </w:p>
        </w:tc>
        <w:tc>
          <w:tcPr>
            <w:tcW w:w="8159" w:type="dxa"/>
            <w:tcBorders>
              <w:top w:val="single" w:sz="4" w:space="0" w:color="auto"/>
              <w:bottom w:val="single" w:sz="4" w:space="0" w:color="auto"/>
            </w:tcBorders>
          </w:tcPr>
          <w:p w:rsidR="00805E42" w:rsidRDefault="00805E42" w:rsidP="00646BFF">
            <w:pPr>
              <w:pStyle w:val="ListNumber"/>
              <w:numPr>
                <w:ilvl w:val="0"/>
                <w:numId w:val="0"/>
              </w:numPr>
              <w:spacing w:after="120"/>
              <w:outlineLvl w:val="3"/>
            </w:pPr>
            <w:r w:rsidRPr="00805E42">
              <w:rPr>
                <w:rFonts w:ascii="Arial" w:hAnsi="Arial" w:cs="Arial"/>
                <w:color w:val="000000" w:themeColor="text1"/>
                <w:sz w:val="20"/>
                <w:szCs w:val="22"/>
                <w:vertAlign w:val="superscript"/>
              </w:rPr>
              <w:t xml:space="preserve">1 </w:t>
            </w:r>
            <w:r w:rsidRPr="00805E42">
              <w:rPr>
                <w:rFonts w:ascii="Arial" w:hAnsi="Arial" w:cs="Arial"/>
                <w:color w:val="000000" w:themeColor="text1"/>
                <w:sz w:val="20"/>
                <w:szCs w:val="22"/>
              </w:rPr>
              <w:t xml:space="preserve">Information Guidelines for Proposals Relating to the Development of Coal Seam Gas and Large Coal Mines where there is a Significant Impact on Water Resources available at: </w:t>
            </w:r>
            <w:hyperlink r:id="rId9" w:history="1">
              <w:r w:rsidRPr="00805E42">
                <w:rPr>
                  <w:rStyle w:val="Hyperlink"/>
                  <w:rFonts w:ascii="Arial" w:hAnsi="Arial" w:cs="Arial"/>
                  <w:color w:val="000000" w:themeColor="text1"/>
                  <w:sz w:val="20"/>
                  <w:szCs w:val="22"/>
                </w:rPr>
                <w:t>http://www.environment.gov.au/coal-seam-gas-mining/project-advice/pubs/iesc-information-guidelines.pdf</w:t>
              </w:r>
            </w:hyperlink>
            <w:r w:rsidR="00B43322">
              <w:t>.</w:t>
            </w:r>
          </w:p>
          <w:p w:rsidR="008D6A19" w:rsidRDefault="00646BFF" w:rsidP="008D6A19">
            <w:pPr>
              <w:pStyle w:val="ListNumber"/>
              <w:numPr>
                <w:ilvl w:val="0"/>
                <w:numId w:val="0"/>
              </w:numPr>
              <w:spacing w:after="120"/>
              <w:outlineLvl w:val="3"/>
              <w:rPr>
                <w:rFonts w:ascii="Arial" w:hAnsi="Arial" w:cs="Arial"/>
                <w:sz w:val="20"/>
                <w:szCs w:val="22"/>
              </w:rPr>
            </w:pPr>
            <w:r>
              <w:rPr>
                <w:rFonts w:ascii="Arial" w:hAnsi="Arial" w:cs="Arial"/>
                <w:color w:val="000000" w:themeColor="text1"/>
                <w:sz w:val="20"/>
                <w:szCs w:val="22"/>
                <w:vertAlign w:val="superscript"/>
              </w:rPr>
              <w:t xml:space="preserve">2 </w:t>
            </w:r>
            <w:r w:rsidR="008D6A19" w:rsidRPr="0070176C">
              <w:rPr>
                <w:rFonts w:ascii="Arial" w:hAnsi="Arial" w:cs="Arial"/>
                <w:sz w:val="20"/>
                <w:szCs w:val="22"/>
              </w:rPr>
              <w:t>Queensland Water Commission (QWC), 2012. Underground Water Impact Report for the Surat Cumulative Management Report.</w:t>
            </w:r>
            <w:r w:rsidR="00A4438C">
              <w:rPr>
                <w:rFonts w:ascii="Arial" w:hAnsi="Arial" w:cs="Arial"/>
                <w:sz w:val="20"/>
                <w:szCs w:val="22"/>
              </w:rPr>
              <w:t xml:space="preserve"> (Now known as </w:t>
            </w:r>
            <w:r w:rsidR="00B06E5C">
              <w:rPr>
                <w:rFonts w:ascii="Arial" w:hAnsi="Arial" w:cs="Arial"/>
                <w:sz w:val="20"/>
                <w:szCs w:val="22"/>
              </w:rPr>
              <w:t xml:space="preserve">the </w:t>
            </w:r>
            <w:r w:rsidR="00A4438C">
              <w:rPr>
                <w:rFonts w:ascii="Arial" w:hAnsi="Arial" w:cs="Arial"/>
                <w:sz w:val="20"/>
                <w:szCs w:val="22"/>
              </w:rPr>
              <w:t>Office of Groundwater Impact Assessment).</w:t>
            </w:r>
          </w:p>
          <w:p w:rsidR="008D6A19" w:rsidRDefault="00646BFF" w:rsidP="008D6A19">
            <w:pPr>
              <w:pStyle w:val="ListNumber"/>
              <w:numPr>
                <w:ilvl w:val="0"/>
                <w:numId w:val="0"/>
              </w:numPr>
              <w:spacing w:after="120"/>
              <w:outlineLvl w:val="3"/>
              <w:rPr>
                <w:rFonts w:ascii="Arial" w:hAnsi="Arial" w:cs="Arial"/>
                <w:sz w:val="20"/>
                <w:szCs w:val="22"/>
              </w:rPr>
            </w:pPr>
            <w:r>
              <w:rPr>
                <w:rFonts w:ascii="Arial" w:hAnsi="Arial" w:cs="Arial"/>
                <w:color w:val="000000" w:themeColor="text1"/>
                <w:sz w:val="20"/>
                <w:szCs w:val="22"/>
                <w:vertAlign w:val="superscript"/>
              </w:rPr>
              <w:t xml:space="preserve">3 </w:t>
            </w:r>
            <w:proofErr w:type="spellStart"/>
            <w:r w:rsidR="008D6A19" w:rsidRPr="001277E4">
              <w:rPr>
                <w:rFonts w:ascii="Arial" w:hAnsi="Arial" w:cs="Arial"/>
                <w:sz w:val="20"/>
                <w:szCs w:val="22"/>
              </w:rPr>
              <w:t>Klohn</w:t>
            </w:r>
            <w:proofErr w:type="spellEnd"/>
            <w:r w:rsidR="008D6A19" w:rsidRPr="001277E4">
              <w:rPr>
                <w:rFonts w:ascii="Arial" w:hAnsi="Arial" w:cs="Arial"/>
                <w:sz w:val="20"/>
                <w:szCs w:val="22"/>
              </w:rPr>
              <w:t xml:space="preserve"> </w:t>
            </w:r>
            <w:proofErr w:type="spellStart"/>
            <w:r w:rsidR="008D6A19" w:rsidRPr="001277E4">
              <w:rPr>
                <w:rFonts w:ascii="Arial" w:hAnsi="Arial" w:cs="Arial"/>
                <w:sz w:val="20"/>
                <w:szCs w:val="22"/>
              </w:rPr>
              <w:t>Crippen</w:t>
            </w:r>
            <w:proofErr w:type="spellEnd"/>
            <w:r w:rsidR="008D6A19" w:rsidRPr="001277E4">
              <w:rPr>
                <w:rFonts w:ascii="Arial" w:hAnsi="Arial" w:cs="Arial"/>
                <w:sz w:val="20"/>
                <w:szCs w:val="22"/>
              </w:rPr>
              <w:t xml:space="preserve"> Berger (KCB) (2012) </w:t>
            </w:r>
            <w:proofErr w:type="spellStart"/>
            <w:r w:rsidR="008D6A19" w:rsidRPr="001277E4">
              <w:rPr>
                <w:rFonts w:ascii="Arial" w:hAnsi="Arial" w:cs="Arial"/>
                <w:sz w:val="20"/>
                <w:szCs w:val="22"/>
              </w:rPr>
              <w:t>Hydrogeological</w:t>
            </w:r>
            <w:proofErr w:type="spellEnd"/>
            <w:r w:rsidR="008D6A19" w:rsidRPr="001277E4">
              <w:rPr>
                <w:rFonts w:ascii="Arial" w:hAnsi="Arial" w:cs="Arial"/>
                <w:sz w:val="20"/>
                <w:szCs w:val="22"/>
              </w:rPr>
              <w:t xml:space="preserve"> Attributes Associated with </w:t>
            </w:r>
            <w:proofErr w:type="gramStart"/>
            <w:r w:rsidR="008D6A19" w:rsidRPr="001277E4">
              <w:rPr>
                <w:rFonts w:ascii="Arial" w:hAnsi="Arial" w:cs="Arial"/>
                <w:sz w:val="20"/>
                <w:szCs w:val="22"/>
              </w:rPr>
              <w:t>Springs</w:t>
            </w:r>
            <w:proofErr w:type="gramEnd"/>
            <w:r w:rsidR="008D6A19" w:rsidRPr="001277E4">
              <w:rPr>
                <w:rFonts w:ascii="Arial" w:hAnsi="Arial" w:cs="Arial"/>
                <w:sz w:val="20"/>
                <w:szCs w:val="22"/>
              </w:rPr>
              <w:t xml:space="preserve"> in the Surat Cumulative Management Area, Queensland Water Commission</w:t>
            </w:r>
            <w:r w:rsidR="00B43322">
              <w:rPr>
                <w:rFonts w:ascii="Arial" w:hAnsi="Arial" w:cs="Arial"/>
                <w:sz w:val="20"/>
                <w:szCs w:val="22"/>
              </w:rPr>
              <w:t>.</w:t>
            </w:r>
          </w:p>
          <w:p w:rsidR="008D6A19" w:rsidRDefault="00646BFF" w:rsidP="008D6A19">
            <w:pPr>
              <w:pStyle w:val="ListNumber"/>
              <w:numPr>
                <w:ilvl w:val="0"/>
                <w:numId w:val="0"/>
              </w:numPr>
              <w:spacing w:after="120"/>
              <w:outlineLvl w:val="3"/>
              <w:rPr>
                <w:rFonts w:ascii="Arial" w:hAnsi="Arial" w:cs="Arial"/>
                <w:sz w:val="20"/>
                <w:szCs w:val="22"/>
              </w:rPr>
            </w:pPr>
            <w:r>
              <w:rPr>
                <w:rFonts w:ascii="Arial" w:hAnsi="Arial" w:cs="Arial"/>
                <w:color w:val="000000" w:themeColor="text1"/>
                <w:sz w:val="20"/>
                <w:szCs w:val="22"/>
                <w:vertAlign w:val="superscript"/>
              </w:rPr>
              <w:t xml:space="preserve">4 </w:t>
            </w:r>
            <w:proofErr w:type="gramStart"/>
            <w:r w:rsidR="008D6A19" w:rsidRPr="001277E4">
              <w:rPr>
                <w:rFonts w:ascii="Arial" w:hAnsi="Arial" w:cs="Arial"/>
                <w:sz w:val="20"/>
                <w:szCs w:val="22"/>
              </w:rPr>
              <w:t>Fielder</w:t>
            </w:r>
            <w:proofErr w:type="gramEnd"/>
            <w:r w:rsidR="008D6A19" w:rsidRPr="001277E4">
              <w:rPr>
                <w:rFonts w:ascii="Arial" w:hAnsi="Arial" w:cs="Arial"/>
                <w:sz w:val="20"/>
                <w:szCs w:val="22"/>
              </w:rPr>
              <w:t xml:space="preserve"> DP, Davidson W &amp; Barratt PJ. (2011). Aquatic Conservation Assessments (ACA), using </w:t>
            </w:r>
            <w:proofErr w:type="spellStart"/>
            <w:r w:rsidR="008D6A19" w:rsidRPr="001277E4">
              <w:rPr>
                <w:rFonts w:ascii="Arial" w:hAnsi="Arial" w:cs="Arial"/>
                <w:sz w:val="20"/>
                <w:szCs w:val="22"/>
              </w:rPr>
              <w:t>AquaBAMM</w:t>
            </w:r>
            <w:proofErr w:type="spellEnd"/>
            <w:r w:rsidR="008D6A19" w:rsidRPr="001277E4">
              <w:rPr>
                <w:rFonts w:ascii="Arial" w:hAnsi="Arial" w:cs="Arial"/>
                <w:sz w:val="20"/>
                <w:szCs w:val="22"/>
              </w:rPr>
              <w:t>, for the wetlands of the Queensland Murray–Darling Basin. Brisbane: Department of Environment and Resource Management.</w:t>
            </w:r>
          </w:p>
          <w:p w:rsidR="006B03B1" w:rsidRPr="006B03B1" w:rsidRDefault="006B03B1" w:rsidP="006B03B1">
            <w:pPr>
              <w:pStyle w:val="ListNumber"/>
              <w:numPr>
                <w:ilvl w:val="0"/>
                <w:numId w:val="0"/>
              </w:numPr>
              <w:spacing w:after="120"/>
              <w:outlineLvl w:val="3"/>
              <w:rPr>
                <w:rFonts w:ascii="Arial" w:hAnsi="Arial" w:cs="Arial"/>
                <w:sz w:val="20"/>
                <w:szCs w:val="22"/>
              </w:rPr>
            </w:pPr>
            <w:r>
              <w:rPr>
                <w:rFonts w:ascii="Arial" w:hAnsi="Arial" w:cs="Arial"/>
                <w:color w:val="000000" w:themeColor="text1"/>
                <w:sz w:val="20"/>
                <w:szCs w:val="22"/>
                <w:vertAlign w:val="superscript"/>
              </w:rPr>
              <w:t xml:space="preserve">5 </w:t>
            </w:r>
            <w:r w:rsidRPr="006B03B1">
              <w:rPr>
                <w:rFonts w:ascii="Arial" w:hAnsi="Arial" w:cs="Arial"/>
                <w:sz w:val="20"/>
                <w:szCs w:val="22"/>
              </w:rPr>
              <w:t>URS (2010) Dawson River Beneficial Use Discharge Scheme.  Report prepared for Santos Ltd</w:t>
            </w:r>
            <w:r w:rsidR="00B43322">
              <w:rPr>
                <w:rFonts w:ascii="Arial" w:hAnsi="Arial" w:cs="Arial"/>
                <w:sz w:val="20"/>
                <w:szCs w:val="22"/>
              </w:rPr>
              <w:t>.</w:t>
            </w:r>
          </w:p>
          <w:p w:rsidR="008D6A19" w:rsidRDefault="006B03B1" w:rsidP="00A56E17">
            <w:pPr>
              <w:pStyle w:val="ListNumber"/>
              <w:numPr>
                <w:ilvl w:val="0"/>
                <w:numId w:val="0"/>
              </w:numPr>
              <w:spacing w:after="120"/>
              <w:outlineLvl w:val="3"/>
              <w:rPr>
                <w:rFonts w:ascii="Arial" w:hAnsi="Arial" w:cs="Arial"/>
                <w:sz w:val="20"/>
                <w:szCs w:val="22"/>
              </w:rPr>
            </w:pPr>
            <w:r>
              <w:rPr>
                <w:rFonts w:ascii="Arial" w:hAnsi="Arial" w:cs="Arial"/>
                <w:color w:val="000000" w:themeColor="text1"/>
                <w:sz w:val="20"/>
                <w:szCs w:val="22"/>
                <w:vertAlign w:val="superscript"/>
              </w:rPr>
              <w:t>6</w:t>
            </w:r>
            <w:r w:rsidR="00646BFF">
              <w:rPr>
                <w:rFonts w:ascii="Arial" w:hAnsi="Arial" w:cs="Arial"/>
                <w:color w:val="000000" w:themeColor="text1"/>
                <w:sz w:val="20"/>
                <w:szCs w:val="22"/>
                <w:vertAlign w:val="superscript"/>
              </w:rPr>
              <w:t xml:space="preserve"> </w:t>
            </w:r>
            <w:proofErr w:type="gramStart"/>
            <w:r w:rsidR="008D6A19" w:rsidRPr="001277E4">
              <w:rPr>
                <w:rFonts w:ascii="Arial" w:hAnsi="Arial" w:cs="Arial"/>
                <w:sz w:val="20"/>
                <w:szCs w:val="22"/>
              </w:rPr>
              <w:t>Department</w:t>
            </w:r>
            <w:proofErr w:type="gramEnd"/>
            <w:r w:rsidR="008D6A19" w:rsidRPr="001277E4">
              <w:rPr>
                <w:rFonts w:ascii="Arial" w:hAnsi="Arial" w:cs="Arial"/>
                <w:sz w:val="20"/>
                <w:szCs w:val="22"/>
              </w:rPr>
              <w:t xml:space="preserve"> of Environment and Heritage Protection (2011) Dawson River Sub-basin Environmental Values and Water Quality Objectives – WQ1308 – Upper Dawson River Sub-basin</w:t>
            </w:r>
            <w:r w:rsidR="00B43322">
              <w:rPr>
                <w:rFonts w:ascii="Arial" w:hAnsi="Arial" w:cs="Arial"/>
                <w:sz w:val="20"/>
                <w:szCs w:val="22"/>
              </w:rPr>
              <w:t>.</w:t>
            </w:r>
          </w:p>
          <w:p w:rsidR="0027197B" w:rsidRDefault="0027197B" w:rsidP="0027197B">
            <w:pPr>
              <w:pStyle w:val="ListBullet"/>
              <w:rPr>
                <w:rFonts w:ascii="Arial" w:hAnsi="Arial" w:cs="Arial"/>
                <w:bCs/>
                <w:sz w:val="20"/>
                <w:szCs w:val="20"/>
              </w:rPr>
            </w:pPr>
            <w:r>
              <w:rPr>
                <w:rFonts w:ascii="Arial" w:hAnsi="Arial" w:cs="Arial"/>
                <w:sz w:val="20"/>
                <w:szCs w:val="22"/>
              </w:rPr>
              <w:t>* Coffey Environments (2013) Supplementary Environmental Impact Assessment for the Surat Arrow Gas Project, prepared for Arrow Energy Pty Ltd</w:t>
            </w:r>
            <w:r>
              <w:rPr>
                <w:rFonts w:ascii="Arial" w:hAnsi="Arial" w:cs="Arial"/>
                <w:bCs/>
                <w:sz w:val="20"/>
                <w:szCs w:val="20"/>
              </w:rPr>
              <w:t xml:space="preserve">: Appendix 4: Groundwater </w:t>
            </w:r>
            <w:r>
              <w:rPr>
                <w:rFonts w:ascii="Arial" w:hAnsi="Arial" w:cs="Arial"/>
                <w:bCs/>
                <w:sz w:val="20"/>
                <w:szCs w:val="20"/>
              </w:rPr>
              <w:lastRenderedPageBreak/>
              <w:t>Technical Report – Section 7.5.</w:t>
            </w:r>
          </w:p>
          <w:p w:rsidR="0027197B" w:rsidRPr="00805E42" w:rsidRDefault="0027197B" w:rsidP="00A56E17">
            <w:pPr>
              <w:pStyle w:val="ListNumber"/>
              <w:numPr>
                <w:ilvl w:val="0"/>
                <w:numId w:val="0"/>
              </w:numPr>
              <w:spacing w:after="120"/>
              <w:outlineLvl w:val="3"/>
              <w:rPr>
                <w:rFonts w:ascii="Arial" w:hAnsi="Arial" w:cs="Arial"/>
                <w:color w:val="000000" w:themeColor="text1"/>
                <w:sz w:val="20"/>
                <w:szCs w:val="22"/>
              </w:rPr>
            </w:pPr>
          </w:p>
        </w:tc>
      </w:tr>
    </w:tbl>
    <w:p w:rsidR="006B14DB" w:rsidRPr="00062A46" w:rsidRDefault="006B14DB" w:rsidP="00DC325B"/>
    <w:sectPr w:rsidR="006B14DB" w:rsidRPr="00062A46" w:rsidSect="00FA4CF0">
      <w:headerReference w:type="even" r:id="rId10"/>
      <w:headerReference w:type="default" r:id="rId11"/>
      <w:footerReference w:type="even" r:id="rId12"/>
      <w:footerReference w:type="default" r:id="rId13"/>
      <w:headerReference w:type="first" r:id="rId14"/>
      <w:footerReference w:type="first" r:id="rId15"/>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CD0" w:rsidRDefault="00EC4CD0" w:rsidP="00A60185">
      <w:r>
        <w:separator/>
      </w:r>
    </w:p>
  </w:endnote>
  <w:endnote w:type="continuationSeparator" w:id="0">
    <w:p w:rsidR="00EC4CD0" w:rsidRDefault="00EC4CD0"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C6F" w:rsidRDefault="00CA4C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D0" w:rsidRPr="00185039" w:rsidRDefault="00F97948">
    <w:pPr>
      <w:pStyle w:val="Footer"/>
      <w:jc w:val="center"/>
      <w:rPr>
        <w:rFonts w:ascii="Arial" w:hAnsi="Arial" w:cs="Arial"/>
        <w:sz w:val="20"/>
        <w:szCs w:val="20"/>
      </w:rPr>
    </w:pPr>
    <w:r w:rsidRPr="00185039">
      <w:rPr>
        <w:rFonts w:ascii="Arial" w:hAnsi="Arial" w:cs="Arial"/>
        <w:sz w:val="20"/>
        <w:szCs w:val="20"/>
      </w:rPr>
      <w:fldChar w:fldCharType="begin"/>
    </w:r>
    <w:r w:rsidR="00EC4CD0"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780A96">
      <w:rPr>
        <w:rFonts w:ascii="Arial" w:hAnsi="Arial" w:cs="Arial"/>
        <w:noProof/>
        <w:sz w:val="20"/>
        <w:szCs w:val="20"/>
      </w:rPr>
      <w:t>10</w:t>
    </w:r>
    <w:r w:rsidRPr="00185039">
      <w:rPr>
        <w:rFonts w:ascii="Arial" w:hAnsi="Arial"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D0" w:rsidRPr="00D15280" w:rsidRDefault="00EC4CD0">
    <w:pPr>
      <w:pStyle w:val="Footer"/>
      <w:rPr>
        <w:rFonts w:ascii="Arial" w:hAnsi="Arial" w:cs="Arial"/>
        <w:sz w:val="20"/>
        <w:szCs w:val="20"/>
      </w:rPr>
    </w:pPr>
    <w:r>
      <w:rPr>
        <w:rFonts w:ascii="Arial" w:hAnsi="Arial" w:cs="Arial"/>
        <w:sz w:val="20"/>
        <w:szCs w:val="20"/>
      </w:rPr>
      <w:t>Final Advice</w:t>
    </w:r>
    <w:r w:rsidRPr="00D15280">
      <w:rPr>
        <w:rFonts w:ascii="Arial" w:hAnsi="Arial" w:cs="Arial"/>
        <w:sz w:val="20"/>
        <w:szCs w:val="20"/>
      </w:rPr>
      <w:ptab w:relativeTo="margin" w:alignment="right" w:leader="none"/>
    </w:r>
    <w:r>
      <w:rPr>
        <w:rFonts w:ascii="Arial" w:hAnsi="Arial" w:cs="Arial"/>
        <w:sz w:val="20"/>
        <w:szCs w:val="20"/>
      </w:rPr>
      <w:t>22 August 2013</w:t>
    </w:r>
  </w:p>
  <w:p w:rsidR="00EC4CD0" w:rsidRPr="00062A46" w:rsidRDefault="00F97948"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EC4CD0"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780A96">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CD0" w:rsidRDefault="00EC4CD0" w:rsidP="00A60185">
      <w:r>
        <w:separator/>
      </w:r>
    </w:p>
  </w:footnote>
  <w:footnote w:type="continuationSeparator" w:id="0">
    <w:p w:rsidR="00EC4CD0" w:rsidRDefault="00EC4CD0"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D0" w:rsidRDefault="00EC4CD0"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C6F" w:rsidRDefault="00CA4C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D0" w:rsidRDefault="00EC4CD0"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88E3C0E"/>
    <w:lvl w:ilvl="0">
      <w:start w:val="1"/>
      <w:numFmt w:val="decimal"/>
      <w:lvlText w:val="%1."/>
      <w:lvlJc w:val="left"/>
      <w:pPr>
        <w:tabs>
          <w:tab w:val="num" w:pos="360"/>
        </w:tabs>
        <w:ind w:left="360" w:hanging="360"/>
      </w:p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B2665D2"/>
    <w:multiLevelType w:val="hybridMultilevel"/>
    <w:tmpl w:val="F6828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AA0BA1"/>
    <w:multiLevelType w:val="hybridMultilevel"/>
    <w:tmpl w:val="7ED05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4117E"/>
    <w:multiLevelType w:val="hybridMultilevel"/>
    <w:tmpl w:val="757A3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8075FB"/>
    <w:multiLevelType w:val="hybridMultilevel"/>
    <w:tmpl w:val="1400C07C"/>
    <w:lvl w:ilvl="0" w:tplc="3A5C5E66">
      <w:start w:val="1"/>
      <w:numFmt w:val="decimal"/>
      <w:lvlText w:val="%1."/>
      <w:lvlJc w:val="left"/>
      <w:pPr>
        <w:ind w:left="644" w:hanging="360"/>
      </w:pPr>
      <w:rPr>
        <w:i w:val="0"/>
      </w:rPr>
    </w:lvl>
    <w:lvl w:ilvl="1" w:tplc="0C090019">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6">
    <w:nsid w:val="2EC92404"/>
    <w:multiLevelType w:val="hybridMultilevel"/>
    <w:tmpl w:val="615C966C"/>
    <w:lvl w:ilvl="0" w:tplc="3A5C5E66">
      <w:start w:val="1"/>
      <w:numFmt w:val="decimal"/>
      <w:lvlText w:val="%1."/>
      <w:lvlJc w:val="left"/>
      <w:pPr>
        <w:ind w:left="721" w:hanging="360"/>
      </w:pPr>
      <w:rPr>
        <w:i w:val="0"/>
      </w:rPr>
    </w:lvl>
    <w:lvl w:ilvl="1" w:tplc="0C090019">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7">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A1D0791"/>
    <w:multiLevelType w:val="hybridMultilevel"/>
    <w:tmpl w:val="2ED86988"/>
    <w:lvl w:ilvl="0" w:tplc="C8C83C92">
      <w:start w:val="1"/>
      <w:numFmt w:val="decimal"/>
      <w:lvlText w:val="%1."/>
      <w:lvlJc w:val="left"/>
      <w:pPr>
        <w:ind w:left="360" w:hanging="360"/>
      </w:pPr>
      <w:rPr>
        <w:b w:val="0"/>
        <w:i w:val="0"/>
      </w:rPr>
    </w:lvl>
    <w:lvl w:ilvl="1" w:tplc="2698DC38">
      <w:start w:val="1"/>
      <w:numFmt w:val="lowerLetter"/>
      <w:lvlText w:val="%2."/>
      <w:lvlJc w:val="left"/>
      <w:pPr>
        <w:ind w:left="1441" w:hanging="360"/>
      </w:pPr>
      <w:rPr>
        <w:b w:val="0"/>
      </w:r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0">
    <w:nsid w:val="65456429"/>
    <w:multiLevelType w:val="multilevel"/>
    <w:tmpl w:val="70783556"/>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1"/>
  </w:num>
  <w:num w:numId="2">
    <w:abstractNumId w:val="1"/>
  </w:num>
  <w:num w:numId="3">
    <w:abstractNumId w:val="8"/>
  </w:num>
  <w:num w:numId="4">
    <w:abstractNumId w:val="7"/>
  </w:num>
  <w:num w:numId="5">
    <w:abstractNumId w:val="10"/>
  </w:num>
  <w:num w:numId="6">
    <w:abstractNumId w:val="3"/>
  </w:num>
  <w:num w:numId="7">
    <w:abstractNumId w:val="4"/>
  </w:num>
  <w:num w:numId="8">
    <w:abstractNumId w:val="9"/>
  </w:num>
  <w:num w:numId="9">
    <w:abstractNumId w:val="6"/>
  </w:num>
  <w:num w:numId="10">
    <w:abstractNumId w:val="10"/>
  </w:num>
  <w:num w:numId="11">
    <w:abstractNumId w:val="10"/>
  </w:num>
  <w:num w:numId="12">
    <w:abstractNumId w:val="10"/>
  </w:num>
  <w:num w:numId="13">
    <w:abstractNumId w:val="10"/>
  </w:num>
  <w:num w:numId="14">
    <w:abstractNumId w:val="10"/>
  </w:num>
  <w:num w:numId="15">
    <w:abstractNumId w:val="5"/>
  </w:num>
  <w:num w:numId="16">
    <w:abstractNumId w:val="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2"/>
  </w:num>
  <w:num w:numId="60">
    <w:abstractNumId w:val="10"/>
  </w:num>
  <w:num w:numId="61">
    <w:abstractNumId w:val="10"/>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num>
  <w:num w:numId="64">
    <w:abstractNumId w:val="10"/>
  </w:num>
  <w:num w:numId="65">
    <w:abstractNumId w:val="10"/>
  </w:num>
  <w:num w:numId="66">
    <w:abstractNumId w:val="1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rsids>
    <w:rsidRoot w:val="0041275D"/>
    <w:rsid w:val="0000176D"/>
    <w:rsid w:val="00003CF3"/>
    <w:rsid w:val="00004AEE"/>
    <w:rsid w:val="00005CAA"/>
    <w:rsid w:val="00010210"/>
    <w:rsid w:val="00010FB9"/>
    <w:rsid w:val="00012D66"/>
    <w:rsid w:val="00013039"/>
    <w:rsid w:val="00013CE4"/>
    <w:rsid w:val="00014F95"/>
    <w:rsid w:val="00015ADA"/>
    <w:rsid w:val="000165BC"/>
    <w:rsid w:val="00016EF9"/>
    <w:rsid w:val="00020C20"/>
    <w:rsid w:val="00020C99"/>
    <w:rsid w:val="0002194A"/>
    <w:rsid w:val="00022C2D"/>
    <w:rsid w:val="0002707B"/>
    <w:rsid w:val="00030EC2"/>
    <w:rsid w:val="00031B32"/>
    <w:rsid w:val="00036B21"/>
    <w:rsid w:val="00036FCB"/>
    <w:rsid w:val="00040214"/>
    <w:rsid w:val="00047612"/>
    <w:rsid w:val="0005148E"/>
    <w:rsid w:val="00052B0A"/>
    <w:rsid w:val="00052ECC"/>
    <w:rsid w:val="000534E0"/>
    <w:rsid w:val="000547F0"/>
    <w:rsid w:val="00061E7E"/>
    <w:rsid w:val="00062A46"/>
    <w:rsid w:val="0006603F"/>
    <w:rsid w:val="000759E5"/>
    <w:rsid w:val="0007601C"/>
    <w:rsid w:val="00077C12"/>
    <w:rsid w:val="00083463"/>
    <w:rsid w:val="00084AC6"/>
    <w:rsid w:val="00085315"/>
    <w:rsid w:val="00085DE2"/>
    <w:rsid w:val="00091608"/>
    <w:rsid w:val="0009196E"/>
    <w:rsid w:val="00092F92"/>
    <w:rsid w:val="0009333C"/>
    <w:rsid w:val="00095DCF"/>
    <w:rsid w:val="0009704F"/>
    <w:rsid w:val="000979E9"/>
    <w:rsid w:val="000A09D1"/>
    <w:rsid w:val="000A0F11"/>
    <w:rsid w:val="000A125A"/>
    <w:rsid w:val="000A228F"/>
    <w:rsid w:val="000A57CD"/>
    <w:rsid w:val="000A5CA4"/>
    <w:rsid w:val="000A6A48"/>
    <w:rsid w:val="000B0852"/>
    <w:rsid w:val="000B08AA"/>
    <w:rsid w:val="000B2477"/>
    <w:rsid w:val="000B3758"/>
    <w:rsid w:val="000B4452"/>
    <w:rsid w:val="000B4B9E"/>
    <w:rsid w:val="000B7681"/>
    <w:rsid w:val="000B7B42"/>
    <w:rsid w:val="000C02B7"/>
    <w:rsid w:val="000C2814"/>
    <w:rsid w:val="000C29BC"/>
    <w:rsid w:val="000C451B"/>
    <w:rsid w:val="000C4A65"/>
    <w:rsid w:val="000C5342"/>
    <w:rsid w:val="000C706A"/>
    <w:rsid w:val="000D1945"/>
    <w:rsid w:val="000D2505"/>
    <w:rsid w:val="000D2887"/>
    <w:rsid w:val="000D5F00"/>
    <w:rsid w:val="000D6D63"/>
    <w:rsid w:val="000D706B"/>
    <w:rsid w:val="000D7810"/>
    <w:rsid w:val="000E0081"/>
    <w:rsid w:val="000E07CF"/>
    <w:rsid w:val="000F1422"/>
    <w:rsid w:val="000F4F56"/>
    <w:rsid w:val="000F55C7"/>
    <w:rsid w:val="000F5DCF"/>
    <w:rsid w:val="00100BEF"/>
    <w:rsid w:val="00100E11"/>
    <w:rsid w:val="00102E17"/>
    <w:rsid w:val="001041AC"/>
    <w:rsid w:val="001047FE"/>
    <w:rsid w:val="00107AF9"/>
    <w:rsid w:val="00112EFA"/>
    <w:rsid w:val="0011498E"/>
    <w:rsid w:val="00115C70"/>
    <w:rsid w:val="00117A45"/>
    <w:rsid w:val="001224AE"/>
    <w:rsid w:val="00123035"/>
    <w:rsid w:val="001251E5"/>
    <w:rsid w:val="00125353"/>
    <w:rsid w:val="001255CE"/>
    <w:rsid w:val="001261E1"/>
    <w:rsid w:val="0012677E"/>
    <w:rsid w:val="001277E4"/>
    <w:rsid w:val="001337D4"/>
    <w:rsid w:val="001340EA"/>
    <w:rsid w:val="001345C7"/>
    <w:rsid w:val="00140E83"/>
    <w:rsid w:val="001428DD"/>
    <w:rsid w:val="00142D22"/>
    <w:rsid w:val="00145319"/>
    <w:rsid w:val="00146D77"/>
    <w:rsid w:val="00147C12"/>
    <w:rsid w:val="00150832"/>
    <w:rsid w:val="001527A1"/>
    <w:rsid w:val="001530DC"/>
    <w:rsid w:val="001533D2"/>
    <w:rsid w:val="001546DC"/>
    <w:rsid w:val="00154989"/>
    <w:rsid w:val="00155A9F"/>
    <w:rsid w:val="0015684F"/>
    <w:rsid w:val="00160262"/>
    <w:rsid w:val="0016186F"/>
    <w:rsid w:val="0016281C"/>
    <w:rsid w:val="0016433A"/>
    <w:rsid w:val="0016780A"/>
    <w:rsid w:val="001702C8"/>
    <w:rsid w:val="001713FA"/>
    <w:rsid w:val="001733FB"/>
    <w:rsid w:val="00173EBF"/>
    <w:rsid w:val="0017616D"/>
    <w:rsid w:val="001765DA"/>
    <w:rsid w:val="001775A6"/>
    <w:rsid w:val="00181B3C"/>
    <w:rsid w:val="00183ADD"/>
    <w:rsid w:val="001842A2"/>
    <w:rsid w:val="00185039"/>
    <w:rsid w:val="001858B7"/>
    <w:rsid w:val="00187634"/>
    <w:rsid w:val="00187FA8"/>
    <w:rsid w:val="001922D0"/>
    <w:rsid w:val="00192F5E"/>
    <w:rsid w:val="00197772"/>
    <w:rsid w:val="001A16B3"/>
    <w:rsid w:val="001A2898"/>
    <w:rsid w:val="001A2C3D"/>
    <w:rsid w:val="001A2EBC"/>
    <w:rsid w:val="001A31FC"/>
    <w:rsid w:val="001A51C8"/>
    <w:rsid w:val="001A62AC"/>
    <w:rsid w:val="001B318A"/>
    <w:rsid w:val="001B472B"/>
    <w:rsid w:val="001B4CA8"/>
    <w:rsid w:val="001B7341"/>
    <w:rsid w:val="001C1E78"/>
    <w:rsid w:val="001C2AAD"/>
    <w:rsid w:val="001C36A1"/>
    <w:rsid w:val="001C4F3D"/>
    <w:rsid w:val="001C6895"/>
    <w:rsid w:val="001D0CDC"/>
    <w:rsid w:val="001D1D82"/>
    <w:rsid w:val="001D2708"/>
    <w:rsid w:val="001D3F0F"/>
    <w:rsid w:val="001E1182"/>
    <w:rsid w:val="001E1AC7"/>
    <w:rsid w:val="001F0E8B"/>
    <w:rsid w:val="00200944"/>
    <w:rsid w:val="00202C90"/>
    <w:rsid w:val="00203DF3"/>
    <w:rsid w:val="00205D4F"/>
    <w:rsid w:val="002076C9"/>
    <w:rsid w:val="00211FAB"/>
    <w:rsid w:val="002121E1"/>
    <w:rsid w:val="00212D81"/>
    <w:rsid w:val="00213B61"/>
    <w:rsid w:val="00213DE8"/>
    <w:rsid w:val="00214529"/>
    <w:rsid w:val="002150BA"/>
    <w:rsid w:val="00215EFC"/>
    <w:rsid w:val="00216118"/>
    <w:rsid w:val="00217F2C"/>
    <w:rsid w:val="002209AB"/>
    <w:rsid w:val="00222CC4"/>
    <w:rsid w:val="00224862"/>
    <w:rsid w:val="002251E3"/>
    <w:rsid w:val="00227A95"/>
    <w:rsid w:val="002316BD"/>
    <w:rsid w:val="00232623"/>
    <w:rsid w:val="002336F3"/>
    <w:rsid w:val="00234676"/>
    <w:rsid w:val="00234DF2"/>
    <w:rsid w:val="00236B8B"/>
    <w:rsid w:val="002415A6"/>
    <w:rsid w:val="00244F9C"/>
    <w:rsid w:val="002473FC"/>
    <w:rsid w:val="00250030"/>
    <w:rsid w:val="00252E3C"/>
    <w:rsid w:val="00262198"/>
    <w:rsid w:val="00263077"/>
    <w:rsid w:val="0027197B"/>
    <w:rsid w:val="002724CB"/>
    <w:rsid w:val="00273F76"/>
    <w:rsid w:val="00276513"/>
    <w:rsid w:val="00277C31"/>
    <w:rsid w:val="00285F1B"/>
    <w:rsid w:val="00292B81"/>
    <w:rsid w:val="0029322E"/>
    <w:rsid w:val="002942A7"/>
    <w:rsid w:val="00294F88"/>
    <w:rsid w:val="00296477"/>
    <w:rsid w:val="002974BC"/>
    <w:rsid w:val="002A0270"/>
    <w:rsid w:val="002A1A87"/>
    <w:rsid w:val="002A3065"/>
    <w:rsid w:val="002A5EC3"/>
    <w:rsid w:val="002A6929"/>
    <w:rsid w:val="002B18AE"/>
    <w:rsid w:val="002B6574"/>
    <w:rsid w:val="002B67D3"/>
    <w:rsid w:val="002B6E95"/>
    <w:rsid w:val="002B7319"/>
    <w:rsid w:val="002C041A"/>
    <w:rsid w:val="002C1255"/>
    <w:rsid w:val="002C1C93"/>
    <w:rsid w:val="002C4BCB"/>
    <w:rsid w:val="002C5066"/>
    <w:rsid w:val="002C67DD"/>
    <w:rsid w:val="002C6E5E"/>
    <w:rsid w:val="002D0014"/>
    <w:rsid w:val="002D082A"/>
    <w:rsid w:val="002D23E8"/>
    <w:rsid w:val="002D45A0"/>
    <w:rsid w:val="002D4AAC"/>
    <w:rsid w:val="002D6C33"/>
    <w:rsid w:val="002E13C1"/>
    <w:rsid w:val="002E5F54"/>
    <w:rsid w:val="002E723E"/>
    <w:rsid w:val="002F045A"/>
    <w:rsid w:val="002F49C2"/>
    <w:rsid w:val="002F63AF"/>
    <w:rsid w:val="0030039D"/>
    <w:rsid w:val="00300715"/>
    <w:rsid w:val="003007F8"/>
    <w:rsid w:val="0030326F"/>
    <w:rsid w:val="00306ECE"/>
    <w:rsid w:val="00310701"/>
    <w:rsid w:val="00311510"/>
    <w:rsid w:val="00315980"/>
    <w:rsid w:val="00316F7F"/>
    <w:rsid w:val="00320162"/>
    <w:rsid w:val="0032087E"/>
    <w:rsid w:val="003218E8"/>
    <w:rsid w:val="00322820"/>
    <w:rsid w:val="0032438E"/>
    <w:rsid w:val="00327BBD"/>
    <w:rsid w:val="00330A53"/>
    <w:rsid w:val="00330DCE"/>
    <w:rsid w:val="00331E11"/>
    <w:rsid w:val="00334761"/>
    <w:rsid w:val="00337EBC"/>
    <w:rsid w:val="003402C4"/>
    <w:rsid w:val="00341DCD"/>
    <w:rsid w:val="00343D10"/>
    <w:rsid w:val="00344A57"/>
    <w:rsid w:val="0034504D"/>
    <w:rsid w:val="0034563E"/>
    <w:rsid w:val="003504CC"/>
    <w:rsid w:val="003518D6"/>
    <w:rsid w:val="00354429"/>
    <w:rsid w:val="0035460C"/>
    <w:rsid w:val="003556BD"/>
    <w:rsid w:val="00362FDB"/>
    <w:rsid w:val="00364285"/>
    <w:rsid w:val="00365147"/>
    <w:rsid w:val="00365B13"/>
    <w:rsid w:val="0037016E"/>
    <w:rsid w:val="00370E55"/>
    <w:rsid w:val="00372908"/>
    <w:rsid w:val="00376457"/>
    <w:rsid w:val="00381917"/>
    <w:rsid w:val="00383020"/>
    <w:rsid w:val="003975FD"/>
    <w:rsid w:val="003A0593"/>
    <w:rsid w:val="003A3CF3"/>
    <w:rsid w:val="003B46BF"/>
    <w:rsid w:val="003B60CC"/>
    <w:rsid w:val="003B69BB"/>
    <w:rsid w:val="003C10AC"/>
    <w:rsid w:val="003C1931"/>
    <w:rsid w:val="003C1B25"/>
    <w:rsid w:val="003C2443"/>
    <w:rsid w:val="003C31E0"/>
    <w:rsid w:val="003C3785"/>
    <w:rsid w:val="003C492F"/>
    <w:rsid w:val="003C5DA3"/>
    <w:rsid w:val="003C6E95"/>
    <w:rsid w:val="003C7A73"/>
    <w:rsid w:val="003D4BCD"/>
    <w:rsid w:val="003E01D8"/>
    <w:rsid w:val="003E2100"/>
    <w:rsid w:val="003E53CA"/>
    <w:rsid w:val="003F0CB7"/>
    <w:rsid w:val="003F0DFE"/>
    <w:rsid w:val="003F6F5B"/>
    <w:rsid w:val="00401BBA"/>
    <w:rsid w:val="004024BD"/>
    <w:rsid w:val="0040342D"/>
    <w:rsid w:val="00403FB9"/>
    <w:rsid w:val="004057C6"/>
    <w:rsid w:val="00407AC8"/>
    <w:rsid w:val="0041192D"/>
    <w:rsid w:val="004122E7"/>
    <w:rsid w:val="0041275D"/>
    <w:rsid w:val="0041284D"/>
    <w:rsid w:val="00413EE1"/>
    <w:rsid w:val="0042128E"/>
    <w:rsid w:val="00423D25"/>
    <w:rsid w:val="0042465A"/>
    <w:rsid w:val="004260EA"/>
    <w:rsid w:val="00426EEF"/>
    <w:rsid w:val="00432B60"/>
    <w:rsid w:val="00434270"/>
    <w:rsid w:val="0043647E"/>
    <w:rsid w:val="00440698"/>
    <w:rsid w:val="00440856"/>
    <w:rsid w:val="00444467"/>
    <w:rsid w:val="00444B45"/>
    <w:rsid w:val="00446139"/>
    <w:rsid w:val="0045122C"/>
    <w:rsid w:val="0045265A"/>
    <w:rsid w:val="00453418"/>
    <w:rsid w:val="004540E2"/>
    <w:rsid w:val="00454454"/>
    <w:rsid w:val="004545DF"/>
    <w:rsid w:val="004555B6"/>
    <w:rsid w:val="00456199"/>
    <w:rsid w:val="0045684E"/>
    <w:rsid w:val="0046166F"/>
    <w:rsid w:val="004634F2"/>
    <w:rsid w:val="004644FB"/>
    <w:rsid w:val="004664A4"/>
    <w:rsid w:val="00466724"/>
    <w:rsid w:val="00467924"/>
    <w:rsid w:val="004712A5"/>
    <w:rsid w:val="00471486"/>
    <w:rsid w:val="0047266F"/>
    <w:rsid w:val="0047664F"/>
    <w:rsid w:val="00476D6B"/>
    <w:rsid w:val="0048680C"/>
    <w:rsid w:val="0049013A"/>
    <w:rsid w:val="00490615"/>
    <w:rsid w:val="004914C7"/>
    <w:rsid w:val="00492C16"/>
    <w:rsid w:val="004937C3"/>
    <w:rsid w:val="00494F90"/>
    <w:rsid w:val="004A0678"/>
    <w:rsid w:val="004A3FF5"/>
    <w:rsid w:val="004A48A3"/>
    <w:rsid w:val="004B0D92"/>
    <w:rsid w:val="004B0EC0"/>
    <w:rsid w:val="004B297E"/>
    <w:rsid w:val="004B51E9"/>
    <w:rsid w:val="004B66F1"/>
    <w:rsid w:val="004B770D"/>
    <w:rsid w:val="004C3B7B"/>
    <w:rsid w:val="004C3EA0"/>
    <w:rsid w:val="004C709C"/>
    <w:rsid w:val="004D63DF"/>
    <w:rsid w:val="004E3FE9"/>
    <w:rsid w:val="004E54F8"/>
    <w:rsid w:val="004E57CB"/>
    <w:rsid w:val="004E595B"/>
    <w:rsid w:val="004F261C"/>
    <w:rsid w:val="004F4A93"/>
    <w:rsid w:val="004F5A83"/>
    <w:rsid w:val="004F7169"/>
    <w:rsid w:val="005001A3"/>
    <w:rsid w:val="00500D66"/>
    <w:rsid w:val="00501FE9"/>
    <w:rsid w:val="005036A6"/>
    <w:rsid w:val="00504FD4"/>
    <w:rsid w:val="00505B0B"/>
    <w:rsid w:val="00513AB1"/>
    <w:rsid w:val="00514C8E"/>
    <w:rsid w:val="00517F35"/>
    <w:rsid w:val="00520B57"/>
    <w:rsid w:val="00520DEE"/>
    <w:rsid w:val="00521B50"/>
    <w:rsid w:val="00521F3C"/>
    <w:rsid w:val="005230BB"/>
    <w:rsid w:val="00523A57"/>
    <w:rsid w:val="00523AC6"/>
    <w:rsid w:val="00523ED3"/>
    <w:rsid w:val="00525111"/>
    <w:rsid w:val="00525B87"/>
    <w:rsid w:val="00531DBF"/>
    <w:rsid w:val="00532A7D"/>
    <w:rsid w:val="005337FC"/>
    <w:rsid w:val="00537677"/>
    <w:rsid w:val="00540FE7"/>
    <w:rsid w:val="00545759"/>
    <w:rsid w:val="00545BE0"/>
    <w:rsid w:val="005468C4"/>
    <w:rsid w:val="0055123E"/>
    <w:rsid w:val="00554255"/>
    <w:rsid w:val="00554C6A"/>
    <w:rsid w:val="005564E9"/>
    <w:rsid w:val="00562E85"/>
    <w:rsid w:val="0056332F"/>
    <w:rsid w:val="005759BE"/>
    <w:rsid w:val="00581C39"/>
    <w:rsid w:val="0058381E"/>
    <w:rsid w:val="00584F6B"/>
    <w:rsid w:val="00587CC7"/>
    <w:rsid w:val="005903B6"/>
    <w:rsid w:val="00592B20"/>
    <w:rsid w:val="005938D9"/>
    <w:rsid w:val="005967FB"/>
    <w:rsid w:val="005A0247"/>
    <w:rsid w:val="005A126E"/>
    <w:rsid w:val="005A452F"/>
    <w:rsid w:val="005A52ED"/>
    <w:rsid w:val="005A60A1"/>
    <w:rsid w:val="005A703F"/>
    <w:rsid w:val="005B140D"/>
    <w:rsid w:val="005B17A4"/>
    <w:rsid w:val="005B4307"/>
    <w:rsid w:val="005C1FEA"/>
    <w:rsid w:val="005C3495"/>
    <w:rsid w:val="005C3FBD"/>
    <w:rsid w:val="005C793F"/>
    <w:rsid w:val="005D25EB"/>
    <w:rsid w:val="005D2BC4"/>
    <w:rsid w:val="005E13EA"/>
    <w:rsid w:val="005E3889"/>
    <w:rsid w:val="005E3DFC"/>
    <w:rsid w:val="005E60AF"/>
    <w:rsid w:val="005E6E2E"/>
    <w:rsid w:val="005E7B4E"/>
    <w:rsid w:val="005F19E8"/>
    <w:rsid w:val="005F1DEA"/>
    <w:rsid w:val="005F2B65"/>
    <w:rsid w:val="005F6E95"/>
    <w:rsid w:val="0060045D"/>
    <w:rsid w:val="0060050B"/>
    <w:rsid w:val="00601B10"/>
    <w:rsid w:val="00601D02"/>
    <w:rsid w:val="00602FCB"/>
    <w:rsid w:val="0060384B"/>
    <w:rsid w:val="00607FC9"/>
    <w:rsid w:val="00610955"/>
    <w:rsid w:val="00613518"/>
    <w:rsid w:val="0061490C"/>
    <w:rsid w:val="0062054E"/>
    <w:rsid w:val="00620D6A"/>
    <w:rsid w:val="00622FE1"/>
    <w:rsid w:val="0062468D"/>
    <w:rsid w:val="0062521C"/>
    <w:rsid w:val="00625B82"/>
    <w:rsid w:val="00630A2B"/>
    <w:rsid w:val="0063283F"/>
    <w:rsid w:val="00632DC7"/>
    <w:rsid w:val="00633896"/>
    <w:rsid w:val="006348FD"/>
    <w:rsid w:val="006357FB"/>
    <w:rsid w:val="006406FC"/>
    <w:rsid w:val="0064407B"/>
    <w:rsid w:val="00646122"/>
    <w:rsid w:val="00646599"/>
    <w:rsid w:val="00646AEB"/>
    <w:rsid w:val="00646BFF"/>
    <w:rsid w:val="00650F38"/>
    <w:rsid w:val="0065150B"/>
    <w:rsid w:val="00653E16"/>
    <w:rsid w:val="00653E53"/>
    <w:rsid w:val="00655A8E"/>
    <w:rsid w:val="00655CF1"/>
    <w:rsid w:val="00657220"/>
    <w:rsid w:val="0066104B"/>
    <w:rsid w:val="00661419"/>
    <w:rsid w:val="006655EE"/>
    <w:rsid w:val="00667C10"/>
    <w:rsid w:val="00667EF4"/>
    <w:rsid w:val="00672B85"/>
    <w:rsid w:val="006748B0"/>
    <w:rsid w:val="00674E59"/>
    <w:rsid w:val="00676FCA"/>
    <w:rsid w:val="00677177"/>
    <w:rsid w:val="0067765D"/>
    <w:rsid w:val="00677791"/>
    <w:rsid w:val="006836DC"/>
    <w:rsid w:val="00684947"/>
    <w:rsid w:val="00685454"/>
    <w:rsid w:val="0068612E"/>
    <w:rsid w:val="006875DD"/>
    <w:rsid w:val="00687858"/>
    <w:rsid w:val="00687940"/>
    <w:rsid w:val="00687C92"/>
    <w:rsid w:val="006903B7"/>
    <w:rsid w:val="006904B4"/>
    <w:rsid w:val="006925B1"/>
    <w:rsid w:val="00692CA8"/>
    <w:rsid w:val="00693357"/>
    <w:rsid w:val="0069519A"/>
    <w:rsid w:val="0069534E"/>
    <w:rsid w:val="00696365"/>
    <w:rsid w:val="0069669C"/>
    <w:rsid w:val="006A1200"/>
    <w:rsid w:val="006A2C5A"/>
    <w:rsid w:val="006A3C7B"/>
    <w:rsid w:val="006A3CB4"/>
    <w:rsid w:val="006A4F4E"/>
    <w:rsid w:val="006A596E"/>
    <w:rsid w:val="006A6B09"/>
    <w:rsid w:val="006A6CDD"/>
    <w:rsid w:val="006B03B1"/>
    <w:rsid w:val="006B03C8"/>
    <w:rsid w:val="006B14DB"/>
    <w:rsid w:val="006B1D54"/>
    <w:rsid w:val="006B21C4"/>
    <w:rsid w:val="006B3114"/>
    <w:rsid w:val="006B52B6"/>
    <w:rsid w:val="006C3E0E"/>
    <w:rsid w:val="006C4A1A"/>
    <w:rsid w:val="006C74E2"/>
    <w:rsid w:val="006C7DAD"/>
    <w:rsid w:val="006D0393"/>
    <w:rsid w:val="006D143E"/>
    <w:rsid w:val="006D1A83"/>
    <w:rsid w:val="006D5D1E"/>
    <w:rsid w:val="006D70F8"/>
    <w:rsid w:val="006E1CFE"/>
    <w:rsid w:val="006E31A2"/>
    <w:rsid w:val="006E3834"/>
    <w:rsid w:val="006E7C3B"/>
    <w:rsid w:val="006F032E"/>
    <w:rsid w:val="006F10C4"/>
    <w:rsid w:val="006F16C1"/>
    <w:rsid w:val="006F40E9"/>
    <w:rsid w:val="006F4902"/>
    <w:rsid w:val="006F4A29"/>
    <w:rsid w:val="006F5603"/>
    <w:rsid w:val="00701400"/>
    <w:rsid w:val="0070176C"/>
    <w:rsid w:val="007037CF"/>
    <w:rsid w:val="00703BB8"/>
    <w:rsid w:val="00703C27"/>
    <w:rsid w:val="00703C72"/>
    <w:rsid w:val="0070590E"/>
    <w:rsid w:val="00713F89"/>
    <w:rsid w:val="00716583"/>
    <w:rsid w:val="007167C0"/>
    <w:rsid w:val="00720481"/>
    <w:rsid w:val="00726EFF"/>
    <w:rsid w:val="00727C18"/>
    <w:rsid w:val="00727E2F"/>
    <w:rsid w:val="007319BA"/>
    <w:rsid w:val="00733193"/>
    <w:rsid w:val="00737CBA"/>
    <w:rsid w:val="00742D56"/>
    <w:rsid w:val="00745DE9"/>
    <w:rsid w:val="00745DEE"/>
    <w:rsid w:val="0074758F"/>
    <w:rsid w:val="007518D5"/>
    <w:rsid w:val="00752FF8"/>
    <w:rsid w:val="00754C17"/>
    <w:rsid w:val="00755C7A"/>
    <w:rsid w:val="007566DC"/>
    <w:rsid w:val="0075732A"/>
    <w:rsid w:val="00760262"/>
    <w:rsid w:val="00761EA4"/>
    <w:rsid w:val="0076310C"/>
    <w:rsid w:val="0076744F"/>
    <w:rsid w:val="00767BCE"/>
    <w:rsid w:val="00767EFC"/>
    <w:rsid w:val="007707DE"/>
    <w:rsid w:val="00770B5D"/>
    <w:rsid w:val="007752F1"/>
    <w:rsid w:val="00776768"/>
    <w:rsid w:val="0077696D"/>
    <w:rsid w:val="007802A6"/>
    <w:rsid w:val="00780A96"/>
    <w:rsid w:val="00782D61"/>
    <w:rsid w:val="00785858"/>
    <w:rsid w:val="00791024"/>
    <w:rsid w:val="007921C6"/>
    <w:rsid w:val="00793E65"/>
    <w:rsid w:val="00794818"/>
    <w:rsid w:val="007971C2"/>
    <w:rsid w:val="007A2573"/>
    <w:rsid w:val="007A36D1"/>
    <w:rsid w:val="007A3B9C"/>
    <w:rsid w:val="007B106C"/>
    <w:rsid w:val="007B1A4E"/>
    <w:rsid w:val="007B3D05"/>
    <w:rsid w:val="007B4D1A"/>
    <w:rsid w:val="007B5503"/>
    <w:rsid w:val="007B6AA5"/>
    <w:rsid w:val="007C6BB3"/>
    <w:rsid w:val="007C6F6E"/>
    <w:rsid w:val="007D14B4"/>
    <w:rsid w:val="007D1AC4"/>
    <w:rsid w:val="007D2B3E"/>
    <w:rsid w:val="007D3AD7"/>
    <w:rsid w:val="007D5BC5"/>
    <w:rsid w:val="007E24F6"/>
    <w:rsid w:val="00800F64"/>
    <w:rsid w:val="00802F0B"/>
    <w:rsid w:val="00804A1C"/>
    <w:rsid w:val="00805E42"/>
    <w:rsid w:val="00810A67"/>
    <w:rsid w:val="0081162C"/>
    <w:rsid w:val="00814013"/>
    <w:rsid w:val="00814622"/>
    <w:rsid w:val="00815CBD"/>
    <w:rsid w:val="0082050F"/>
    <w:rsid w:val="008227DF"/>
    <w:rsid w:val="0082694D"/>
    <w:rsid w:val="00832575"/>
    <w:rsid w:val="00832911"/>
    <w:rsid w:val="00833128"/>
    <w:rsid w:val="00833CF7"/>
    <w:rsid w:val="008348A9"/>
    <w:rsid w:val="0084094A"/>
    <w:rsid w:val="00840C7B"/>
    <w:rsid w:val="008443F4"/>
    <w:rsid w:val="00845396"/>
    <w:rsid w:val="00845601"/>
    <w:rsid w:val="00846F24"/>
    <w:rsid w:val="00847F65"/>
    <w:rsid w:val="00850F1C"/>
    <w:rsid w:val="00851CB1"/>
    <w:rsid w:val="008524B9"/>
    <w:rsid w:val="00855C5C"/>
    <w:rsid w:val="00855FFE"/>
    <w:rsid w:val="008607D0"/>
    <w:rsid w:val="0086233C"/>
    <w:rsid w:val="00863040"/>
    <w:rsid w:val="0086460F"/>
    <w:rsid w:val="00865CFA"/>
    <w:rsid w:val="00867C1C"/>
    <w:rsid w:val="0087556B"/>
    <w:rsid w:val="00883CE7"/>
    <w:rsid w:val="008849A4"/>
    <w:rsid w:val="0089527E"/>
    <w:rsid w:val="008954CC"/>
    <w:rsid w:val="008A187F"/>
    <w:rsid w:val="008A3C96"/>
    <w:rsid w:val="008A4CDC"/>
    <w:rsid w:val="008A6283"/>
    <w:rsid w:val="008B0A20"/>
    <w:rsid w:val="008B0BBA"/>
    <w:rsid w:val="008B1627"/>
    <w:rsid w:val="008B340F"/>
    <w:rsid w:val="008B4019"/>
    <w:rsid w:val="008B505F"/>
    <w:rsid w:val="008B65C9"/>
    <w:rsid w:val="008C0A38"/>
    <w:rsid w:val="008C2D4A"/>
    <w:rsid w:val="008C6A05"/>
    <w:rsid w:val="008C7BE3"/>
    <w:rsid w:val="008C7DBB"/>
    <w:rsid w:val="008D16EE"/>
    <w:rsid w:val="008D3900"/>
    <w:rsid w:val="008D6A19"/>
    <w:rsid w:val="008D6E1D"/>
    <w:rsid w:val="008D6EDB"/>
    <w:rsid w:val="008E35DB"/>
    <w:rsid w:val="008E36FE"/>
    <w:rsid w:val="008E46D9"/>
    <w:rsid w:val="008E4CB6"/>
    <w:rsid w:val="008E4D70"/>
    <w:rsid w:val="008F0020"/>
    <w:rsid w:val="008F2BEA"/>
    <w:rsid w:val="008F39B4"/>
    <w:rsid w:val="008F4162"/>
    <w:rsid w:val="008F556C"/>
    <w:rsid w:val="00900BB4"/>
    <w:rsid w:val="00901CD4"/>
    <w:rsid w:val="00903E02"/>
    <w:rsid w:val="00904ACA"/>
    <w:rsid w:val="0091126E"/>
    <w:rsid w:val="00913175"/>
    <w:rsid w:val="009133F8"/>
    <w:rsid w:val="00914177"/>
    <w:rsid w:val="009165E1"/>
    <w:rsid w:val="00916EDB"/>
    <w:rsid w:val="00920861"/>
    <w:rsid w:val="00922B13"/>
    <w:rsid w:val="009242EF"/>
    <w:rsid w:val="00925762"/>
    <w:rsid w:val="00926D95"/>
    <w:rsid w:val="0092755A"/>
    <w:rsid w:val="00927A9B"/>
    <w:rsid w:val="009318A7"/>
    <w:rsid w:val="00932291"/>
    <w:rsid w:val="0093408E"/>
    <w:rsid w:val="00935815"/>
    <w:rsid w:val="00940B28"/>
    <w:rsid w:val="00940C31"/>
    <w:rsid w:val="00942F57"/>
    <w:rsid w:val="009461F4"/>
    <w:rsid w:val="00947507"/>
    <w:rsid w:val="00952049"/>
    <w:rsid w:val="00952DDF"/>
    <w:rsid w:val="00952EC4"/>
    <w:rsid w:val="009530F7"/>
    <w:rsid w:val="00954765"/>
    <w:rsid w:val="00961CE5"/>
    <w:rsid w:val="00962E6D"/>
    <w:rsid w:val="00963AF2"/>
    <w:rsid w:val="00964B93"/>
    <w:rsid w:val="00964C78"/>
    <w:rsid w:val="00966B20"/>
    <w:rsid w:val="00972167"/>
    <w:rsid w:val="00972260"/>
    <w:rsid w:val="009812D4"/>
    <w:rsid w:val="00982653"/>
    <w:rsid w:val="00982DE1"/>
    <w:rsid w:val="00986A89"/>
    <w:rsid w:val="009873F4"/>
    <w:rsid w:val="0099005A"/>
    <w:rsid w:val="009920D8"/>
    <w:rsid w:val="00996F03"/>
    <w:rsid w:val="009A0A87"/>
    <w:rsid w:val="009A371F"/>
    <w:rsid w:val="009A7781"/>
    <w:rsid w:val="009B38BE"/>
    <w:rsid w:val="009B4556"/>
    <w:rsid w:val="009B682F"/>
    <w:rsid w:val="009C3D0F"/>
    <w:rsid w:val="009C6A3F"/>
    <w:rsid w:val="009D0A25"/>
    <w:rsid w:val="009D2271"/>
    <w:rsid w:val="009D6232"/>
    <w:rsid w:val="009E10CA"/>
    <w:rsid w:val="009E1B19"/>
    <w:rsid w:val="009E6795"/>
    <w:rsid w:val="009F007B"/>
    <w:rsid w:val="009F35E2"/>
    <w:rsid w:val="009F65F9"/>
    <w:rsid w:val="009F68BA"/>
    <w:rsid w:val="00A03A11"/>
    <w:rsid w:val="00A06277"/>
    <w:rsid w:val="00A07386"/>
    <w:rsid w:val="00A079DC"/>
    <w:rsid w:val="00A10BAB"/>
    <w:rsid w:val="00A111C2"/>
    <w:rsid w:val="00A1487E"/>
    <w:rsid w:val="00A15A0C"/>
    <w:rsid w:val="00A17C39"/>
    <w:rsid w:val="00A238AA"/>
    <w:rsid w:val="00A245E3"/>
    <w:rsid w:val="00A305A8"/>
    <w:rsid w:val="00A338E7"/>
    <w:rsid w:val="00A346D0"/>
    <w:rsid w:val="00A357CF"/>
    <w:rsid w:val="00A35CAA"/>
    <w:rsid w:val="00A36511"/>
    <w:rsid w:val="00A36E7F"/>
    <w:rsid w:val="00A37118"/>
    <w:rsid w:val="00A407DE"/>
    <w:rsid w:val="00A41E65"/>
    <w:rsid w:val="00A42077"/>
    <w:rsid w:val="00A4396E"/>
    <w:rsid w:val="00A43E0A"/>
    <w:rsid w:val="00A4438C"/>
    <w:rsid w:val="00A46247"/>
    <w:rsid w:val="00A51272"/>
    <w:rsid w:val="00A52F6F"/>
    <w:rsid w:val="00A530C7"/>
    <w:rsid w:val="00A55F5B"/>
    <w:rsid w:val="00A563C0"/>
    <w:rsid w:val="00A56E17"/>
    <w:rsid w:val="00A60185"/>
    <w:rsid w:val="00A6477C"/>
    <w:rsid w:val="00A661EA"/>
    <w:rsid w:val="00A67005"/>
    <w:rsid w:val="00A67D0F"/>
    <w:rsid w:val="00A70A6C"/>
    <w:rsid w:val="00A724B5"/>
    <w:rsid w:val="00A830E5"/>
    <w:rsid w:val="00A83343"/>
    <w:rsid w:val="00A84A37"/>
    <w:rsid w:val="00A84F54"/>
    <w:rsid w:val="00A87135"/>
    <w:rsid w:val="00A92C55"/>
    <w:rsid w:val="00A92DCF"/>
    <w:rsid w:val="00A93280"/>
    <w:rsid w:val="00A951EA"/>
    <w:rsid w:val="00A961A6"/>
    <w:rsid w:val="00A97306"/>
    <w:rsid w:val="00A973E1"/>
    <w:rsid w:val="00AA110D"/>
    <w:rsid w:val="00AA1C65"/>
    <w:rsid w:val="00AA2548"/>
    <w:rsid w:val="00AA315E"/>
    <w:rsid w:val="00AA3B6E"/>
    <w:rsid w:val="00AA58C4"/>
    <w:rsid w:val="00AA73BB"/>
    <w:rsid w:val="00AB0BEB"/>
    <w:rsid w:val="00AB11C8"/>
    <w:rsid w:val="00AB1518"/>
    <w:rsid w:val="00AC08A8"/>
    <w:rsid w:val="00AC22D5"/>
    <w:rsid w:val="00AD2E4D"/>
    <w:rsid w:val="00AD458C"/>
    <w:rsid w:val="00AD54AA"/>
    <w:rsid w:val="00AD555C"/>
    <w:rsid w:val="00AD56C8"/>
    <w:rsid w:val="00AD58F2"/>
    <w:rsid w:val="00AD658E"/>
    <w:rsid w:val="00AD7FBC"/>
    <w:rsid w:val="00AE0CC3"/>
    <w:rsid w:val="00AE28F3"/>
    <w:rsid w:val="00AE555F"/>
    <w:rsid w:val="00AE63B9"/>
    <w:rsid w:val="00AE711F"/>
    <w:rsid w:val="00AF5EA3"/>
    <w:rsid w:val="00AF6573"/>
    <w:rsid w:val="00AF7690"/>
    <w:rsid w:val="00AF7C2C"/>
    <w:rsid w:val="00B04631"/>
    <w:rsid w:val="00B0512A"/>
    <w:rsid w:val="00B0529F"/>
    <w:rsid w:val="00B05D52"/>
    <w:rsid w:val="00B069B3"/>
    <w:rsid w:val="00B06E5C"/>
    <w:rsid w:val="00B07986"/>
    <w:rsid w:val="00B07CBB"/>
    <w:rsid w:val="00B115ED"/>
    <w:rsid w:val="00B12478"/>
    <w:rsid w:val="00B136D6"/>
    <w:rsid w:val="00B1418B"/>
    <w:rsid w:val="00B151A0"/>
    <w:rsid w:val="00B1560E"/>
    <w:rsid w:val="00B15987"/>
    <w:rsid w:val="00B21195"/>
    <w:rsid w:val="00B22B3D"/>
    <w:rsid w:val="00B24B22"/>
    <w:rsid w:val="00B25310"/>
    <w:rsid w:val="00B25976"/>
    <w:rsid w:val="00B30B87"/>
    <w:rsid w:val="00B32F8F"/>
    <w:rsid w:val="00B345EF"/>
    <w:rsid w:val="00B34E05"/>
    <w:rsid w:val="00B35623"/>
    <w:rsid w:val="00B35768"/>
    <w:rsid w:val="00B42D53"/>
    <w:rsid w:val="00B43322"/>
    <w:rsid w:val="00B4376B"/>
    <w:rsid w:val="00B43CCF"/>
    <w:rsid w:val="00B47C42"/>
    <w:rsid w:val="00B510B1"/>
    <w:rsid w:val="00B54DE9"/>
    <w:rsid w:val="00B553EC"/>
    <w:rsid w:val="00B55870"/>
    <w:rsid w:val="00B61EAB"/>
    <w:rsid w:val="00B67304"/>
    <w:rsid w:val="00B71231"/>
    <w:rsid w:val="00B737D9"/>
    <w:rsid w:val="00B739A4"/>
    <w:rsid w:val="00B763C8"/>
    <w:rsid w:val="00B77732"/>
    <w:rsid w:val="00B80D6D"/>
    <w:rsid w:val="00B816AA"/>
    <w:rsid w:val="00B816EB"/>
    <w:rsid w:val="00B81C48"/>
    <w:rsid w:val="00B81F0C"/>
    <w:rsid w:val="00B8374D"/>
    <w:rsid w:val="00B84E1D"/>
    <w:rsid w:val="00B9154F"/>
    <w:rsid w:val="00B93DD0"/>
    <w:rsid w:val="00B93F9B"/>
    <w:rsid w:val="00B95309"/>
    <w:rsid w:val="00B97732"/>
    <w:rsid w:val="00BA1F2E"/>
    <w:rsid w:val="00BA61B5"/>
    <w:rsid w:val="00BA65A8"/>
    <w:rsid w:val="00BA6D19"/>
    <w:rsid w:val="00BA7461"/>
    <w:rsid w:val="00BA7DA9"/>
    <w:rsid w:val="00BB5662"/>
    <w:rsid w:val="00BC1BA5"/>
    <w:rsid w:val="00BC4215"/>
    <w:rsid w:val="00BC4393"/>
    <w:rsid w:val="00BC529B"/>
    <w:rsid w:val="00BD0396"/>
    <w:rsid w:val="00BD041E"/>
    <w:rsid w:val="00BD1A6F"/>
    <w:rsid w:val="00BD23A6"/>
    <w:rsid w:val="00BD2BD9"/>
    <w:rsid w:val="00BD5B71"/>
    <w:rsid w:val="00BD5C57"/>
    <w:rsid w:val="00BD6A28"/>
    <w:rsid w:val="00BE6D3C"/>
    <w:rsid w:val="00BE7852"/>
    <w:rsid w:val="00BF03DC"/>
    <w:rsid w:val="00BF4A58"/>
    <w:rsid w:val="00BF6064"/>
    <w:rsid w:val="00BF6531"/>
    <w:rsid w:val="00BF7CEE"/>
    <w:rsid w:val="00C02C9E"/>
    <w:rsid w:val="00C03880"/>
    <w:rsid w:val="00C135CF"/>
    <w:rsid w:val="00C14919"/>
    <w:rsid w:val="00C15536"/>
    <w:rsid w:val="00C15ADC"/>
    <w:rsid w:val="00C24044"/>
    <w:rsid w:val="00C24B2D"/>
    <w:rsid w:val="00C25E62"/>
    <w:rsid w:val="00C2683F"/>
    <w:rsid w:val="00C27F72"/>
    <w:rsid w:val="00C3184D"/>
    <w:rsid w:val="00C31ADF"/>
    <w:rsid w:val="00C33BF3"/>
    <w:rsid w:val="00C34702"/>
    <w:rsid w:val="00C35184"/>
    <w:rsid w:val="00C3686D"/>
    <w:rsid w:val="00C37331"/>
    <w:rsid w:val="00C40375"/>
    <w:rsid w:val="00C453DA"/>
    <w:rsid w:val="00C4714E"/>
    <w:rsid w:val="00C50941"/>
    <w:rsid w:val="00C51C1E"/>
    <w:rsid w:val="00C5504F"/>
    <w:rsid w:val="00C5578A"/>
    <w:rsid w:val="00C55991"/>
    <w:rsid w:val="00C56455"/>
    <w:rsid w:val="00C63376"/>
    <w:rsid w:val="00C66CB4"/>
    <w:rsid w:val="00C714A1"/>
    <w:rsid w:val="00C73166"/>
    <w:rsid w:val="00C74F97"/>
    <w:rsid w:val="00C76A08"/>
    <w:rsid w:val="00C76CD4"/>
    <w:rsid w:val="00C803D7"/>
    <w:rsid w:val="00C8276E"/>
    <w:rsid w:val="00C83AD1"/>
    <w:rsid w:val="00C842AC"/>
    <w:rsid w:val="00C867D3"/>
    <w:rsid w:val="00C90ACD"/>
    <w:rsid w:val="00C90F76"/>
    <w:rsid w:val="00C92AD5"/>
    <w:rsid w:val="00C93FD9"/>
    <w:rsid w:val="00C96688"/>
    <w:rsid w:val="00CA0310"/>
    <w:rsid w:val="00CA0723"/>
    <w:rsid w:val="00CA10D9"/>
    <w:rsid w:val="00CA1457"/>
    <w:rsid w:val="00CA2BDC"/>
    <w:rsid w:val="00CA4542"/>
    <w:rsid w:val="00CA4C6F"/>
    <w:rsid w:val="00CA7044"/>
    <w:rsid w:val="00CB00C9"/>
    <w:rsid w:val="00CB1690"/>
    <w:rsid w:val="00CB1DCF"/>
    <w:rsid w:val="00CB26EE"/>
    <w:rsid w:val="00CB4170"/>
    <w:rsid w:val="00CB5B8D"/>
    <w:rsid w:val="00CB67E0"/>
    <w:rsid w:val="00CB78BE"/>
    <w:rsid w:val="00CB7F70"/>
    <w:rsid w:val="00CC3B34"/>
    <w:rsid w:val="00CC4365"/>
    <w:rsid w:val="00CD11B0"/>
    <w:rsid w:val="00CD3B2A"/>
    <w:rsid w:val="00CD5E0E"/>
    <w:rsid w:val="00CD6066"/>
    <w:rsid w:val="00CE49D9"/>
    <w:rsid w:val="00CE68AB"/>
    <w:rsid w:val="00CE71C2"/>
    <w:rsid w:val="00CE747D"/>
    <w:rsid w:val="00CF041B"/>
    <w:rsid w:val="00CF42D5"/>
    <w:rsid w:val="00CF4EDA"/>
    <w:rsid w:val="00CF5681"/>
    <w:rsid w:val="00CF5B75"/>
    <w:rsid w:val="00CF7635"/>
    <w:rsid w:val="00CF77A3"/>
    <w:rsid w:val="00D01E11"/>
    <w:rsid w:val="00D021CB"/>
    <w:rsid w:val="00D04DE7"/>
    <w:rsid w:val="00D06A5A"/>
    <w:rsid w:val="00D10F1A"/>
    <w:rsid w:val="00D116F8"/>
    <w:rsid w:val="00D15280"/>
    <w:rsid w:val="00D15D2E"/>
    <w:rsid w:val="00D17596"/>
    <w:rsid w:val="00D223DA"/>
    <w:rsid w:val="00D22640"/>
    <w:rsid w:val="00D22C9A"/>
    <w:rsid w:val="00D23DB6"/>
    <w:rsid w:val="00D248D7"/>
    <w:rsid w:val="00D26D3A"/>
    <w:rsid w:val="00D345E5"/>
    <w:rsid w:val="00D35D45"/>
    <w:rsid w:val="00D42FC1"/>
    <w:rsid w:val="00D434E4"/>
    <w:rsid w:val="00D45C91"/>
    <w:rsid w:val="00D45EE3"/>
    <w:rsid w:val="00D50618"/>
    <w:rsid w:val="00D509E9"/>
    <w:rsid w:val="00D52E9E"/>
    <w:rsid w:val="00D53B1C"/>
    <w:rsid w:val="00D60D0D"/>
    <w:rsid w:val="00D63595"/>
    <w:rsid w:val="00D64D5E"/>
    <w:rsid w:val="00D652C8"/>
    <w:rsid w:val="00D656FF"/>
    <w:rsid w:val="00D70239"/>
    <w:rsid w:val="00D74362"/>
    <w:rsid w:val="00D74FFD"/>
    <w:rsid w:val="00D82448"/>
    <w:rsid w:val="00D830AE"/>
    <w:rsid w:val="00D83615"/>
    <w:rsid w:val="00D84846"/>
    <w:rsid w:val="00D86D80"/>
    <w:rsid w:val="00D904E6"/>
    <w:rsid w:val="00D92581"/>
    <w:rsid w:val="00D94667"/>
    <w:rsid w:val="00D97037"/>
    <w:rsid w:val="00DA1B12"/>
    <w:rsid w:val="00DA4F90"/>
    <w:rsid w:val="00DA54C9"/>
    <w:rsid w:val="00DA6739"/>
    <w:rsid w:val="00DA6CAE"/>
    <w:rsid w:val="00DB1A9E"/>
    <w:rsid w:val="00DB31D6"/>
    <w:rsid w:val="00DB3296"/>
    <w:rsid w:val="00DB4005"/>
    <w:rsid w:val="00DB4AAC"/>
    <w:rsid w:val="00DB61F1"/>
    <w:rsid w:val="00DC1B27"/>
    <w:rsid w:val="00DC325B"/>
    <w:rsid w:val="00DC34EB"/>
    <w:rsid w:val="00DC5307"/>
    <w:rsid w:val="00DC78C0"/>
    <w:rsid w:val="00DD3041"/>
    <w:rsid w:val="00DD5598"/>
    <w:rsid w:val="00DE034B"/>
    <w:rsid w:val="00DE041E"/>
    <w:rsid w:val="00DE24E1"/>
    <w:rsid w:val="00DE2C10"/>
    <w:rsid w:val="00DE6114"/>
    <w:rsid w:val="00DF0318"/>
    <w:rsid w:val="00DF14C9"/>
    <w:rsid w:val="00DF1D57"/>
    <w:rsid w:val="00DF1E5B"/>
    <w:rsid w:val="00DF2275"/>
    <w:rsid w:val="00DF37DB"/>
    <w:rsid w:val="00DF3F5E"/>
    <w:rsid w:val="00DF5653"/>
    <w:rsid w:val="00DF76D5"/>
    <w:rsid w:val="00E0224A"/>
    <w:rsid w:val="00E03520"/>
    <w:rsid w:val="00E0596E"/>
    <w:rsid w:val="00E06F66"/>
    <w:rsid w:val="00E16CAA"/>
    <w:rsid w:val="00E2111A"/>
    <w:rsid w:val="00E21678"/>
    <w:rsid w:val="00E234FF"/>
    <w:rsid w:val="00E2607F"/>
    <w:rsid w:val="00E30052"/>
    <w:rsid w:val="00E32C22"/>
    <w:rsid w:val="00E356A6"/>
    <w:rsid w:val="00E356E5"/>
    <w:rsid w:val="00E36F81"/>
    <w:rsid w:val="00E378A8"/>
    <w:rsid w:val="00E40B9B"/>
    <w:rsid w:val="00E42DD9"/>
    <w:rsid w:val="00E42DDE"/>
    <w:rsid w:val="00E45765"/>
    <w:rsid w:val="00E4702A"/>
    <w:rsid w:val="00E471F7"/>
    <w:rsid w:val="00E5098C"/>
    <w:rsid w:val="00E5208B"/>
    <w:rsid w:val="00E53320"/>
    <w:rsid w:val="00E538CB"/>
    <w:rsid w:val="00E549C6"/>
    <w:rsid w:val="00E565A5"/>
    <w:rsid w:val="00E57E07"/>
    <w:rsid w:val="00E60213"/>
    <w:rsid w:val="00E63AA0"/>
    <w:rsid w:val="00E661B2"/>
    <w:rsid w:val="00E70437"/>
    <w:rsid w:val="00E73F99"/>
    <w:rsid w:val="00E74D29"/>
    <w:rsid w:val="00E76828"/>
    <w:rsid w:val="00E806FF"/>
    <w:rsid w:val="00E817DD"/>
    <w:rsid w:val="00E81F62"/>
    <w:rsid w:val="00E82E31"/>
    <w:rsid w:val="00E83C74"/>
    <w:rsid w:val="00E83CEE"/>
    <w:rsid w:val="00E8433E"/>
    <w:rsid w:val="00E91F18"/>
    <w:rsid w:val="00E9226D"/>
    <w:rsid w:val="00E9309C"/>
    <w:rsid w:val="00E94733"/>
    <w:rsid w:val="00E94BB0"/>
    <w:rsid w:val="00E953AF"/>
    <w:rsid w:val="00E96335"/>
    <w:rsid w:val="00EA416C"/>
    <w:rsid w:val="00EA5941"/>
    <w:rsid w:val="00EA6241"/>
    <w:rsid w:val="00EA6CE5"/>
    <w:rsid w:val="00EA75CA"/>
    <w:rsid w:val="00EB513B"/>
    <w:rsid w:val="00EB60CE"/>
    <w:rsid w:val="00EB67EB"/>
    <w:rsid w:val="00EB6A07"/>
    <w:rsid w:val="00EB70A5"/>
    <w:rsid w:val="00EB7367"/>
    <w:rsid w:val="00EB7D53"/>
    <w:rsid w:val="00EC4CD0"/>
    <w:rsid w:val="00EC596B"/>
    <w:rsid w:val="00EC6204"/>
    <w:rsid w:val="00ED0E67"/>
    <w:rsid w:val="00EE13C5"/>
    <w:rsid w:val="00EE2BBA"/>
    <w:rsid w:val="00EE3146"/>
    <w:rsid w:val="00EE6F37"/>
    <w:rsid w:val="00EE7006"/>
    <w:rsid w:val="00EF50BB"/>
    <w:rsid w:val="00EF71E4"/>
    <w:rsid w:val="00F00192"/>
    <w:rsid w:val="00F01DF6"/>
    <w:rsid w:val="00F027B8"/>
    <w:rsid w:val="00F0298C"/>
    <w:rsid w:val="00F0340D"/>
    <w:rsid w:val="00F059A6"/>
    <w:rsid w:val="00F062E1"/>
    <w:rsid w:val="00F074E6"/>
    <w:rsid w:val="00F101CA"/>
    <w:rsid w:val="00F11C0C"/>
    <w:rsid w:val="00F12B5D"/>
    <w:rsid w:val="00F14456"/>
    <w:rsid w:val="00F205E0"/>
    <w:rsid w:val="00F23756"/>
    <w:rsid w:val="00F2523A"/>
    <w:rsid w:val="00F25FFA"/>
    <w:rsid w:val="00F26207"/>
    <w:rsid w:val="00F310D2"/>
    <w:rsid w:val="00F31993"/>
    <w:rsid w:val="00F35271"/>
    <w:rsid w:val="00F36F3D"/>
    <w:rsid w:val="00F37C48"/>
    <w:rsid w:val="00F4286A"/>
    <w:rsid w:val="00F433DC"/>
    <w:rsid w:val="00F44140"/>
    <w:rsid w:val="00F477BD"/>
    <w:rsid w:val="00F50333"/>
    <w:rsid w:val="00F51EF4"/>
    <w:rsid w:val="00F53491"/>
    <w:rsid w:val="00F5372A"/>
    <w:rsid w:val="00F54656"/>
    <w:rsid w:val="00F55386"/>
    <w:rsid w:val="00F56411"/>
    <w:rsid w:val="00F56CC5"/>
    <w:rsid w:val="00F60181"/>
    <w:rsid w:val="00F61127"/>
    <w:rsid w:val="00F61C65"/>
    <w:rsid w:val="00F628CE"/>
    <w:rsid w:val="00F65A1C"/>
    <w:rsid w:val="00F66114"/>
    <w:rsid w:val="00F66913"/>
    <w:rsid w:val="00F66F50"/>
    <w:rsid w:val="00F7619A"/>
    <w:rsid w:val="00F77432"/>
    <w:rsid w:val="00F77E17"/>
    <w:rsid w:val="00F801BD"/>
    <w:rsid w:val="00F81162"/>
    <w:rsid w:val="00F82FF8"/>
    <w:rsid w:val="00F8330D"/>
    <w:rsid w:val="00F84305"/>
    <w:rsid w:val="00F8485C"/>
    <w:rsid w:val="00F849C2"/>
    <w:rsid w:val="00F87149"/>
    <w:rsid w:val="00F87FFE"/>
    <w:rsid w:val="00F93BCB"/>
    <w:rsid w:val="00F94F22"/>
    <w:rsid w:val="00F954C9"/>
    <w:rsid w:val="00F9552D"/>
    <w:rsid w:val="00F95C68"/>
    <w:rsid w:val="00F95E09"/>
    <w:rsid w:val="00F97948"/>
    <w:rsid w:val="00FA3298"/>
    <w:rsid w:val="00FA4827"/>
    <w:rsid w:val="00FA4CF0"/>
    <w:rsid w:val="00FA61AA"/>
    <w:rsid w:val="00FA69A4"/>
    <w:rsid w:val="00FA6A3F"/>
    <w:rsid w:val="00FA7EFA"/>
    <w:rsid w:val="00FB1279"/>
    <w:rsid w:val="00FB1495"/>
    <w:rsid w:val="00FB18A2"/>
    <w:rsid w:val="00FB4F73"/>
    <w:rsid w:val="00FB5BD8"/>
    <w:rsid w:val="00FC20F8"/>
    <w:rsid w:val="00FC2ED7"/>
    <w:rsid w:val="00FC41D1"/>
    <w:rsid w:val="00FC4D6F"/>
    <w:rsid w:val="00FD1694"/>
    <w:rsid w:val="00FD2BB4"/>
    <w:rsid w:val="00FD3224"/>
    <w:rsid w:val="00FD7636"/>
    <w:rsid w:val="00FE3229"/>
    <w:rsid w:val="00FE6035"/>
    <w:rsid w:val="00FE73A7"/>
    <w:rsid w:val="00FE74C3"/>
    <w:rsid w:val="00FF1408"/>
    <w:rsid w:val="00FF215C"/>
    <w:rsid w:val="00FF49E8"/>
    <w:rsid w:val="00FF672F"/>
    <w:rsid w:val="00FF72A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58381E"/>
    <w:rPr>
      <w:color w:val="800080" w:themeColor="followedHyperlink"/>
      <w:u w:val="single"/>
    </w:rPr>
  </w:style>
  <w:style w:type="paragraph" w:styleId="CommentText">
    <w:name w:val="annotation text"/>
    <w:basedOn w:val="Normal"/>
    <w:link w:val="CommentTextChar"/>
    <w:uiPriority w:val="99"/>
    <w:semiHidden/>
    <w:unhideWhenUsed/>
    <w:rsid w:val="0062054E"/>
    <w:pPr>
      <w:spacing w:after="200"/>
    </w:pPr>
    <w:rPr>
      <w:rFonts w:ascii="Arial" w:eastAsia="Calibri" w:hAnsi="Arial"/>
      <w:sz w:val="20"/>
      <w:szCs w:val="20"/>
    </w:rPr>
  </w:style>
  <w:style w:type="character" w:customStyle="1" w:styleId="CommentTextChar">
    <w:name w:val="Comment Text Char"/>
    <w:basedOn w:val="DefaultParagraphFont"/>
    <w:link w:val="CommentText"/>
    <w:uiPriority w:val="99"/>
    <w:semiHidden/>
    <w:rsid w:val="0062054E"/>
    <w:rPr>
      <w:lang w:eastAsia="en-US"/>
    </w:rPr>
  </w:style>
  <w:style w:type="character" w:styleId="CommentReference">
    <w:name w:val="annotation reference"/>
    <w:basedOn w:val="DefaultParagraphFont"/>
    <w:uiPriority w:val="99"/>
    <w:semiHidden/>
    <w:unhideWhenUsed/>
    <w:rsid w:val="00EE7006"/>
    <w:rPr>
      <w:sz w:val="16"/>
      <w:szCs w:val="16"/>
    </w:rPr>
  </w:style>
  <w:style w:type="paragraph" w:styleId="CommentSubject">
    <w:name w:val="annotation subject"/>
    <w:basedOn w:val="CommentText"/>
    <w:next w:val="CommentText"/>
    <w:link w:val="CommentSubjectChar"/>
    <w:uiPriority w:val="99"/>
    <w:semiHidden/>
    <w:unhideWhenUsed/>
    <w:rsid w:val="00EE7006"/>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EE7006"/>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106123970">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69361160">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3090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ironment.gov.au/coal-seam-gas-mining/project-advice/pubs/iesc-information-guideline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3F257-1819-4E77-92E8-96D831DD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5595</Words>
  <Characters>31892</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Advice to decision maker on coal seam gas development - Arrow Surat Gas Project</vt:lpstr>
    </vt:vector>
  </TitlesOfParts>
  <LinksUpToDate>false</LinksUpToDate>
  <CharactersWithSpaces>37413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seam gas development - Arrow Surat Gas Project</dc:title>
  <dc:creator/>
  <cp:lastModifiedBy/>
  <cp:revision>1</cp:revision>
  <dcterms:created xsi:type="dcterms:W3CDTF">2013-12-20T05:53:00Z</dcterms:created>
  <dcterms:modified xsi:type="dcterms:W3CDTF">2013-12-20T05:53:00Z</dcterms:modified>
</cp:coreProperties>
</file>