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FC014E" w:rsidRDefault="00F027B8" w:rsidP="00277A51">
      <w:pPr>
        <w:pStyle w:val="Header"/>
        <w:suppressLineNumbers/>
      </w:pPr>
      <w:r w:rsidRPr="00FC014E">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FC014E" w:rsidRDefault="00F027B8" w:rsidP="00277A51">
      <w:pPr>
        <w:pStyle w:val="Header"/>
        <w:suppressLineNumbers/>
      </w:pPr>
    </w:p>
    <w:p w:rsidR="00F027B8" w:rsidRPr="00FC014E" w:rsidRDefault="00F027B8" w:rsidP="00277A51">
      <w:pPr>
        <w:pStyle w:val="Header"/>
        <w:suppressLineNumbers/>
      </w:pPr>
    </w:p>
    <w:p w:rsidR="00F027B8" w:rsidRPr="00FC014E" w:rsidRDefault="00F027B8" w:rsidP="00277A51">
      <w:pPr>
        <w:pStyle w:val="Header"/>
        <w:suppressLineNumbers/>
      </w:pPr>
    </w:p>
    <w:p w:rsidR="00F027B8" w:rsidRPr="00FC014E" w:rsidRDefault="00F027B8" w:rsidP="00277A51">
      <w:pPr>
        <w:pStyle w:val="Heading1"/>
        <w:suppressLineNumbers/>
      </w:pPr>
    </w:p>
    <w:p w:rsidR="001765DA" w:rsidRPr="00FC014E" w:rsidRDefault="00F027B8" w:rsidP="00277A51">
      <w:pPr>
        <w:pStyle w:val="Heading1"/>
        <w:suppressLineNumbers/>
      </w:pPr>
      <w:bookmarkStart w:id="0" w:name="OLE_LINK3"/>
      <w:bookmarkStart w:id="1" w:name="OLE_LINK4"/>
      <w:r w:rsidRPr="00FC014E">
        <w:t>Advi</w:t>
      </w:r>
      <w:r w:rsidR="001765DA" w:rsidRPr="00FC014E">
        <w:t>ce to decision maker on coal mining</w:t>
      </w:r>
      <w:r w:rsidR="0048327B" w:rsidRPr="00FC014E">
        <w:t xml:space="preserve"> project</w:t>
      </w:r>
    </w:p>
    <w:p w:rsidR="004861E6" w:rsidRPr="00FC014E" w:rsidRDefault="00D10C4C" w:rsidP="00277A51">
      <w:pPr>
        <w:pStyle w:val="Heading2"/>
        <w:suppressLineNumbers/>
      </w:pPr>
      <w:r w:rsidRPr="00FC014E">
        <w:t xml:space="preserve">IESC </w:t>
      </w:r>
      <w:r w:rsidR="00C43084" w:rsidRPr="00FC014E">
        <w:t>201</w:t>
      </w:r>
      <w:r w:rsidR="00153CA7" w:rsidRPr="00FC014E">
        <w:t>5</w:t>
      </w:r>
      <w:r w:rsidR="00CC27E7" w:rsidRPr="00FC014E">
        <w:t>-</w:t>
      </w:r>
      <w:r w:rsidRPr="00FC014E">
        <w:t>0</w:t>
      </w:r>
      <w:r w:rsidR="00153CA7" w:rsidRPr="00FC014E">
        <w:t>73</w:t>
      </w:r>
      <w:r w:rsidR="001765DA" w:rsidRPr="00FC014E">
        <w:t>:</w:t>
      </w:r>
      <w:r w:rsidR="002974BC" w:rsidRPr="00FC014E">
        <w:t xml:space="preserve"> </w:t>
      </w:r>
      <w:r w:rsidR="00153CA7" w:rsidRPr="00FC014E">
        <w:rPr>
          <w:rFonts w:ascii="Arial Bold" w:hAnsi="Arial Bold"/>
        </w:rPr>
        <w:t>New Acland Coal Mine Stage 3</w:t>
      </w:r>
      <w:r w:rsidR="00C803D7" w:rsidRPr="00FC014E">
        <w:t xml:space="preserve"> </w:t>
      </w:r>
      <w:r w:rsidR="00D83AAD" w:rsidRPr="00FC014E">
        <w:t>(EPBC</w:t>
      </w:r>
      <w:r w:rsidR="007B047A" w:rsidRPr="00FC014E">
        <w:t xml:space="preserve"> </w:t>
      </w:r>
      <w:r w:rsidR="00153CA7" w:rsidRPr="00FC014E">
        <w:t>2007</w:t>
      </w:r>
      <w:r w:rsidR="009110D5" w:rsidRPr="00FC014E">
        <w:t>/</w:t>
      </w:r>
      <w:r w:rsidR="00153CA7" w:rsidRPr="00FC014E">
        <w:t>3423</w:t>
      </w:r>
      <w:r w:rsidR="00D83AAD" w:rsidRPr="00FC014E">
        <w:t xml:space="preserve">) </w:t>
      </w:r>
      <w:r w:rsidR="00C803D7" w:rsidRPr="00FC014E">
        <w:t>– Expansion</w:t>
      </w:r>
      <w:r w:rsidR="003E2135" w:rsidRPr="00FC014E">
        <w:t xml:space="preserve">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FC014E" w:rsidTr="009110D5">
        <w:trPr>
          <w:trHeight w:val="563"/>
        </w:trPr>
        <w:tc>
          <w:tcPr>
            <w:tcW w:w="1809" w:type="dxa"/>
            <w:tcBorders>
              <w:top w:val="single" w:sz="4" w:space="0" w:color="auto"/>
              <w:bottom w:val="single" w:sz="4" w:space="0" w:color="auto"/>
            </w:tcBorders>
          </w:tcPr>
          <w:bookmarkEnd w:id="0"/>
          <w:bookmarkEnd w:id="1"/>
          <w:p w:rsidR="001765DA" w:rsidRPr="00FC014E" w:rsidRDefault="001765DA" w:rsidP="00277A51">
            <w:pPr>
              <w:pStyle w:val="Heading6"/>
              <w:suppressLineNumbers/>
            </w:pPr>
            <w:r w:rsidRPr="00FC014E">
              <w:t>Requesting agency</w:t>
            </w:r>
          </w:p>
        </w:tc>
        <w:tc>
          <w:tcPr>
            <w:tcW w:w="8159" w:type="dxa"/>
            <w:tcBorders>
              <w:top w:val="single" w:sz="4" w:space="0" w:color="auto"/>
              <w:bottom w:val="single" w:sz="4" w:space="0" w:color="auto"/>
            </w:tcBorders>
          </w:tcPr>
          <w:p w:rsidR="003E2BDB" w:rsidRPr="00FC014E" w:rsidRDefault="00B1520C" w:rsidP="006F5A6F">
            <w:pPr>
              <w:pStyle w:val="Tabletext"/>
              <w:suppressLineNumbers/>
            </w:pPr>
            <w:r w:rsidRPr="00FC014E">
              <w:t xml:space="preserve">The </w:t>
            </w:r>
            <w:r w:rsidR="00C43084" w:rsidRPr="00FC014E">
              <w:t xml:space="preserve">Australian Government </w:t>
            </w:r>
            <w:r w:rsidR="001765DA" w:rsidRPr="00FC014E">
              <w:t>Dep</w:t>
            </w:r>
            <w:bookmarkStart w:id="2" w:name="_GoBack"/>
            <w:bookmarkEnd w:id="2"/>
            <w:r w:rsidR="001765DA" w:rsidRPr="00FC014E">
              <w:t xml:space="preserve">artment of </w:t>
            </w:r>
            <w:r w:rsidR="00616861" w:rsidRPr="00FC014E">
              <w:t>the</w:t>
            </w:r>
            <w:r w:rsidR="001765DA" w:rsidRPr="00FC014E">
              <w:t xml:space="preserve"> Environment</w:t>
            </w:r>
          </w:p>
        </w:tc>
      </w:tr>
      <w:tr w:rsidR="001765DA" w:rsidRPr="00FC014E" w:rsidTr="009110D5">
        <w:trPr>
          <w:trHeight w:val="19"/>
        </w:trPr>
        <w:tc>
          <w:tcPr>
            <w:tcW w:w="1809" w:type="dxa"/>
            <w:tcBorders>
              <w:top w:val="single" w:sz="4" w:space="0" w:color="auto"/>
              <w:bottom w:val="single" w:sz="4" w:space="0" w:color="auto"/>
            </w:tcBorders>
          </w:tcPr>
          <w:p w:rsidR="001765DA" w:rsidRPr="00FC014E" w:rsidRDefault="001765DA" w:rsidP="00277A51">
            <w:pPr>
              <w:pStyle w:val="Heading6"/>
              <w:suppressLineNumbers/>
            </w:pPr>
            <w:r w:rsidRPr="00FC014E">
              <w:t>Date of request</w:t>
            </w:r>
          </w:p>
        </w:tc>
        <w:tc>
          <w:tcPr>
            <w:tcW w:w="8159" w:type="dxa"/>
            <w:tcBorders>
              <w:top w:val="single" w:sz="4" w:space="0" w:color="auto"/>
              <w:bottom w:val="single" w:sz="4" w:space="0" w:color="auto"/>
            </w:tcBorders>
          </w:tcPr>
          <w:p w:rsidR="001765DA" w:rsidRPr="00FC014E" w:rsidRDefault="006F5A6F" w:rsidP="006F5A6F">
            <w:pPr>
              <w:pStyle w:val="Tabletext"/>
              <w:suppressLineNumbers/>
            </w:pPr>
            <w:r w:rsidRPr="00FC014E">
              <w:t>27 October</w:t>
            </w:r>
            <w:r w:rsidR="00A10BAB" w:rsidRPr="00FC014E">
              <w:t xml:space="preserve"> </w:t>
            </w:r>
            <w:r w:rsidR="00716583" w:rsidRPr="00FC014E">
              <w:t>201</w:t>
            </w:r>
            <w:r w:rsidRPr="00FC014E">
              <w:t>5</w:t>
            </w:r>
            <w:r w:rsidR="00E21678" w:rsidRPr="00FC014E">
              <w:rPr>
                <w:b/>
              </w:rPr>
              <w:t xml:space="preserve"> </w:t>
            </w:r>
          </w:p>
        </w:tc>
      </w:tr>
      <w:tr w:rsidR="00185039" w:rsidRPr="00FC014E" w:rsidTr="009110D5">
        <w:trPr>
          <w:trHeight w:val="19"/>
        </w:trPr>
        <w:tc>
          <w:tcPr>
            <w:tcW w:w="1809" w:type="dxa"/>
            <w:tcBorders>
              <w:top w:val="single" w:sz="4" w:space="0" w:color="auto"/>
              <w:bottom w:val="single" w:sz="4" w:space="0" w:color="auto"/>
            </w:tcBorders>
          </w:tcPr>
          <w:p w:rsidR="00185039" w:rsidRPr="00FC014E" w:rsidRDefault="00185039" w:rsidP="00277A51">
            <w:pPr>
              <w:pStyle w:val="Heading6"/>
              <w:suppressLineNumbers/>
            </w:pPr>
            <w:r w:rsidRPr="00FC014E">
              <w:t>Date request accepted</w:t>
            </w:r>
          </w:p>
        </w:tc>
        <w:tc>
          <w:tcPr>
            <w:tcW w:w="8159" w:type="dxa"/>
            <w:tcBorders>
              <w:top w:val="single" w:sz="4" w:space="0" w:color="auto"/>
              <w:bottom w:val="single" w:sz="4" w:space="0" w:color="auto"/>
            </w:tcBorders>
          </w:tcPr>
          <w:p w:rsidR="00185039" w:rsidRPr="00FC014E" w:rsidRDefault="00F339AA" w:rsidP="00F339AA">
            <w:pPr>
              <w:pStyle w:val="Tabletext"/>
              <w:suppressLineNumbers/>
            </w:pPr>
            <w:r w:rsidRPr="00FC014E">
              <w:t>27 October</w:t>
            </w:r>
            <w:r w:rsidR="00185039" w:rsidRPr="00FC014E">
              <w:t xml:space="preserve"> 201</w:t>
            </w:r>
            <w:r w:rsidRPr="00FC014E">
              <w:t>5</w:t>
            </w:r>
            <w:r w:rsidR="00185039" w:rsidRPr="00FC014E">
              <w:rPr>
                <w:b/>
                <w:lang w:eastAsia="en-AU"/>
              </w:rPr>
              <w:t xml:space="preserve"> </w:t>
            </w:r>
          </w:p>
        </w:tc>
      </w:tr>
      <w:tr w:rsidR="00062A46" w:rsidRPr="00FC014E" w:rsidTr="009110D5">
        <w:trPr>
          <w:trHeight w:val="19"/>
        </w:trPr>
        <w:tc>
          <w:tcPr>
            <w:tcW w:w="1809" w:type="dxa"/>
            <w:tcBorders>
              <w:top w:val="single" w:sz="4" w:space="0" w:color="auto"/>
              <w:bottom w:val="single" w:sz="4" w:space="0" w:color="auto"/>
            </w:tcBorders>
          </w:tcPr>
          <w:p w:rsidR="00062A46" w:rsidRPr="00FC014E" w:rsidRDefault="00062A46" w:rsidP="00277A51">
            <w:pPr>
              <w:pStyle w:val="Heading6"/>
              <w:suppressLineNumbers/>
            </w:pPr>
            <w:r w:rsidRPr="00FC014E">
              <w:t xml:space="preserve">Advice stage </w:t>
            </w:r>
          </w:p>
        </w:tc>
        <w:tc>
          <w:tcPr>
            <w:tcW w:w="8159" w:type="dxa"/>
            <w:tcBorders>
              <w:top w:val="single" w:sz="4" w:space="0" w:color="auto"/>
              <w:bottom w:val="single" w:sz="4" w:space="0" w:color="auto"/>
            </w:tcBorders>
          </w:tcPr>
          <w:p w:rsidR="00062A46" w:rsidRPr="00FC014E" w:rsidRDefault="00062A46" w:rsidP="00277A51">
            <w:pPr>
              <w:pStyle w:val="Tabletext"/>
              <w:suppressLineNumbers/>
              <w:rPr>
                <w:lang w:eastAsia="en-AU"/>
              </w:rPr>
            </w:pPr>
            <w:r w:rsidRPr="00FC014E">
              <w:rPr>
                <w:lang w:eastAsia="en-AU"/>
              </w:rPr>
              <w:t xml:space="preserve">Assessment </w:t>
            </w:r>
          </w:p>
        </w:tc>
      </w:tr>
    </w:tbl>
    <w:p w:rsidR="00A622EC" w:rsidRPr="00FC014E" w:rsidRDefault="00A622EC" w:rsidP="00D622B9">
      <w:pPr>
        <w:pStyle w:val="Heading3"/>
      </w:pPr>
      <w:r w:rsidRPr="00FC014E">
        <w:t>Context</w:t>
      </w:r>
    </w:p>
    <w:p w:rsidR="00A622EC" w:rsidRPr="00FC014E" w:rsidRDefault="00A622EC" w:rsidP="00D622B9">
      <w:r w:rsidRPr="00FC014E">
        <w:t xml:space="preserve">The Independent Expert Scientific Committee on Coal Seam Gas and Large Coal Mining Development (the IESC) was requested by the Australian Government Department of the Environment to provide advice on </w:t>
      </w:r>
      <w:r w:rsidR="00A62B1B" w:rsidRPr="00FC014E">
        <w:t xml:space="preserve">the </w:t>
      </w:r>
      <w:r w:rsidR="00432D3D" w:rsidRPr="00FC014E">
        <w:t xml:space="preserve">New Acland Coal Mine Stage 3 </w:t>
      </w:r>
      <w:r w:rsidR="00A62B1B" w:rsidRPr="00FC014E">
        <w:t>project</w:t>
      </w:r>
      <w:r w:rsidR="00F85BCE" w:rsidRPr="00FC014E">
        <w:t xml:space="preserve"> (the proposed project)</w:t>
      </w:r>
      <w:r w:rsidRPr="00FC014E">
        <w:t xml:space="preserve"> in </w:t>
      </w:r>
      <w:r w:rsidR="00A62B1B" w:rsidRPr="00FC014E">
        <w:t>Queensland</w:t>
      </w:r>
      <w:r w:rsidRPr="00FC014E">
        <w:t>.</w:t>
      </w:r>
    </w:p>
    <w:p w:rsidR="00A62B1B" w:rsidRPr="00FC014E" w:rsidRDefault="00A62B1B" w:rsidP="00D622B9">
      <w:r w:rsidRPr="00FC014E">
        <w:t xml:space="preserve">The IESC has previously provided advice to the Commonwealth Department of the Environment and the Queensland </w:t>
      </w:r>
      <w:r w:rsidR="00597E15" w:rsidRPr="00FC014E">
        <w:t>O</w:t>
      </w:r>
      <w:r w:rsidRPr="00FC014E">
        <w:t xml:space="preserve">ffice of the Coordinator-General on the draft Environmental Impact Statement (EIS) for the proposed </w:t>
      </w:r>
      <w:r w:rsidR="006628C0" w:rsidRPr="00FC014E">
        <w:t xml:space="preserve">New Acland </w:t>
      </w:r>
      <w:r w:rsidR="00F85BCE" w:rsidRPr="00FC014E">
        <w:t>Coal Mine</w:t>
      </w:r>
      <w:r w:rsidR="006628C0" w:rsidRPr="00FC014E">
        <w:t xml:space="preserve"> Stage 3 project, EPBC 2007/3423 (IESC 2014-045</w:t>
      </w:r>
      <w:r w:rsidR="000F15CB" w:rsidRPr="00FC014E">
        <w:t xml:space="preserve"> dated 10 April 2014</w:t>
      </w:r>
      <w:r w:rsidR="006628C0" w:rsidRPr="00FC014E">
        <w:t>).</w:t>
      </w:r>
      <w:r w:rsidRPr="00FC014E">
        <w:t xml:space="preserve"> </w:t>
      </w:r>
    </w:p>
    <w:p w:rsidR="00A622EC" w:rsidRPr="00FC014E" w:rsidRDefault="00A622EC" w:rsidP="00D622B9">
      <w:r w:rsidRPr="00FC014E">
        <w:t xml:space="preserve">This advice draws upon aspects of information in the </w:t>
      </w:r>
      <w:r w:rsidR="00295C42" w:rsidRPr="00FC014E">
        <w:t xml:space="preserve">proponent’s </w:t>
      </w:r>
      <w:r w:rsidR="00597E15" w:rsidRPr="00FC014E">
        <w:t>A</w:t>
      </w:r>
      <w:r w:rsidR="00295C42" w:rsidRPr="00FC014E">
        <w:t xml:space="preserve">dditional </w:t>
      </w:r>
      <w:r w:rsidR="00597E15" w:rsidRPr="00FC014E">
        <w:t>information</w:t>
      </w:r>
      <w:r w:rsidR="00295C42" w:rsidRPr="00FC014E">
        <w:t xml:space="preserve"> to the</w:t>
      </w:r>
      <w:r w:rsidRPr="00FC014E">
        <w:t xml:space="preserve"> Environmental Impact Statement</w:t>
      </w:r>
      <w:r w:rsidR="00295C42" w:rsidRPr="00FC014E">
        <w:t xml:space="preserve"> (AEIS)</w:t>
      </w:r>
      <w:r w:rsidRPr="00FC014E">
        <w:t>, together with the expert deliberations of the IESC. The project documentation and information accessed by the IESC are listed in the source documentation at the end of this advice.</w:t>
      </w:r>
    </w:p>
    <w:p w:rsidR="00CA6F44" w:rsidRPr="00FC014E" w:rsidRDefault="00CA6F44" w:rsidP="00CA6F44">
      <w:r w:rsidRPr="00FC014E">
        <w:t xml:space="preserve">The proposed project is to expand and extend by up to 12 years, the New Acland Coal Mine, located approximately 35 km northwest of Toowoomba in the Lagoon Creek Catchment </w:t>
      </w:r>
      <w:r w:rsidR="004B407E">
        <w:t>and</w:t>
      </w:r>
      <w:r w:rsidRPr="00FC014E">
        <w:t xml:space="preserve"> the Clarence-Moreton Basin of Queensland. The proposed project involves creation of three open cut pits to increase production of coal from the Walloon Coal Measures from 4.8 </w:t>
      </w:r>
      <w:proofErr w:type="spellStart"/>
      <w:r w:rsidRPr="00FC014E">
        <w:t>Mtpa</w:t>
      </w:r>
      <w:proofErr w:type="spellEnd"/>
      <w:r w:rsidRPr="00FC014E">
        <w:t xml:space="preserve"> to 7.5 </w:t>
      </w:r>
      <w:proofErr w:type="spellStart"/>
      <w:r w:rsidRPr="00FC014E">
        <w:t>Mtpa</w:t>
      </w:r>
      <w:proofErr w:type="spellEnd"/>
      <w:r w:rsidRPr="00FC014E">
        <w:t xml:space="preserve"> of thermal product coal. Ancillary infrastructure developments would include upgrading the existing coal handling and preparation plant (CHPP) and associated stockpile areas as well </w:t>
      </w:r>
      <w:r w:rsidR="00D17ED2" w:rsidRPr="00FC014E">
        <w:t>as construction of an 8</w:t>
      </w:r>
      <w:r w:rsidR="004B4FD9">
        <w:noBreakHyphen/>
      </w:r>
      <w:r w:rsidR="00D17ED2" w:rsidRPr="00FC014E">
        <w:t>km rail</w:t>
      </w:r>
      <w:r w:rsidR="00D17ED2" w:rsidRPr="00FC014E">
        <w:noBreakHyphen/>
      </w:r>
      <w:proofErr w:type="spellStart"/>
      <w:r w:rsidRPr="00FC014E">
        <w:t>spur</w:t>
      </w:r>
      <w:proofErr w:type="spellEnd"/>
      <w:r w:rsidRPr="00FC014E">
        <w:t xml:space="preserve"> and balloon loop, and a train load-out facility.</w:t>
      </w:r>
    </w:p>
    <w:p w:rsidR="00CA6F44" w:rsidRPr="00FC014E" w:rsidRDefault="00CA6F44" w:rsidP="00CA6F44">
      <w:pPr>
        <w:pStyle w:val="Heading4"/>
        <w:rPr>
          <w:u w:val="none"/>
        </w:rPr>
      </w:pPr>
      <w:r w:rsidRPr="00FC014E">
        <w:rPr>
          <w:u w:val="none"/>
        </w:rPr>
        <w:t xml:space="preserve">The proposed project is located in the catchment of Lagoon Creek. Lagoon Creek is an ephemeral creek that flows into Oakey Creek, which is part of the larger Condamine River Catchment of the </w:t>
      </w:r>
      <w:r w:rsidR="001F507D" w:rsidRPr="00FC014E">
        <w:rPr>
          <w:u w:val="none"/>
        </w:rPr>
        <w:t>Murray-</w:t>
      </w:r>
      <w:r w:rsidRPr="00FC014E">
        <w:rPr>
          <w:u w:val="none"/>
        </w:rPr>
        <w:t>Darling Basin.</w:t>
      </w:r>
    </w:p>
    <w:p w:rsidR="008C00AD" w:rsidRPr="00FC014E" w:rsidRDefault="008C00AD" w:rsidP="00CA6F44">
      <w:pPr>
        <w:pStyle w:val="Heading4"/>
        <w:keepNext/>
      </w:pPr>
      <w:r w:rsidRPr="00FC014E">
        <w:lastRenderedPageBreak/>
        <w:t>Key potential impacts</w:t>
      </w:r>
    </w:p>
    <w:p w:rsidR="008C00AD" w:rsidRPr="00FC014E" w:rsidRDefault="008E7547" w:rsidP="00D622B9">
      <w:r w:rsidRPr="00FC014E">
        <w:t>Th</w:t>
      </w:r>
      <w:r w:rsidR="00782F48" w:rsidRPr="00FC014E">
        <w:t>e IESC’s</w:t>
      </w:r>
      <w:r w:rsidRPr="00FC014E">
        <w:t xml:space="preserve"> </w:t>
      </w:r>
      <w:r w:rsidR="00597E15" w:rsidRPr="00FC014E">
        <w:t>advice</w:t>
      </w:r>
      <w:r w:rsidR="008C746E" w:rsidRPr="00FC014E">
        <w:t xml:space="preserve"> of April 2014</w:t>
      </w:r>
      <w:r w:rsidRPr="00FC014E">
        <w:t xml:space="preserve"> </w:t>
      </w:r>
      <w:r w:rsidR="00D17ED2" w:rsidRPr="00FC014E">
        <w:t>i</w:t>
      </w:r>
      <w:r w:rsidR="00782F48" w:rsidRPr="00FC014E">
        <w:t>dentified</w:t>
      </w:r>
      <w:r w:rsidR="007F113F" w:rsidRPr="00FC014E">
        <w:t xml:space="preserve"> </w:t>
      </w:r>
      <w:r w:rsidR="001120ED" w:rsidRPr="00FC014E">
        <w:t>significant</w:t>
      </w:r>
      <w:r w:rsidR="007F113F" w:rsidRPr="00FC014E">
        <w:t xml:space="preserve"> uncertainty in the </w:t>
      </w:r>
      <w:r w:rsidR="00692568" w:rsidRPr="00FC014E">
        <w:t xml:space="preserve">proponent’s </w:t>
      </w:r>
      <w:r w:rsidR="00782F48" w:rsidRPr="00FC014E">
        <w:t xml:space="preserve">groundwater </w:t>
      </w:r>
      <w:r w:rsidR="00692568" w:rsidRPr="00FC014E">
        <w:t>model</w:t>
      </w:r>
      <w:r w:rsidR="007F113F" w:rsidRPr="00FC014E">
        <w:t xml:space="preserve"> predictions. </w:t>
      </w:r>
      <w:r w:rsidR="00466AA1" w:rsidRPr="00FC014E">
        <w:t xml:space="preserve">While the proponent’s groundwater model has been improved, uncertainties remain in the </w:t>
      </w:r>
      <w:proofErr w:type="spellStart"/>
      <w:r w:rsidR="00466AA1" w:rsidRPr="00FC014E">
        <w:t>hydrogeological</w:t>
      </w:r>
      <w:proofErr w:type="spellEnd"/>
      <w:r w:rsidR="00466AA1" w:rsidRPr="00FC014E">
        <w:t xml:space="preserve"> conceptualisation and subsequent revised groundwater impact predictions</w:t>
      </w:r>
      <w:r w:rsidR="007F7C14" w:rsidRPr="00FC014E">
        <w:t xml:space="preserve"> </w:t>
      </w:r>
      <w:r w:rsidR="00466AA1" w:rsidRPr="00FC014E">
        <w:t>including the magnitude of drawdown and the lateral extent of potential impacts</w:t>
      </w:r>
      <w:r w:rsidR="00C415B5" w:rsidRPr="00FC014E">
        <w:t xml:space="preserve">. Based on the revised </w:t>
      </w:r>
      <w:r w:rsidR="0062549C" w:rsidRPr="00FC014E">
        <w:t>assessment documentation</w:t>
      </w:r>
      <w:r w:rsidR="00C415B5" w:rsidRPr="00FC014E">
        <w:t xml:space="preserve">, </w:t>
      </w:r>
      <w:r w:rsidR="0062549C" w:rsidRPr="00FC014E">
        <w:t>key potential impacts resulting from the proposed project are to groundwater resources, groundwater</w:t>
      </w:r>
      <w:r w:rsidR="004D249B" w:rsidRPr="00FC014E">
        <w:t xml:space="preserve"> and surface water users and</w:t>
      </w:r>
      <w:r w:rsidR="0062549C" w:rsidRPr="00FC014E">
        <w:t xml:space="preserve"> </w:t>
      </w:r>
      <w:r w:rsidR="004D249B" w:rsidRPr="00FC014E">
        <w:t>groundwater dependent ecosystems</w:t>
      </w:r>
      <w:r w:rsidR="001D3E3F" w:rsidRPr="00FC014E">
        <w:t xml:space="preserve"> (GDEs)</w:t>
      </w:r>
      <w:r w:rsidR="004D249B" w:rsidRPr="00FC014E">
        <w:t xml:space="preserve">, including the </w:t>
      </w:r>
      <w:r w:rsidR="00782F48" w:rsidRPr="00FC014E">
        <w:t>EPBC Act</w:t>
      </w:r>
      <w:r w:rsidR="0098500F" w:rsidRPr="00FC014E">
        <w:t>-</w:t>
      </w:r>
      <w:r w:rsidR="00D17ED2" w:rsidRPr="00FC014E">
        <w:t>listed</w:t>
      </w:r>
      <w:r w:rsidR="00782F48" w:rsidRPr="00FC014E">
        <w:t xml:space="preserve"> </w:t>
      </w:r>
      <w:r w:rsidR="003F7296" w:rsidRPr="00FC014E">
        <w:t>e</w:t>
      </w:r>
      <w:r w:rsidR="001D3E3F" w:rsidRPr="00FC014E">
        <w:t xml:space="preserve">ndangered ecological community </w:t>
      </w:r>
      <w:r w:rsidR="004D249B" w:rsidRPr="00FC014E">
        <w:t>Brigalow</w:t>
      </w:r>
      <w:r w:rsidR="001D3E3F" w:rsidRPr="00FC014E">
        <w:t xml:space="preserve"> </w:t>
      </w:r>
      <w:r w:rsidR="00782F48" w:rsidRPr="00FC014E">
        <w:t>(</w:t>
      </w:r>
      <w:r w:rsidR="00782F48" w:rsidRPr="00FC014E">
        <w:rPr>
          <w:i/>
        </w:rPr>
        <w:t xml:space="preserve">Acacia </w:t>
      </w:r>
      <w:proofErr w:type="spellStart"/>
      <w:r w:rsidR="00782F48" w:rsidRPr="00FC014E">
        <w:rPr>
          <w:i/>
        </w:rPr>
        <w:t>harpophylla</w:t>
      </w:r>
      <w:proofErr w:type="spellEnd"/>
      <w:r w:rsidR="00782F48" w:rsidRPr="00FC014E">
        <w:rPr>
          <w:i/>
        </w:rPr>
        <w:t xml:space="preserve"> </w:t>
      </w:r>
      <w:r w:rsidR="00782F48" w:rsidRPr="00FC014E">
        <w:t>dominant and co-dominant)</w:t>
      </w:r>
      <w:r w:rsidR="004D249B" w:rsidRPr="00FC014E">
        <w:t>.</w:t>
      </w:r>
    </w:p>
    <w:p w:rsidR="004B5A51" w:rsidRPr="00FC014E" w:rsidRDefault="004B5A51" w:rsidP="00D622B9">
      <w:pPr>
        <w:pStyle w:val="Heading4"/>
      </w:pPr>
      <w:r w:rsidRPr="00FC014E">
        <w:t>Assessment against information guidelines</w:t>
      </w:r>
    </w:p>
    <w:p w:rsidR="00A622EC" w:rsidRPr="00FC014E" w:rsidRDefault="00A622EC" w:rsidP="00D622B9">
      <w:r w:rsidRPr="00FC014E">
        <w:t>The IESC, in line with its Information Guidelines</w:t>
      </w:r>
      <w:r w:rsidR="00277A51" w:rsidRPr="00FC014E">
        <w:t xml:space="preserve"> </w:t>
      </w:r>
      <w:r w:rsidR="00805D89" w:rsidRPr="00FC014E">
        <w:fldChar w:fldCharType="begin"/>
      </w:r>
      <w:r w:rsidR="003F7D24" w:rsidRPr="00FC014E">
        <w:instrText xml:space="preserve"> ADDIN EN.CITE &lt;EndNote&gt;&lt;Cite&gt;&lt;Author&gt;IESC&lt;/Author&gt;&lt;Year&gt;2015&lt;/Year&gt;&lt;RecNum&gt;1617&lt;/RecNum&gt;&lt;DisplayText&gt;(IESC, 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805D89" w:rsidRPr="00FC014E">
        <w:fldChar w:fldCharType="separate"/>
      </w:r>
      <w:r w:rsidR="003F7D24" w:rsidRPr="00FC014E">
        <w:rPr>
          <w:noProof/>
        </w:rPr>
        <w:t>(</w:t>
      </w:r>
      <w:hyperlink w:anchor="_ENREF_4" w:tooltip="IESC, 2015 #1617" w:history="1">
        <w:r w:rsidR="00DB0BB0" w:rsidRPr="00FC014E">
          <w:rPr>
            <w:noProof/>
          </w:rPr>
          <w:t>IESC, 2015</w:t>
        </w:r>
      </w:hyperlink>
      <w:r w:rsidR="003F7D24" w:rsidRPr="00FC014E">
        <w:rPr>
          <w:noProof/>
        </w:rPr>
        <w:t>)</w:t>
      </w:r>
      <w:r w:rsidR="00805D89" w:rsidRPr="00FC014E">
        <w:fldChar w:fldCharType="end"/>
      </w:r>
      <w:r w:rsidRPr="00FC014E">
        <w:t xml:space="preserve">, </w:t>
      </w:r>
      <w:r w:rsidR="005552EB" w:rsidRPr="00FC014E">
        <w:t xml:space="preserve">and consistent with matters raised in its </w:t>
      </w:r>
      <w:r w:rsidR="000F15CB" w:rsidRPr="00FC014E">
        <w:t>April 2014</w:t>
      </w:r>
      <w:r w:rsidR="005552EB" w:rsidRPr="00FC014E">
        <w:t xml:space="preserve"> advice on the proposed project, </w:t>
      </w:r>
      <w:r w:rsidRPr="00FC014E">
        <w:t>has considered whether the proposed project assessment has used the following:</w:t>
      </w:r>
    </w:p>
    <w:p w:rsidR="00A622EC" w:rsidRPr="00FC014E" w:rsidRDefault="00A622EC" w:rsidP="00D622B9">
      <w:pPr>
        <w:pStyle w:val="Heading5"/>
      </w:pPr>
      <w:r w:rsidRPr="00FC014E">
        <w:t>Relevant data and information: key conclusions</w:t>
      </w:r>
    </w:p>
    <w:p w:rsidR="00782F48" w:rsidRPr="00FC014E" w:rsidRDefault="00AF75C2" w:rsidP="00D622B9">
      <w:r w:rsidRPr="00FC014E">
        <w:t>E</w:t>
      </w:r>
      <w:r w:rsidR="00556A81" w:rsidRPr="00FC014E">
        <w:t xml:space="preserve">vidence of faulting </w:t>
      </w:r>
      <w:r w:rsidRPr="00FC014E">
        <w:t xml:space="preserve">to the south and east of the proposed open cut pits has not been provided. </w:t>
      </w:r>
      <w:proofErr w:type="spellStart"/>
      <w:r w:rsidR="00466AA1" w:rsidRPr="00FC014E">
        <w:t>Hydrogeological</w:t>
      </w:r>
      <w:proofErr w:type="spellEnd"/>
      <w:r w:rsidR="00466AA1" w:rsidRPr="00FC014E">
        <w:t xml:space="preserve"> monitoring data to validate the stated groundwater flow “barrier” effect of faults (including justification of existence and extent of faulting) has not been provided. The proponent has not included groundwater abstraction data from surrounding groundwater users in the groundwater model. Surface water quality objectives remain undetermined.</w:t>
      </w:r>
      <w:r w:rsidR="000B371E" w:rsidRPr="00FC014E">
        <w:t xml:space="preserve"> </w:t>
      </w:r>
    </w:p>
    <w:p w:rsidR="00A622EC" w:rsidRPr="00FC014E" w:rsidRDefault="00A622EC" w:rsidP="00D622B9">
      <w:pPr>
        <w:pStyle w:val="Heading5"/>
      </w:pPr>
      <w:r w:rsidRPr="00FC014E">
        <w:t>Application of appropriate methods</w:t>
      </w:r>
      <w:r w:rsidR="00D73238" w:rsidRPr="00FC014E">
        <w:t xml:space="preserve"> and interpretation of model outputs</w:t>
      </w:r>
      <w:r w:rsidRPr="00FC014E">
        <w:t>: key conclusions</w:t>
      </w:r>
    </w:p>
    <w:p w:rsidR="00C914F1" w:rsidRPr="00FC014E" w:rsidRDefault="00466AA1" w:rsidP="00C914F1">
      <w:r w:rsidRPr="00FC014E">
        <w:t>Calibration hydrographs indicate the groundwater model has bias which results in frequent over</w:t>
      </w:r>
      <w:r w:rsidRPr="00FC014E">
        <w:noBreakHyphen/>
      </w:r>
      <w:proofErr w:type="spellStart"/>
      <w:r w:rsidRPr="00FC014E">
        <w:t>prediction</w:t>
      </w:r>
      <w:proofErr w:type="spellEnd"/>
      <w:r w:rsidRPr="00FC014E">
        <w:t xml:space="preserve"> of groundwater head in the alluvium and Walloon Coal Measures, when compared to observed data in monitoring bores.</w:t>
      </w:r>
      <w:r w:rsidR="00C05B08" w:rsidRPr="00FC014E">
        <w:t xml:space="preserve"> </w:t>
      </w:r>
      <w:r w:rsidR="00C914F1" w:rsidRPr="00FC014E">
        <w:t>Updated modelling also predicts water levels within final voids will exceed the existing groundwater level, contributing to continued low confidence in the model conceptualisation and predictions.</w:t>
      </w:r>
    </w:p>
    <w:p w:rsidR="00782F48" w:rsidRPr="00FC014E" w:rsidRDefault="00890022" w:rsidP="00D622B9">
      <w:r w:rsidRPr="00FC014E">
        <w:t>Identification of GDEs</w:t>
      </w:r>
      <w:r w:rsidR="007B4D57" w:rsidRPr="00FC014E">
        <w:t>, including EPBC Act</w:t>
      </w:r>
      <w:r w:rsidR="0098500F" w:rsidRPr="00FC014E">
        <w:t>-</w:t>
      </w:r>
      <w:r w:rsidR="00D17ED2" w:rsidRPr="00FC014E">
        <w:t xml:space="preserve">listed </w:t>
      </w:r>
      <w:r w:rsidR="007B4D57" w:rsidRPr="00FC014E">
        <w:t>endangered ecological communities,</w:t>
      </w:r>
      <w:r w:rsidRPr="00FC014E">
        <w:t xml:space="preserve"> has not occurred within the predicted lateral extent of groundwater drawdown, including outside of the proposed project area. Mapping of depth to </w:t>
      </w:r>
      <w:r w:rsidR="00594127" w:rsidRPr="00FC014E">
        <w:t>groundwater</w:t>
      </w:r>
      <w:r w:rsidRPr="00FC014E">
        <w:t xml:space="preserve"> and consideration of seasonal groundwater requirements of GDEs ha</w:t>
      </w:r>
      <w:r w:rsidR="00D17ED2" w:rsidRPr="00FC014E">
        <w:t xml:space="preserve">ve </w:t>
      </w:r>
      <w:r w:rsidRPr="00FC014E">
        <w:t>not been provided</w:t>
      </w:r>
      <w:r w:rsidR="00594127" w:rsidRPr="00FC014E">
        <w:t>.</w:t>
      </w:r>
    </w:p>
    <w:p w:rsidR="007203C3" w:rsidRPr="00FC014E" w:rsidRDefault="007203C3" w:rsidP="00D622B9">
      <w:pPr>
        <w:pStyle w:val="Heading3"/>
      </w:pPr>
      <w:r w:rsidRPr="00FC014E">
        <w:t>Advice</w:t>
      </w:r>
    </w:p>
    <w:p w:rsidR="007203C3" w:rsidRPr="00FC014E" w:rsidRDefault="007203C3" w:rsidP="007203C3">
      <w:pPr>
        <w:pStyle w:val="Default"/>
        <w:spacing w:after="200" w:line="276" w:lineRule="auto"/>
        <w:rPr>
          <w:rFonts w:ascii="Arial" w:eastAsia="Times New Roman" w:hAnsi="Arial" w:cs="Arial"/>
          <w:color w:val="auto"/>
          <w:sz w:val="20"/>
          <w:szCs w:val="20"/>
          <w:lang w:eastAsia="en-US"/>
        </w:rPr>
      </w:pPr>
      <w:r w:rsidRPr="00FC014E">
        <w:rPr>
          <w:rFonts w:ascii="Arial" w:eastAsia="Times New Roman" w:hAnsi="Arial" w:cs="Arial"/>
          <w:color w:val="auto"/>
          <w:sz w:val="20"/>
          <w:szCs w:val="20"/>
          <w:lang w:eastAsia="en-US"/>
        </w:rPr>
        <w:t xml:space="preserve">The </w:t>
      </w:r>
      <w:r w:rsidR="00CF562A" w:rsidRPr="00FC014E">
        <w:rPr>
          <w:rFonts w:ascii="Arial" w:eastAsia="Times New Roman" w:hAnsi="Arial" w:cs="Arial"/>
          <w:color w:val="auto"/>
          <w:sz w:val="20"/>
          <w:szCs w:val="20"/>
          <w:lang w:eastAsia="en-US"/>
        </w:rPr>
        <w:t>IESC</w:t>
      </w:r>
      <w:r w:rsidRPr="00FC014E">
        <w:rPr>
          <w:rFonts w:ascii="Arial" w:eastAsia="Times New Roman" w:hAnsi="Arial" w:cs="Arial"/>
          <w:color w:val="auto"/>
          <w:sz w:val="20"/>
          <w:szCs w:val="20"/>
          <w:lang w:eastAsia="en-US"/>
        </w:rPr>
        <w:t xml:space="preserve">’s advice in response to the </w:t>
      </w:r>
      <w:r w:rsidR="00E57CD8" w:rsidRPr="00FC014E">
        <w:rPr>
          <w:rFonts w:ascii="Arial" w:eastAsia="Times New Roman" w:hAnsi="Arial" w:cs="Arial"/>
          <w:color w:val="auto"/>
          <w:sz w:val="20"/>
          <w:szCs w:val="20"/>
          <w:lang w:eastAsia="en-US"/>
        </w:rPr>
        <w:t>requesting agency</w:t>
      </w:r>
      <w:r w:rsidRPr="00FC014E">
        <w:rPr>
          <w:rFonts w:ascii="Arial" w:eastAsia="Times New Roman" w:hAnsi="Arial" w:cs="Arial"/>
          <w:color w:val="auto"/>
          <w:sz w:val="20"/>
          <w:szCs w:val="20"/>
          <w:lang w:eastAsia="en-US"/>
        </w:rPr>
        <w:t>’s</w:t>
      </w:r>
      <w:r w:rsidR="00D441B2" w:rsidRPr="00FC014E">
        <w:rPr>
          <w:rFonts w:ascii="Arial" w:eastAsia="Times New Roman" w:hAnsi="Arial" w:cs="Arial"/>
          <w:color w:val="auto"/>
          <w:sz w:val="20"/>
          <w:szCs w:val="20"/>
          <w:lang w:eastAsia="en-US"/>
        </w:rPr>
        <w:t xml:space="preserve"> </w:t>
      </w:r>
      <w:r w:rsidRPr="00FC014E">
        <w:rPr>
          <w:rFonts w:ascii="Arial" w:eastAsia="Times New Roman" w:hAnsi="Arial" w:cs="Arial"/>
          <w:color w:val="auto"/>
          <w:sz w:val="20"/>
          <w:szCs w:val="20"/>
          <w:lang w:eastAsia="en-US"/>
        </w:rPr>
        <w:t xml:space="preserve">specific questions is provided below. </w:t>
      </w:r>
    </w:p>
    <w:p w:rsidR="005F55C8" w:rsidRPr="00FC014E" w:rsidRDefault="007203C3" w:rsidP="00242B99">
      <w:pPr>
        <w:pStyle w:val="ListBullet5"/>
        <w:pBdr>
          <w:top w:val="single" w:sz="4" w:space="1" w:color="auto"/>
          <w:left w:val="single" w:sz="4" w:space="4" w:color="auto"/>
          <w:bottom w:val="single" w:sz="4" w:space="1" w:color="auto"/>
          <w:right w:val="single" w:sz="4" w:space="4" w:color="auto"/>
        </w:pBdr>
        <w:spacing w:before="60" w:after="60"/>
      </w:pPr>
      <w:r w:rsidRPr="00FC014E">
        <w:t xml:space="preserve">Question 1: </w:t>
      </w:r>
      <w:r w:rsidR="00242B99" w:rsidRPr="00FC014E">
        <w:t xml:space="preserve">The proponent has revised the groundwater modelling in response to the IESC advice of 10 April 2014, including a sensitivity and uncertainty analysis of the parameters and assumptions used within the original model. The revised modelling has been peer-reviewed and assessed by Queensland Government groundwater experts. </w:t>
      </w:r>
    </w:p>
    <w:p w:rsidR="00242B99" w:rsidRPr="00FC014E" w:rsidRDefault="00242B99" w:rsidP="00242B99">
      <w:pPr>
        <w:pStyle w:val="ListBullet5"/>
        <w:pBdr>
          <w:top w:val="single" w:sz="4" w:space="1" w:color="auto"/>
          <w:left w:val="single" w:sz="4" w:space="4" w:color="auto"/>
          <w:bottom w:val="single" w:sz="4" w:space="1" w:color="auto"/>
          <w:right w:val="single" w:sz="4" w:space="4" w:color="auto"/>
        </w:pBdr>
        <w:spacing w:before="60" w:after="60"/>
      </w:pPr>
      <w:r w:rsidRPr="00FC014E">
        <w:t>Does the IESC consider that the matters raised in its advice of 10 April 2014 are adequately addressed in the updated information provided in the proponent’s EIS?</w:t>
      </w:r>
    </w:p>
    <w:p w:rsidR="00B8405C" w:rsidRPr="00FC014E" w:rsidRDefault="00CF5929">
      <w:pPr>
        <w:pStyle w:val="Heading4"/>
        <w:keepNext/>
      </w:pPr>
      <w:r w:rsidRPr="00FC014E">
        <w:t>Response</w:t>
      </w:r>
    </w:p>
    <w:p w:rsidR="002406DD" w:rsidRPr="00FC014E" w:rsidRDefault="00840BBC" w:rsidP="002406DD">
      <w:pPr>
        <w:pStyle w:val="ListNumber"/>
      </w:pPr>
      <w:r w:rsidRPr="00FC014E">
        <w:t>N</w:t>
      </w:r>
      <w:r w:rsidR="00871FAC" w:rsidRPr="00FC014E">
        <w:t xml:space="preserve">o. </w:t>
      </w:r>
      <w:r w:rsidR="00263ACE" w:rsidRPr="00FC014E">
        <w:t>A number of</w:t>
      </w:r>
      <w:r w:rsidR="005F55C8" w:rsidRPr="00FC014E">
        <w:t xml:space="preserve"> </w:t>
      </w:r>
      <w:r w:rsidR="00263ACE" w:rsidRPr="00FC014E">
        <w:t xml:space="preserve">key </w:t>
      </w:r>
      <w:r w:rsidR="005F55C8" w:rsidRPr="00FC014E">
        <w:t>m</w:t>
      </w:r>
      <w:r w:rsidR="00871FAC" w:rsidRPr="00FC014E">
        <w:t>atters</w:t>
      </w:r>
      <w:r w:rsidR="00B55B19" w:rsidRPr="00FC014E">
        <w:t xml:space="preserve"> raised in the </w:t>
      </w:r>
      <w:r w:rsidR="002406DD" w:rsidRPr="00FC014E">
        <w:t>IESC</w:t>
      </w:r>
      <w:r w:rsidR="000F15CB" w:rsidRPr="00FC014E">
        <w:t>’s</w:t>
      </w:r>
      <w:r w:rsidR="002406DD" w:rsidRPr="00FC014E">
        <w:t xml:space="preserve"> advice</w:t>
      </w:r>
      <w:r w:rsidR="000F15CB" w:rsidRPr="00FC014E">
        <w:t xml:space="preserve"> of April 2014</w:t>
      </w:r>
      <w:r w:rsidR="002406DD" w:rsidRPr="00FC014E">
        <w:t xml:space="preserve"> </w:t>
      </w:r>
      <w:r w:rsidR="001502F7" w:rsidRPr="00FC014E">
        <w:t>remain unresolved</w:t>
      </w:r>
      <w:r w:rsidR="005E2F32" w:rsidRPr="00FC014E">
        <w:t xml:space="preserve">, </w:t>
      </w:r>
      <w:r w:rsidR="00466AA1" w:rsidRPr="00FC014E">
        <w:t xml:space="preserve">including evidence for the existence and </w:t>
      </w:r>
      <w:r w:rsidR="009528C8" w:rsidRPr="00FC014E">
        <w:t xml:space="preserve">justification of </w:t>
      </w:r>
      <w:r w:rsidR="00466AA1" w:rsidRPr="00FC014E">
        <w:t>hydraulic properties of faults</w:t>
      </w:r>
      <w:r w:rsidR="0017778E" w:rsidRPr="00FC014E">
        <w:t>; representation</w:t>
      </w:r>
      <w:r w:rsidR="00466AA1" w:rsidRPr="00FC014E">
        <w:t xml:space="preserve"> of model </w:t>
      </w:r>
      <w:r w:rsidR="00891EAC" w:rsidRPr="00FC014E">
        <w:t xml:space="preserve">domain </w:t>
      </w:r>
      <w:r w:rsidR="00466AA1" w:rsidRPr="00FC014E">
        <w:t>boundaries</w:t>
      </w:r>
      <w:r w:rsidR="005E2F32" w:rsidRPr="00FC014E">
        <w:t>, final voids and groundwater users in the groundwater model; identification of surface water quality objectives</w:t>
      </w:r>
      <w:r w:rsidR="0083272D" w:rsidRPr="00FC014E">
        <w:t>;</w:t>
      </w:r>
      <w:r w:rsidR="007B5553" w:rsidRPr="00FC014E">
        <w:t xml:space="preserve"> and appropriate identification of GDEs</w:t>
      </w:r>
      <w:r w:rsidR="00A4357B" w:rsidRPr="00FC014E">
        <w:t xml:space="preserve">. </w:t>
      </w:r>
      <w:r w:rsidR="00262587" w:rsidRPr="00FC014E">
        <w:t>The unresolved matters</w:t>
      </w:r>
      <w:r w:rsidR="00D01E38" w:rsidRPr="00FC014E">
        <w:t>,</w:t>
      </w:r>
      <w:r w:rsidR="00262587" w:rsidRPr="00FC014E">
        <w:t xml:space="preserve"> particularly regarding the chosen </w:t>
      </w:r>
      <w:proofErr w:type="spellStart"/>
      <w:r w:rsidR="00262587" w:rsidRPr="00FC014E">
        <w:t>hydrogeological</w:t>
      </w:r>
      <w:proofErr w:type="spellEnd"/>
      <w:r w:rsidR="00262587" w:rsidRPr="00FC014E">
        <w:t xml:space="preserve"> </w:t>
      </w:r>
      <w:r w:rsidR="00262587" w:rsidRPr="00FC014E">
        <w:lastRenderedPageBreak/>
        <w:t xml:space="preserve">conceptualisation (specifically the representation of faults) and model calibration approach, </w:t>
      </w:r>
      <w:r w:rsidR="00466AA1" w:rsidRPr="00FC014E">
        <w:t xml:space="preserve">which may be contributing to bias and over-prediction of groundwater heads, result in </w:t>
      </w:r>
      <w:r w:rsidR="00891EAC" w:rsidRPr="00FC014E">
        <w:t xml:space="preserve">continued </w:t>
      </w:r>
      <w:r w:rsidR="00466AA1" w:rsidRPr="00FC014E">
        <w:t xml:space="preserve">uncertainty in the proponent’s </w:t>
      </w:r>
      <w:r w:rsidR="009C244C" w:rsidRPr="00FC014E">
        <w:t xml:space="preserve">groundwater model and hence </w:t>
      </w:r>
      <w:r w:rsidR="00466AA1" w:rsidRPr="00FC014E">
        <w:t>impact assessment.</w:t>
      </w:r>
    </w:p>
    <w:p w:rsidR="005F55C8" w:rsidRPr="00FC014E" w:rsidRDefault="005F55C8" w:rsidP="00845D68">
      <w:pPr>
        <w:pStyle w:val="Heading4"/>
        <w:keepNext/>
      </w:pPr>
      <w:r w:rsidRPr="00FC014E">
        <w:t>Explanation</w:t>
      </w:r>
    </w:p>
    <w:p w:rsidR="00B55B19" w:rsidRPr="00FC014E" w:rsidRDefault="00B55B19" w:rsidP="00845D68">
      <w:pPr>
        <w:pStyle w:val="ListNumber"/>
        <w:keepNext/>
        <w:numPr>
          <w:ilvl w:val="0"/>
          <w:numId w:val="0"/>
        </w:numPr>
        <w:rPr>
          <w:i/>
        </w:rPr>
      </w:pPr>
      <w:r w:rsidRPr="00FC014E">
        <w:rPr>
          <w:i/>
        </w:rPr>
        <w:t>Groundwater modelling</w:t>
      </w:r>
    </w:p>
    <w:p w:rsidR="00B55B19" w:rsidRPr="00FC014E" w:rsidRDefault="0083272D" w:rsidP="00B55B19">
      <w:pPr>
        <w:pStyle w:val="ListNumber"/>
      </w:pPr>
      <w:r w:rsidRPr="00FC014E">
        <w:t>Evidence, c</w:t>
      </w:r>
      <w:r w:rsidR="00B55B19" w:rsidRPr="00FC014E">
        <w:t xml:space="preserve">haracterisation and validation of the role of faulting </w:t>
      </w:r>
      <w:r w:rsidR="001D53C3" w:rsidRPr="00FC014E">
        <w:t>with regards to</w:t>
      </w:r>
      <w:r w:rsidR="00B55B19" w:rsidRPr="00FC014E">
        <w:t xml:space="preserve"> lateral extent and </w:t>
      </w:r>
      <w:r w:rsidR="009C244C" w:rsidRPr="00FC014E">
        <w:t xml:space="preserve">magnitude </w:t>
      </w:r>
      <w:r w:rsidR="00B55B19" w:rsidRPr="00FC014E">
        <w:t>of impacts to groundwater resources</w:t>
      </w:r>
      <w:r w:rsidR="003F0A1B" w:rsidRPr="00FC014E">
        <w:t xml:space="preserve"> is needed</w:t>
      </w:r>
      <w:r w:rsidR="00AF75C2" w:rsidRPr="00FC014E">
        <w:t>, with particular emphasis on faults to the south and east of the proposed open cut pits</w:t>
      </w:r>
      <w:r w:rsidR="00B55B19" w:rsidRPr="00FC014E">
        <w:t>. A</w:t>
      </w:r>
      <w:r w:rsidR="00295C42" w:rsidRPr="00FC014E">
        <w:t xml:space="preserve">ssessment data and </w:t>
      </w:r>
      <w:r w:rsidR="00B55B19" w:rsidRPr="00FC014E">
        <w:t>monitoring bores are required to validate the assumptions made regarding faults.</w:t>
      </w:r>
      <w:r w:rsidR="00C906EF" w:rsidRPr="00FC014E">
        <w:t xml:space="preserve"> </w:t>
      </w:r>
      <w:r w:rsidR="00466AA1" w:rsidRPr="00FC014E">
        <w:t xml:space="preserve">Monitoring bores need to be strategically positioned </w:t>
      </w:r>
      <w:r w:rsidR="00CC06C2" w:rsidRPr="00FC014E">
        <w:t>so</w:t>
      </w:r>
      <w:r w:rsidR="00466AA1" w:rsidRPr="00FC014E">
        <w:t xml:space="preserve"> that the influence of faults on groundwater head and flow can be </w:t>
      </w:r>
      <w:r w:rsidR="002B3B6A" w:rsidRPr="00FC014E">
        <w:t>determined</w:t>
      </w:r>
      <w:r w:rsidR="00466AA1" w:rsidRPr="00FC014E">
        <w:t>.</w:t>
      </w:r>
    </w:p>
    <w:p w:rsidR="00B55B19" w:rsidRPr="00FC014E" w:rsidRDefault="00262587" w:rsidP="00B55B19">
      <w:pPr>
        <w:pStyle w:val="ListNumber"/>
      </w:pPr>
      <w:r w:rsidRPr="00FC014E">
        <w:t>The presented calibration hydrographs indicate that the updated groundwater modelling consistently over</w:t>
      </w:r>
      <w:r w:rsidR="00000912" w:rsidRPr="00FC014E">
        <w:t>-</w:t>
      </w:r>
      <w:r w:rsidRPr="00FC014E">
        <w:t xml:space="preserve">predicts groundwater heads, by tens of metres in </w:t>
      </w:r>
      <w:r w:rsidR="00000912" w:rsidRPr="00FC014E">
        <w:t xml:space="preserve">some </w:t>
      </w:r>
      <w:r w:rsidRPr="00FC014E">
        <w:t>cases, particularly in the alluvium and Walloon Coal Measures (e.g. monitoring bores 116P, 40Pc, CSMH1 east of proposed project area). This results in a lack of confidence in</w:t>
      </w:r>
      <w:r w:rsidR="00E456B6">
        <w:t xml:space="preserve"> the</w:t>
      </w:r>
      <w:r w:rsidRPr="00FC014E">
        <w:t xml:space="preserve"> </w:t>
      </w:r>
      <w:proofErr w:type="spellStart"/>
      <w:r w:rsidRPr="00FC014E">
        <w:t>hydrogeological</w:t>
      </w:r>
      <w:proofErr w:type="spellEnd"/>
      <w:r w:rsidRPr="00FC014E">
        <w:t xml:space="preserve"> conceptualisation, model calibration and predictions across the model domain.</w:t>
      </w:r>
      <w:r w:rsidR="00B55B19" w:rsidRPr="00FC014E">
        <w:t xml:space="preserve"> </w:t>
      </w:r>
      <w:r w:rsidR="00F25A04" w:rsidRPr="00FC014E">
        <w:t>F</w:t>
      </w:r>
      <w:r w:rsidR="00B55B19" w:rsidRPr="00FC014E">
        <w:t xml:space="preserve">uture modelling and monitoring should </w:t>
      </w:r>
      <w:r w:rsidR="00FB4B38">
        <w:t>consider</w:t>
      </w:r>
      <w:r w:rsidR="00B55B19" w:rsidRPr="00FC014E">
        <w:t xml:space="preserve"> specific environmental objectives</w:t>
      </w:r>
      <w:r w:rsidR="00295C42" w:rsidRPr="00FC014E">
        <w:t xml:space="preserve"> (for example, estimating volumetric take from Oakey Creek Alluvium)</w:t>
      </w:r>
      <w:r w:rsidR="001D53C3" w:rsidRPr="00FC014E">
        <w:t xml:space="preserve"> </w:t>
      </w:r>
      <w:r w:rsidR="005F55C8" w:rsidRPr="00FC014E">
        <w:t xml:space="preserve">using </w:t>
      </w:r>
      <w:r w:rsidR="00295C42" w:rsidRPr="00FC014E">
        <w:t>relevant</w:t>
      </w:r>
      <w:r w:rsidR="005F55C8" w:rsidRPr="00FC014E">
        <w:t xml:space="preserve"> calibration targets to </w:t>
      </w:r>
      <w:r w:rsidR="00CB6E9F" w:rsidRPr="00FC014E">
        <w:t>improve groundwater</w:t>
      </w:r>
      <w:r w:rsidR="00295C42" w:rsidRPr="00FC014E">
        <w:t xml:space="preserve"> </w:t>
      </w:r>
      <w:r w:rsidR="00CB6E9F" w:rsidRPr="00FC014E">
        <w:t>impact predictions</w:t>
      </w:r>
      <w:r w:rsidR="00B55B19" w:rsidRPr="00FC014E">
        <w:t>.</w:t>
      </w:r>
    </w:p>
    <w:p w:rsidR="00B55B19" w:rsidRPr="00FC014E" w:rsidRDefault="009B7454" w:rsidP="00B55B19">
      <w:pPr>
        <w:pStyle w:val="ListNumber"/>
      </w:pPr>
      <w:r w:rsidRPr="00FC014E">
        <w:t>In the updated modelling, t</w:t>
      </w:r>
      <w:r w:rsidR="005F55C8" w:rsidRPr="00FC014E">
        <w:t xml:space="preserve">he proponent has used a relationship between topography and </w:t>
      </w:r>
      <w:r w:rsidR="00E6694E" w:rsidRPr="00FC014E">
        <w:t xml:space="preserve">head level to </w:t>
      </w:r>
      <w:r w:rsidR="005C1936" w:rsidRPr="00FC014E">
        <w:t>determine</w:t>
      </w:r>
      <w:r w:rsidR="00E6694E" w:rsidRPr="00FC014E">
        <w:t xml:space="preserve"> constant head boundary conditions</w:t>
      </w:r>
      <w:r w:rsidR="00295C42" w:rsidRPr="00FC014E">
        <w:t>, except for alluvium for which a set value of 13.5 metres below ground level was used</w:t>
      </w:r>
      <w:r w:rsidR="00E6694E" w:rsidRPr="00FC014E">
        <w:t xml:space="preserve">. These </w:t>
      </w:r>
      <w:r w:rsidR="005C1936" w:rsidRPr="00FC014E">
        <w:t>estimates</w:t>
      </w:r>
      <w:r w:rsidR="00E6694E" w:rsidRPr="00FC014E">
        <w:t xml:space="preserve"> need to be validated</w:t>
      </w:r>
      <w:r w:rsidR="00BC6BE9" w:rsidRPr="00FC014E">
        <w:t xml:space="preserve"> with measured groundwater level data in the vicinity of the model boundary</w:t>
      </w:r>
      <w:r w:rsidR="00E6694E" w:rsidRPr="00FC014E">
        <w:t xml:space="preserve">, especially the </w:t>
      </w:r>
      <w:r w:rsidR="005C1936" w:rsidRPr="00FC014E">
        <w:t xml:space="preserve">closer </w:t>
      </w:r>
      <w:r w:rsidR="00E6694E" w:rsidRPr="00FC014E">
        <w:t>eastern and western boundaries</w:t>
      </w:r>
      <w:r w:rsidR="005C1936" w:rsidRPr="00FC014E">
        <w:t xml:space="preserve"> which are likely to have </w:t>
      </w:r>
      <w:r w:rsidR="00984AD0" w:rsidRPr="00FC014E">
        <w:t>greater</w:t>
      </w:r>
      <w:r w:rsidR="005C1936" w:rsidRPr="00FC014E">
        <w:t xml:space="preserve"> influence over</w:t>
      </w:r>
      <w:r w:rsidR="00984AD0" w:rsidRPr="00FC014E">
        <w:t xml:space="preserve"> model</w:t>
      </w:r>
      <w:r w:rsidR="005C1936" w:rsidRPr="00FC014E">
        <w:t xml:space="preserve"> predictions. </w:t>
      </w:r>
      <w:r w:rsidR="00E6694E" w:rsidRPr="00FC014E">
        <w:t xml:space="preserve"> </w:t>
      </w:r>
    </w:p>
    <w:p w:rsidR="00B55B19" w:rsidRPr="00FC014E" w:rsidRDefault="00984AD0" w:rsidP="00B55B19">
      <w:pPr>
        <w:pStyle w:val="ListNumber"/>
      </w:pPr>
      <w:r w:rsidRPr="00FC014E">
        <w:t xml:space="preserve">The IESC considers there is </w:t>
      </w:r>
      <w:r w:rsidR="000D5CAB" w:rsidRPr="00FC014E">
        <w:t xml:space="preserve">a high degree of </w:t>
      </w:r>
      <w:r w:rsidRPr="00FC014E">
        <w:t xml:space="preserve">uncertainty regarding the </w:t>
      </w:r>
      <w:r w:rsidR="00605B94" w:rsidRPr="00FC014E">
        <w:t xml:space="preserve">scale of </w:t>
      </w:r>
      <w:r w:rsidRPr="00FC014E">
        <w:t>potential impacts associated with the proposed voids.</w:t>
      </w:r>
      <w:r w:rsidR="000D5CAB" w:rsidRPr="00FC014E">
        <w:t xml:space="preserve"> This uncertainty is due to</w:t>
      </w:r>
      <w:r w:rsidR="005C1936" w:rsidRPr="00FC014E">
        <w:t xml:space="preserve"> the predicted </w:t>
      </w:r>
      <w:r w:rsidR="00920687" w:rsidRPr="00FC014E">
        <w:t xml:space="preserve">temporally </w:t>
      </w:r>
      <w:r w:rsidR="005C1936" w:rsidRPr="00FC014E">
        <w:t>variable source/sink status of the final voids, the associated potential seepage to the groundwater syst</w:t>
      </w:r>
      <w:r w:rsidR="00845D68" w:rsidRPr="00FC014E">
        <w:t xml:space="preserve">em, and the revised prediction that </w:t>
      </w:r>
      <w:r w:rsidR="001D53C3" w:rsidRPr="00FC014E">
        <w:t>water levels</w:t>
      </w:r>
      <w:r w:rsidR="00845D68" w:rsidRPr="00FC014E">
        <w:t xml:space="preserve"> will now recover to</w:t>
      </w:r>
      <w:r w:rsidR="001D53C3" w:rsidRPr="00FC014E">
        <w:t xml:space="preserve"> greater than pre</w:t>
      </w:r>
      <w:r w:rsidR="001D53C3" w:rsidRPr="00FC014E">
        <w:noBreakHyphen/>
      </w:r>
      <w:proofErr w:type="spellStart"/>
      <w:r w:rsidR="005C1936" w:rsidRPr="00FC014E">
        <w:t>mining</w:t>
      </w:r>
      <w:proofErr w:type="spellEnd"/>
      <w:r w:rsidR="005C1936" w:rsidRPr="00FC014E">
        <w:t xml:space="preserve"> </w:t>
      </w:r>
      <w:r w:rsidR="00845D68" w:rsidRPr="00FC014E">
        <w:t xml:space="preserve">levels </w:t>
      </w:r>
      <w:r w:rsidR="00311FB6" w:rsidRPr="00FC014E">
        <w:t xml:space="preserve">in </w:t>
      </w:r>
      <w:proofErr w:type="spellStart"/>
      <w:r w:rsidR="00311FB6" w:rsidRPr="00FC014E">
        <w:t>Willer</w:t>
      </w:r>
      <w:r w:rsidR="005C1936" w:rsidRPr="00FC014E">
        <w:t>oo</w:t>
      </w:r>
      <w:proofErr w:type="spellEnd"/>
      <w:r w:rsidR="005C1936" w:rsidRPr="00FC014E">
        <w:t xml:space="preserve"> Pit (and Manning</w:t>
      </w:r>
      <w:r w:rsidR="00311FB6" w:rsidRPr="00FC014E">
        <w:t xml:space="preserve"> V</w:t>
      </w:r>
      <w:r w:rsidR="005C1936" w:rsidRPr="00FC014E">
        <w:t xml:space="preserve">ale </w:t>
      </w:r>
      <w:r w:rsidR="00311FB6" w:rsidRPr="00FC014E">
        <w:t>E</w:t>
      </w:r>
      <w:r w:rsidR="005C1936" w:rsidRPr="00FC014E">
        <w:t xml:space="preserve">ast </w:t>
      </w:r>
      <w:r w:rsidR="00311FB6" w:rsidRPr="00FC014E">
        <w:t xml:space="preserve">Pit </w:t>
      </w:r>
      <w:r w:rsidR="001D53C3" w:rsidRPr="00FC014E">
        <w:t xml:space="preserve">in the </w:t>
      </w:r>
      <w:r w:rsidR="005C1936" w:rsidRPr="00FC014E">
        <w:t>84</w:t>
      </w:r>
      <w:r w:rsidR="005C1936" w:rsidRPr="00FC014E">
        <w:rPr>
          <w:vertAlign w:val="superscript"/>
        </w:rPr>
        <w:t>th</w:t>
      </w:r>
      <w:r w:rsidR="00C148C1" w:rsidRPr="00FC014E">
        <w:t xml:space="preserve"> percentile prediction).</w:t>
      </w:r>
    </w:p>
    <w:p w:rsidR="00B55B19" w:rsidRPr="00FC014E" w:rsidRDefault="006D1C6E" w:rsidP="00B55B19">
      <w:pPr>
        <w:pStyle w:val="ListNumber"/>
      </w:pPr>
      <w:r w:rsidRPr="00FC014E">
        <w:t xml:space="preserve">The proponent has </w:t>
      </w:r>
      <w:r w:rsidR="00605B94" w:rsidRPr="00FC014E">
        <w:t>not</w:t>
      </w:r>
      <w:r w:rsidRPr="00FC014E">
        <w:t xml:space="preserve"> include</w:t>
      </w:r>
      <w:r w:rsidR="00605B94" w:rsidRPr="00FC014E">
        <w:t>d</w:t>
      </w:r>
      <w:r w:rsidR="00B55B19" w:rsidRPr="00FC014E">
        <w:t xml:space="preserve"> </w:t>
      </w:r>
      <w:r w:rsidR="00605B94" w:rsidRPr="00FC014E">
        <w:t>surrounding</w:t>
      </w:r>
      <w:r w:rsidR="00B55B19" w:rsidRPr="00FC014E">
        <w:t xml:space="preserve"> groundwater user</w:t>
      </w:r>
      <w:r w:rsidR="00121015" w:rsidRPr="00FC014E">
        <w:t xml:space="preserve"> abstraction</w:t>
      </w:r>
      <w:r w:rsidR="00B55B19" w:rsidRPr="00FC014E">
        <w:t xml:space="preserve"> </w:t>
      </w:r>
      <w:r w:rsidR="00605B94" w:rsidRPr="00FC014E">
        <w:t xml:space="preserve">data </w:t>
      </w:r>
      <w:r w:rsidR="00B55B19" w:rsidRPr="00FC014E">
        <w:t>in the groundwater model</w:t>
      </w:r>
      <w:r w:rsidR="009372B5" w:rsidRPr="00FC014E">
        <w:t xml:space="preserve">. </w:t>
      </w:r>
      <w:r w:rsidR="00845D68" w:rsidRPr="00FC014E">
        <w:t>All groundwater fluxes should be represented in the model, and d</w:t>
      </w:r>
      <w:r w:rsidR="00B55B19" w:rsidRPr="00FC014E">
        <w:t>ifferentiation of mine</w:t>
      </w:r>
      <w:r w:rsidR="00000912" w:rsidRPr="00FC014E">
        <w:t>-</w:t>
      </w:r>
      <w:r w:rsidR="009372B5" w:rsidRPr="00FC014E">
        <w:t xml:space="preserve"> and</w:t>
      </w:r>
      <w:r w:rsidR="00B55B19" w:rsidRPr="00FC014E">
        <w:t xml:space="preserve"> landholder</w:t>
      </w:r>
      <w:r w:rsidR="00000912" w:rsidRPr="00FC014E">
        <w:t>-</w:t>
      </w:r>
      <w:r w:rsidR="00B55B19" w:rsidRPr="00FC014E">
        <w:t>induced impacts on groundwater levels</w:t>
      </w:r>
      <w:r w:rsidR="009372B5" w:rsidRPr="00FC014E">
        <w:t xml:space="preserve"> is needed</w:t>
      </w:r>
      <w:r w:rsidR="000254F2" w:rsidRPr="00FC014E">
        <w:t xml:space="preserve"> for assessment of impacts on specific areas or bores</w:t>
      </w:r>
      <w:r w:rsidR="00B55B19" w:rsidRPr="00FC014E">
        <w:t>.</w:t>
      </w:r>
    </w:p>
    <w:p w:rsidR="00B55B19" w:rsidRPr="00FC014E" w:rsidRDefault="00B55B19" w:rsidP="00B55B19">
      <w:pPr>
        <w:pStyle w:val="ListNumber"/>
        <w:numPr>
          <w:ilvl w:val="0"/>
          <w:numId w:val="0"/>
        </w:numPr>
        <w:rPr>
          <w:i/>
        </w:rPr>
      </w:pPr>
      <w:r w:rsidRPr="00FC014E">
        <w:rPr>
          <w:i/>
        </w:rPr>
        <w:t>Surface water quality</w:t>
      </w:r>
    </w:p>
    <w:p w:rsidR="00B55B19" w:rsidRPr="00FC014E" w:rsidRDefault="00466AA1" w:rsidP="00B55B19">
      <w:pPr>
        <w:pStyle w:val="ListNumber"/>
      </w:pPr>
      <w:r w:rsidRPr="00FC014E">
        <w:t>Some physicochemical and nutrient monitoring data has been collected over a representative</w:t>
      </w:r>
      <w:r w:rsidR="002B3B6A" w:rsidRPr="00FC014E">
        <w:t xml:space="preserve"> period</w:t>
      </w:r>
      <w:r w:rsidRPr="00FC014E">
        <w:t xml:space="preserve">. However, surface water quality monitoring for dissolved oxygen and contaminant metals from more than one sampling episode has not been undertaken. Representative surface water quality data (including dissolved oxygen and contaminant metals) is needed to determine the existing surface water quality within the project area because water quality of ephemeral rivers such as Lagoon Creek is typically highly variable with time. This data will then need to be used to determine downstream surface water quality objectives (see paragraph </w:t>
      </w:r>
      <w:fldSimple w:instr=" REF _Ref437440385 \r \h  \* MERGEFORMAT ">
        <w:r w:rsidRPr="00FC014E">
          <w:t>16</w:t>
        </w:r>
      </w:fldSimple>
      <w:r w:rsidRPr="00FC014E">
        <w:t>).</w:t>
      </w:r>
    </w:p>
    <w:p w:rsidR="002E7CE2" w:rsidRPr="00FC014E" w:rsidRDefault="000D5CAB" w:rsidP="00B55B19">
      <w:pPr>
        <w:pStyle w:val="ListNumber"/>
      </w:pPr>
      <w:r w:rsidRPr="00FC014E">
        <w:t>As noted in the IESC</w:t>
      </w:r>
      <w:r w:rsidR="000F15CB" w:rsidRPr="00FC014E">
        <w:t>’s April 2014</w:t>
      </w:r>
      <w:r w:rsidRPr="00FC014E">
        <w:t xml:space="preserve"> advice, t</w:t>
      </w:r>
      <w:r w:rsidR="002E7CE2" w:rsidRPr="00FC014E">
        <w:t>he proponent agreed with the need for a study into the cause of elevated levels of copper in Lagoon Creek to determine if these concentrations are naturally occurring, mining</w:t>
      </w:r>
      <w:r w:rsidR="00AA567D" w:rsidRPr="00FC014E">
        <w:noBreakHyphen/>
      </w:r>
      <w:proofErr w:type="spellStart"/>
      <w:r w:rsidR="002E7CE2" w:rsidRPr="00FC014E">
        <w:t>related</w:t>
      </w:r>
      <w:proofErr w:type="spellEnd"/>
      <w:r w:rsidR="002E7CE2" w:rsidRPr="00FC014E">
        <w:t xml:space="preserve"> or caused by an anomalous reading. </w:t>
      </w:r>
      <w:r w:rsidR="000E484E" w:rsidRPr="00FC014E">
        <w:t>The study has not been undertaken</w:t>
      </w:r>
      <w:r w:rsidR="00483B8D" w:rsidRPr="00FC014E">
        <w:t>. Once complete, the study</w:t>
      </w:r>
      <w:r w:rsidR="000E484E" w:rsidRPr="00FC014E">
        <w:t xml:space="preserve"> should be used to provide </w:t>
      </w:r>
      <w:r w:rsidR="00483B8D" w:rsidRPr="00FC014E">
        <w:t>a</w:t>
      </w:r>
      <w:r w:rsidR="00FF5E18" w:rsidRPr="00FC014E">
        <w:t xml:space="preserve"> better understanding of the </w:t>
      </w:r>
      <w:r w:rsidR="00FF5E18" w:rsidRPr="00FC014E">
        <w:lastRenderedPageBreak/>
        <w:t xml:space="preserve">existing water quality </w:t>
      </w:r>
      <w:r w:rsidR="00483B8D" w:rsidRPr="00FC014E">
        <w:t>during periods of flow in Lagoon Creek</w:t>
      </w:r>
      <w:r w:rsidR="003031AE" w:rsidRPr="00FC014E">
        <w:t>, especially “first pulse” flows,</w:t>
      </w:r>
      <w:r w:rsidR="00483B8D" w:rsidRPr="00FC014E">
        <w:t xml:space="preserve"> and </w:t>
      </w:r>
      <w:r w:rsidR="007502D9" w:rsidRPr="00FC014E">
        <w:t xml:space="preserve">inform </w:t>
      </w:r>
      <w:r w:rsidR="00FF5E18" w:rsidRPr="00FC014E">
        <w:t xml:space="preserve">the assessment of impacts to ecosystems and water users downstream of the proposed project. </w:t>
      </w:r>
    </w:p>
    <w:p w:rsidR="00B55B19" w:rsidRPr="00FC014E" w:rsidRDefault="00B55B19" w:rsidP="00295C42">
      <w:pPr>
        <w:pStyle w:val="ListNumber"/>
        <w:keepNext/>
        <w:numPr>
          <w:ilvl w:val="0"/>
          <w:numId w:val="0"/>
        </w:numPr>
        <w:rPr>
          <w:i/>
        </w:rPr>
      </w:pPr>
      <w:r w:rsidRPr="00FC014E">
        <w:rPr>
          <w:i/>
        </w:rPr>
        <w:t>Groundwater dependent ecosystems</w:t>
      </w:r>
    </w:p>
    <w:p w:rsidR="00E81B09" w:rsidRPr="00FC014E" w:rsidRDefault="001C2525" w:rsidP="00B55B19">
      <w:pPr>
        <w:pStyle w:val="ListNumber"/>
      </w:pPr>
      <w:r w:rsidRPr="00FC014E">
        <w:t>Consistent with the IESC</w:t>
      </w:r>
      <w:r w:rsidR="000F15CB" w:rsidRPr="00FC014E">
        <w:t>’s April 2014</w:t>
      </w:r>
      <w:r w:rsidRPr="00FC014E">
        <w:t xml:space="preserve"> advice</w:t>
      </w:r>
      <w:r w:rsidR="0054717F" w:rsidRPr="00FC014E">
        <w:t>, GDEs need to be clearly identified</w:t>
      </w:r>
      <w:r w:rsidR="00483B8D" w:rsidRPr="00FC014E">
        <w:t xml:space="preserve"> within the zone of predicted groundwater impact</w:t>
      </w:r>
      <w:r w:rsidR="0054717F" w:rsidRPr="00FC014E">
        <w:t xml:space="preserve">. While the proponent utilised the </w:t>
      </w:r>
      <w:proofErr w:type="spellStart"/>
      <w:r w:rsidR="0054717F" w:rsidRPr="00FC014E">
        <w:t>Wetland</w:t>
      </w:r>
      <w:r w:rsidR="0054717F" w:rsidRPr="00FC014E">
        <w:rPr>
          <w:i/>
        </w:rPr>
        <w:t>info</w:t>
      </w:r>
      <w:proofErr w:type="spellEnd"/>
      <w:r w:rsidR="0054717F" w:rsidRPr="00FC014E">
        <w:t xml:space="preserve"> tool, a systematic approach to identifying</w:t>
      </w:r>
      <w:r w:rsidR="00E83279" w:rsidRPr="00FC014E">
        <w:t xml:space="preserve"> </w:t>
      </w:r>
      <w:r w:rsidR="009D50A5" w:rsidRPr="00FC014E">
        <w:t xml:space="preserve">vegetation </w:t>
      </w:r>
      <w:r w:rsidR="00E83279" w:rsidRPr="00FC014E">
        <w:t xml:space="preserve">GDEs is still needed and </w:t>
      </w:r>
      <w:r w:rsidR="0054717F" w:rsidRPr="00FC014E">
        <w:t>should include</w:t>
      </w:r>
      <w:r w:rsidR="00F709E1" w:rsidRPr="00FC014E">
        <w:t>:</w:t>
      </w:r>
    </w:p>
    <w:p w:rsidR="00FB359A" w:rsidRPr="00FC014E" w:rsidRDefault="00FB359A" w:rsidP="00E81B09">
      <w:pPr>
        <w:pStyle w:val="ListNumber2"/>
      </w:pPr>
      <w:r w:rsidRPr="00FC014E">
        <w:t>u</w:t>
      </w:r>
      <w:r w:rsidR="0054717F" w:rsidRPr="00FC014E">
        <w:t xml:space="preserve">sing the </w:t>
      </w:r>
      <w:proofErr w:type="spellStart"/>
      <w:r w:rsidR="0054717F" w:rsidRPr="00FC014E">
        <w:t>hydrogeological</w:t>
      </w:r>
      <w:proofErr w:type="spellEnd"/>
      <w:r w:rsidR="0054717F" w:rsidRPr="00FC014E">
        <w:t xml:space="preserve"> conceptualisation to identify areas</w:t>
      </w:r>
      <w:r w:rsidR="00A65522" w:rsidRPr="00FC014E">
        <w:t xml:space="preserve"> </w:t>
      </w:r>
      <w:r w:rsidR="0054717F" w:rsidRPr="00FC014E">
        <w:t>of shallow groundwater</w:t>
      </w:r>
      <w:r w:rsidRPr="00FC014E">
        <w:t>,</w:t>
      </w:r>
    </w:p>
    <w:p w:rsidR="00B55B19" w:rsidRPr="00FC014E" w:rsidRDefault="00FB359A" w:rsidP="00E81B09">
      <w:pPr>
        <w:pStyle w:val="ListNumber2"/>
      </w:pPr>
      <w:r w:rsidRPr="00FC014E">
        <w:t xml:space="preserve">maps that show </w:t>
      </w:r>
      <w:r w:rsidR="00A65522" w:rsidRPr="00FC014E">
        <w:t>depth to groundwater (ideally seasonal)</w:t>
      </w:r>
      <w:r w:rsidRPr="00FC014E">
        <w:t xml:space="preserve"> contours</w:t>
      </w:r>
      <w:r w:rsidR="00A65522" w:rsidRPr="00FC014E">
        <w:t xml:space="preserve"> in th</w:t>
      </w:r>
      <w:r w:rsidR="001C2525" w:rsidRPr="00FC014E">
        <w:t>e b</w:t>
      </w:r>
      <w:r w:rsidRPr="00FC014E">
        <w:t xml:space="preserve">asalt and alluvial aquifers, overlaid with vegetation </w:t>
      </w:r>
      <w:r w:rsidR="00866746" w:rsidRPr="00FC014E">
        <w:t>and wetland mapping to aid identification of potential</w:t>
      </w:r>
      <w:r w:rsidRPr="00FC014E">
        <w:t xml:space="preserve"> </w:t>
      </w:r>
      <w:r w:rsidR="00866746" w:rsidRPr="00FC014E">
        <w:t>GDEs</w:t>
      </w:r>
      <w:r w:rsidRPr="00FC014E">
        <w:t>,</w:t>
      </w:r>
    </w:p>
    <w:p w:rsidR="00E81B09" w:rsidRPr="00FC014E" w:rsidRDefault="00866746" w:rsidP="00E81B09">
      <w:pPr>
        <w:pStyle w:val="ListNumber2"/>
      </w:pPr>
      <w:r w:rsidRPr="00FC014E">
        <w:t>application of</w:t>
      </w:r>
      <w:r w:rsidR="00F709E1" w:rsidRPr="00FC014E">
        <w:t xml:space="preserve"> this </w:t>
      </w:r>
      <w:r w:rsidRPr="00FC014E">
        <w:t xml:space="preserve">approach </w:t>
      </w:r>
      <w:r w:rsidR="00F709E1" w:rsidRPr="00FC014E">
        <w:t xml:space="preserve">to the </w:t>
      </w:r>
      <w:r w:rsidRPr="00FC014E">
        <w:t xml:space="preserve">full </w:t>
      </w:r>
      <w:r w:rsidR="00E83279" w:rsidRPr="00FC014E">
        <w:t>extent</w:t>
      </w:r>
      <w:r w:rsidR="00F709E1" w:rsidRPr="00FC014E">
        <w:t xml:space="preserve"> of </w:t>
      </w:r>
      <w:r w:rsidRPr="00FC014E">
        <w:t xml:space="preserve">predicted </w:t>
      </w:r>
      <w:r w:rsidR="00F709E1" w:rsidRPr="00FC014E">
        <w:t xml:space="preserve">drawdown </w:t>
      </w:r>
      <w:r w:rsidRPr="00FC014E">
        <w:t xml:space="preserve">impacts associated with the proposed project </w:t>
      </w:r>
      <w:r w:rsidR="00F709E1" w:rsidRPr="00FC014E">
        <w:t>including outside of the project</w:t>
      </w:r>
      <w:r w:rsidRPr="00FC014E">
        <w:t xml:space="preserve"> area, and</w:t>
      </w:r>
    </w:p>
    <w:p w:rsidR="00866746" w:rsidRPr="00FC014E" w:rsidRDefault="00866746" w:rsidP="00E81B09">
      <w:pPr>
        <w:pStyle w:val="ListNumber2"/>
      </w:pPr>
      <w:r w:rsidRPr="00FC014E">
        <w:t>application of techniques from</w:t>
      </w:r>
      <w:r w:rsidR="0011386E" w:rsidRPr="00FC014E">
        <w:t>, for example,</w:t>
      </w:r>
      <w:r w:rsidRPr="00FC014E">
        <w:t xml:space="preserve"> the Australian</w:t>
      </w:r>
      <w:r w:rsidR="00E83279" w:rsidRPr="00FC014E">
        <w:t xml:space="preserve"> GDE Toolbox </w:t>
      </w:r>
      <w:r w:rsidR="00805D89" w:rsidRPr="00FC014E">
        <w:fldChar w:fldCharType="begin"/>
      </w:r>
      <w:r w:rsidR="003F7D24" w:rsidRPr="00FC014E">
        <w:instrText xml:space="preserve"> ADDIN EN.CITE &lt;EndNote&gt;&lt;Cite&gt;&lt;Author&gt;Richardson&lt;/Author&gt;&lt;Year&gt;2011&lt;/Year&gt;&lt;RecNum&gt;1787&lt;/RecNum&gt;&lt;DisplayText&gt;(Richardson et al., 2011)&lt;/DisplayText&gt;&lt;record&gt;&lt;rec-number&gt;1787&lt;/rec-number&gt;&lt;foreign-keys&gt;&lt;key app="EN" db-id="xz5vrd20mz9trjezvzzvf9fhsxvzatfrr59v"&gt;1787&lt;/key&gt;&lt;/foreign-keys&gt;&lt;ref-type name="Report"&gt;27&lt;/ref-type&gt;&lt;contributors&gt;&lt;authors&gt;&lt;author&gt;Richardson, S.&lt;/author&gt;&lt;author&gt;Irvine, E. C.&lt;/author&gt;&lt;author&gt;Froend, R. H.&lt;/author&gt;&lt;author&gt;Boon, P.&lt;/author&gt;&lt;author&gt;Barber, S.&lt;/author&gt;&lt;author&gt;Bonneville, B.&lt;/author&gt;&lt;/authors&gt;&lt;/contributors&gt;&lt;titles&gt;&lt;title&gt;Australian groundwater dependent ecosystem toolbox Part 1: assessment framework&lt;/title&gt;&lt;/titles&gt;&lt;dates&gt;&lt;year&gt;2011&lt;/year&gt;&lt;/dates&gt;&lt;pub-location&gt;Canberra&lt;/pub-location&gt;&lt;publisher&gt;Waterlines report, National Water Commission&lt;/publisher&gt;&lt;urls&gt;&lt;related-urls&gt;&lt;url&gt;http://archive.nwc.gov.au/__data/assets/pdf_file/0006/19905/GDE-toolbox-part-1.pdf&lt;/url&gt;&lt;/related-urls&gt;&lt;/urls&gt;&lt;/record&gt;&lt;/Cite&gt;&lt;/EndNote&gt;</w:instrText>
      </w:r>
      <w:r w:rsidR="00805D89" w:rsidRPr="00FC014E">
        <w:fldChar w:fldCharType="separate"/>
      </w:r>
      <w:r w:rsidR="003F7D24" w:rsidRPr="00FC014E">
        <w:rPr>
          <w:noProof/>
        </w:rPr>
        <w:t>(</w:t>
      </w:r>
      <w:hyperlink w:anchor="_ENREF_5" w:tooltip="Richardson, 2011 #1787" w:history="1">
        <w:r w:rsidR="00DB0BB0" w:rsidRPr="00FC014E">
          <w:rPr>
            <w:noProof/>
          </w:rPr>
          <w:t>Richardson et al., 2011</w:t>
        </w:r>
      </w:hyperlink>
      <w:r w:rsidR="003F7D24" w:rsidRPr="00FC014E">
        <w:rPr>
          <w:noProof/>
        </w:rPr>
        <w:t>)</w:t>
      </w:r>
      <w:r w:rsidR="00805D89" w:rsidRPr="00FC014E">
        <w:fldChar w:fldCharType="end"/>
      </w:r>
      <w:r w:rsidR="000C3F5C" w:rsidRPr="00FC014E">
        <w:t xml:space="preserve"> and</w:t>
      </w:r>
      <w:r w:rsidR="00E83279" w:rsidRPr="00FC014E">
        <w:t xml:space="preserve"> </w:t>
      </w:r>
      <w:r w:rsidR="00805D89" w:rsidRPr="00FC014E">
        <w:fldChar w:fldCharType="begin"/>
      </w:r>
      <w:r w:rsidR="003F7D24" w:rsidRPr="00FC014E">
        <w:instrText xml:space="preserve"> ADDIN EN.CITE &lt;EndNote&gt;&lt;Cite AuthorYear="1"&gt;&lt;Author&gt;Eamus&lt;/Author&gt;&lt;Year&gt;2015&lt;/Year&gt;&lt;RecNum&gt;1799&lt;/RecNum&gt;&lt;DisplayText&gt;Eamus et al. (2015)&lt;/DisplayText&gt;&lt;record&gt;&lt;rec-number&gt;1799&lt;/rec-number&gt;&lt;foreign-keys&gt;&lt;key app="EN" db-id="xz5vrd20mz9trjezvzzvf9fhsxvzatfrr59v"&gt;1799&lt;/key&gt;&lt;/foreign-keys&gt;&lt;ref-type name="Journal Article"&gt;17&lt;/ref-type&gt;&lt;contributors&gt;&lt;authors&gt;&lt;author&gt;Eamus, D.&lt;/author&gt;&lt;author&gt;Zolfaghar, S.&lt;/author&gt;&lt;author&gt;Villalobos-Vega, R.&lt;/author&gt;&lt;author&gt;Cleverly, J.&lt;/author&gt;&lt;author&gt;Huete, A.&lt;/author&gt;&lt;/authors&gt;&lt;/contributors&gt;&lt;titles&gt;&lt;title&gt;Groundwater-dependent ecosystems: recent insights from satellite and field-based studies&lt;/title&gt;&lt;secondary-title&gt;Hydrology and Earth System Sciences&lt;/secondary-title&gt;&lt;/titles&gt;&lt;periodical&gt;&lt;full-title&gt;Hydrology and Earth System Sciences&lt;/full-title&gt;&lt;/periodical&gt;&lt;pages&gt;4229-4256&lt;/pages&gt;&lt;volume&gt;19&lt;/volume&gt;&lt;number&gt;10&lt;/number&gt;&lt;dates&gt;&lt;year&gt;2015&lt;/year&gt;&lt;pub-dates&gt;&lt;date&gt;2015&lt;/date&gt;&lt;/pub-dates&gt;&lt;/dates&gt;&lt;isbn&gt;1027-5606&lt;/isbn&gt;&lt;accession-num&gt;CCC:000364327800013&lt;/accession-num&gt;&lt;urls&gt;&lt;related-urls&gt;&lt;url&gt;&amp;lt;Go to ISI&amp;gt;://CCC:000364327800013&lt;/url&gt;&lt;/related-urls&gt;&lt;/urls&gt;&lt;/record&gt;&lt;/Cite&gt;&lt;/EndNote&gt;</w:instrText>
      </w:r>
      <w:r w:rsidR="00805D89" w:rsidRPr="00FC014E">
        <w:fldChar w:fldCharType="separate"/>
      </w:r>
      <w:hyperlink w:anchor="_ENREF_3" w:tooltip="Eamus, 2015 #1799" w:history="1">
        <w:r w:rsidR="00DB0BB0" w:rsidRPr="00FC014E">
          <w:rPr>
            <w:noProof/>
          </w:rPr>
          <w:t>Eamus et al. (2015</w:t>
        </w:r>
      </w:hyperlink>
      <w:r w:rsidR="003F7D24" w:rsidRPr="00FC014E">
        <w:rPr>
          <w:noProof/>
        </w:rPr>
        <w:t>)</w:t>
      </w:r>
      <w:r w:rsidR="00805D89" w:rsidRPr="00FC014E">
        <w:fldChar w:fldCharType="end"/>
      </w:r>
      <w:r w:rsidR="00C67ADE">
        <w:t>,</w:t>
      </w:r>
      <w:r w:rsidR="000C3F5C" w:rsidRPr="00FC014E">
        <w:t xml:space="preserve"> to confirm groundwater use by vegetation and groundwater discharge to surface water bodies.</w:t>
      </w:r>
    </w:p>
    <w:p w:rsidR="009110D5" w:rsidRPr="00FC014E" w:rsidRDefault="004622D3" w:rsidP="00866746">
      <w:pPr>
        <w:pStyle w:val="ListNumber"/>
      </w:pPr>
      <w:r w:rsidRPr="00FC014E">
        <w:t>Identification of</w:t>
      </w:r>
      <w:r w:rsidR="00DD262E" w:rsidRPr="00FC014E">
        <w:t xml:space="preserve"> </w:t>
      </w:r>
      <w:r w:rsidR="00095835" w:rsidRPr="00FC014E">
        <w:t>remnant patches of the EPBC</w:t>
      </w:r>
      <w:r w:rsidR="009F0375" w:rsidRPr="00FC014E">
        <w:t xml:space="preserve"> Act</w:t>
      </w:r>
      <w:r w:rsidR="00095835" w:rsidRPr="00FC014E">
        <w:t>-listed endangered</w:t>
      </w:r>
      <w:r w:rsidR="00DD262E" w:rsidRPr="00FC014E">
        <w:t xml:space="preserve"> ecological community Brigalow (</w:t>
      </w:r>
      <w:r w:rsidR="00DD262E" w:rsidRPr="00FC014E">
        <w:rPr>
          <w:i/>
        </w:rPr>
        <w:t xml:space="preserve">Acacia </w:t>
      </w:r>
      <w:proofErr w:type="spellStart"/>
      <w:r w:rsidR="00DD262E" w:rsidRPr="00FC014E">
        <w:rPr>
          <w:i/>
        </w:rPr>
        <w:t>harpophylla</w:t>
      </w:r>
      <w:proofErr w:type="spellEnd"/>
      <w:r w:rsidR="00DD262E" w:rsidRPr="00FC014E">
        <w:rPr>
          <w:i/>
        </w:rPr>
        <w:t xml:space="preserve"> </w:t>
      </w:r>
      <w:r w:rsidR="00DD262E" w:rsidRPr="00FC014E">
        <w:t>dominant and co-dominant)</w:t>
      </w:r>
      <w:r w:rsidR="0007521B" w:rsidRPr="00FC014E">
        <w:t>, a known vegetation GDE,</w:t>
      </w:r>
      <w:r w:rsidRPr="00FC014E">
        <w:t xml:space="preserve"> is needed</w:t>
      </w:r>
      <w:r w:rsidR="00DD262E" w:rsidRPr="00FC014E">
        <w:t xml:space="preserve">. Identification of, and assessment of potential impacts to, this endangered ecological community needs to occur within the predicted zone of groundwater drawdown, including </w:t>
      </w:r>
      <w:r w:rsidR="00C4621A" w:rsidRPr="00FC014E">
        <w:t>outside</w:t>
      </w:r>
      <w:r w:rsidR="00DD262E" w:rsidRPr="00FC014E">
        <w:t xml:space="preserve"> the project </w:t>
      </w:r>
      <w:r w:rsidR="00C4621A" w:rsidRPr="00FC014E">
        <w:t>area</w:t>
      </w:r>
      <w:r w:rsidR="00DD262E" w:rsidRPr="00FC014E">
        <w:t>.</w:t>
      </w:r>
      <w:r w:rsidR="0007521B" w:rsidRPr="00FC014E">
        <w:t xml:space="preserve"> </w:t>
      </w:r>
    </w:p>
    <w:p w:rsidR="00FF5E18" w:rsidRPr="00FC014E" w:rsidRDefault="007203C3" w:rsidP="00326DD2">
      <w:pPr>
        <w:pStyle w:val="ListBullet5"/>
        <w:pBdr>
          <w:top w:val="single" w:sz="4" w:space="1" w:color="auto"/>
          <w:left w:val="single" w:sz="4" w:space="4" w:color="auto"/>
          <w:bottom w:val="single" w:sz="4" w:space="1" w:color="auto"/>
          <w:right w:val="single" w:sz="4" w:space="4" w:color="auto"/>
        </w:pBdr>
        <w:spacing w:before="60" w:after="60"/>
      </w:pPr>
      <w:r w:rsidRPr="00FC014E">
        <w:t>Question 2:</w:t>
      </w:r>
      <w:r w:rsidR="00242B99" w:rsidRPr="00FC014E">
        <w:t xml:space="preserve"> The Queensland Coordinator-General has imposed, stated and recommended conditions to mitigate and manage impacts to surface and groundwater, at </w:t>
      </w:r>
      <w:r w:rsidR="00845D68" w:rsidRPr="00FC014E">
        <w:t>A</w:t>
      </w:r>
      <w:r w:rsidR="00242B99" w:rsidRPr="00FC014E">
        <w:t xml:space="preserve">ppendices 1, 2 and 4 respectively of the </w:t>
      </w:r>
      <w:r w:rsidR="00242B99" w:rsidRPr="00FC014E">
        <w:rPr>
          <w:i/>
        </w:rPr>
        <w:t>New Acland Coal Mine Stage 3 project: Coordinator-General’s evaluation report on the environmental impact statement (December 2014)</w:t>
      </w:r>
      <w:r w:rsidR="00242B99" w:rsidRPr="00FC014E">
        <w:t xml:space="preserve"> and these are reflected in the draft </w:t>
      </w:r>
      <w:r w:rsidR="00242B99" w:rsidRPr="00FC014E">
        <w:rPr>
          <w:i/>
        </w:rPr>
        <w:t>Environmental Authority – New Acland Coal Mine (August 2015)</w:t>
      </w:r>
      <w:r w:rsidR="00242B99" w:rsidRPr="00FC014E">
        <w:t xml:space="preserve">. </w:t>
      </w:r>
    </w:p>
    <w:p w:rsidR="007203C3" w:rsidRPr="00FC014E" w:rsidRDefault="00242B99" w:rsidP="00326DD2">
      <w:pPr>
        <w:pStyle w:val="ListBullet5"/>
        <w:pBdr>
          <w:top w:val="single" w:sz="4" w:space="1" w:color="auto"/>
          <w:left w:val="single" w:sz="4" w:space="4" w:color="auto"/>
          <w:bottom w:val="single" w:sz="4" w:space="1" w:color="auto"/>
          <w:right w:val="single" w:sz="4" w:space="4" w:color="auto"/>
        </w:pBdr>
        <w:spacing w:before="60" w:after="60"/>
      </w:pPr>
      <w:r w:rsidRPr="00FC014E">
        <w:t>Does the IESC consider that the outstanding matters raised in its advice of 10 April 2014 in managing impacts to surface and groundwater are adequately addressed through the Queensland Coordinator-General’s conditions of approval (December 2014)?</w:t>
      </w:r>
      <w:r w:rsidR="00326DD2" w:rsidRPr="00FC014E">
        <w:t xml:space="preserve"> </w:t>
      </w:r>
      <w:r w:rsidRPr="00FC014E">
        <w:t>If not, what outstanding matters are still required to be addressed?</w:t>
      </w:r>
    </w:p>
    <w:p w:rsidR="00CF5929" w:rsidRPr="00FC014E" w:rsidRDefault="00CF5929" w:rsidP="00D622B9">
      <w:pPr>
        <w:pStyle w:val="Heading4"/>
      </w:pPr>
      <w:r w:rsidRPr="00FC014E">
        <w:t>Response</w:t>
      </w:r>
    </w:p>
    <w:p w:rsidR="002406DD" w:rsidRPr="00FC014E" w:rsidRDefault="00782F48" w:rsidP="003F7296">
      <w:pPr>
        <w:pStyle w:val="ListNumber"/>
      </w:pPr>
      <w:r w:rsidRPr="00FC014E">
        <w:t xml:space="preserve">The Queensland conditions </w:t>
      </w:r>
      <w:r w:rsidR="009A4FC5" w:rsidRPr="00FC014E">
        <w:t xml:space="preserve">proposed under the </w:t>
      </w:r>
      <w:r w:rsidR="00605B94" w:rsidRPr="00FC014E">
        <w:t xml:space="preserve">draft </w:t>
      </w:r>
      <w:r w:rsidR="009A4FC5" w:rsidRPr="00FC014E">
        <w:t>Environmental Authority and imposed, stated and recommended by the Coordinator-General address a number of issues raised in the IESC’s advice</w:t>
      </w:r>
      <w:r w:rsidR="00140735" w:rsidRPr="00FC014E">
        <w:t xml:space="preserve"> </w:t>
      </w:r>
      <w:r w:rsidR="000F15CB" w:rsidRPr="00FC014E">
        <w:t>of</w:t>
      </w:r>
      <w:r w:rsidR="00D63258" w:rsidRPr="00FC014E">
        <w:t xml:space="preserve"> 10 April 2014</w:t>
      </w:r>
      <w:r w:rsidR="009A4FC5" w:rsidRPr="00FC014E">
        <w:t xml:space="preserve"> that </w:t>
      </w:r>
      <w:r w:rsidR="00D63258" w:rsidRPr="00FC014E">
        <w:t xml:space="preserve">were not resolved by the proponent’s </w:t>
      </w:r>
      <w:r w:rsidR="00EB6649" w:rsidRPr="00FC014E">
        <w:t>A</w:t>
      </w:r>
      <w:r w:rsidR="00D63258" w:rsidRPr="00FC014E">
        <w:t xml:space="preserve">EIS. </w:t>
      </w:r>
      <w:r w:rsidR="006277B8" w:rsidRPr="00FC014E">
        <w:t xml:space="preserve">Residual </w:t>
      </w:r>
      <w:r w:rsidR="001B6F3E" w:rsidRPr="00FC014E">
        <w:t xml:space="preserve">matters </w:t>
      </w:r>
      <w:proofErr w:type="gramStart"/>
      <w:r w:rsidR="00E021D2" w:rsidRPr="00FC014E">
        <w:t>r</w:t>
      </w:r>
      <w:r w:rsidR="00A77A8F" w:rsidRPr="00FC014E">
        <w:t>aised</w:t>
      </w:r>
      <w:proofErr w:type="gramEnd"/>
      <w:r w:rsidR="00A77A8F" w:rsidRPr="00FC014E">
        <w:t xml:space="preserve"> in response to Question 1</w:t>
      </w:r>
      <w:r w:rsidR="006277B8" w:rsidRPr="00FC014E">
        <w:t xml:space="preserve"> (and the </w:t>
      </w:r>
      <w:r w:rsidR="000F15CB" w:rsidRPr="00FC014E">
        <w:t xml:space="preserve">IESC’s April 2014 </w:t>
      </w:r>
      <w:r w:rsidR="006277B8" w:rsidRPr="00FC014E">
        <w:t>advice)</w:t>
      </w:r>
      <w:r w:rsidR="00A77A8F" w:rsidRPr="00FC014E">
        <w:t xml:space="preserve"> </w:t>
      </w:r>
      <w:r w:rsidR="001B6F3E" w:rsidRPr="00FC014E">
        <w:t>are</w:t>
      </w:r>
      <w:r w:rsidR="00E021D2" w:rsidRPr="00FC014E">
        <w:t xml:space="preserve"> outlined below</w:t>
      </w:r>
      <w:r w:rsidR="003F7296" w:rsidRPr="00FC014E">
        <w:t>.</w:t>
      </w:r>
      <w:r w:rsidR="003B6EDE" w:rsidRPr="00FC014E">
        <w:t xml:space="preserve"> </w:t>
      </w:r>
    </w:p>
    <w:p w:rsidR="00B8405C" w:rsidRPr="00FC014E" w:rsidRDefault="007B5553">
      <w:pPr>
        <w:pStyle w:val="ListNumber"/>
        <w:keepNext/>
        <w:numPr>
          <w:ilvl w:val="0"/>
          <w:numId w:val="0"/>
        </w:numPr>
        <w:rPr>
          <w:i/>
        </w:rPr>
      </w:pPr>
      <w:r w:rsidRPr="00FC014E">
        <w:rPr>
          <w:i/>
        </w:rPr>
        <w:t>Groundwater</w:t>
      </w:r>
    </w:p>
    <w:p w:rsidR="00254B93" w:rsidRPr="00FC014E" w:rsidRDefault="00845D68" w:rsidP="007B5553">
      <w:pPr>
        <w:pStyle w:val="ListNumber"/>
      </w:pPr>
      <w:r w:rsidRPr="00FC014E">
        <w:t xml:space="preserve">The </w:t>
      </w:r>
      <w:r w:rsidR="00140735" w:rsidRPr="00FC014E">
        <w:t xml:space="preserve">IESC has </w:t>
      </w:r>
      <w:r w:rsidR="00262587" w:rsidRPr="00FC014E">
        <w:t>remaining</w:t>
      </w:r>
      <w:r w:rsidR="00140735" w:rsidRPr="00FC014E">
        <w:t xml:space="preserve"> concerns regarding the high degree of uncertainty</w:t>
      </w:r>
      <w:r w:rsidR="00F25A04" w:rsidRPr="00FC014E">
        <w:t xml:space="preserve"> </w:t>
      </w:r>
      <w:r w:rsidR="00140735" w:rsidRPr="00FC014E">
        <w:t>over</w:t>
      </w:r>
      <w:r w:rsidR="00F9169C" w:rsidRPr="00FC014E">
        <w:t xml:space="preserve"> the role of faulting </w:t>
      </w:r>
      <w:r w:rsidR="00AB0BCD" w:rsidRPr="00FC014E">
        <w:t xml:space="preserve">and </w:t>
      </w:r>
      <w:r w:rsidR="00F9169C" w:rsidRPr="00FC014E">
        <w:t>its influence on</w:t>
      </w:r>
      <w:r w:rsidR="00F25A04" w:rsidRPr="00FC014E">
        <w:t xml:space="preserve"> propagation of drawdown impacts to areas surrounding the proposed project site.</w:t>
      </w:r>
      <w:r w:rsidR="00254B93" w:rsidRPr="00FC014E">
        <w:t xml:space="preserve"> Specifically:</w:t>
      </w:r>
    </w:p>
    <w:p w:rsidR="00605B94" w:rsidRPr="00FC014E" w:rsidRDefault="005D677D" w:rsidP="00605B94">
      <w:pPr>
        <w:pStyle w:val="ListNumber2"/>
      </w:pPr>
      <w:r w:rsidRPr="00FC014E">
        <w:t>T</w:t>
      </w:r>
      <w:r w:rsidR="00605B94" w:rsidRPr="00FC014E">
        <w:t>he groundwater impact assessment is lacking a geological map to show locations</w:t>
      </w:r>
      <w:r w:rsidRPr="00FC014E">
        <w:t xml:space="preserve"> of faults</w:t>
      </w:r>
      <w:r w:rsidR="00725FE2" w:rsidRPr="00FC014E">
        <w:t>. W</w:t>
      </w:r>
      <w:r w:rsidRPr="00FC014E">
        <w:t xml:space="preserve">ithout a detailed </w:t>
      </w:r>
      <w:proofErr w:type="spellStart"/>
      <w:r w:rsidR="00891EAC" w:rsidRPr="00FC014E">
        <w:t>hydro</w:t>
      </w:r>
      <w:r w:rsidRPr="00FC014E">
        <w:t>geological</w:t>
      </w:r>
      <w:proofErr w:type="spellEnd"/>
      <w:r w:rsidRPr="00FC014E">
        <w:t xml:space="preserve"> investigation </w:t>
      </w:r>
      <w:r w:rsidR="00605B94" w:rsidRPr="00FC014E">
        <w:t>it is difficult to determine the hydraulic nature of a fault, particularly whether it is a barrier or conduit</w:t>
      </w:r>
      <w:r w:rsidRPr="00FC014E">
        <w:t xml:space="preserve"> to groundwater flow (as also noted by the peer review of the proponent’s revised groundwater modelling (AGE 2014))</w:t>
      </w:r>
      <w:r w:rsidR="00605B94" w:rsidRPr="00FC014E">
        <w:t xml:space="preserve">. </w:t>
      </w:r>
      <w:r w:rsidR="00466AA1" w:rsidRPr="00FC014E">
        <w:t xml:space="preserve">Geological maps and </w:t>
      </w:r>
      <w:proofErr w:type="spellStart"/>
      <w:r w:rsidR="009528C8" w:rsidRPr="00FC014E">
        <w:t>hydrogeological</w:t>
      </w:r>
      <w:proofErr w:type="spellEnd"/>
      <w:r w:rsidR="009528C8" w:rsidRPr="00FC014E">
        <w:t xml:space="preserve"> </w:t>
      </w:r>
      <w:r w:rsidR="00466AA1" w:rsidRPr="00FC014E">
        <w:t xml:space="preserve">field investigations (such as groundwater head measurements on </w:t>
      </w:r>
      <w:r w:rsidR="00466AA1" w:rsidRPr="00FC014E">
        <w:lastRenderedPageBreak/>
        <w:t>either side of modelled faults) should be provided to validate the proponent’s conceptualisation of the nature of faults, including verification of their existence, vertical and lateral extent, hydraulic properties and how they are parameterised in the groundwater model.</w:t>
      </w:r>
    </w:p>
    <w:p w:rsidR="005C4C90" w:rsidRPr="00FC014E" w:rsidRDefault="005C4C90" w:rsidP="005C4C90">
      <w:pPr>
        <w:pStyle w:val="ListNumber2"/>
        <w:keepLines/>
        <w:ind w:hanging="284"/>
      </w:pPr>
      <w:r w:rsidRPr="00FC014E">
        <w:t xml:space="preserve">Further monitoring bores (in addition to those stated in the Coordinator General’s report and the draft Environmental Authority) are needed to validate the predicted lateral extent of drawdown propagation, which is controlled in the Walloon Coal Measures by the faulting. </w:t>
      </w:r>
    </w:p>
    <w:p w:rsidR="005C03E8" w:rsidRPr="00FC014E" w:rsidRDefault="005C4C90" w:rsidP="005C4C90">
      <w:pPr>
        <w:pStyle w:val="ListNumber2"/>
      </w:pPr>
      <w:r w:rsidRPr="00FC014E">
        <w:t xml:space="preserve">Future reviews of modelling should require </w:t>
      </w:r>
      <w:r w:rsidR="00636604" w:rsidRPr="00FC014E">
        <w:t>validation</w:t>
      </w:r>
      <w:r w:rsidRPr="00FC014E">
        <w:t xml:space="preserve"> of the existence</w:t>
      </w:r>
      <w:r w:rsidR="00636604" w:rsidRPr="00FC014E">
        <w:t xml:space="preserve"> and nature of faulting</w:t>
      </w:r>
      <w:r w:rsidR="006861D3" w:rsidRPr="00FC014E">
        <w:t xml:space="preserve"> in terms of their effect on groundwater and</w:t>
      </w:r>
      <w:r w:rsidR="00636604" w:rsidRPr="00FC014E">
        <w:t xml:space="preserve"> </w:t>
      </w:r>
      <w:r w:rsidRPr="00FC014E">
        <w:t>a sensitivity analysis of their impact on predictions</w:t>
      </w:r>
      <w:r w:rsidR="006861D3" w:rsidRPr="00FC014E">
        <w:t>.</w:t>
      </w:r>
      <w:r w:rsidR="005C03E8" w:rsidRPr="00FC014E">
        <w:t xml:space="preserve"> </w:t>
      </w:r>
    </w:p>
    <w:p w:rsidR="005C03E8" w:rsidRPr="00FC014E" w:rsidRDefault="00F9169C" w:rsidP="005C03E8">
      <w:pPr>
        <w:pStyle w:val="ListNumber2"/>
      </w:pPr>
      <w:r w:rsidRPr="00FC014E">
        <w:t>M</w:t>
      </w:r>
      <w:r w:rsidR="00E021D2" w:rsidRPr="00FC014E">
        <w:t xml:space="preserve">onitoring requirements </w:t>
      </w:r>
      <w:r w:rsidRPr="00FC014E">
        <w:t>should be</w:t>
      </w:r>
      <w:r w:rsidR="005C03E8" w:rsidRPr="00FC014E">
        <w:t xml:space="preserve"> targeted towards reducing the uncertainty of the predicted lateral drawdown extent. This will be particularly important when determining the proponent’s offsets</w:t>
      </w:r>
      <w:r w:rsidR="00E021D2" w:rsidRPr="00FC014E">
        <w:t xml:space="preserve"> requirements </w:t>
      </w:r>
      <w:r w:rsidR="005C03E8" w:rsidRPr="00FC014E">
        <w:t xml:space="preserve">for the Commonwealth Government’s Murray-Darling Basin Plan aquifers (the Oakey Creek Alluvial aquifer and the Main Range </w:t>
      </w:r>
      <w:proofErr w:type="spellStart"/>
      <w:r w:rsidR="005C03E8" w:rsidRPr="00FC014E">
        <w:t>Volcanics</w:t>
      </w:r>
      <w:proofErr w:type="spellEnd"/>
      <w:r w:rsidR="005C03E8" w:rsidRPr="00FC014E">
        <w:t xml:space="preserve"> aquifer)</w:t>
      </w:r>
      <w:r w:rsidR="00B25262" w:rsidRPr="00FC014E">
        <w:t xml:space="preserve"> and make</w:t>
      </w:r>
      <w:r w:rsidR="00B25262" w:rsidRPr="00FC014E">
        <w:noBreakHyphen/>
      </w:r>
      <w:proofErr w:type="spellStart"/>
      <w:r w:rsidR="005C03E8" w:rsidRPr="00FC014E">
        <w:t>good</w:t>
      </w:r>
      <w:proofErr w:type="spellEnd"/>
      <w:r w:rsidR="005C03E8" w:rsidRPr="00FC014E">
        <w:t xml:space="preserve"> requirements. </w:t>
      </w:r>
      <w:r w:rsidRPr="00FC014E">
        <w:t>A</w:t>
      </w:r>
      <w:r w:rsidR="005C03E8" w:rsidRPr="00FC014E">
        <w:t>dditional investigation</w:t>
      </w:r>
      <w:r w:rsidR="00845D68" w:rsidRPr="00FC014E">
        <w:t>s</w:t>
      </w:r>
      <w:r w:rsidR="005C03E8" w:rsidRPr="00FC014E">
        <w:t xml:space="preserve"> and modelling are required to reduce uncertainties in predictions of scale of impact to these aquifer systems.</w:t>
      </w:r>
    </w:p>
    <w:p w:rsidR="00F25A04" w:rsidRPr="00FC014E" w:rsidRDefault="002878A5" w:rsidP="007B5553">
      <w:pPr>
        <w:pStyle w:val="ListNumber"/>
      </w:pPr>
      <w:r w:rsidRPr="00FC014E">
        <w:t>In addition to the</w:t>
      </w:r>
      <w:r w:rsidR="00F25A04" w:rsidRPr="00FC014E">
        <w:t xml:space="preserve"> Coordinator-General’s Schedule 3, Condition 2</w:t>
      </w:r>
      <w:r w:rsidR="00E25E17" w:rsidRPr="00FC014E">
        <w:t xml:space="preserve"> regarding requirements for Oakey Creek Alluvial aquifer,</w:t>
      </w:r>
      <w:r w:rsidRPr="00FC014E">
        <w:t xml:space="preserve"> inclusion of other water users</w:t>
      </w:r>
      <w:r w:rsidR="00692568" w:rsidRPr="00FC014E">
        <w:t>’</w:t>
      </w:r>
      <w:r w:rsidRPr="00FC014E">
        <w:t xml:space="preserve"> take within the groundwater model is needed. Accurate representation of landholder water use within the model, appropriate model outputs and presentation would be required to facilitate</w:t>
      </w:r>
      <w:r w:rsidR="000B371E" w:rsidRPr="00FC014E">
        <w:t xml:space="preserve"> differentiation of mine</w:t>
      </w:r>
      <w:r w:rsidR="000B371E" w:rsidRPr="00FC014E">
        <w:noBreakHyphen/>
      </w:r>
      <w:proofErr w:type="spellStart"/>
      <w:r w:rsidR="00F25A04" w:rsidRPr="00FC014E">
        <w:t>induced</w:t>
      </w:r>
      <w:proofErr w:type="spellEnd"/>
      <w:r w:rsidR="00F25A04" w:rsidRPr="00FC014E">
        <w:t xml:space="preserve"> impacts from landholder impacts</w:t>
      </w:r>
      <w:r w:rsidR="001B6F3E" w:rsidRPr="00FC014E">
        <w:t xml:space="preserve"> for specific wells or areas</w:t>
      </w:r>
      <w:r w:rsidRPr="00FC014E">
        <w:t xml:space="preserve"> </w:t>
      </w:r>
      <w:r w:rsidR="00B25262" w:rsidRPr="00FC014E">
        <w:t>of importance to local landholders</w:t>
      </w:r>
      <w:r w:rsidRPr="00FC014E">
        <w:t xml:space="preserve">. </w:t>
      </w:r>
      <w:r w:rsidR="00F25A04" w:rsidRPr="00FC014E">
        <w:t xml:space="preserve"> </w:t>
      </w:r>
    </w:p>
    <w:p w:rsidR="00F25A04" w:rsidRPr="00FC014E" w:rsidRDefault="00A133F3" w:rsidP="007B5553">
      <w:pPr>
        <w:pStyle w:val="ListNumber"/>
      </w:pPr>
      <w:bookmarkStart w:id="3" w:name="OLE_LINK1"/>
      <w:bookmarkStart w:id="4" w:name="OLE_LINK2"/>
      <w:r w:rsidRPr="00FC014E">
        <w:t>Further to t</w:t>
      </w:r>
      <w:r w:rsidR="00F25A04" w:rsidRPr="00FC014E">
        <w:t xml:space="preserve">he </w:t>
      </w:r>
      <w:bookmarkEnd w:id="3"/>
      <w:bookmarkEnd w:id="4"/>
      <w:r w:rsidR="00F25A04" w:rsidRPr="00FC014E">
        <w:t>investigation into residual voids (draft Environmen</w:t>
      </w:r>
      <w:r w:rsidR="007D597D" w:rsidRPr="00FC014E">
        <w:t>tal Authority - Condition E20)</w:t>
      </w:r>
      <w:r w:rsidRPr="00FC014E">
        <w:t>,</w:t>
      </w:r>
      <w:r w:rsidR="007D597D" w:rsidRPr="00FC014E">
        <w:t xml:space="preserve"> </w:t>
      </w:r>
      <w:r w:rsidR="00F25A04" w:rsidRPr="00FC014E">
        <w:t>inclu</w:t>
      </w:r>
      <w:r w:rsidRPr="00FC014E">
        <w:t>sion of</w:t>
      </w:r>
      <w:r w:rsidR="00F25A04" w:rsidRPr="00FC014E">
        <w:t xml:space="preserve"> updated </w:t>
      </w:r>
      <w:r w:rsidR="009B7454" w:rsidRPr="00FC014E">
        <w:t xml:space="preserve">groundwater </w:t>
      </w:r>
      <w:r w:rsidR="00F25A04" w:rsidRPr="00FC014E">
        <w:t xml:space="preserve">modelling </w:t>
      </w:r>
      <w:r w:rsidR="009B7454" w:rsidRPr="00FC014E">
        <w:t>and subsequent analysis of</w:t>
      </w:r>
      <w:r w:rsidR="001B6F3E" w:rsidRPr="00FC014E">
        <w:t xml:space="preserve"> potential</w:t>
      </w:r>
      <w:r w:rsidR="009B7454" w:rsidRPr="00FC014E">
        <w:t xml:space="preserve"> impacts associated with</w:t>
      </w:r>
      <w:r w:rsidR="007D597D" w:rsidRPr="00FC014E">
        <w:t xml:space="preserve"> </w:t>
      </w:r>
      <w:r w:rsidR="00F25A04" w:rsidRPr="00FC014E">
        <w:t>the final voids</w:t>
      </w:r>
      <w:r w:rsidRPr="00FC014E">
        <w:t xml:space="preserve"> </w:t>
      </w:r>
      <w:r w:rsidR="00692568" w:rsidRPr="00FC014E">
        <w:t>is needed</w:t>
      </w:r>
      <w:r w:rsidR="00F25A04" w:rsidRPr="00FC014E">
        <w:t xml:space="preserve">. </w:t>
      </w:r>
      <w:r w:rsidR="00845D68" w:rsidRPr="00FC014E">
        <w:t>Such modelling and analysis</w:t>
      </w:r>
      <w:r w:rsidR="00F25A04" w:rsidRPr="00FC014E">
        <w:t xml:space="preserve"> </w:t>
      </w:r>
      <w:r w:rsidR="006D36D1" w:rsidRPr="00FC014E">
        <w:t xml:space="preserve">would </w:t>
      </w:r>
      <w:r w:rsidR="001B6F3E" w:rsidRPr="00FC014E">
        <w:t>result in</w:t>
      </w:r>
      <w:r w:rsidR="00F25A04" w:rsidRPr="00FC014E">
        <w:t xml:space="preserve"> </w:t>
      </w:r>
      <w:r w:rsidR="006D36D1" w:rsidRPr="00FC014E">
        <w:t>improved</w:t>
      </w:r>
      <w:r w:rsidR="00F25A04" w:rsidRPr="00FC014E">
        <w:t xml:space="preserve"> predictions of final water levels, changes in water quality with time, ongoing estimate</w:t>
      </w:r>
      <w:r w:rsidR="00360794" w:rsidRPr="00FC014E">
        <w:t>s</w:t>
      </w:r>
      <w:r w:rsidR="00F25A04" w:rsidRPr="00FC014E">
        <w:t xml:space="preserve"> of take via evaporation (and estimate</w:t>
      </w:r>
      <w:r w:rsidR="00360794" w:rsidRPr="00FC014E">
        <w:t>s</w:t>
      </w:r>
      <w:r w:rsidR="00F25A04" w:rsidRPr="00FC014E">
        <w:t xml:space="preserve"> of associated volumetric take from regulated alluvial and volcanic aquifers), and the scale and impact of seepage to surrounding aquifers.</w:t>
      </w:r>
      <w:r w:rsidR="001B6F3E" w:rsidRPr="00FC014E">
        <w:t xml:space="preserve"> This would inform subsequent adaptive management measures that may need to be implemented </w:t>
      </w:r>
      <w:r w:rsidR="00B25262" w:rsidRPr="00FC014E">
        <w:t>during</w:t>
      </w:r>
      <w:r w:rsidR="001B6F3E" w:rsidRPr="00FC014E">
        <w:t xml:space="preserve"> the </w:t>
      </w:r>
      <w:r w:rsidR="00B25262" w:rsidRPr="00FC014E">
        <w:t xml:space="preserve">proposed </w:t>
      </w:r>
      <w:r w:rsidR="001B6F3E" w:rsidRPr="00FC014E">
        <w:t>project.</w:t>
      </w:r>
    </w:p>
    <w:p w:rsidR="007B5553" w:rsidRPr="00FC014E" w:rsidRDefault="007B5553" w:rsidP="007B5553">
      <w:pPr>
        <w:pStyle w:val="ListNumber"/>
        <w:numPr>
          <w:ilvl w:val="0"/>
          <w:numId w:val="0"/>
        </w:numPr>
        <w:rPr>
          <w:i/>
        </w:rPr>
      </w:pPr>
      <w:r w:rsidRPr="00FC014E">
        <w:rPr>
          <w:i/>
        </w:rPr>
        <w:t>Surface water</w:t>
      </w:r>
    </w:p>
    <w:p w:rsidR="00D83C67" w:rsidRPr="00FC014E" w:rsidRDefault="00466AA1" w:rsidP="007B5553">
      <w:pPr>
        <w:pStyle w:val="ListNumber"/>
      </w:pPr>
      <w:r w:rsidRPr="00FC014E">
        <w:t xml:space="preserve">A large proportion of the water quality objectives for contaminants in surface waters and mine release waters </w:t>
      </w:r>
      <w:proofErr w:type="gramStart"/>
      <w:r w:rsidRPr="00FC014E">
        <w:t>has</w:t>
      </w:r>
      <w:proofErr w:type="gramEnd"/>
      <w:r w:rsidRPr="00FC014E">
        <w:t xml:space="preserve"> not yet been determined in conditions. Given the previously identified </w:t>
      </w:r>
      <w:proofErr w:type="spellStart"/>
      <w:r w:rsidRPr="00FC014E">
        <w:t>exceedances</w:t>
      </w:r>
      <w:proofErr w:type="spellEnd"/>
      <w:r w:rsidRPr="00FC014E">
        <w:t xml:space="preserve"> of pH, electrical conductivity as well as sulphate levels that are higher downstream of the existing mining operations</w:t>
      </w:r>
      <w:r w:rsidR="00C03771" w:rsidRPr="00FC014E">
        <w:t xml:space="preserve"> in Lagoon Creek</w:t>
      </w:r>
      <w:r w:rsidRPr="00FC014E">
        <w:t xml:space="preserve"> when compared to upstream</w:t>
      </w:r>
      <w:r w:rsidR="00C4621A" w:rsidRPr="00FC014E">
        <w:t xml:space="preserve">, water quality objectives </w:t>
      </w:r>
      <w:r w:rsidR="007E4F12" w:rsidRPr="00FC014E">
        <w:t>are</w:t>
      </w:r>
      <w:r w:rsidR="00C4621A" w:rsidRPr="00FC014E">
        <w:t xml:space="preserve"> needed to determine existing conditions and</w:t>
      </w:r>
      <w:r w:rsidR="00F11845" w:rsidRPr="00FC014E">
        <w:t xml:space="preserve"> to</w:t>
      </w:r>
      <w:r w:rsidR="00C4621A" w:rsidRPr="00FC014E">
        <w:t xml:space="preserve"> </w:t>
      </w:r>
      <w:r w:rsidR="007E4F12" w:rsidRPr="00FC014E">
        <w:t>allow identification of</w:t>
      </w:r>
      <w:r w:rsidR="00C4621A" w:rsidRPr="00FC014E">
        <w:t xml:space="preserve"> </w:t>
      </w:r>
      <w:r w:rsidR="007E4F12" w:rsidRPr="00FC014E">
        <w:t xml:space="preserve">surface water quality </w:t>
      </w:r>
      <w:r w:rsidR="00C4621A" w:rsidRPr="00FC014E">
        <w:t>impacts during the proposed project.</w:t>
      </w:r>
      <w:r w:rsidR="007E4F12" w:rsidRPr="00FC014E">
        <w:t xml:space="preserve"> </w:t>
      </w:r>
    </w:p>
    <w:p w:rsidR="00F25A04" w:rsidRPr="00FC014E" w:rsidRDefault="00360794" w:rsidP="007B5553">
      <w:pPr>
        <w:pStyle w:val="ListNumber"/>
      </w:pPr>
      <w:bookmarkStart w:id="5" w:name="_Ref437440385"/>
      <w:r w:rsidRPr="00FC014E">
        <w:t>Water quality objectives</w:t>
      </w:r>
      <w:r w:rsidR="007E4F12" w:rsidRPr="00FC014E">
        <w:t xml:space="preserve"> </w:t>
      </w:r>
      <w:r w:rsidR="006861D3" w:rsidRPr="00FC014E">
        <w:t xml:space="preserve">should </w:t>
      </w:r>
      <w:r w:rsidRPr="00FC014E">
        <w:t>be informed by monitoring data gathered from the existing mine</w:t>
      </w:r>
      <w:r w:rsidR="00F25A04" w:rsidRPr="00FC014E">
        <w:t>.</w:t>
      </w:r>
      <w:r w:rsidR="00D83C67" w:rsidRPr="00FC014E">
        <w:t xml:space="preserve"> </w:t>
      </w:r>
      <w:r w:rsidR="007C3A72" w:rsidRPr="00FC014E">
        <w:t xml:space="preserve">While </w:t>
      </w:r>
      <w:r w:rsidRPr="00FC014E">
        <w:t>p</w:t>
      </w:r>
      <w:r w:rsidR="00D83C67" w:rsidRPr="00FC014E">
        <w:t>reference would be</w:t>
      </w:r>
      <w:r w:rsidR="00B25262" w:rsidRPr="00FC014E">
        <w:t xml:space="preserve"> to use local data or monitoring information, </w:t>
      </w:r>
      <w:r w:rsidR="007C3A72" w:rsidRPr="00FC014E">
        <w:t>the</w:t>
      </w:r>
      <w:r w:rsidR="00B25262" w:rsidRPr="00FC014E">
        <w:t xml:space="preserve"> use of </w:t>
      </w:r>
      <w:r w:rsidR="00805D89" w:rsidRPr="00FC014E">
        <w:fldChar w:fldCharType="begin"/>
      </w:r>
      <w:r w:rsidR="003F7D24" w:rsidRPr="00FC014E">
        <w:instrText xml:space="preserve"> ADDIN EN.CITE &lt;EndNote&gt;&lt;Cite AuthorYear="1"&gt;&lt;Author&gt;ANZECC/ARMCANZ&lt;/Author&gt;&lt;Year&gt;2000&lt;/Year&gt;&lt;RecNum&gt;32&lt;/RecNum&gt;&lt;DisplayText&gt;ANZECC/ARMCANZ (2000)&lt;/DisplayText&gt;&lt;record&gt;&lt;rec-number&gt;32&lt;/rec-number&gt;&lt;foreign-keys&gt;&lt;key app="EN" db-id="xz5vrd20mz9trjezvzzvf9fhsxvzatfrr59v"&gt;32&lt;/key&gt;&lt;/foreign-keys&gt;&lt;ref-type name="Report"&gt;27&lt;/ref-type&gt;&lt;contributors&gt;&lt;authors&gt;&lt;author&gt;ANZECC/ARMCANZ&lt;/author&gt;&lt;/authors&gt;&lt;/contributors&gt;&lt;titles&gt;&lt;title&gt;Australian Guidelines for Water Quality Monitoring and Reporting&lt;/title&gt;&lt;secondary-title&gt;National Water Quality Management Strategy (NWQMS)&lt;/secondary-title&gt;&lt;/titles&gt;&lt;number&gt;Report&lt;/number&gt;&lt;num-vols&gt;7&lt;/num-vols&gt;&lt;dates&gt;&lt;year&gt;2000&lt;/year&gt;&lt;/dates&gt;&lt;pub-location&gt;Canberra&lt;/pub-location&gt;&lt;publisher&gt;Australian and New Zealand Environment and Conservation Council and Agriculture and Resource Management Council of Australia and New Zealand.&lt;/publisher&gt;&lt;urls&gt;&lt;/urls&gt;&lt;/record&gt;&lt;/Cite&gt;&lt;/EndNote&gt;</w:instrText>
      </w:r>
      <w:r w:rsidR="00805D89" w:rsidRPr="00FC014E">
        <w:fldChar w:fldCharType="separate"/>
      </w:r>
      <w:hyperlink w:anchor="_ENREF_1" w:tooltip="ANZECC/ARMCANZ, 2000 #32" w:history="1">
        <w:r w:rsidR="00DB0BB0" w:rsidRPr="00FC014E">
          <w:rPr>
            <w:noProof/>
          </w:rPr>
          <w:t>ANZECC/ARMCANZ (2000</w:t>
        </w:r>
      </w:hyperlink>
      <w:r w:rsidR="003F7D24" w:rsidRPr="00FC014E">
        <w:rPr>
          <w:noProof/>
        </w:rPr>
        <w:t>)</w:t>
      </w:r>
      <w:r w:rsidR="00805D89" w:rsidRPr="00FC014E">
        <w:fldChar w:fldCharType="end"/>
      </w:r>
      <w:r w:rsidR="00B25262" w:rsidRPr="00FC014E">
        <w:t xml:space="preserve"> guideline values would be appropriate while baseline data is being gathered.</w:t>
      </w:r>
      <w:r w:rsidRPr="00FC014E">
        <w:t xml:space="preserve"> The Queensland Monitoring and Sampling Manual 2009 </w:t>
      </w:r>
      <w:r w:rsidR="00805D89" w:rsidRPr="00FC014E">
        <w:fldChar w:fldCharType="begin"/>
      </w:r>
      <w:r w:rsidR="00DB0BB0" w:rsidRPr="00FC014E">
        <w:instrText xml:space="preserve"> ADDIN EN.CITE &lt;EndNote&gt;&lt;Cite&gt;&lt;Author&gt;DEHP&lt;/Author&gt;&lt;Year&gt;2013&lt;/Year&gt;&lt;RecNum&gt;1804&lt;/RecNum&gt;&lt;DisplayText&gt;(DEHP, 2013)&lt;/DisplayText&gt;&lt;record&gt;&lt;rec-number&gt;1804&lt;/rec-number&gt;&lt;foreign-keys&gt;&lt;key app="EN" db-id="xz5vrd20mz9trjezvzzvf9fhsxvzatfrr59v"&gt;1804&lt;/key&gt;&lt;/foreign-keys&gt;&lt;ref-type name="Web Page"&gt;12&lt;/ref-type&gt;&lt;contributors&gt;&lt;authors&gt;&lt;author&gt;DEHP&lt;/author&gt;&lt;/authors&gt;&lt;tertiary-authors&gt;&lt;author&gt;State of Queensland&lt;/author&gt;&lt;/tertiary-authors&gt;&lt;subsidiary-authors&gt;&lt;author&gt;Department Environment Heritage Protection&lt;/author&gt;&lt;/subsidiary-authors&gt;&lt;/contributors&gt;&lt;titles&gt;&lt;title&gt;Monitoring and Sampling Manual 2009 (Version 2)&lt;/title&gt;&lt;/titles&gt;&lt;dates&gt;&lt;year&gt;2013&lt;/year&gt;&lt;/dates&gt;&lt;pub-location&gt;Brisbane&lt;/pub-location&gt;&lt;publisher&gt;State of Queensland&lt;/publisher&gt;&lt;urls&gt;&lt;related-urls&gt;&lt;url&gt;https://www.ehp.qld.gov.au/water/pdf/monitoring-man-2009-v2.pdf&lt;/url&gt;&lt;/related-urls&gt;&lt;/urls&gt;&lt;/record&gt;&lt;/Cite&gt;&lt;/EndNote&gt;</w:instrText>
      </w:r>
      <w:r w:rsidR="00805D89" w:rsidRPr="00FC014E">
        <w:fldChar w:fldCharType="separate"/>
      </w:r>
      <w:r w:rsidR="00DB0BB0" w:rsidRPr="00FC014E">
        <w:rPr>
          <w:noProof/>
        </w:rPr>
        <w:t>(</w:t>
      </w:r>
      <w:hyperlink w:anchor="_ENREF_2" w:tooltip="DEHP, 2013 #1804" w:history="1">
        <w:r w:rsidR="00DB0BB0" w:rsidRPr="00FC014E">
          <w:rPr>
            <w:noProof/>
          </w:rPr>
          <w:t>DEHP, 2013</w:t>
        </w:r>
      </w:hyperlink>
      <w:r w:rsidR="00DB0BB0" w:rsidRPr="00FC014E">
        <w:rPr>
          <w:noProof/>
        </w:rPr>
        <w:t>)</w:t>
      </w:r>
      <w:r w:rsidR="00805D89" w:rsidRPr="00FC014E">
        <w:fldChar w:fldCharType="end"/>
      </w:r>
      <w:r w:rsidR="00FC2565" w:rsidRPr="00FC014E">
        <w:t xml:space="preserve"> </w:t>
      </w:r>
      <w:r w:rsidR="007C3A72" w:rsidRPr="00FC014E">
        <w:t>presents details on the</w:t>
      </w:r>
      <w:r w:rsidRPr="00FC014E">
        <w:t xml:space="preserve"> design and implementation of </w:t>
      </w:r>
      <w:r w:rsidR="006861D3" w:rsidRPr="00FC014E">
        <w:t>baseline</w:t>
      </w:r>
      <w:r w:rsidR="007C3A72" w:rsidRPr="00FC014E">
        <w:t xml:space="preserve"> sampling techniques,</w:t>
      </w:r>
      <w:r w:rsidRPr="00FC014E">
        <w:t xml:space="preserve"> especially in ephemeral rivers </w:t>
      </w:r>
      <w:r w:rsidR="00F11845" w:rsidRPr="00FC014E">
        <w:t xml:space="preserve">such as </w:t>
      </w:r>
      <w:r w:rsidRPr="00FC014E">
        <w:t>Lagoon Creek</w:t>
      </w:r>
      <w:r w:rsidR="00621103" w:rsidRPr="00FC014E">
        <w:t>.</w:t>
      </w:r>
      <w:bookmarkEnd w:id="5"/>
    </w:p>
    <w:p w:rsidR="00F25A04" w:rsidRPr="00FC014E" w:rsidRDefault="00F25A04" w:rsidP="007B5553">
      <w:pPr>
        <w:pStyle w:val="ListNumber"/>
      </w:pPr>
      <w:bookmarkStart w:id="6" w:name="_Ref436729543"/>
      <w:r w:rsidRPr="00FC014E">
        <w:t xml:space="preserve">A range of </w:t>
      </w:r>
      <w:r w:rsidR="005E7792" w:rsidRPr="00FC014E">
        <w:t>surface water quality variables</w:t>
      </w:r>
      <w:r w:rsidRPr="00FC014E">
        <w:t xml:space="preserve">, including </w:t>
      </w:r>
      <w:r w:rsidR="005E7792" w:rsidRPr="00FC014E">
        <w:t xml:space="preserve">dissolved oxygen </w:t>
      </w:r>
      <w:r w:rsidR="0024761E" w:rsidRPr="00FC014E">
        <w:t xml:space="preserve">and </w:t>
      </w:r>
      <w:r w:rsidR="005E7792" w:rsidRPr="00FC014E">
        <w:t xml:space="preserve">contaminant </w:t>
      </w:r>
      <w:r w:rsidRPr="00FC014E">
        <w:t xml:space="preserve">metals, </w:t>
      </w:r>
      <w:r w:rsidR="00A133F3" w:rsidRPr="00FC014E">
        <w:t xml:space="preserve">should be </w:t>
      </w:r>
      <w:r w:rsidR="004A7812" w:rsidRPr="00FC014E">
        <w:t xml:space="preserve">included in conditions that detail </w:t>
      </w:r>
      <w:r w:rsidRPr="00FC014E">
        <w:t xml:space="preserve">the monitoring </w:t>
      </w:r>
      <w:r w:rsidR="004A7812" w:rsidRPr="00FC014E">
        <w:t>requirements</w:t>
      </w:r>
      <w:r w:rsidRPr="00FC014E">
        <w:t xml:space="preserve"> for surface and discharge</w:t>
      </w:r>
      <w:r w:rsidR="004A7812" w:rsidRPr="00FC014E">
        <w:t>d</w:t>
      </w:r>
      <w:r w:rsidRPr="00FC014E">
        <w:t xml:space="preserve"> waters. The IESC</w:t>
      </w:r>
      <w:r w:rsidR="000F15CB" w:rsidRPr="00FC014E">
        <w:t>’s April 2014</w:t>
      </w:r>
      <w:r w:rsidRPr="00FC014E">
        <w:t xml:space="preserve"> advice identified contaminants that were naturally elevated (i.e. copper, manganese and aluminium) and would be mobilised into surface water during flow events.</w:t>
      </w:r>
      <w:bookmarkEnd w:id="6"/>
      <w:r w:rsidRPr="00FC014E">
        <w:t xml:space="preserve"> </w:t>
      </w:r>
    </w:p>
    <w:p w:rsidR="00F25A04" w:rsidRPr="00FC014E" w:rsidRDefault="00AB0BCD" w:rsidP="007B5553">
      <w:pPr>
        <w:pStyle w:val="ListNumber"/>
      </w:pPr>
      <w:r w:rsidRPr="00FC014E">
        <w:lastRenderedPageBreak/>
        <w:t>Further to the currently proposed state conditions, and a</w:t>
      </w:r>
      <w:r w:rsidR="005E7792" w:rsidRPr="00FC014E">
        <w:t>s identified in the IESC</w:t>
      </w:r>
      <w:r w:rsidR="000F15CB" w:rsidRPr="00FC014E">
        <w:t>’s April 2014</w:t>
      </w:r>
      <w:r w:rsidR="005E7792" w:rsidRPr="00FC014E">
        <w:t xml:space="preserve"> advice, existing surface water quality and flow monitors</w:t>
      </w:r>
      <w:r w:rsidRPr="00FC014E">
        <w:t xml:space="preserve"> along Lagoon Creek</w:t>
      </w:r>
      <w:r w:rsidR="005E7792" w:rsidRPr="00FC014E">
        <w:t xml:space="preserve"> should be upgraded</w:t>
      </w:r>
      <w:r w:rsidRPr="00FC014E">
        <w:t xml:space="preserve"> </w:t>
      </w:r>
      <w:r w:rsidR="005E7792" w:rsidRPr="00FC014E">
        <w:t xml:space="preserve">to </w:t>
      </w:r>
      <w:r w:rsidRPr="00FC014E">
        <w:t xml:space="preserve">facilitate continuous </w:t>
      </w:r>
      <w:r w:rsidR="005E7792" w:rsidRPr="00FC014E">
        <w:t>monitor</w:t>
      </w:r>
      <w:r w:rsidRPr="00FC014E">
        <w:t>ing during discharges and natural flow events.</w:t>
      </w:r>
    </w:p>
    <w:p w:rsidR="00621103" w:rsidRPr="00FC014E" w:rsidRDefault="00621103" w:rsidP="007B5553">
      <w:pPr>
        <w:pStyle w:val="ListNumber"/>
      </w:pPr>
      <w:r w:rsidRPr="00FC014E">
        <w:t xml:space="preserve">Schedule C of the draft Environment Authority sets out the monitoring requirements for environmental dams. </w:t>
      </w:r>
      <w:r w:rsidR="00466AA1" w:rsidRPr="00FC014E">
        <w:t>Further to these conditions, consideration should be given to setting regular water quality monitoring requirements including frequency of monitoring and specific parameters to be monitored (e.g. physicochemical, nutrients and contaminants)</w:t>
      </w:r>
      <w:r w:rsidRPr="00FC014E">
        <w:t xml:space="preserve"> within hazardous waste and environ</w:t>
      </w:r>
      <w:r w:rsidR="00F172DA" w:rsidRPr="00FC014E">
        <w:t>mental</w:t>
      </w:r>
      <w:r w:rsidR="00811066" w:rsidRPr="00FC014E">
        <w:t xml:space="preserve"> dams</w:t>
      </w:r>
      <w:r w:rsidR="009A6638" w:rsidRPr="00FC014E">
        <w:t xml:space="preserve">. This information </w:t>
      </w:r>
      <w:r w:rsidR="00811066" w:rsidRPr="00FC014E">
        <w:t>sh</w:t>
      </w:r>
      <w:r w:rsidR="0097461C" w:rsidRPr="00FC014E">
        <w:t xml:space="preserve">ould </w:t>
      </w:r>
      <w:r w:rsidR="009A6638" w:rsidRPr="00FC014E">
        <w:t>be used</w:t>
      </w:r>
      <w:r w:rsidR="00F172DA" w:rsidRPr="00FC014E">
        <w:t xml:space="preserve"> to </w:t>
      </w:r>
      <w:r w:rsidR="0097461C" w:rsidRPr="00FC014E">
        <w:t>inform options for improving water quality</w:t>
      </w:r>
      <w:r w:rsidR="00F172DA" w:rsidRPr="00FC014E">
        <w:t xml:space="preserve"> </w:t>
      </w:r>
      <w:r w:rsidR="009A6638" w:rsidRPr="00FC014E">
        <w:t>prior to release.</w:t>
      </w:r>
    </w:p>
    <w:p w:rsidR="007B5553" w:rsidRPr="00FC014E" w:rsidRDefault="007B5553" w:rsidP="007B5553">
      <w:pPr>
        <w:pStyle w:val="ListNumber"/>
        <w:numPr>
          <w:ilvl w:val="0"/>
          <w:numId w:val="0"/>
        </w:numPr>
        <w:rPr>
          <w:i/>
        </w:rPr>
      </w:pPr>
      <w:r w:rsidRPr="00FC014E">
        <w:rPr>
          <w:i/>
        </w:rPr>
        <w:t>Groundwater dependent ecosystems</w:t>
      </w:r>
    </w:p>
    <w:p w:rsidR="007203C3" w:rsidRPr="00FC014E" w:rsidRDefault="009F0375" w:rsidP="004A7812">
      <w:pPr>
        <w:pStyle w:val="ListNumber"/>
      </w:pPr>
      <w:bookmarkStart w:id="7" w:name="_Ref436729505"/>
      <w:r w:rsidRPr="00FC014E">
        <w:t>V</w:t>
      </w:r>
      <w:r w:rsidR="00AB0BCD" w:rsidRPr="00FC014E">
        <w:t xml:space="preserve">egetation mapping and </w:t>
      </w:r>
      <w:r w:rsidR="00694679" w:rsidRPr="00FC014E">
        <w:t xml:space="preserve">identification has largely only occurred within the </w:t>
      </w:r>
      <w:r w:rsidR="00C07043" w:rsidRPr="00FC014E">
        <w:t>project area</w:t>
      </w:r>
      <w:r w:rsidRPr="00FC014E">
        <w:t>.</w:t>
      </w:r>
      <w:r w:rsidR="00C07043" w:rsidRPr="00FC014E">
        <w:t xml:space="preserve"> </w:t>
      </w:r>
      <w:r w:rsidRPr="00FC014E">
        <w:t>I</w:t>
      </w:r>
      <w:r w:rsidR="00466AA1" w:rsidRPr="00FC014E">
        <w:t>dentification of impacts to vegetation GDEs (including EPBC Act-listed endangered ecological communities containing Brigalow) caused by groundwater drawdown within the full extent of the proposed project’s resultant impact (including outside of the mining lease area) is needed to support the existing proposed offset and monitoring conditions.</w:t>
      </w:r>
      <w:bookmarkEnd w:id="7"/>
    </w:p>
    <w:tbl>
      <w:tblPr>
        <w:tblW w:w="9968" w:type="dxa"/>
        <w:tblBorders>
          <w:insideH w:val="single" w:sz="4" w:space="0" w:color="auto"/>
        </w:tblBorders>
        <w:tblCellMar>
          <w:top w:w="113" w:type="dxa"/>
          <w:bottom w:w="113" w:type="dxa"/>
        </w:tblCellMar>
        <w:tblLook w:val="01E0"/>
      </w:tblPr>
      <w:tblGrid>
        <w:gridCol w:w="1809"/>
        <w:gridCol w:w="8159"/>
      </w:tblGrid>
      <w:tr w:rsidR="007203C3" w:rsidRPr="00FC014E" w:rsidTr="00B1520C">
        <w:trPr>
          <w:trHeight w:val="19"/>
        </w:trPr>
        <w:tc>
          <w:tcPr>
            <w:tcW w:w="1809" w:type="dxa"/>
            <w:tcBorders>
              <w:top w:val="single" w:sz="4" w:space="0" w:color="auto"/>
              <w:bottom w:val="single" w:sz="4" w:space="0" w:color="auto"/>
            </w:tcBorders>
          </w:tcPr>
          <w:p w:rsidR="007203C3" w:rsidRPr="00FC014E" w:rsidRDefault="007203C3" w:rsidP="00D622B9">
            <w:pPr>
              <w:pStyle w:val="Heading6"/>
            </w:pPr>
            <w:r w:rsidRPr="00FC014E">
              <w:t>Date of advice</w:t>
            </w:r>
          </w:p>
        </w:tc>
        <w:tc>
          <w:tcPr>
            <w:tcW w:w="8159" w:type="dxa"/>
            <w:tcBorders>
              <w:top w:val="single" w:sz="4" w:space="0" w:color="auto"/>
              <w:bottom w:val="single" w:sz="4" w:space="0" w:color="auto"/>
            </w:tcBorders>
          </w:tcPr>
          <w:p w:rsidR="007203C3" w:rsidRPr="00FC014E" w:rsidRDefault="00466AA1" w:rsidP="001E3313">
            <w:pPr>
              <w:pStyle w:val="Tabletext"/>
            </w:pPr>
            <w:r w:rsidRPr="00FC014E">
              <w:t xml:space="preserve">10 </w:t>
            </w:r>
            <w:r w:rsidR="001E3313" w:rsidRPr="00FC014E">
              <w:t>December</w:t>
            </w:r>
            <w:r w:rsidR="007203C3" w:rsidRPr="00FC014E">
              <w:t xml:space="preserve"> 201</w:t>
            </w:r>
            <w:r w:rsidR="001E3313" w:rsidRPr="00FC014E">
              <w:t>5</w:t>
            </w:r>
          </w:p>
        </w:tc>
      </w:tr>
      <w:tr w:rsidR="007203C3" w:rsidRPr="00FC014E" w:rsidTr="00B1520C">
        <w:trPr>
          <w:trHeight w:val="161"/>
        </w:trPr>
        <w:tc>
          <w:tcPr>
            <w:tcW w:w="1809" w:type="dxa"/>
            <w:tcBorders>
              <w:top w:val="single" w:sz="4" w:space="0" w:color="auto"/>
              <w:bottom w:val="single" w:sz="4" w:space="0" w:color="auto"/>
            </w:tcBorders>
          </w:tcPr>
          <w:p w:rsidR="007203C3" w:rsidRPr="00FC014E" w:rsidRDefault="007203C3" w:rsidP="00D622B9">
            <w:pPr>
              <w:pStyle w:val="Heading6"/>
            </w:pPr>
            <w:r w:rsidRPr="00FC014E">
              <w:t xml:space="preserve">Source documentation available to the </w:t>
            </w:r>
            <w:r w:rsidR="00A83DF5" w:rsidRPr="00FC014E">
              <w:t>IESC</w:t>
            </w:r>
            <w:r w:rsidRPr="00FC014E">
              <w:t xml:space="preserve"> in the formulation of this advice</w:t>
            </w:r>
          </w:p>
        </w:tc>
        <w:tc>
          <w:tcPr>
            <w:tcW w:w="8159" w:type="dxa"/>
            <w:tcBorders>
              <w:top w:val="single" w:sz="4" w:space="0" w:color="auto"/>
              <w:bottom w:val="single" w:sz="4" w:space="0" w:color="auto"/>
            </w:tcBorders>
          </w:tcPr>
          <w:p w:rsidR="00AB6622" w:rsidRPr="00FC014E" w:rsidRDefault="00AB6622" w:rsidP="001E056A">
            <w:pPr>
              <w:pStyle w:val="Tabletext"/>
              <w:spacing w:after="120" w:line="240" w:lineRule="auto"/>
              <w:ind w:left="720" w:hanging="720"/>
            </w:pPr>
            <w:r w:rsidRPr="00FC014E">
              <w:t>Australian Groundwater and Environmental Consultants (AGE)</w:t>
            </w:r>
            <w:r w:rsidR="00230D81">
              <w:t>,</w:t>
            </w:r>
            <w:r w:rsidRPr="00FC014E">
              <w:t xml:space="preserve"> 2014. </w:t>
            </w:r>
            <w:r w:rsidRPr="00AC4812">
              <w:rPr>
                <w:i/>
              </w:rPr>
              <w:t xml:space="preserve">Groundwater Model </w:t>
            </w:r>
            <w:r w:rsidR="00421032" w:rsidRPr="00AC4812">
              <w:rPr>
                <w:i/>
              </w:rPr>
              <w:t xml:space="preserve">Peer </w:t>
            </w:r>
            <w:r w:rsidRPr="00AC4812">
              <w:rPr>
                <w:i/>
              </w:rPr>
              <w:t>Review New Acland Mine – Stage 3.</w:t>
            </w:r>
            <w:r w:rsidRPr="00FC014E">
              <w:t xml:space="preserve"> Report prepared for New Acland Coal Pty Ltd. June 2014</w:t>
            </w:r>
            <w:r w:rsidR="002C3E3E" w:rsidRPr="00FC014E">
              <w:t>. (Appendix C of Appendix N, A</w:t>
            </w:r>
            <w:r w:rsidR="00254B93" w:rsidRPr="00FC014E">
              <w:t>EIS)</w:t>
            </w:r>
          </w:p>
          <w:p w:rsidR="0073746A" w:rsidRPr="00FC014E" w:rsidRDefault="0073746A" w:rsidP="001E056A">
            <w:pPr>
              <w:pStyle w:val="Tabletext"/>
              <w:spacing w:after="120" w:line="240" w:lineRule="auto"/>
              <w:ind w:left="720" w:hanging="720"/>
            </w:pPr>
            <w:r w:rsidRPr="00FC014E">
              <w:t>New Acland Coal</w:t>
            </w:r>
            <w:r w:rsidR="00230D81">
              <w:t>,</w:t>
            </w:r>
            <w:r w:rsidRPr="00FC014E">
              <w:t xml:space="preserve"> 2014a. New Acland Coal Stage 3 Project Environmental Assessment </w:t>
            </w:r>
            <w:r w:rsidRPr="00FC014E">
              <w:rPr>
                <w:noProof/>
              </w:rPr>
              <w:t>documents</w:t>
            </w:r>
            <w:r w:rsidRPr="00FC014E">
              <w:t xml:space="preserve">, EIS. January 2014. </w:t>
            </w:r>
          </w:p>
          <w:p w:rsidR="007203C3" w:rsidRPr="00FC014E" w:rsidRDefault="0073746A" w:rsidP="001E056A">
            <w:pPr>
              <w:pStyle w:val="Tabletext"/>
              <w:spacing w:after="120" w:line="240" w:lineRule="auto"/>
              <w:ind w:left="720" w:hanging="720"/>
            </w:pPr>
            <w:r w:rsidRPr="00FC014E">
              <w:t>New Acland Coal</w:t>
            </w:r>
            <w:r w:rsidR="00230D81">
              <w:t>,</w:t>
            </w:r>
            <w:r w:rsidRPr="00FC014E">
              <w:t xml:space="preserve"> 2014b. New Acland Coal Stage 3 Project Environmental Assessment </w:t>
            </w:r>
            <w:r w:rsidRPr="00FC014E">
              <w:rPr>
                <w:noProof/>
              </w:rPr>
              <w:t>documents</w:t>
            </w:r>
            <w:r w:rsidRPr="00FC014E">
              <w:t xml:space="preserve">, Additional </w:t>
            </w:r>
            <w:r w:rsidR="002C3E3E" w:rsidRPr="00FC014E">
              <w:t>i</w:t>
            </w:r>
            <w:r w:rsidRPr="00FC014E">
              <w:t xml:space="preserve">nformation to the EIS. August 2014. </w:t>
            </w:r>
          </w:p>
          <w:p w:rsidR="001E3313" w:rsidRPr="00FC014E" w:rsidRDefault="001E3313" w:rsidP="001E056A">
            <w:pPr>
              <w:pStyle w:val="Tabletext"/>
              <w:spacing w:after="120" w:line="240" w:lineRule="auto"/>
              <w:ind w:left="720" w:hanging="720"/>
            </w:pPr>
            <w:r w:rsidRPr="00FC014E">
              <w:t>Department of Environment and Heritage Protection</w:t>
            </w:r>
            <w:r w:rsidR="00230D81">
              <w:t>,</w:t>
            </w:r>
            <w:r w:rsidRPr="00FC014E">
              <w:t xml:space="preserve"> 2015. </w:t>
            </w:r>
            <w:r w:rsidR="003E1C4A" w:rsidRPr="00AC4812">
              <w:rPr>
                <w:i/>
              </w:rPr>
              <w:t xml:space="preserve">Draft </w:t>
            </w:r>
            <w:r w:rsidRPr="00AC4812">
              <w:rPr>
                <w:i/>
              </w:rPr>
              <w:t xml:space="preserve">Environmental </w:t>
            </w:r>
            <w:r w:rsidR="003E1C4A" w:rsidRPr="00AC4812">
              <w:rPr>
                <w:i/>
              </w:rPr>
              <w:t xml:space="preserve">Authority </w:t>
            </w:r>
            <w:r w:rsidRPr="00AC4812">
              <w:rPr>
                <w:i/>
              </w:rPr>
              <w:t>– New Acland Coal Mine</w:t>
            </w:r>
            <w:r w:rsidRPr="00FC014E">
              <w:t xml:space="preserve">. </w:t>
            </w:r>
            <w:r w:rsidR="00537037" w:rsidRPr="00FC014E">
              <w:t xml:space="preserve">State of Queensland. </w:t>
            </w:r>
            <w:r w:rsidRPr="00FC014E">
              <w:t>14 July 2015.</w:t>
            </w:r>
          </w:p>
          <w:p w:rsidR="001E3313" w:rsidRPr="00FC014E" w:rsidRDefault="0073746A" w:rsidP="00230D81">
            <w:pPr>
              <w:pStyle w:val="Tabletext"/>
              <w:spacing w:after="120" w:line="240" w:lineRule="auto"/>
              <w:ind w:left="720" w:hanging="720"/>
              <w:rPr>
                <w:szCs w:val="22"/>
              </w:rPr>
            </w:pPr>
            <w:r w:rsidRPr="00FC014E">
              <w:t>Department of State Development, Infrastructure and Planning</w:t>
            </w:r>
            <w:r w:rsidR="00230D81">
              <w:t>,</w:t>
            </w:r>
            <w:r w:rsidRPr="00FC014E">
              <w:t xml:space="preserve"> 2014. </w:t>
            </w:r>
            <w:r w:rsidRPr="00AC4812">
              <w:rPr>
                <w:i/>
              </w:rPr>
              <w:t>New Acland Coal Mine Stage 3 project. Coordinator-General’s evaluation report on the environmental impact statement.</w:t>
            </w:r>
            <w:r w:rsidRPr="00FC014E">
              <w:t xml:space="preserve"> </w:t>
            </w:r>
            <w:r w:rsidR="00537037" w:rsidRPr="00FC014E">
              <w:t xml:space="preserve">State of Queensland. </w:t>
            </w:r>
            <w:r w:rsidRPr="00FC014E">
              <w:t>December 2014</w:t>
            </w:r>
            <w:r w:rsidR="001E3313" w:rsidRPr="00FC014E">
              <w:t>.</w:t>
            </w:r>
          </w:p>
        </w:tc>
      </w:tr>
      <w:tr w:rsidR="007203C3" w:rsidRPr="00304CA9" w:rsidTr="00B1520C">
        <w:trPr>
          <w:trHeight w:val="19"/>
        </w:trPr>
        <w:tc>
          <w:tcPr>
            <w:tcW w:w="1809" w:type="dxa"/>
            <w:tcBorders>
              <w:top w:val="single" w:sz="4" w:space="0" w:color="auto"/>
              <w:bottom w:val="single" w:sz="4" w:space="0" w:color="auto"/>
            </w:tcBorders>
          </w:tcPr>
          <w:p w:rsidR="007203C3" w:rsidRPr="00FC014E" w:rsidRDefault="007203C3" w:rsidP="00D622B9">
            <w:pPr>
              <w:pStyle w:val="Heading6"/>
            </w:pPr>
            <w:r w:rsidRPr="00FC014E">
              <w:t xml:space="preserve">References cited within the </w:t>
            </w:r>
            <w:r w:rsidR="00A83DF5" w:rsidRPr="00FC014E">
              <w:t>IESC</w:t>
            </w:r>
            <w:r w:rsidRPr="00FC014E">
              <w:t>’s advice</w:t>
            </w:r>
          </w:p>
        </w:tc>
        <w:tc>
          <w:tcPr>
            <w:tcW w:w="8159" w:type="dxa"/>
            <w:tcBorders>
              <w:top w:val="single" w:sz="4" w:space="0" w:color="auto"/>
              <w:bottom w:val="single" w:sz="4" w:space="0" w:color="auto"/>
            </w:tcBorders>
          </w:tcPr>
          <w:p w:rsidR="00DB0BB0" w:rsidRPr="00FC014E" w:rsidRDefault="00805D89" w:rsidP="005E15E2">
            <w:pPr>
              <w:pStyle w:val="Tabletext"/>
              <w:spacing w:after="120" w:line="240" w:lineRule="auto"/>
              <w:ind w:left="720" w:hanging="720"/>
              <w:rPr>
                <w:noProof/>
              </w:rPr>
            </w:pPr>
            <w:r w:rsidRPr="00FC014E">
              <w:fldChar w:fldCharType="begin"/>
            </w:r>
            <w:r w:rsidR="00F657D7" w:rsidRPr="00FC014E">
              <w:instrText xml:space="preserve"> ADDIN EN.REFLIST </w:instrText>
            </w:r>
            <w:r w:rsidRPr="00FC014E">
              <w:fldChar w:fldCharType="separate"/>
            </w:r>
            <w:bookmarkStart w:id="8" w:name="_ENREF_1"/>
            <w:r w:rsidR="00DB0BB0" w:rsidRPr="00FC014E">
              <w:rPr>
                <w:noProof/>
              </w:rPr>
              <w:t xml:space="preserve">ANZECC/ARMCANZ, 2000. Australian Guidelines for Water Quality Monitoring and Reporting. </w:t>
            </w:r>
            <w:r w:rsidR="00DB0BB0" w:rsidRPr="00FC014E">
              <w:rPr>
                <w:i/>
                <w:noProof/>
              </w:rPr>
              <w:t>National Water Quality Management Strategy (NWQMS).</w:t>
            </w:r>
            <w:r w:rsidR="00DB0BB0" w:rsidRPr="00FC014E">
              <w:rPr>
                <w:noProof/>
              </w:rPr>
              <w:t xml:space="preserve"> Canberra: Australian and New Zealand Environment and Conservation Council and Agriculture and Resource Management Council of Australia and New Zealand.</w:t>
            </w:r>
          </w:p>
          <w:p w:rsidR="00DB0BB0" w:rsidRPr="00FC014E" w:rsidRDefault="00DB0BB0" w:rsidP="005E15E2">
            <w:pPr>
              <w:pStyle w:val="Tabletext"/>
              <w:spacing w:after="120" w:line="240" w:lineRule="auto"/>
              <w:ind w:left="720" w:hanging="720"/>
              <w:rPr>
                <w:noProof/>
              </w:rPr>
            </w:pPr>
            <w:bookmarkStart w:id="9" w:name="_ENREF_2"/>
            <w:bookmarkEnd w:id="8"/>
            <w:r w:rsidRPr="00FC014E">
              <w:rPr>
                <w:noProof/>
              </w:rPr>
              <w:t xml:space="preserve">DEHP, 2013. </w:t>
            </w:r>
            <w:r w:rsidRPr="00FC014E">
              <w:rPr>
                <w:i/>
                <w:noProof/>
              </w:rPr>
              <w:t xml:space="preserve">Monitoring and Sampling Manual 2009 (Version 2) </w:t>
            </w:r>
            <w:r w:rsidRPr="00FC014E">
              <w:rPr>
                <w:noProof/>
              </w:rPr>
              <w:t>[Online]. Brisbane: State of Queensland. Available: https://</w:t>
            </w:r>
            <w:hyperlink r:id="rId8" w:history="1">
              <w:r w:rsidRPr="00FC014E">
                <w:rPr>
                  <w:rStyle w:val="Hyperlink"/>
                  <w:noProof/>
                </w:rPr>
                <w:t>www.ehp.qld.gov.au/water/pdf/monitoring-man-2009-v2.pdf</w:t>
              </w:r>
            </w:hyperlink>
            <w:r w:rsidRPr="00FC014E">
              <w:rPr>
                <w:noProof/>
              </w:rPr>
              <w:t>.</w:t>
            </w:r>
          </w:p>
          <w:p w:rsidR="00DB0BB0" w:rsidRPr="00FC014E" w:rsidRDefault="00DB0BB0" w:rsidP="005E15E2">
            <w:pPr>
              <w:pStyle w:val="Tabletext"/>
              <w:spacing w:after="120" w:line="240" w:lineRule="auto"/>
              <w:ind w:left="720" w:hanging="720"/>
              <w:rPr>
                <w:noProof/>
              </w:rPr>
            </w:pPr>
            <w:bookmarkStart w:id="10" w:name="_ENREF_3"/>
            <w:bookmarkEnd w:id="9"/>
            <w:r w:rsidRPr="00FC014E">
              <w:rPr>
                <w:noProof/>
              </w:rPr>
              <w:t xml:space="preserve">Eamus, D., Zolfaghar, S., Villalobos-Vega, R., Cleverly, J. &amp; Huete, A., 2015. Groundwater-dependent ecosystems: recent insights from satellite and field-based studies. </w:t>
            </w:r>
            <w:r w:rsidRPr="00FC014E">
              <w:rPr>
                <w:i/>
                <w:noProof/>
              </w:rPr>
              <w:t>Hydrology and Earth System Sciences,</w:t>
            </w:r>
            <w:r w:rsidRPr="00FC014E">
              <w:rPr>
                <w:noProof/>
              </w:rPr>
              <w:t xml:space="preserve"> 19</w:t>
            </w:r>
            <w:r w:rsidRPr="00FC014E">
              <w:rPr>
                <w:b/>
                <w:noProof/>
              </w:rPr>
              <w:t>,</w:t>
            </w:r>
            <w:r w:rsidRPr="00FC014E">
              <w:rPr>
                <w:noProof/>
              </w:rPr>
              <w:t xml:space="preserve"> 4229-4256.</w:t>
            </w:r>
          </w:p>
          <w:p w:rsidR="00DB0BB0" w:rsidRPr="00FC014E" w:rsidRDefault="00DB0BB0" w:rsidP="005E15E2">
            <w:pPr>
              <w:pStyle w:val="Tabletext"/>
              <w:spacing w:after="120" w:line="240" w:lineRule="auto"/>
              <w:ind w:left="720" w:hanging="720"/>
              <w:rPr>
                <w:noProof/>
              </w:rPr>
            </w:pPr>
            <w:bookmarkStart w:id="11" w:name="_ENREF_4"/>
            <w:bookmarkEnd w:id="10"/>
            <w:r w:rsidRPr="00FC014E">
              <w:rPr>
                <w:noProof/>
              </w:rPr>
              <w:t xml:space="preserve">IESC, 2015. </w:t>
            </w:r>
            <w:r w:rsidRPr="00FC014E">
              <w:rPr>
                <w:i/>
                <w:noProof/>
              </w:rPr>
              <w:t xml:space="preserve">Information Guidelines for the Independent Expert Scientific Committee advice on coal seam gas and large coal mining development proposals </w:t>
            </w:r>
            <w:r w:rsidRPr="00FC014E">
              <w:rPr>
                <w:noProof/>
              </w:rPr>
              <w:t xml:space="preserve">[Online]. Available: </w:t>
            </w:r>
            <w:hyperlink r:id="rId9" w:history="1">
              <w:r w:rsidRPr="00FC014E">
                <w:rPr>
                  <w:rStyle w:val="Hyperlink"/>
                  <w:noProof/>
                </w:rPr>
                <w:t>http://www.iesc.environment.gov.au/system/files/resources/012fa918-ee79-4131-9c8d-02c9b2de65cf/files/iesc-information-guidelines-oct-2015.pdf</w:t>
              </w:r>
            </w:hyperlink>
            <w:r w:rsidRPr="00FC014E">
              <w:rPr>
                <w:noProof/>
              </w:rPr>
              <w:t>.</w:t>
            </w:r>
          </w:p>
          <w:p w:rsidR="00F657D7" w:rsidRPr="00EF5270" w:rsidRDefault="00DB0BB0" w:rsidP="005E15E2">
            <w:pPr>
              <w:pStyle w:val="Tabletext"/>
              <w:spacing w:after="120" w:line="240" w:lineRule="auto"/>
              <w:ind w:left="720" w:hanging="720"/>
            </w:pPr>
            <w:bookmarkStart w:id="12" w:name="_ENREF_5"/>
            <w:bookmarkEnd w:id="11"/>
            <w:r w:rsidRPr="00FC014E">
              <w:rPr>
                <w:noProof/>
              </w:rPr>
              <w:t>Richardson, S., Irvine, E. C., Froend, R. H., Boon, P., Barber, S. &amp; Bonneville, B., 2011. Australian groundwater dependent ecosystem toolbox Part 1: assessment framework. Canberra: Waterlines report, National Water Commission.</w:t>
            </w:r>
            <w:bookmarkEnd w:id="12"/>
            <w:r w:rsidR="00805D89" w:rsidRPr="00FC014E">
              <w:fldChar w:fldCharType="end"/>
            </w:r>
          </w:p>
        </w:tc>
      </w:tr>
    </w:tbl>
    <w:p w:rsidR="007203C3" w:rsidRPr="00062A46" w:rsidRDefault="007203C3" w:rsidP="00D622B9"/>
    <w:sectPr w:rsidR="007203C3" w:rsidRPr="00062A46" w:rsidSect="00AC4812">
      <w:headerReference w:type="even" r:id="rId10"/>
      <w:footerReference w:type="default" r:id="rId11"/>
      <w:footerReference w:type="first" r:id="rId12"/>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8AB" w:rsidRDefault="00B078AB" w:rsidP="00D622B9">
      <w:r>
        <w:separator/>
      </w:r>
    </w:p>
  </w:endnote>
  <w:endnote w:type="continuationSeparator" w:id="0">
    <w:p w:rsidR="00B078AB" w:rsidRDefault="00B078AB"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B0" w:rsidRPr="00637239" w:rsidRDefault="00DB0BB0" w:rsidP="00637239">
    <w:pPr>
      <w:pStyle w:val="Footer"/>
    </w:pPr>
  </w:p>
  <w:p w:rsidR="00DB0BB0" w:rsidRPr="00637239" w:rsidRDefault="00AC4812" w:rsidP="00637239">
    <w:pPr>
      <w:pStyle w:val="Footer"/>
      <w:rPr>
        <w:sz w:val="20"/>
      </w:rPr>
    </w:pPr>
    <w:r>
      <w:rPr>
        <w:sz w:val="20"/>
      </w:rPr>
      <w:t xml:space="preserve">Final </w:t>
    </w:r>
    <w:r w:rsidR="00DB0BB0" w:rsidRPr="000376F7">
      <w:rPr>
        <w:sz w:val="20"/>
      </w:rPr>
      <w:t xml:space="preserve">New Acland Coal Mine Stage 3 </w:t>
    </w:r>
    <w:r>
      <w:rPr>
        <w:sz w:val="20"/>
      </w:rPr>
      <w:t>Advice</w:t>
    </w:r>
    <w:r w:rsidR="00DB0BB0" w:rsidRPr="00637239">
      <w:rPr>
        <w:color w:val="FF0000"/>
        <w:sz w:val="20"/>
      </w:rPr>
      <w:ptab w:relativeTo="margin" w:alignment="right" w:leader="none"/>
    </w:r>
    <w:r w:rsidR="00DB0BB0" w:rsidRPr="00FC014E">
      <w:rPr>
        <w:sz w:val="20"/>
      </w:rPr>
      <w:t>10 December 2015</w:t>
    </w:r>
  </w:p>
  <w:p w:rsidR="00DB0BB0" w:rsidRPr="00637239" w:rsidRDefault="00805D89" w:rsidP="00637239">
    <w:pPr>
      <w:pStyle w:val="Footer"/>
      <w:jc w:val="center"/>
      <w:rPr>
        <w:sz w:val="20"/>
      </w:rPr>
    </w:pPr>
    <w:r w:rsidRPr="00637239">
      <w:rPr>
        <w:sz w:val="20"/>
      </w:rPr>
      <w:fldChar w:fldCharType="begin"/>
    </w:r>
    <w:r w:rsidR="00DB0BB0" w:rsidRPr="00637239">
      <w:rPr>
        <w:sz w:val="20"/>
      </w:rPr>
      <w:instrText xml:space="preserve"> PAGE   \* MERGEFORMAT </w:instrText>
    </w:r>
    <w:r w:rsidRPr="00637239">
      <w:rPr>
        <w:sz w:val="20"/>
      </w:rPr>
      <w:fldChar w:fldCharType="separate"/>
    </w:r>
    <w:r w:rsidR="000438D0">
      <w:rPr>
        <w:noProof/>
        <w:sz w:val="20"/>
      </w:rPr>
      <w:t>1</w:t>
    </w:r>
    <w:r w:rsidRPr="0063723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B0" w:rsidRPr="00D15280" w:rsidRDefault="00DB0BB0"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DB0BB0" w:rsidRPr="00062A46" w:rsidRDefault="00805D89" w:rsidP="00637239">
    <w:pPr>
      <w:pStyle w:val="Footer"/>
    </w:pPr>
    <w:sdt>
      <w:sdtPr>
        <w:id w:val="32750052"/>
        <w:docPartObj>
          <w:docPartGallery w:val="Page Numbers (Bottom of Page)"/>
          <w:docPartUnique/>
        </w:docPartObj>
      </w:sdtPr>
      <w:sdtContent>
        <w:fldSimple w:instr=" PAGE   \* MERGEFORMAT ">
          <w:r w:rsidR="00DB0BB0">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8AB" w:rsidRDefault="00B078AB" w:rsidP="00D622B9">
      <w:r>
        <w:separator/>
      </w:r>
    </w:p>
  </w:footnote>
  <w:footnote w:type="continuationSeparator" w:id="0">
    <w:p w:rsidR="00B078AB" w:rsidRDefault="00B078AB"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B0" w:rsidRDefault="00DB0BB0" w:rsidP="00D622B9">
    <w:pPr>
      <w:pStyle w:val="Classification"/>
    </w:pPr>
    <w:r>
      <w:rPr>
        <w:lang w:val="en-US"/>
      </w:rPr>
      <w:t>Error! Unknown document property name.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DCBA67EE"/>
    <w:lvl w:ilvl="0">
      <w:start w:val="1"/>
      <w:numFmt w:val="decimal"/>
      <w:lvlText w:val="%1."/>
      <w:lvlJc w:val="left"/>
      <w:pPr>
        <w:tabs>
          <w:tab w:val="num" w:pos="643"/>
        </w:tabs>
        <w:ind w:left="643" w:hanging="360"/>
      </w:pPr>
    </w:lvl>
  </w:abstractNum>
  <w:abstractNum w:abstractNumId="2">
    <w:nsid w:val="FFFFFF88"/>
    <w:multiLevelType w:val="singleLevel"/>
    <w:tmpl w:val="45ECF08C"/>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F611570"/>
    <w:multiLevelType w:val="hybridMultilevel"/>
    <w:tmpl w:val="594641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456429"/>
    <w:multiLevelType w:val="multilevel"/>
    <w:tmpl w:val="43349AB0"/>
    <w:lvl w:ilvl="0">
      <w:start w:val="1"/>
      <w:numFmt w:val="decimal"/>
      <w:pStyle w:val="ListNumber"/>
      <w:lvlText w:val="%1."/>
      <w:lvlJc w:val="left"/>
      <w:pPr>
        <w:ind w:left="369" w:hanging="369"/>
      </w:pPr>
      <w:rPr>
        <w:rFonts w:ascii="Arial" w:hAnsi="Arial" w:hint="default"/>
        <w:i w:val="0"/>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2DD4FC6"/>
    <w:multiLevelType w:val="hybridMultilevel"/>
    <w:tmpl w:val="4ABC604C"/>
    <w:lvl w:ilvl="0" w:tplc="4D10D66A">
      <w:start w:val="1"/>
      <w:numFmt w:val="decimal"/>
      <w:lvlText w:val="%1."/>
      <w:lvlJc w:val="left"/>
      <w:pPr>
        <w:ind w:left="360" w:hanging="360"/>
      </w:pPr>
    </w:lvl>
    <w:lvl w:ilvl="1" w:tplc="29180180">
      <w:start w:val="1"/>
      <w:numFmt w:val="lowerLetter"/>
      <w:lvlText w:val="%2."/>
      <w:lvlJc w:val="left"/>
      <w:pPr>
        <w:ind w:left="1080" w:hanging="360"/>
      </w:pPr>
    </w:lvl>
    <w:lvl w:ilvl="2" w:tplc="E2C43908" w:tentative="1">
      <w:start w:val="1"/>
      <w:numFmt w:val="lowerRoman"/>
      <w:lvlText w:val="%3."/>
      <w:lvlJc w:val="right"/>
      <w:pPr>
        <w:ind w:left="1800" w:hanging="180"/>
      </w:pPr>
    </w:lvl>
    <w:lvl w:ilvl="3" w:tplc="5A9213E4" w:tentative="1">
      <w:start w:val="1"/>
      <w:numFmt w:val="decimal"/>
      <w:lvlText w:val="%4."/>
      <w:lvlJc w:val="left"/>
      <w:pPr>
        <w:ind w:left="2520" w:hanging="360"/>
      </w:pPr>
    </w:lvl>
    <w:lvl w:ilvl="4" w:tplc="6F7C4668" w:tentative="1">
      <w:start w:val="1"/>
      <w:numFmt w:val="lowerLetter"/>
      <w:lvlText w:val="%5."/>
      <w:lvlJc w:val="left"/>
      <w:pPr>
        <w:ind w:left="3240" w:hanging="360"/>
      </w:pPr>
    </w:lvl>
    <w:lvl w:ilvl="5" w:tplc="993ADF10" w:tentative="1">
      <w:start w:val="1"/>
      <w:numFmt w:val="lowerRoman"/>
      <w:lvlText w:val="%6."/>
      <w:lvlJc w:val="right"/>
      <w:pPr>
        <w:ind w:left="3960" w:hanging="180"/>
      </w:pPr>
    </w:lvl>
    <w:lvl w:ilvl="6" w:tplc="05D2946C" w:tentative="1">
      <w:start w:val="1"/>
      <w:numFmt w:val="decimal"/>
      <w:lvlText w:val="%7."/>
      <w:lvlJc w:val="left"/>
      <w:pPr>
        <w:ind w:left="4680" w:hanging="360"/>
      </w:pPr>
    </w:lvl>
    <w:lvl w:ilvl="7" w:tplc="7C2ABCEE" w:tentative="1">
      <w:start w:val="1"/>
      <w:numFmt w:val="lowerLetter"/>
      <w:lvlText w:val="%8."/>
      <w:lvlJc w:val="left"/>
      <w:pPr>
        <w:ind w:left="5400" w:hanging="360"/>
      </w:pPr>
    </w:lvl>
    <w:lvl w:ilvl="8" w:tplc="A008D9EC" w:tentative="1">
      <w:start w:val="1"/>
      <w:numFmt w:val="lowerRoman"/>
      <w:lvlText w:val="%9."/>
      <w:lvlJc w:val="right"/>
      <w:pPr>
        <w:ind w:left="6120" w:hanging="180"/>
      </w:pPr>
    </w:lvl>
  </w:abstractNum>
  <w:abstractNum w:abstractNumId="17">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nsid w:val="790740EC"/>
    <w:multiLevelType w:val="hybridMultilevel"/>
    <w:tmpl w:val="440871C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B85684F"/>
    <w:multiLevelType w:val="hybridMultilevel"/>
    <w:tmpl w:val="BDCA9B80"/>
    <w:lvl w:ilvl="0" w:tplc="0C09000F">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8"/>
  </w:num>
  <w:num w:numId="4">
    <w:abstractNumId w:val="7"/>
  </w:num>
  <w:num w:numId="5">
    <w:abstractNumId w:val="14"/>
  </w:num>
  <w:num w:numId="6">
    <w:abstractNumId w:val="16"/>
  </w:num>
  <w:num w:numId="7">
    <w:abstractNumId w:val="12"/>
  </w:num>
  <w:num w:numId="8">
    <w:abstractNumId w:val="5"/>
  </w:num>
  <w:num w:numId="9">
    <w:abstractNumId w:val="19"/>
  </w:num>
  <w:num w:numId="10">
    <w:abstractNumId w:val="2"/>
  </w:num>
  <w:num w:numId="11">
    <w:abstractNumId w:val="1"/>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num>
  <w:num w:numId="17">
    <w:abstractNumId w:val="13"/>
  </w:num>
  <w:num w:numId="18">
    <w:abstractNumId w:val="4"/>
  </w:num>
  <w:num w:numId="19">
    <w:abstractNumId w:val="15"/>
  </w:num>
  <w:num w:numId="20">
    <w:abstractNumId w:val="6"/>
  </w:num>
  <w:num w:numId="21">
    <w:abstractNumId w:val="10"/>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9"/>
  </w:num>
  <w:num w:numId="31">
    <w:abstractNumId w:val="14"/>
  </w:num>
  <w:num w:numId="32">
    <w:abstractNumId w:val="11"/>
  </w:num>
  <w:num w:numId="33">
    <w:abstractNumId w:val="18"/>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rsids>
    <w:rsidRoot w:val="0041275D"/>
    <w:rsid w:val="00000912"/>
    <w:rsid w:val="00004AEE"/>
    <w:rsid w:val="00005CAA"/>
    <w:rsid w:val="00010210"/>
    <w:rsid w:val="00012D66"/>
    <w:rsid w:val="00015ADA"/>
    <w:rsid w:val="00020C99"/>
    <w:rsid w:val="00023E9B"/>
    <w:rsid w:val="000254F2"/>
    <w:rsid w:val="0002707B"/>
    <w:rsid w:val="00031B32"/>
    <w:rsid w:val="000376F7"/>
    <w:rsid w:val="0004091C"/>
    <w:rsid w:val="000438D0"/>
    <w:rsid w:val="0005148E"/>
    <w:rsid w:val="000547F0"/>
    <w:rsid w:val="00061BC7"/>
    <w:rsid w:val="00062A46"/>
    <w:rsid w:val="0007521B"/>
    <w:rsid w:val="000759E5"/>
    <w:rsid w:val="0007601C"/>
    <w:rsid w:val="00084AC6"/>
    <w:rsid w:val="00085816"/>
    <w:rsid w:val="00091608"/>
    <w:rsid w:val="0009196E"/>
    <w:rsid w:val="00092F92"/>
    <w:rsid w:val="0009333C"/>
    <w:rsid w:val="00095835"/>
    <w:rsid w:val="000963F2"/>
    <w:rsid w:val="0009704F"/>
    <w:rsid w:val="000A0F11"/>
    <w:rsid w:val="000A125A"/>
    <w:rsid w:val="000A228F"/>
    <w:rsid w:val="000A2F93"/>
    <w:rsid w:val="000A57CD"/>
    <w:rsid w:val="000B1974"/>
    <w:rsid w:val="000B1AF0"/>
    <w:rsid w:val="000B2FF3"/>
    <w:rsid w:val="000B371E"/>
    <w:rsid w:val="000B3758"/>
    <w:rsid w:val="000B7681"/>
    <w:rsid w:val="000B7B42"/>
    <w:rsid w:val="000C02B7"/>
    <w:rsid w:val="000C2814"/>
    <w:rsid w:val="000C3F5C"/>
    <w:rsid w:val="000C451B"/>
    <w:rsid w:val="000C5342"/>
    <w:rsid w:val="000C706A"/>
    <w:rsid w:val="000D07EA"/>
    <w:rsid w:val="000D2887"/>
    <w:rsid w:val="000D5CAB"/>
    <w:rsid w:val="000D6D63"/>
    <w:rsid w:val="000D706B"/>
    <w:rsid w:val="000D7810"/>
    <w:rsid w:val="000E0081"/>
    <w:rsid w:val="000E07CF"/>
    <w:rsid w:val="000E484E"/>
    <w:rsid w:val="000F15CB"/>
    <w:rsid w:val="000F79DC"/>
    <w:rsid w:val="00100BEF"/>
    <w:rsid w:val="00102745"/>
    <w:rsid w:val="00102E17"/>
    <w:rsid w:val="001120ED"/>
    <w:rsid w:val="0011386E"/>
    <w:rsid w:val="0011498E"/>
    <w:rsid w:val="00116F28"/>
    <w:rsid w:val="00117A45"/>
    <w:rsid w:val="00121015"/>
    <w:rsid w:val="001224AE"/>
    <w:rsid w:val="00123035"/>
    <w:rsid w:val="001337D4"/>
    <w:rsid w:val="001340EA"/>
    <w:rsid w:val="00140735"/>
    <w:rsid w:val="00141E02"/>
    <w:rsid w:val="00147A37"/>
    <w:rsid w:val="00147C12"/>
    <w:rsid w:val="00147EFC"/>
    <w:rsid w:val="001502F7"/>
    <w:rsid w:val="001527A1"/>
    <w:rsid w:val="001530DC"/>
    <w:rsid w:val="001539AF"/>
    <w:rsid w:val="00153CA7"/>
    <w:rsid w:val="00154989"/>
    <w:rsid w:val="00155A9F"/>
    <w:rsid w:val="0015684F"/>
    <w:rsid w:val="00160262"/>
    <w:rsid w:val="0016186F"/>
    <w:rsid w:val="00161FBA"/>
    <w:rsid w:val="0016281C"/>
    <w:rsid w:val="00162AE5"/>
    <w:rsid w:val="0016433A"/>
    <w:rsid w:val="001666B0"/>
    <w:rsid w:val="0016780A"/>
    <w:rsid w:val="001713FA"/>
    <w:rsid w:val="00173EBF"/>
    <w:rsid w:val="001765DA"/>
    <w:rsid w:val="0017778E"/>
    <w:rsid w:val="001842A2"/>
    <w:rsid w:val="00185039"/>
    <w:rsid w:val="00185407"/>
    <w:rsid w:val="00186465"/>
    <w:rsid w:val="00187FA8"/>
    <w:rsid w:val="001922D0"/>
    <w:rsid w:val="00192F5E"/>
    <w:rsid w:val="0019561B"/>
    <w:rsid w:val="00197772"/>
    <w:rsid w:val="001A51C8"/>
    <w:rsid w:val="001B2307"/>
    <w:rsid w:val="001B472B"/>
    <w:rsid w:val="001B4CA8"/>
    <w:rsid w:val="001B6F3E"/>
    <w:rsid w:val="001C2525"/>
    <w:rsid w:val="001C2A92"/>
    <w:rsid w:val="001C4F3D"/>
    <w:rsid w:val="001D0CDC"/>
    <w:rsid w:val="001D1D82"/>
    <w:rsid w:val="001D3E3F"/>
    <w:rsid w:val="001D53C3"/>
    <w:rsid w:val="001E056A"/>
    <w:rsid w:val="001E1182"/>
    <w:rsid w:val="001E3313"/>
    <w:rsid w:val="001F0E8B"/>
    <w:rsid w:val="001F507D"/>
    <w:rsid w:val="00200944"/>
    <w:rsid w:val="00202387"/>
    <w:rsid w:val="00202C90"/>
    <w:rsid w:val="002119A8"/>
    <w:rsid w:val="00213DE8"/>
    <w:rsid w:val="00216118"/>
    <w:rsid w:val="002209AB"/>
    <w:rsid w:val="002251E3"/>
    <w:rsid w:val="00225D0F"/>
    <w:rsid w:val="002262E6"/>
    <w:rsid w:val="00227A95"/>
    <w:rsid w:val="00230D81"/>
    <w:rsid w:val="002316BD"/>
    <w:rsid w:val="002336F3"/>
    <w:rsid w:val="00237F95"/>
    <w:rsid w:val="002406DD"/>
    <w:rsid w:val="00242B99"/>
    <w:rsid w:val="002473FC"/>
    <w:rsid w:val="0024761E"/>
    <w:rsid w:val="00252E3C"/>
    <w:rsid w:val="00254B93"/>
    <w:rsid w:val="00262198"/>
    <w:rsid w:val="00262587"/>
    <w:rsid w:val="00263ACE"/>
    <w:rsid w:val="00264AF9"/>
    <w:rsid w:val="00276E0C"/>
    <w:rsid w:val="00277426"/>
    <w:rsid w:val="00277A51"/>
    <w:rsid w:val="00285F1B"/>
    <w:rsid w:val="002878A5"/>
    <w:rsid w:val="002904E4"/>
    <w:rsid w:val="00292B81"/>
    <w:rsid w:val="0029322E"/>
    <w:rsid w:val="00294A0A"/>
    <w:rsid w:val="00295C42"/>
    <w:rsid w:val="00296477"/>
    <w:rsid w:val="002974BC"/>
    <w:rsid w:val="002A5EC3"/>
    <w:rsid w:val="002B18AE"/>
    <w:rsid w:val="002B3B6A"/>
    <w:rsid w:val="002B6472"/>
    <w:rsid w:val="002B67D3"/>
    <w:rsid w:val="002C0B4B"/>
    <w:rsid w:val="002C1C93"/>
    <w:rsid w:val="002C3257"/>
    <w:rsid w:val="002C3738"/>
    <w:rsid w:val="002C3E3E"/>
    <w:rsid w:val="002C4C25"/>
    <w:rsid w:val="002C5066"/>
    <w:rsid w:val="002D0FC1"/>
    <w:rsid w:val="002D4AAC"/>
    <w:rsid w:val="002D6C33"/>
    <w:rsid w:val="002E1AB0"/>
    <w:rsid w:val="002E7CE2"/>
    <w:rsid w:val="002F045A"/>
    <w:rsid w:val="002F48A3"/>
    <w:rsid w:val="002F63C2"/>
    <w:rsid w:val="0030039D"/>
    <w:rsid w:val="00300715"/>
    <w:rsid w:val="003031AE"/>
    <w:rsid w:val="0030326F"/>
    <w:rsid w:val="00305106"/>
    <w:rsid w:val="00310701"/>
    <w:rsid w:val="00311510"/>
    <w:rsid w:val="00311FB6"/>
    <w:rsid w:val="003138AC"/>
    <w:rsid w:val="00315980"/>
    <w:rsid w:val="00316F7F"/>
    <w:rsid w:val="00320162"/>
    <w:rsid w:val="0032087E"/>
    <w:rsid w:val="003218E8"/>
    <w:rsid w:val="00322BA1"/>
    <w:rsid w:val="00326DD2"/>
    <w:rsid w:val="00330DCE"/>
    <w:rsid w:val="00331E11"/>
    <w:rsid w:val="00334761"/>
    <w:rsid w:val="00337EBC"/>
    <w:rsid w:val="0034033E"/>
    <w:rsid w:val="00341DCD"/>
    <w:rsid w:val="0034504D"/>
    <w:rsid w:val="0034563E"/>
    <w:rsid w:val="00345912"/>
    <w:rsid w:val="003504CC"/>
    <w:rsid w:val="003518D6"/>
    <w:rsid w:val="0035460C"/>
    <w:rsid w:val="003556BD"/>
    <w:rsid w:val="0035703E"/>
    <w:rsid w:val="00360794"/>
    <w:rsid w:val="00364E6D"/>
    <w:rsid w:val="00365147"/>
    <w:rsid w:val="0037016E"/>
    <w:rsid w:val="00370E55"/>
    <w:rsid w:val="00372908"/>
    <w:rsid w:val="00376457"/>
    <w:rsid w:val="00381917"/>
    <w:rsid w:val="00383020"/>
    <w:rsid w:val="003975FD"/>
    <w:rsid w:val="003A0593"/>
    <w:rsid w:val="003A5070"/>
    <w:rsid w:val="003B3CAA"/>
    <w:rsid w:val="003B60CC"/>
    <w:rsid w:val="003B6EDE"/>
    <w:rsid w:val="003C1B25"/>
    <w:rsid w:val="003C2443"/>
    <w:rsid w:val="003C31E0"/>
    <w:rsid w:val="003C5DA3"/>
    <w:rsid w:val="003D4BCD"/>
    <w:rsid w:val="003E01D8"/>
    <w:rsid w:val="003E1C4A"/>
    <w:rsid w:val="003E2100"/>
    <w:rsid w:val="003E2135"/>
    <w:rsid w:val="003E2BDB"/>
    <w:rsid w:val="003E45FA"/>
    <w:rsid w:val="003E53CA"/>
    <w:rsid w:val="003E5ED5"/>
    <w:rsid w:val="003F0A1B"/>
    <w:rsid w:val="003F0CB7"/>
    <w:rsid w:val="003F6F5B"/>
    <w:rsid w:val="003F7296"/>
    <w:rsid w:val="003F7D24"/>
    <w:rsid w:val="00400F8F"/>
    <w:rsid w:val="0040342D"/>
    <w:rsid w:val="00403FB9"/>
    <w:rsid w:val="00405E1C"/>
    <w:rsid w:val="004118D4"/>
    <w:rsid w:val="0041192D"/>
    <w:rsid w:val="0041275D"/>
    <w:rsid w:val="00413EE1"/>
    <w:rsid w:val="00414799"/>
    <w:rsid w:val="00421032"/>
    <w:rsid w:val="0042128E"/>
    <w:rsid w:val="0042465A"/>
    <w:rsid w:val="00432B60"/>
    <w:rsid w:val="00432D3D"/>
    <w:rsid w:val="004333E6"/>
    <w:rsid w:val="00440698"/>
    <w:rsid w:val="004540E2"/>
    <w:rsid w:val="00454454"/>
    <w:rsid w:val="004601A5"/>
    <w:rsid w:val="004622D3"/>
    <w:rsid w:val="00466182"/>
    <w:rsid w:val="00466AA1"/>
    <w:rsid w:val="00467924"/>
    <w:rsid w:val="004712A5"/>
    <w:rsid w:val="0047266F"/>
    <w:rsid w:val="004756EB"/>
    <w:rsid w:val="00476AEA"/>
    <w:rsid w:val="00476D6B"/>
    <w:rsid w:val="00480206"/>
    <w:rsid w:val="0048150D"/>
    <w:rsid w:val="00481F56"/>
    <w:rsid w:val="0048327B"/>
    <w:rsid w:val="00483B8D"/>
    <w:rsid w:val="00483E5D"/>
    <w:rsid w:val="004861E6"/>
    <w:rsid w:val="0049013A"/>
    <w:rsid w:val="00492C16"/>
    <w:rsid w:val="004A0678"/>
    <w:rsid w:val="004A48A3"/>
    <w:rsid w:val="004A7812"/>
    <w:rsid w:val="004B0D92"/>
    <w:rsid w:val="004B0EC0"/>
    <w:rsid w:val="004B2075"/>
    <w:rsid w:val="004B32B2"/>
    <w:rsid w:val="004B407E"/>
    <w:rsid w:val="004B4FD9"/>
    <w:rsid w:val="004B52FD"/>
    <w:rsid w:val="004B5A51"/>
    <w:rsid w:val="004B66F1"/>
    <w:rsid w:val="004C3B7B"/>
    <w:rsid w:val="004C3EA0"/>
    <w:rsid w:val="004D249B"/>
    <w:rsid w:val="004D2E83"/>
    <w:rsid w:val="004D3B28"/>
    <w:rsid w:val="004D46F2"/>
    <w:rsid w:val="004D74CD"/>
    <w:rsid w:val="004E05BE"/>
    <w:rsid w:val="004F16A3"/>
    <w:rsid w:val="004F32CC"/>
    <w:rsid w:val="004F3D69"/>
    <w:rsid w:val="004F7169"/>
    <w:rsid w:val="00500D66"/>
    <w:rsid w:val="005036A6"/>
    <w:rsid w:val="005063B4"/>
    <w:rsid w:val="00511E3E"/>
    <w:rsid w:val="00514C8E"/>
    <w:rsid w:val="00517F35"/>
    <w:rsid w:val="00521359"/>
    <w:rsid w:val="00523A57"/>
    <w:rsid w:val="00523ED3"/>
    <w:rsid w:val="00531DBF"/>
    <w:rsid w:val="005337FC"/>
    <w:rsid w:val="00537037"/>
    <w:rsid w:val="00541B6D"/>
    <w:rsid w:val="00541E2C"/>
    <w:rsid w:val="00545759"/>
    <w:rsid w:val="005459A3"/>
    <w:rsid w:val="00545BE0"/>
    <w:rsid w:val="0054717F"/>
    <w:rsid w:val="00550877"/>
    <w:rsid w:val="00554C6A"/>
    <w:rsid w:val="005552EB"/>
    <w:rsid w:val="00556A81"/>
    <w:rsid w:val="00562E85"/>
    <w:rsid w:val="0056332F"/>
    <w:rsid w:val="00573E6F"/>
    <w:rsid w:val="00581C39"/>
    <w:rsid w:val="005834A4"/>
    <w:rsid w:val="00584F6B"/>
    <w:rsid w:val="005903B6"/>
    <w:rsid w:val="00592B20"/>
    <w:rsid w:val="00594127"/>
    <w:rsid w:val="00597E15"/>
    <w:rsid w:val="005A0247"/>
    <w:rsid w:val="005A126E"/>
    <w:rsid w:val="005A452F"/>
    <w:rsid w:val="005A703F"/>
    <w:rsid w:val="005B097B"/>
    <w:rsid w:val="005B140D"/>
    <w:rsid w:val="005B6E16"/>
    <w:rsid w:val="005C03E8"/>
    <w:rsid w:val="005C1936"/>
    <w:rsid w:val="005C1FEA"/>
    <w:rsid w:val="005C3495"/>
    <w:rsid w:val="005C3785"/>
    <w:rsid w:val="005C3BBD"/>
    <w:rsid w:val="005C4C90"/>
    <w:rsid w:val="005D677D"/>
    <w:rsid w:val="005E13EA"/>
    <w:rsid w:val="005E15E0"/>
    <w:rsid w:val="005E15E2"/>
    <w:rsid w:val="005E2F32"/>
    <w:rsid w:val="005E3889"/>
    <w:rsid w:val="005E3DFC"/>
    <w:rsid w:val="005E5DFE"/>
    <w:rsid w:val="005E60AF"/>
    <w:rsid w:val="005E7792"/>
    <w:rsid w:val="005E7B4E"/>
    <w:rsid w:val="005F1997"/>
    <w:rsid w:val="005F1DEA"/>
    <w:rsid w:val="005F2AAB"/>
    <w:rsid w:val="005F4932"/>
    <w:rsid w:val="005F55C8"/>
    <w:rsid w:val="00602FCB"/>
    <w:rsid w:val="00605B94"/>
    <w:rsid w:val="00607FC9"/>
    <w:rsid w:val="00610955"/>
    <w:rsid w:val="00614536"/>
    <w:rsid w:val="0061490C"/>
    <w:rsid w:val="00616861"/>
    <w:rsid w:val="00621103"/>
    <w:rsid w:val="00622B29"/>
    <w:rsid w:val="00622FE1"/>
    <w:rsid w:val="00623C27"/>
    <w:rsid w:val="0062521C"/>
    <w:rsid w:val="0062549C"/>
    <w:rsid w:val="006265C3"/>
    <w:rsid w:val="006277B8"/>
    <w:rsid w:val="00630A2B"/>
    <w:rsid w:val="00630BA2"/>
    <w:rsid w:val="0063283F"/>
    <w:rsid w:val="00632DC7"/>
    <w:rsid w:val="00633896"/>
    <w:rsid w:val="006357FB"/>
    <w:rsid w:val="00636604"/>
    <w:rsid w:val="00637239"/>
    <w:rsid w:val="006406FC"/>
    <w:rsid w:val="0064407B"/>
    <w:rsid w:val="00646122"/>
    <w:rsid w:val="00653E16"/>
    <w:rsid w:val="00657220"/>
    <w:rsid w:val="0066104B"/>
    <w:rsid w:val="00661419"/>
    <w:rsid w:val="006628C0"/>
    <w:rsid w:val="00662D63"/>
    <w:rsid w:val="006655EE"/>
    <w:rsid w:val="00667C10"/>
    <w:rsid w:val="00667EF4"/>
    <w:rsid w:val="00672B85"/>
    <w:rsid w:val="00673B97"/>
    <w:rsid w:val="00674E59"/>
    <w:rsid w:val="00676FCA"/>
    <w:rsid w:val="00677177"/>
    <w:rsid w:val="0068056B"/>
    <w:rsid w:val="00682B4E"/>
    <w:rsid w:val="0068612E"/>
    <w:rsid w:val="006861D3"/>
    <w:rsid w:val="00687858"/>
    <w:rsid w:val="00687C92"/>
    <w:rsid w:val="006903B7"/>
    <w:rsid w:val="00692568"/>
    <w:rsid w:val="00692CF9"/>
    <w:rsid w:val="00694679"/>
    <w:rsid w:val="0069534E"/>
    <w:rsid w:val="00696365"/>
    <w:rsid w:val="0069669C"/>
    <w:rsid w:val="006A1200"/>
    <w:rsid w:val="006A22C4"/>
    <w:rsid w:val="006A2C5A"/>
    <w:rsid w:val="006A4F4E"/>
    <w:rsid w:val="006B14DB"/>
    <w:rsid w:val="006B21C4"/>
    <w:rsid w:val="006C4A1A"/>
    <w:rsid w:val="006C7DAD"/>
    <w:rsid w:val="006D0393"/>
    <w:rsid w:val="006D1A83"/>
    <w:rsid w:val="006D1C6E"/>
    <w:rsid w:val="006D2E5C"/>
    <w:rsid w:val="006D36D1"/>
    <w:rsid w:val="006D41FC"/>
    <w:rsid w:val="006D5D1E"/>
    <w:rsid w:val="006E1CFE"/>
    <w:rsid w:val="006E31A2"/>
    <w:rsid w:val="006E6D10"/>
    <w:rsid w:val="006F10C4"/>
    <w:rsid w:val="006F2E59"/>
    <w:rsid w:val="006F40E9"/>
    <w:rsid w:val="006F5603"/>
    <w:rsid w:val="006F5A6F"/>
    <w:rsid w:val="00701400"/>
    <w:rsid w:val="007037CF"/>
    <w:rsid w:val="00703BB8"/>
    <w:rsid w:val="00704B37"/>
    <w:rsid w:val="00712A8B"/>
    <w:rsid w:val="00716583"/>
    <w:rsid w:val="007167C0"/>
    <w:rsid w:val="007203C3"/>
    <w:rsid w:val="00720481"/>
    <w:rsid w:val="00721642"/>
    <w:rsid w:val="00721BC7"/>
    <w:rsid w:val="0072510B"/>
    <w:rsid w:val="00725FE2"/>
    <w:rsid w:val="00727C18"/>
    <w:rsid w:val="00727E2F"/>
    <w:rsid w:val="00733193"/>
    <w:rsid w:val="0073561C"/>
    <w:rsid w:val="0073746A"/>
    <w:rsid w:val="00737CBA"/>
    <w:rsid w:val="007502D9"/>
    <w:rsid w:val="00752FF8"/>
    <w:rsid w:val="00754C17"/>
    <w:rsid w:val="0075732A"/>
    <w:rsid w:val="00760262"/>
    <w:rsid w:val="0076310C"/>
    <w:rsid w:val="0076744F"/>
    <w:rsid w:val="007679FE"/>
    <w:rsid w:val="00767BCE"/>
    <w:rsid w:val="00767EFC"/>
    <w:rsid w:val="007707DE"/>
    <w:rsid w:val="00770B5D"/>
    <w:rsid w:val="00770D11"/>
    <w:rsid w:val="007752F1"/>
    <w:rsid w:val="00776768"/>
    <w:rsid w:val="00782D61"/>
    <w:rsid w:val="00782F48"/>
    <w:rsid w:val="00791024"/>
    <w:rsid w:val="007921C6"/>
    <w:rsid w:val="00794818"/>
    <w:rsid w:val="007A2573"/>
    <w:rsid w:val="007A312A"/>
    <w:rsid w:val="007A3B9C"/>
    <w:rsid w:val="007A776E"/>
    <w:rsid w:val="007B047A"/>
    <w:rsid w:val="007B0A40"/>
    <w:rsid w:val="007B106C"/>
    <w:rsid w:val="007B1A4E"/>
    <w:rsid w:val="007B3D05"/>
    <w:rsid w:val="007B4D57"/>
    <w:rsid w:val="007B5503"/>
    <w:rsid w:val="007B5553"/>
    <w:rsid w:val="007C3A72"/>
    <w:rsid w:val="007C6BB3"/>
    <w:rsid w:val="007D0ECF"/>
    <w:rsid w:val="007D14B4"/>
    <w:rsid w:val="007D3AD7"/>
    <w:rsid w:val="007D597D"/>
    <w:rsid w:val="007D72AA"/>
    <w:rsid w:val="007E24F6"/>
    <w:rsid w:val="007E4F12"/>
    <w:rsid w:val="007F113F"/>
    <w:rsid w:val="007F29E0"/>
    <w:rsid w:val="007F7C14"/>
    <w:rsid w:val="00800F64"/>
    <w:rsid w:val="00802F0B"/>
    <w:rsid w:val="00805D89"/>
    <w:rsid w:val="0080729F"/>
    <w:rsid w:val="00810A67"/>
    <w:rsid w:val="00811066"/>
    <w:rsid w:val="0081315B"/>
    <w:rsid w:val="00821702"/>
    <w:rsid w:val="0083272D"/>
    <w:rsid w:val="008333E4"/>
    <w:rsid w:val="00833CF7"/>
    <w:rsid w:val="00840BBC"/>
    <w:rsid w:val="00843160"/>
    <w:rsid w:val="00845601"/>
    <w:rsid w:val="00845D68"/>
    <w:rsid w:val="008524B9"/>
    <w:rsid w:val="00855C5C"/>
    <w:rsid w:val="0086233C"/>
    <w:rsid w:val="00865CFA"/>
    <w:rsid w:val="00866746"/>
    <w:rsid w:val="00871FAC"/>
    <w:rsid w:val="0088216A"/>
    <w:rsid w:val="00883CE7"/>
    <w:rsid w:val="00890022"/>
    <w:rsid w:val="00891EAC"/>
    <w:rsid w:val="00892148"/>
    <w:rsid w:val="008938F7"/>
    <w:rsid w:val="008A187F"/>
    <w:rsid w:val="008A3C96"/>
    <w:rsid w:val="008B0BBA"/>
    <w:rsid w:val="008B1627"/>
    <w:rsid w:val="008B1E68"/>
    <w:rsid w:val="008B4019"/>
    <w:rsid w:val="008B41D7"/>
    <w:rsid w:val="008B505F"/>
    <w:rsid w:val="008B65C9"/>
    <w:rsid w:val="008C00AD"/>
    <w:rsid w:val="008C1077"/>
    <w:rsid w:val="008C2D4A"/>
    <w:rsid w:val="008C6A05"/>
    <w:rsid w:val="008C746E"/>
    <w:rsid w:val="008C7DBB"/>
    <w:rsid w:val="008D3900"/>
    <w:rsid w:val="008D429B"/>
    <w:rsid w:val="008D6E1D"/>
    <w:rsid w:val="008D6EDB"/>
    <w:rsid w:val="008D74E2"/>
    <w:rsid w:val="008E36FE"/>
    <w:rsid w:val="008E4139"/>
    <w:rsid w:val="008E7547"/>
    <w:rsid w:val="008F39B4"/>
    <w:rsid w:val="008F4162"/>
    <w:rsid w:val="00903E02"/>
    <w:rsid w:val="00910F8D"/>
    <w:rsid w:val="009110D5"/>
    <w:rsid w:val="00913175"/>
    <w:rsid w:val="00916EDB"/>
    <w:rsid w:val="00920687"/>
    <w:rsid w:val="00920861"/>
    <w:rsid w:val="00920F4D"/>
    <w:rsid w:val="00922B13"/>
    <w:rsid w:val="009241F9"/>
    <w:rsid w:val="009242EF"/>
    <w:rsid w:val="00924AB9"/>
    <w:rsid w:val="00932291"/>
    <w:rsid w:val="00932A36"/>
    <w:rsid w:val="00933B1B"/>
    <w:rsid w:val="0093408E"/>
    <w:rsid w:val="009372B5"/>
    <w:rsid w:val="009374A9"/>
    <w:rsid w:val="009379A7"/>
    <w:rsid w:val="00940467"/>
    <w:rsid w:val="00942973"/>
    <w:rsid w:val="00947507"/>
    <w:rsid w:val="009522D8"/>
    <w:rsid w:val="009528C8"/>
    <w:rsid w:val="00952DDF"/>
    <w:rsid w:val="00952EC4"/>
    <w:rsid w:val="00972423"/>
    <w:rsid w:val="0097461C"/>
    <w:rsid w:val="009762C7"/>
    <w:rsid w:val="009812D4"/>
    <w:rsid w:val="00982653"/>
    <w:rsid w:val="00984AD0"/>
    <w:rsid w:val="0098500F"/>
    <w:rsid w:val="009873F4"/>
    <w:rsid w:val="009920D8"/>
    <w:rsid w:val="009A371F"/>
    <w:rsid w:val="009A4869"/>
    <w:rsid w:val="009A4FC5"/>
    <w:rsid w:val="009A6638"/>
    <w:rsid w:val="009B38BE"/>
    <w:rsid w:val="009B4556"/>
    <w:rsid w:val="009B682F"/>
    <w:rsid w:val="009B7454"/>
    <w:rsid w:val="009C244C"/>
    <w:rsid w:val="009C3D0F"/>
    <w:rsid w:val="009D50A5"/>
    <w:rsid w:val="009D6232"/>
    <w:rsid w:val="009E1B19"/>
    <w:rsid w:val="009E1D6D"/>
    <w:rsid w:val="009E3F39"/>
    <w:rsid w:val="009E67BE"/>
    <w:rsid w:val="009E79B6"/>
    <w:rsid w:val="009F0375"/>
    <w:rsid w:val="009F35E2"/>
    <w:rsid w:val="009F438B"/>
    <w:rsid w:val="009F65F9"/>
    <w:rsid w:val="009F68BA"/>
    <w:rsid w:val="00A06277"/>
    <w:rsid w:val="00A0742C"/>
    <w:rsid w:val="00A079DC"/>
    <w:rsid w:val="00A10BAB"/>
    <w:rsid w:val="00A111C2"/>
    <w:rsid w:val="00A133F3"/>
    <w:rsid w:val="00A172C6"/>
    <w:rsid w:val="00A17C39"/>
    <w:rsid w:val="00A21440"/>
    <w:rsid w:val="00A238AA"/>
    <w:rsid w:val="00A2721B"/>
    <w:rsid w:val="00A31300"/>
    <w:rsid w:val="00A338E7"/>
    <w:rsid w:val="00A35B07"/>
    <w:rsid w:val="00A35CAA"/>
    <w:rsid w:val="00A36E7F"/>
    <w:rsid w:val="00A41E65"/>
    <w:rsid w:val="00A426F9"/>
    <w:rsid w:val="00A43517"/>
    <w:rsid w:val="00A4357B"/>
    <w:rsid w:val="00A43E0A"/>
    <w:rsid w:val="00A46247"/>
    <w:rsid w:val="00A47F07"/>
    <w:rsid w:val="00A530C7"/>
    <w:rsid w:val="00A55F5B"/>
    <w:rsid w:val="00A56E03"/>
    <w:rsid w:val="00A60185"/>
    <w:rsid w:val="00A611EE"/>
    <w:rsid w:val="00A622EC"/>
    <w:rsid w:val="00A62B1B"/>
    <w:rsid w:val="00A65522"/>
    <w:rsid w:val="00A661EA"/>
    <w:rsid w:val="00A66263"/>
    <w:rsid w:val="00A6775C"/>
    <w:rsid w:val="00A70A6C"/>
    <w:rsid w:val="00A72FC4"/>
    <w:rsid w:val="00A77A8F"/>
    <w:rsid w:val="00A830E5"/>
    <w:rsid w:val="00A83DF5"/>
    <w:rsid w:val="00A84BF3"/>
    <w:rsid w:val="00A8631D"/>
    <w:rsid w:val="00A87135"/>
    <w:rsid w:val="00A93280"/>
    <w:rsid w:val="00A93C73"/>
    <w:rsid w:val="00A951EA"/>
    <w:rsid w:val="00A961A6"/>
    <w:rsid w:val="00A973E1"/>
    <w:rsid w:val="00A97F71"/>
    <w:rsid w:val="00AA1C65"/>
    <w:rsid w:val="00AA2548"/>
    <w:rsid w:val="00AA3B6E"/>
    <w:rsid w:val="00AA567D"/>
    <w:rsid w:val="00AA58C4"/>
    <w:rsid w:val="00AB0BCD"/>
    <w:rsid w:val="00AB11C8"/>
    <w:rsid w:val="00AB2248"/>
    <w:rsid w:val="00AB6622"/>
    <w:rsid w:val="00AC08A8"/>
    <w:rsid w:val="00AC4812"/>
    <w:rsid w:val="00AD20F6"/>
    <w:rsid w:val="00AD29E2"/>
    <w:rsid w:val="00AD56C8"/>
    <w:rsid w:val="00AD58F2"/>
    <w:rsid w:val="00AE5712"/>
    <w:rsid w:val="00AF1F50"/>
    <w:rsid w:val="00AF4652"/>
    <w:rsid w:val="00AF49D5"/>
    <w:rsid w:val="00AF5EA3"/>
    <w:rsid w:val="00AF6573"/>
    <w:rsid w:val="00AF65FE"/>
    <w:rsid w:val="00AF75C2"/>
    <w:rsid w:val="00AF7690"/>
    <w:rsid w:val="00B0512A"/>
    <w:rsid w:val="00B0529F"/>
    <w:rsid w:val="00B05D52"/>
    <w:rsid w:val="00B078AB"/>
    <w:rsid w:val="00B1418B"/>
    <w:rsid w:val="00B151A0"/>
    <w:rsid w:val="00B1520C"/>
    <w:rsid w:val="00B1560E"/>
    <w:rsid w:val="00B21195"/>
    <w:rsid w:val="00B22B3D"/>
    <w:rsid w:val="00B24B22"/>
    <w:rsid w:val="00B25262"/>
    <w:rsid w:val="00B25310"/>
    <w:rsid w:val="00B31587"/>
    <w:rsid w:val="00B32F8F"/>
    <w:rsid w:val="00B3414F"/>
    <w:rsid w:val="00B42C1C"/>
    <w:rsid w:val="00B4690F"/>
    <w:rsid w:val="00B47C42"/>
    <w:rsid w:val="00B510B1"/>
    <w:rsid w:val="00B54DE9"/>
    <w:rsid w:val="00B553EC"/>
    <w:rsid w:val="00B55870"/>
    <w:rsid w:val="00B55B19"/>
    <w:rsid w:val="00B60059"/>
    <w:rsid w:val="00B74287"/>
    <w:rsid w:val="00B77732"/>
    <w:rsid w:val="00B80D6D"/>
    <w:rsid w:val="00B8405C"/>
    <w:rsid w:val="00B9154F"/>
    <w:rsid w:val="00B93DD0"/>
    <w:rsid w:val="00B97732"/>
    <w:rsid w:val="00BA0849"/>
    <w:rsid w:val="00BA56D7"/>
    <w:rsid w:val="00BA65A8"/>
    <w:rsid w:val="00BA6A97"/>
    <w:rsid w:val="00BA6D19"/>
    <w:rsid w:val="00BA7461"/>
    <w:rsid w:val="00BA7DA9"/>
    <w:rsid w:val="00BC4215"/>
    <w:rsid w:val="00BC6BE9"/>
    <w:rsid w:val="00BC6CB2"/>
    <w:rsid w:val="00BD0396"/>
    <w:rsid w:val="00BD1A6F"/>
    <w:rsid w:val="00BD5B71"/>
    <w:rsid w:val="00BE6D3C"/>
    <w:rsid w:val="00BE7852"/>
    <w:rsid w:val="00BF6D87"/>
    <w:rsid w:val="00BF7CEE"/>
    <w:rsid w:val="00C03771"/>
    <w:rsid w:val="00C03880"/>
    <w:rsid w:val="00C05B08"/>
    <w:rsid w:val="00C06A4F"/>
    <w:rsid w:val="00C07043"/>
    <w:rsid w:val="00C135CF"/>
    <w:rsid w:val="00C148C1"/>
    <w:rsid w:val="00C22AD1"/>
    <w:rsid w:val="00C2452D"/>
    <w:rsid w:val="00C2683F"/>
    <w:rsid w:val="00C3184D"/>
    <w:rsid w:val="00C333FF"/>
    <w:rsid w:val="00C415B5"/>
    <w:rsid w:val="00C43084"/>
    <w:rsid w:val="00C4621A"/>
    <w:rsid w:val="00C4714E"/>
    <w:rsid w:val="00C50941"/>
    <w:rsid w:val="00C5504F"/>
    <w:rsid w:val="00C55991"/>
    <w:rsid w:val="00C63376"/>
    <w:rsid w:val="00C66CB4"/>
    <w:rsid w:val="00C67ADE"/>
    <w:rsid w:val="00C74F97"/>
    <w:rsid w:val="00C76A08"/>
    <w:rsid w:val="00C803D7"/>
    <w:rsid w:val="00C8276E"/>
    <w:rsid w:val="00C83AD1"/>
    <w:rsid w:val="00C842AC"/>
    <w:rsid w:val="00C852E6"/>
    <w:rsid w:val="00C85B7B"/>
    <w:rsid w:val="00C906EF"/>
    <w:rsid w:val="00C914F1"/>
    <w:rsid w:val="00C92AD5"/>
    <w:rsid w:val="00C92F78"/>
    <w:rsid w:val="00C93152"/>
    <w:rsid w:val="00C93FD9"/>
    <w:rsid w:val="00C96688"/>
    <w:rsid w:val="00CA0723"/>
    <w:rsid w:val="00CA4542"/>
    <w:rsid w:val="00CA6F44"/>
    <w:rsid w:val="00CB1690"/>
    <w:rsid w:val="00CB2746"/>
    <w:rsid w:val="00CB6E9F"/>
    <w:rsid w:val="00CC06C2"/>
    <w:rsid w:val="00CC0FB6"/>
    <w:rsid w:val="00CC27E7"/>
    <w:rsid w:val="00CC2B33"/>
    <w:rsid w:val="00CC4365"/>
    <w:rsid w:val="00CD11B0"/>
    <w:rsid w:val="00CD5E0E"/>
    <w:rsid w:val="00CE02B3"/>
    <w:rsid w:val="00CE71C2"/>
    <w:rsid w:val="00CF095A"/>
    <w:rsid w:val="00CF2242"/>
    <w:rsid w:val="00CF42D5"/>
    <w:rsid w:val="00CF4EDA"/>
    <w:rsid w:val="00CF562A"/>
    <w:rsid w:val="00CF5929"/>
    <w:rsid w:val="00D00281"/>
    <w:rsid w:val="00D01E11"/>
    <w:rsid w:val="00D01E38"/>
    <w:rsid w:val="00D021CB"/>
    <w:rsid w:val="00D02C4D"/>
    <w:rsid w:val="00D10C4C"/>
    <w:rsid w:val="00D10F1A"/>
    <w:rsid w:val="00D116F8"/>
    <w:rsid w:val="00D15280"/>
    <w:rsid w:val="00D17596"/>
    <w:rsid w:val="00D17ED2"/>
    <w:rsid w:val="00D22640"/>
    <w:rsid w:val="00D26D3A"/>
    <w:rsid w:val="00D368FF"/>
    <w:rsid w:val="00D441B2"/>
    <w:rsid w:val="00D45C91"/>
    <w:rsid w:val="00D45EE3"/>
    <w:rsid w:val="00D47C80"/>
    <w:rsid w:val="00D50618"/>
    <w:rsid w:val="00D509E9"/>
    <w:rsid w:val="00D53B1C"/>
    <w:rsid w:val="00D61714"/>
    <w:rsid w:val="00D620BE"/>
    <w:rsid w:val="00D622B9"/>
    <w:rsid w:val="00D63258"/>
    <w:rsid w:val="00D652C8"/>
    <w:rsid w:val="00D656FF"/>
    <w:rsid w:val="00D71E1B"/>
    <w:rsid w:val="00D73238"/>
    <w:rsid w:val="00D82448"/>
    <w:rsid w:val="00D83615"/>
    <w:rsid w:val="00D83AAD"/>
    <w:rsid w:val="00D83C67"/>
    <w:rsid w:val="00D97037"/>
    <w:rsid w:val="00DA1B12"/>
    <w:rsid w:val="00DA3B9E"/>
    <w:rsid w:val="00DA4F90"/>
    <w:rsid w:val="00DA54C9"/>
    <w:rsid w:val="00DA6739"/>
    <w:rsid w:val="00DA6CAE"/>
    <w:rsid w:val="00DB0BB0"/>
    <w:rsid w:val="00DB1A9E"/>
    <w:rsid w:val="00DB31D6"/>
    <w:rsid w:val="00DB3296"/>
    <w:rsid w:val="00DB4005"/>
    <w:rsid w:val="00DB44E2"/>
    <w:rsid w:val="00DB61F1"/>
    <w:rsid w:val="00DC325B"/>
    <w:rsid w:val="00DC331C"/>
    <w:rsid w:val="00DC34EB"/>
    <w:rsid w:val="00DC4E2E"/>
    <w:rsid w:val="00DC78C0"/>
    <w:rsid w:val="00DD262E"/>
    <w:rsid w:val="00DE2C10"/>
    <w:rsid w:val="00DF0CED"/>
    <w:rsid w:val="00DF14C9"/>
    <w:rsid w:val="00DF1E5B"/>
    <w:rsid w:val="00DF2275"/>
    <w:rsid w:val="00DF3F5E"/>
    <w:rsid w:val="00DF5653"/>
    <w:rsid w:val="00E021D2"/>
    <w:rsid w:val="00E0596E"/>
    <w:rsid w:val="00E06F66"/>
    <w:rsid w:val="00E2111A"/>
    <w:rsid w:val="00E21678"/>
    <w:rsid w:val="00E25E17"/>
    <w:rsid w:val="00E270CE"/>
    <w:rsid w:val="00E344AA"/>
    <w:rsid w:val="00E356E5"/>
    <w:rsid w:val="00E36F81"/>
    <w:rsid w:val="00E378A8"/>
    <w:rsid w:val="00E40B9B"/>
    <w:rsid w:val="00E43741"/>
    <w:rsid w:val="00E456B6"/>
    <w:rsid w:val="00E45765"/>
    <w:rsid w:val="00E467E5"/>
    <w:rsid w:val="00E5098C"/>
    <w:rsid w:val="00E54ECD"/>
    <w:rsid w:val="00E574EF"/>
    <w:rsid w:val="00E578FD"/>
    <w:rsid w:val="00E57CD8"/>
    <w:rsid w:val="00E57E07"/>
    <w:rsid w:val="00E60213"/>
    <w:rsid w:val="00E61F69"/>
    <w:rsid w:val="00E62CC4"/>
    <w:rsid w:val="00E661B2"/>
    <w:rsid w:val="00E6694E"/>
    <w:rsid w:val="00E74D29"/>
    <w:rsid w:val="00E806FF"/>
    <w:rsid w:val="00E81B09"/>
    <w:rsid w:val="00E83279"/>
    <w:rsid w:val="00E83C74"/>
    <w:rsid w:val="00E83CEE"/>
    <w:rsid w:val="00E91F18"/>
    <w:rsid w:val="00E9226D"/>
    <w:rsid w:val="00E93382"/>
    <w:rsid w:val="00E96424"/>
    <w:rsid w:val="00EA2A91"/>
    <w:rsid w:val="00EA3DE5"/>
    <w:rsid w:val="00EA416C"/>
    <w:rsid w:val="00EA5941"/>
    <w:rsid w:val="00EB0865"/>
    <w:rsid w:val="00EB60CE"/>
    <w:rsid w:val="00EB6649"/>
    <w:rsid w:val="00EB7D53"/>
    <w:rsid w:val="00EC0CE9"/>
    <w:rsid w:val="00EC37F0"/>
    <w:rsid w:val="00EC596B"/>
    <w:rsid w:val="00EC6824"/>
    <w:rsid w:val="00ED0BAA"/>
    <w:rsid w:val="00ED579A"/>
    <w:rsid w:val="00ED5EEB"/>
    <w:rsid w:val="00EE13C5"/>
    <w:rsid w:val="00EE3146"/>
    <w:rsid w:val="00EF50BB"/>
    <w:rsid w:val="00EF5270"/>
    <w:rsid w:val="00EF66E8"/>
    <w:rsid w:val="00EF71E4"/>
    <w:rsid w:val="00F00192"/>
    <w:rsid w:val="00F01DF6"/>
    <w:rsid w:val="00F027B8"/>
    <w:rsid w:val="00F0340D"/>
    <w:rsid w:val="00F035F2"/>
    <w:rsid w:val="00F059A6"/>
    <w:rsid w:val="00F11845"/>
    <w:rsid w:val="00F14A04"/>
    <w:rsid w:val="00F172DA"/>
    <w:rsid w:val="00F23756"/>
    <w:rsid w:val="00F2464C"/>
    <w:rsid w:val="00F2523A"/>
    <w:rsid w:val="00F25A04"/>
    <w:rsid w:val="00F25FFA"/>
    <w:rsid w:val="00F3027E"/>
    <w:rsid w:val="00F310D2"/>
    <w:rsid w:val="00F31E11"/>
    <w:rsid w:val="00F32F0D"/>
    <w:rsid w:val="00F339AA"/>
    <w:rsid w:val="00F36F3D"/>
    <w:rsid w:val="00F37C48"/>
    <w:rsid w:val="00F477BD"/>
    <w:rsid w:val="00F50333"/>
    <w:rsid w:val="00F53491"/>
    <w:rsid w:val="00F54656"/>
    <w:rsid w:val="00F55386"/>
    <w:rsid w:val="00F558E1"/>
    <w:rsid w:val="00F56411"/>
    <w:rsid w:val="00F60181"/>
    <w:rsid w:val="00F657D7"/>
    <w:rsid w:val="00F65A1C"/>
    <w:rsid w:val="00F66F50"/>
    <w:rsid w:val="00F709E1"/>
    <w:rsid w:val="00F77432"/>
    <w:rsid w:val="00F81162"/>
    <w:rsid w:val="00F82FF8"/>
    <w:rsid w:val="00F8330D"/>
    <w:rsid w:val="00F84305"/>
    <w:rsid w:val="00F8485C"/>
    <w:rsid w:val="00F85BCE"/>
    <w:rsid w:val="00F87149"/>
    <w:rsid w:val="00F87FFE"/>
    <w:rsid w:val="00F9138D"/>
    <w:rsid w:val="00F9169C"/>
    <w:rsid w:val="00F954C9"/>
    <w:rsid w:val="00FA4CF0"/>
    <w:rsid w:val="00FA61AA"/>
    <w:rsid w:val="00FA69A4"/>
    <w:rsid w:val="00FB1279"/>
    <w:rsid w:val="00FB1495"/>
    <w:rsid w:val="00FB359A"/>
    <w:rsid w:val="00FB4B38"/>
    <w:rsid w:val="00FC014E"/>
    <w:rsid w:val="00FC0D5C"/>
    <w:rsid w:val="00FC20F8"/>
    <w:rsid w:val="00FC2565"/>
    <w:rsid w:val="00FC5534"/>
    <w:rsid w:val="00FC68E3"/>
    <w:rsid w:val="00FC6EA8"/>
    <w:rsid w:val="00FD1357"/>
    <w:rsid w:val="00FD1694"/>
    <w:rsid w:val="00FD2134"/>
    <w:rsid w:val="00FD4106"/>
    <w:rsid w:val="00FD7636"/>
    <w:rsid w:val="00FE3229"/>
    <w:rsid w:val="00FE74C3"/>
    <w:rsid w:val="00FF10E1"/>
    <w:rsid w:val="00FF215C"/>
    <w:rsid w:val="00FF49E8"/>
    <w:rsid w:val="00FF5E1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b/>
      <w:bC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styleId="EndnoteText">
    <w:name w:val="endnote text"/>
    <w:basedOn w:val="Normal"/>
    <w:link w:val="EndnoteTextChar"/>
    <w:uiPriority w:val="99"/>
    <w:semiHidden/>
    <w:unhideWhenUsed/>
    <w:rsid w:val="00E467E5"/>
    <w:pPr>
      <w:spacing w:after="0" w:line="240" w:lineRule="auto"/>
    </w:pPr>
  </w:style>
  <w:style w:type="character" w:customStyle="1" w:styleId="EndnoteTextChar">
    <w:name w:val="Endnote Text Char"/>
    <w:basedOn w:val="DefaultParagraphFont"/>
    <w:link w:val="EndnoteText"/>
    <w:uiPriority w:val="99"/>
    <w:semiHidden/>
    <w:rsid w:val="00E467E5"/>
    <w:rPr>
      <w:rFonts w:eastAsia="Times New Roman" w:cs="Arial"/>
      <w:lang w:eastAsia="en-US"/>
    </w:rPr>
  </w:style>
  <w:style w:type="character" w:styleId="EndnoteReference">
    <w:name w:val="endnote reference"/>
    <w:basedOn w:val="DefaultParagraphFont"/>
    <w:uiPriority w:val="99"/>
    <w:semiHidden/>
    <w:unhideWhenUsed/>
    <w:rsid w:val="00E467E5"/>
    <w:rPr>
      <w:vertAlign w:val="superscript"/>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p.qld.gov.au/water/pdf/monitoring-man-2009-v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esc.environment.gov.au/system/files/resources/012fa918-ee79-4131-9c8d-02c9b2de65cf/files/iesc-information-guidelines-oct-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3732</Words>
  <Characters>21278</Characters>
  <Application>Microsoft Office Word</Application>
  <DocSecurity>4</DocSecurity>
  <Lines>177</Lines>
  <Paragraphs>49</Paragraphs>
  <ScaleCrop>false</ScaleCrop>
  <HeadingPairs>
    <vt:vector size="2" baseType="variant">
      <vt:variant>
        <vt:lpstr>Title</vt:lpstr>
      </vt:variant>
      <vt:variant>
        <vt:i4>1</vt:i4>
      </vt:variant>
    </vt:vector>
  </HeadingPairs>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2015-073: New Acland Coal Mine Stage 3 (EPBC 2007/3423) – Expansion</dc:title>
  <dc:creator/>
  <cp:lastModifiedBy/>
  <cp:revision>1</cp:revision>
  <dcterms:created xsi:type="dcterms:W3CDTF">2015-12-17T00:40:00Z</dcterms:created>
  <dcterms:modified xsi:type="dcterms:W3CDTF">2015-12-17T00:40:00Z</dcterms:modified>
</cp:coreProperties>
</file>